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D6" w:rsidRDefault="001104D6" w:rsidP="001104D6">
      <w:pPr>
        <w:autoSpaceDE w:val="0"/>
        <w:autoSpaceDN w:val="0"/>
        <w:adjustRightInd w:val="0"/>
        <w:spacing w:after="0" w:line="240" w:lineRule="auto"/>
        <w:rPr>
          <w:rFonts w:ascii="TT1F0t00" w:hAnsi="TT1F0t00" w:cs="TT1F0t00"/>
          <w:b/>
          <w:sz w:val="24"/>
          <w:szCs w:val="24"/>
        </w:rPr>
      </w:pPr>
      <w:r w:rsidRPr="001104D6">
        <w:rPr>
          <w:rFonts w:ascii="TT1F0t00" w:hAnsi="TT1F0t00" w:cs="TT1F0t00"/>
          <w:b/>
          <w:noProof/>
          <w:sz w:val="24"/>
          <w:szCs w:val="24"/>
          <w:lang w:eastAsia="en-GB"/>
        </w:rPr>
        <w:drawing>
          <wp:inline distT="0" distB="0" distL="0" distR="0">
            <wp:extent cx="2207843" cy="1038225"/>
            <wp:effectExtent l="0" t="0" r="2540"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2312" cy="1040327"/>
                    </a:xfrm>
                    <a:prstGeom prst="rect">
                      <a:avLst/>
                    </a:prstGeom>
                    <a:noFill/>
                    <a:ln>
                      <a:noFill/>
                    </a:ln>
                  </pic:spPr>
                </pic:pic>
              </a:graphicData>
            </a:graphic>
          </wp:inline>
        </w:drawing>
      </w:r>
    </w:p>
    <w:p w:rsidR="001104D6" w:rsidRDefault="001104D6" w:rsidP="001104D6">
      <w:pPr>
        <w:autoSpaceDE w:val="0"/>
        <w:autoSpaceDN w:val="0"/>
        <w:adjustRightInd w:val="0"/>
        <w:spacing w:after="0" w:line="240" w:lineRule="auto"/>
        <w:rPr>
          <w:rFonts w:ascii="TT1F0t00" w:hAnsi="TT1F0t00" w:cs="TT1F0t00"/>
          <w:b/>
          <w:sz w:val="24"/>
          <w:szCs w:val="24"/>
        </w:rPr>
      </w:pPr>
    </w:p>
    <w:p w:rsidR="001104D6" w:rsidRDefault="001104D6" w:rsidP="001104D6">
      <w:pPr>
        <w:autoSpaceDE w:val="0"/>
        <w:autoSpaceDN w:val="0"/>
        <w:adjustRightInd w:val="0"/>
        <w:spacing w:after="0" w:line="240" w:lineRule="auto"/>
        <w:rPr>
          <w:rFonts w:ascii="TT1F0t00" w:hAnsi="TT1F0t00" w:cs="TT1F0t00"/>
          <w:b/>
          <w:sz w:val="24"/>
          <w:szCs w:val="24"/>
        </w:rPr>
      </w:pPr>
    </w:p>
    <w:p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Invitation to tender for Project Management Services</w:t>
      </w:r>
    </w:p>
    <w:p w:rsidR="00DE48D2" w:rsidRPr="00DE48D2" w:rsidRDefault="00DE48D2" w:rsidP="00DE48D2">
      <w:pPr>
        <w:autoSpaceDE w:val="0"/>
        <w:autoSpaceDN w:val="0"/>
        <w:adjustRightInd w:val="0"/>
        <w:spacing w:after="0" w:line="240" w:lineRule="auto"/>
        <w:jc w:val="center"/>
        <w:rPr>
          <w:rFonts w:ascii="TT1EFt00" w:hAnsi="TT1EFt00" w:cs="TT1EFt00"/>
          <w:b/>
          <w:sz w:val="24"/>
          <w:szCs w:val="24"/>
        </w:rPr>
      </w:pPr>
      <w:r w:rsidRPr="00DE48D2">
        <w:rPr>
          <w:rFonts w:ascii="TT1F0t00" w:hAnsi="TT1F0t00" w:cs="TT1F0t00"/>
          <w:b/>
          <w:sz w:val="24"/>
          <w:szCs w:val="24"/>
        </w:rPr>
        <w:t>For</w:t>
      </w:r>
      <w:r>
        <w:rPr>
          <w:rFonts w:ascii="TT1F0t00" w:hAnsi="TT1F0t00" w:cs="TT1F0t00"/>
          <w:b/>
          <w:sz w:val="24"/>
          <w:szCs w:val="24"/>
        </w:rPr>
        <w:t xml:space="preserve"> </w:t>
      </w:r>
      <w:r>
        <w:rPr>
          <w:rFonts w:ascii="TT1EFt00" w:hAnsi="TT1EFt00" w:cs="TT1EFt00"/>
          <w:b/>
          <w:sz w:val="24"/>
          <w:szCs w:val="24"/>
        </w:rPr>
        <w:t>Nature + Love:</w:t>
      </w:r>
    </w:p>
    <w:p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The Redevelopment of </w:t>
      </w:r>
      <w:r>
        <w:rPr>
          <w:rFonts w:ascii="TT1F0t00" w:hAnsi="TT1F0t00" w:cs="TT1F0t00"/>
          <w:b/>
          <w:sz w:val="24"/>
          <w:szCs w:val="24"/>
        </w:rPr>
        <w:t>Areas of the Gardens and Natural History</w:t>
      </w:r>
      <w:r w:rsidRPr="00DE48D2">
        <w:rPr>
          <w:rFonts w:ascii="TT1F0t00" w:hAnsi="TT1F0t00" w:cs="TT1F0t00"/>
          <w:b/>
          <w:sz w:val="24"/>
          <w:szCs w:val="24"/>
        </w:rPr>
        <w:t xml:space="preserve"> Galleries at the</w:t>
      </w:r>
    </w:p>
    <w:p w:rsid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Horniman Museum and Gardens</w:t>
      </w:r>
    </w:p>
    <w:p w:rsidR="001104D6" w:rsidRDefault="001104D6" w:rsidP="00DE48D2">
      <w:pPr>
        <w:autoSpaceDE w:val="0"/>
        <w:autoSpaceDN w:val="0"/>
        <w:adjustRightInd w:val="0"/>
        <w:spacing w:after="0" w:line="240" w:lineRule="auto"/>
        <w:jc w:val="center"/>
        <w:rPr>
          <w:rFonts w:ascii="TT1F0t00" w:hAnsi="TT1F0t00" w:cs="TT1F0t00"/>
          <w:b/>
          <w:sz w:val="24"/>
          <w:szCs w:val="24"/>
        </w:rPr>
      </w:pPr>
      <w:r>
        <w:rPr>
          <w:rFonts w:ascii="TT1F0t00" w:hAnsi="TT1F0t00" w:cs="TT1F0t00"/>
          <w:b/>
          <w:sz w:val="24"/>
          <w:szCs w:val="24"/>
        </w:rPr>
        <w:t>11 November 2021</w:t>
      </w:r>
    </w:p>
    <w:p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p>
    <w:p w:rsidR="00DE48D2" w:rsidRPr="00DE48D2" w:rsidRDefault="00DE48D2" w:rsidP="00DE48D2">
      <w:pPr>
        <w:autoSpaceDE w:val="0"/>
        <w:autoSpaceDN w:val="0"/>
        <w:adjustRightInd w:val="0"/>
        <w:spacing w:after="0" w:line="240" w:lineRule="auto"/>
        <w:rPr>
          <w:rFonts w:ascii="TT1F0t00" w:hAnsi="TT1F0t00" w:cs="TT1F0t00"/>
          <w:b/>
          <w:sz w:val="24"/>
          <w:szCs w:val="24"/>
        </w:rPr>
      </w:pPr>
      <w:r w:rsidRPr="00DE48D2">
        <w:rPr>
          <w:rFonts w:ascii="TT1F0t00" w:hAnsi="TT1F0t00" w:cs="TT1F0t00"/>
          <w:b/>
          <w:sz w:val="24"/>
          <w:szCs w:val="24"/>
        </w:rPr>
        <w:t>1. Introduction:</w:t>
      </w:r>
    </w:p>
    <w:p w:rsidR="00DE48D2" w:rsidRDefault="00DE48D2" w:rsidP="00DE48D2">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The Horniman Museum and Gardens is seeking to appoint a Project Manager as part of the team being brought together to redevelop parts of our Gardens and the Natural History Galleries. The total budget for the project, including fees but excluding VAT, is circa £8,900,000. The project is due for completion in early 2026 (dependent on the availability of funding) and is the next phase of a long-term strategic plan to widen access, public facilities and increase exhibition space within the Horniman.</w:t>
      </w:r>
    </w:p>
    <w:p w:rsidR="00DE48D2" w:rsidRDefault="00DE48D2" w:rsidP="00DE48D2">
      <w:pPr>
        <w:autoSpaceDE w:val="0"/>
        <w:autoSpaceDN w:val="0"/>
        <w:adjustRightInd w:val="0"/>
        <w:spacing w:after="0" w:line="240" w:lineRule="auto"/>
        <w:rPr>
          <w:rFonts w:ascii="TT1F2t00" w:hAnsi="TT1F2t00" w:cs="TT1F2t00"/>
          <w:sz w:val="24"/>
          <w:szCs w:val="24"/>
        </w:rPr>
      </w:pPr>
    </w:p>
    <w:p w:rsidR="00DE48D2" w:rsidRDefault="00DE48D2" w:rsidP="00DE48D2">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 xml:space="preserve">The Project Manager will be required to assist the Horniman Museum and Gardens with the appointment of </w:t>
      </w:r>
      <w:r w:rsidRPr="00DE48D2">
        <w:rPr>
          <w:rFonts w:ascii="TT1F2t00" w:hAnsi="TT1F2t00" w:cs="TT1F2t00"/>
          <w:sz w:val="24"/>
          <w:szCs w:val="24"/>
        </w:rPr>
        <w:t>the Lead Consultan</w:t>
      </w:r>
      <w:r>
        <w:rPr>
          <w:rFonts w:ascii="TT1F2t00" w:hAnsi="TT1F2t00" w:cs="TT1F2t00"/>
          <w:sz w:val="24"/>
          <w:szCs w:val="24"/>
        </w:rPr>
        <w:t xml:space="preserve">ts for the Architecture Design, </w:t>
      </w:r>
      <w:r w:rsidRPr="00DE48D2">
        <w:rPr>
          <w:rFonts w:ascii="TT1F2t00" w:hAnsi="TT1F2t00" w:cs="TT1F2t00"/>
          <w:sz w:val="24"/>
          <w:szCs w:val="24"/>
        </w:rPr>
        <w:t>Landscape Design, Exhibition Design and Cost Consultant (t</w:t>
      </w:r>
      <w:r>
        <w:rPr>
          <w:rFonts w:ascii="TT1F2t00" w:hAnsi="TT1F2t00" w:cs="TT1F2t00"/>
          <w:sz w:val="24"/>
          <w:szCs w:val="24"/>
        </w:rPr>
        <w:t>o be managed by the Horniman). We would expect them to d</w:t>
      </w:r>
      <w:r w:rsidRPr="00DE48D2">
        <w:rPr>
          <w:rFonts w:ascii="TT1F2t00" w:hAnsi="TT1F2t00" w:cs="TT1F2t00"/>
          <w:sz w:val="24"/>
          <w:szCs w:val="24"/>
        </w:rPr>
        <w:t>evelop tender documentation, check SQ responses, support the shortlist and interview process and prepare tender reports</w:t>
      </w:r>
      <w:r>
        <w:rPr>
          <w:rFonts w:ascii="TT1F2t00" w:hAnsi="TT1F2t00" w:cs="TT1F2t00"/>
          <w:sz w:val="24"/>
          <w:szCs w:val="24"/>
        </w:rPr>
        <w:t xml:space="preserve"> </w:t>
      </w:r>
    </w:p>
    <w:p w:rsidR="00DE48D2" w:rsidRDefault="00DE48D2" w:rsidP="00DE48D2">
      <w:pPr>
        <w:autoSpaceDE w:val="0"/>
        <w:autoSpaceDN w:val="0"/>
        <w:adjustRightInd w:val="0"/>
        <w:spacing w:after="0" w:line="240" w:lineRule="auto"/>
        <w:rPr>
          <w:rFonts w:ascii="TT1F2t00" w:hAnsi="TT1F2t00" w:cs="TT1F2t00"/>
          <w:sz w:val="24"/>
          <w:szCs w:val="24"/>
        </w:rPr>
      </w:pPr>
    </w:p>
    <w:p w:rsidR="00DE48D2" w:rsidRDefault="00DE48D2" w:rsidP="00DE48D2">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 xml:space="preserve">The Project Manager would be responsible for preparing and maintaining an integrated project programme for the project. It is important to note that this project is dependent on the outcome of a National Lottery Heritage Fund </w:t>
      </w:r>
      <w:r w:rsidR="00367307">
        <w:rPr>
          <w:rFonts w:ascii="TT1F2t00" w:hAnsi="TT1F2t00" w:cs="TT1F2t00"/>
          <w:sz w:val="24"/>
          <w:szCs w:val="24"/>
        </w:rPr>
        <w:t xml:space="preserve">(NLHF) </w:t>
      </w:r>
      <w:r>
        <w:rPr>
          <w:rFonts w:ascii="TT1F2t00" w:hAnsi="TT1F2t00" w:cs="TT1F2t00"/>
          <w:sz w:val="24"/>
          <w:szCs w:val="24"/>
        </w:rPr>
        <w:t xml:space="preserve">Stage 1 application which was submitted in August 2021. The result of this application will be known at the beginning of December. Development of the Nature + Love project will </w:t>
      </w:r>
      <w:r w:rsidR="00367307">
        <w:rPr>
          <w:rFonts w:ascii="TT1F2t00" w:hAnsi="TT1F2t00" w:cs="TT1F2t00"/>
          <w:sz w:val="24"/>
          <w:szCs w:val="24"/>
        </w:rPr>
        <w:t>only progress if this funding bid is successful.</w:t>
      </w:r>
    </w:p>
    <w:p w:rsidR="00367307" w:rsidRDefault="00367307" w:rsidP="00DE48D2">
      <w:pPr>
        <w:autoSpaceDE w:val="0"/>
        <w:autoSpaceDN w:val="0"/>
        <w:adjustRightInd w:val="0"/>
        <w:spacing w:after="0" w:line="240" w:lineRule="auto"/>
        <w:rPr>
          <w:rFonts w:ascii="TT1F2t00" w:hAnsi="TT1F2t00" w:cs="TT1F2t00"/>
          <w:sz w:val="24"/>
          <w:szCs w:val="24"/>
        </w:rPr>
      </w:pPr>
    </w:p>
    <w:p w:rsidR="00367307" w:rsidRDefault="00DE48D2" w:rsidP="00DE48D2">
      <w:pPr>
        <w:autoSpaceDE w:val="0"/>
        <w:autoSpaceDN w:val="0"/>
        <w:adjustRightInd w:val="0"/>
        <w:spacing w:after="0" w:line="240" w:lineRule="auto"/>
        <w:rPr>
          <w:rFonts w:ascii="TT1F2t00" w:hAnsi="TT1F2t00" w:cs="TT1F2t00"/>
          <w:b/>
          <w:sz w:val="24"/>
          <w:szCs w:val="24"/>
        </w:rPr>
      </w:pPr>
      <w:r w:rsidRPr="00367307">
        <w:rPr>
          <w:rFonts w:ascii="TT1F2t00" w:hAnsi="TT1F2t00" w:cs="TT1F2t00"/>
          <w:b/>
          <w:sz w:val="24"/>
          <w:szCs w:val="24"/>
        </w:rPr>
        <w:t xml:space="preserve">2. </w:t>
      </w:r>
      <w:r w:rsidRPr="00367307">
        <w:rPr>
          <w:rFonts w:ascii="TT1F0t00" w:hAnsi="TT1F0t00" w:cs="TT1F0t00"/>
          <w:b/>
          <w:sz w:val="24"/>
          <w:szCs w:val="24"/>
        </w:rPr>
        <w:t>Specific duties</w:t>
      </w:r>
      <w:r w:rsidR="0068065E">
        <w:rPr>
          <w:rFonts w:ascii="TT1F0t00" w:hAnsi="TT1F0t00" w:cs="TT1F0t00"/>
          <w:b/>
          <w:sz w:val="24"/>
          <w:szCs w:val="24"/>
        </w:rPr>
        <w:t xml:space="preserve"> include</w:t>
      </w:r>
      <w:r w:rsidR="00367307">
        <w:rPr>
          <w:rFonts w:ascii="TT1F2t00" w:hAnsi="TT1F2t00" w:cs="TT1F2t00"/>
          <w:b/>
          <w:sz w:val="24"/>
          <w:szCs w:val="24"/>
        </w:rPr>
        <w:t>:</w:t>
      </w:r>
    </w:p>
    <w:p w:rsidR="0068065E" w:rsidRDefault="0068065E" w:rsidP="00DE48D2">
      <w:pPr>
        <w:autoSpaceDE w:val="0"/>
        <w:autoSpaceDN w:val="0"/>
        <w:adjustRightInd w:val="0"/>
        <w:spacing w:after="0" w:line="240" w:lineRule="auto"/>
        <w:rPr>
          <w:rFonts w:ascii="TT1F0t00" w:hAnsi="TT1F0t00" w:cs="TT1F0t00"/>
          <w:b/>
          <w:sz w:val="24"/>
          <w:szCs w:val="24"/>
        </w:rPr>
      </w:pPr>
    </w:p>
    <w:p w:rsidR="00DE48D2" w:rsidRPr="00A305CA" w:rsidRDefault="00DE48D2" w:rsidP="00A305CA">
      <w:pPr>
        <w:pStyle w:val="ListParagraph"/>
        <w:numPr>
          <w:ilvl w:val="1"/>
          <w:numId w:val="5"/>
        </w:numPr>
        <w:autoSpaceDE w:val="0"/>
        <w:autoSpaceDN w:val="0"/>
        <w:adjustRightInd w:val="0"/>
        <w:spacing w:after="0" w:line="240" w:lineRule="auto"/>
        <w:rPr>
          <w:rFonts w:ascii="TT1F2t00" w:hAnsi="TT1F2t00" w:cs="TT1F2t00"/>
          <w:b/>
          <w:sz w:val="24"/>
          <w:szCs w:val="24"/>
        </w:rPr>
      </w:pPr>
      <w:r w:rsidRPr="00A305CA">
        <w:rPr>
          <w:rFonts w:ascii="TT1F0t00" w:hAnsi="TT1F0t00" w:cs="TT1F0t00"/>
          <w:b/>
          <w:sz w:val="24"/>
          <w:szCs w:val="24"/>
        </w:rPr>
        <w:t>Programme management:</w:t>
      </w:r>
    </w:p>
    <w:p w:rsidR="00A305CA" w:rsidRDefault="00A305CA" w:rsidP="00A305CA">
      <w:pPr>
        <w:pStyle w:val="ListParagraph"/>
        <w:numPr>
          <w:ilvl w:val="0"/>
          <w:numId w:val="1"/>
        </w:numPr>
        <w:autoSpaceDE w:val="0"/>
        <w:autoSpaceDN w:val="0"/>
        <w:adjustRightInd w:val="0"/>
        <w:spacing w:after="0" w:line="240" w:lineRule="auto"/>
        <w:rPr>
          <w:rFonts w:ascii="TT1F2t00" w:hAnsi="TT1F2t00" w:cs="TT1F2t00"/>
          <w:sz w:val="24"/>
          <w:szCs w:val="24"/>
        </w:rPr>
      </w:pPr>
      <w:r w:rsidRPr="00A305CA">
        <w:rPr>
          <w:rFonts w:ascii="TT1F2t00" w:hAnsi="TT1F2t00" w:cs="TT1F2t00"/>
          <w:sz w:val="24"/>
          <w:szCs w:val="24"/>
        </w:rPr>
        <w:t>Establish communication, meeting, r</w:t>
      </w:r>
      <w:r>
        <w:rPr>
          <w:rFonts w:ascii="TT1F2t00" w:hAnsi="TT1F2t00" w:cs="TT1F2t00"/>
          <w:sz w:val="24"/>
          <w:szCs w:val="24"/>
        </w:rPr>
        <w:t>eporting and approval procedures</w:t>
      </w:r>
    </w:p>
    <w:p w:rsidR="00A305CA" w:rsidRPr="00A305CA" w:rsidRDefault="00DE48D2" w:rsidP="00A305CA">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Develop an integrated programme for the project</w:t>
      </w:r>
      <w:r w:rsidR="00A305CA">
        <w:rPr>
          <w:rFonts w:ascii="TT1F2t00" w:hAnsi="TT1F2t00" w:cs="TT1F2t00"/>
          <w:sz w:val="24"/>
          <w:szCs w:val="24"/>
        </w:rPr>
        <w:t xml:space="preserve"> </w:t>
      </w:r>
    </w:p>
    <w:p w:rsidR="00DE48D2" w:rsidRPr="00367307" w:rsidRDefault="00DE48D2"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Monitor Archite</w:t>
      </w:r>
      <w:r w:rsidR="00367307" w:rsidRPr="00367307">
        <w:rPr>
          <w:rFonts w:ascii="TT1F2t00" w:hAnsi="TT1F2t00" w:cs="TT1F2t00"/>
          <w:sz w:val="24"/>
          <w:szCs w:val="24"/>
        </w:rPr>
        <w:t>cture</w:t>
      </w:r>
      <w:r w:rsidR="00367307">
        <w:rPr>
          <w:rFonts w:ascii="TT1F2t00" w:hAnsi="TT1F2t00" w:cs="TT1F2t00"/>
          <w:sz w:val="24"/>
          <w:szCs w:val="24"/>
        </w:rPr>
        <w:t>, Landscape</w:t>
      </w:r>
      <w:r w:rsidR="00367307" w:rsidRPr="00367307">
        <w:rPr>
          <w:rFonts w:ascii="TT1F2t00" w:hAnsi="TT1F2t00" w:cs="TT1F2t00"/>
          <w:sz w:val="24"/>
          <w:szCs w:val="24"/>
        </w:rPr>
        <w:t xml:space="preserve"> and Exhibition Design Teams performance against </w:t>
      </w:r>
      <w:r w:rsidRPr="00367307">
        <w:rPr>
          <w:rFonts w:ascii="TT1F2t00" w:hAnsi="TT1F2t00" w:cs="TT1F2t00"/>
          <w:sz w:val="24"/>
          <w:szCs w:val="24"/>
        </w:rPr>
        <w:t>pr</w:t>
      </w:r>
      <w:r w:rsidR="00367307">
        <w:rPr>
          <w:rFonts w:ascii="TT1F2t00" w:hAnsi="TT1F2t00" w:cs="TT1F2t00"/>
          <w:sz w:val="24"/>
          <w:szCs w:val="24"/>
        </w:rPr>
        <w:t>ogrammed deliverables and Horniman</w:t>
      </w:r>
      <w:r w:rsidRPr="00367307">
        <w:rPr>
          <w:rFonts w:ascii="TT1F2t00" w:hAnsi="TT1F2t00" w:cs="TT1F2t00"/>
          <w:sz w:val="24"/>
          <w:szCs w:val="24"/>
        </w:rPr>
        <w:t xml:space="preserve"> require</w:t>
      </w:r>
      <w:r w:rsidR="00367307" w:rsidRPr="00367307">
        <w:rPr>
          <w:rFonts w:ascii="TT1F2t00" w:hAnsi="TT1F2t00" w:cs="TT1F2t00"/>
          <w:sz w:val="24"/>
          <w:szCs w:val="24"/>
        </w:rPr>
        <w:t xml:space="preserve">ments, ensuring that </w:t>
      </w:r>
      <w:r w:rsidR="00367307">
        <w:rPr>
          <w:rFonts w:ascii="TT1F2t00" w:hAnsi="TT1F2t00" w:cs="TT1F2t00"/>
          <w:sz w:val="24"/>
          <w:szCs w:val="24"/>
        </w:rPr>
        <w:t xml:space="preserve">all </w:t>
      </w:r>
      <w:r w:rsidR="00367307" w:rsidRPr="00367307">
        <w:rPr>
          <w:rFonts w:ascii="TT1F2t00" w:hAnsi="TT1F2t00" w:cs="TT1F2t00"/>
          <w:sz w:val="24"/>
          <w:szCs w:val="24"/>
        </w:rPr>
        <w:t xml:space="preserve">Teams </w:t>
      </w:r>
      <w:r w:rsidRPr="00367307">
        <w:rPr>
          <w:rFonts w:ascii="TT1F2t00" w:hAnsi="TT1F2t00" w:cs="TT1F2t00"/>
          <w:sz w:val="24"/>
          <w:szCs w:val="24"/>
        </w:rPr>
        <w:t>designs are fully coordinated</w:t>
      </w:r>
    </w:p>
    <w:p w:rsidR="00C83C0F" w:rsidRDefault="00DE48D2"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Report to the Horniman on programme deviations and recommend corrective</w:t>
      </w:r>
      <w:r w:rsidR="00367307">
        <w:rPr>
          <w:rFonts w:ascii="TT1F2t00" w:hAnsi="TT1F2t00" w:cs="TT1F2t00"/>
          <w:sz w:val="24"/>
          <w:szCs w:val="24"/>
        </w:rPr>
        <w:t xml:space="preserve"> </w:t>
      </w:r>
      <w:r w:rsidRPr="00367307">
        <w:rPr>
          <w:rFonts w:ascii="TT1F2t00" w:hAnsi="TT1F2t00" w:cs="TT1F2t00"/>
          <w:sz w:val="24"/>
          <w:szCs w:val="24"/>
        </w:rPr>
        <w:t>actions</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Support the Horniman in the provision of regular progress and cost reports to the</w:t>
      </w:r>
      <w:r>
        <w:rPr>
          <w:rFonts w:ascii="TT1F2t00" w:hAnsi="TT1F2t00" w:cs="TT1F2t00"/>
          <w:sz w:val="24"/>
          <w:szCs w:val="24"/>
        </w:rPr>
        <w:t xml:space="preserve"> NLHF </w:t>
      </w:r>
      <w:r w:rsidRPr="00367307">
        <w:rPr>
          <w:rFonts w:ascii="TT1F2t00" w:hAnsi="TT1F2t00" w:cs="TT1F2t00"/>
          <w:sz w:val="24"/>
          <w:szCs w:val="24"/>
        </w:rPr>
        <w:t>and other funding bodies</w:t>
      </w:r>
    </w:p>
    <w:p w:rsid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lastRenderedPageBreak/>
        <w:t>Support the Horniman in the development of their Stage 2 Heritage Grants</w:t>
      </w:r>
      <w:r>
        <w:rPr>
          <w:rFonts w:ascii="TT1F2t00" w:hAnsi="TT1F2t00" w:cs="TT1F2t00"/>
          <w:sz w:val="24"/>
          <w:szCs w:val="24"/>
        </w:rPr>
        <w:t xml:space="preserve"> </w:t>
      </w:r>
      <w:r w:rsidRPr="00367307">
        <w:rPr>
          <w:rFonts w:ascii="TT1F2t00" w:hAnsi="TT1F2t00" w:cs="TT1F2t00"/>
          <w:sz w:val="24"/>
          <w:szCs w:val="24"/>
        </w:rPr>
        <w:t>application to the</w:t>
      </w:r>
      <w:r>
        <w:rPr>
          <w:rFonts w:ascii="TT1F2t00" w:hAnsi="TT1F2t00" w:cs="TT1F2t00"/>
          <w:sz w:val="24"/>
          <w:szCs w:val="24"/>
        </w:rPr>
        <w:t xml:space="preserve"> NLHF</w:t>
      </w:r>
      <w:r w:rsidRPr="00367307">
        <w:rPr>
          <w:rFonts w:ascii="TT1F2t00" w:hAnsi="TT1F2t00" w:cs="TT1F2t00"/>
          <w:sz w:val="24"/>
          <w:szCs w:val="24"/>
        </w:rPr>
        <w:t>.</w:t>
      </w:r>
    </w:p>
    <w:p w:rsidR="00367307" w:rsidRPr="00367307" w:rsidRDefault="00367307" w:rsidP="00367307">
      <w:pPr>
        <w:autoSpaceDE w:val="0"/>
        <w:autoSpaceDN w:val="0"/>
        <w:adjustRightInd w:val="0"/>
        <w:spacing w:after="0" w:line="240" w:lineRule="auto"/>
        <w:rPr>
          <w:rFonts w:ascii="TT1F2t00" w:hAnsi="TT1F2t00" w:cs="TT1F2t00"/>
          <w:sz w:val="24"/>
          <w:szCs w:val="24"/>
        </w:rPr>
      </w:pPr>
    </w:p>
    <w:p w:rsidR="00367307" w:rsidRPr="00367307" w:rsidRDefault="0068065E" w:rsidP="00367307">
      <w:pPr>
        <w:autoSpaceDE w:val="0"/>
        <w:autoSpaceDN w:val="0"/>
        <w:adjustRightInd w:val="0"/>
        <w:spacing w:after="0" w:line="240" w:lineRule="auto"/>
        <w:rPr>
          <w:rFonts w:ascii="TT1F2t00" w:hAnsi="TT1F2t00" w:cs="TT1F2t00"/>
          <w:b/>
          <w:sz w:val="24"/>
          <w:szCs w:val="24"/>
        </w:rPr>
      </w:pPr>
      <w:r>
        <w:rPr>
          <w:rFonts w:ascii="TT1F2t00" w:hAnsi="TT1F2t00" w:cs="TT1F2t00"/>
          <w:b/>
          <w:sz w:val="24"/>
          <w:szCs w:val="24"/>
        </w:rPr>
        <w:t xml:space="preserve">2.1 </w:t>
      </w:r>
      <w:r w:rsidR="00367307" w:rsidRPr="00367307">
        <w:rPr>
          <w:rFonts w:ascii="TT1F2t00" w:hAnsi="TT1F2t00" w:cs="TT1F2t00"/>
          <w:b/>
          <w:sz w:val="24"/>
          <w:szCs w:val="24"/>
        </w:rPr>
        <w:t>Contract Procurement:</w:t>
      </w:r>
    </w:p>
    <w:p w:rsid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 xml:space="preserve">Manage tender development, selection and appointment </w:t>
      </w:r>
      <w:r>
        <w:rPr>
          <w:rFonts w:ascii="TT1F2t00" w:hAnsi="TT1F2t00" w:cs="TT1F2t00"/>
          <w:sz w:val="24"/>
          <w:szCs w:val="24"/>
        </w:rPr>
        <w:t>of</w:t>
      </w:r>
      <w:r w:rsidRPr="00367307">
        <w:rPr>
          <w:rFonts w:ascii="TT1F2t00" w:hAnsi="TT1F2t00" w:cs="TT1F2t00"/>
          <w:sz w:val="24"/>
          <w:szCs w:val="24"/>
        </w:rPr>
        <w:t xml:space="preserve"> </w:t>
      </w:r>
      <w:r w:rsidRPr="00DE48D2">
        <w:rPr>
          <w:rFonts w:ascii="TT1F2t00" w:hAnsi="TT1F2t00" w:cs="TT1F2t00"/>
          <w:sz w:val="24"/>
          <w:szCs w:val="24"/>
        </w:rPr>
        <w:t>the Lead Consultan</w:t>
      </w:r>
      <w:r>
        <w:rPr>
          <w:rFonts w:ascii="TT1F2t00" w:hAnsi="TT1F2t00" w:cs="TT1F2t00"/>
          <w:sz w:val="24"/>
          <w:szCs w:val="24"/>
        </w:rPr>
        <w:t xml:space="preserve">ts for the Architecture Design, </w:t>
      </w:r>
      <w:r w:rsidRPr="00DE48D2">
        <w:rPr>
          <w:rFonts w:ascii="TT1F2t00" w:hAnsi="TT1F2t00" w:cs="TT1F2t00"/>
          <w:sz w:val="24"/>
          <w:szCs w:val="24"/>
        </w:rPr>
        <w:t>Landscape Design, Exhibition Design and Cost Consultant</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 xml:space="preserve">Recommend and provide appropriate contract documents for </w:t>
      </w:r>
      <w:r>
        <w:rPr>
          <w:rFonts w:ascii="TT1F2t00" w:hAnsi="TT1F2t00" w:cs="TT1F2t00"/>
          <w:sz w:val="24"/>
          <w:szCs w:val="24"/>
        </w:rPr>
        <w:t xml:space="preserve">the above appointments </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Assist in the finalisation of Consultant fee and service agreements</w:t>
      </w:r>
    </w:p>
    <w:p w:rsid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Advise and recommend the most suitable procurement route for the construction</w:t>
      </w:r>
      <w:r>
        <w:rPr>
          <w:rFonts w:ascii="TT1F2t00" w:hAnsi="TT1F2t00" w:cs="TT1F2t00"/>
          <w:sz w:val="24"/>
          <w:szCs w:val="24"/>
        </w:rPr>
        <w:t xml:space="preserve"> </w:t>
      </w:r>
      <w:r w:rsidRPr="00367307">
        <w:rPr>
          <w:rFonts w:ascii="TT1F2t00" w:hAnsi="TT1F2t00" w:cs="TT1F2t00"/>
          <w:sz w:val="24"/>
          <w:szCs w:val="24"/>
        </w:rPr>
        <w:t>contract</w:t>
      </w:r>
      <w:r>
        <w:rPr>
          <w:rFonts w:ascii="TT1F2t00" w:hAnsi="TT1F2t00" w:cs="TT1F2t00"/>
          <w:sz w:val="24"/>
          <w:szCs w:val="24"/>
        </w:rPr>
        <w:t>s</w:t>
      </w:r>
      <w:r w:rsidRPr="00367307">
        <w:rPr>
          <w:rFonts w:ascii="TT1F2t00" w:hAnsi="TT1F2t00" w:cs="TT1F2t00"/>
          <w:sz w:val="24"/>
          <w:szCs w:val="24"/>
        </w:rPr>
        <w:t>.</w:t>
      </w:r>
    </w:p>
    <w:p w:rsidR="00A305CA" w:rsidRPr="00A305CA" w:rsidRDefault="00A305CA" w:rsidP="00A305CA">
      <w:pPr>
        <w:pStyle w:val="ListParagraph"/>
        <w:numPr>
          <w:ilvl w:val="0"/>
          <w:numId w:val="1"/>
        </w:numPr>
        <w:rPr>
          <w:rFonts w:ascii="TT1F2t00" w:hAnsi="TT1F2t00" w:cs="TT1F2t00"/>
          <w:sz w:val="24"/>
          <w:szCs w:val="24"/>
        </w:rPr>
      </w:pPr>
      <w:r w:rsidRPr="00A305CA">
        <w:rPr>
          <w:rFonts w:ascii="TT1F2t00" w:hAnsi="TT1F2t00" w:cs="TT1F2t00"/>
          <w:sz w:val="24"/>
          <w:szCs w:val="24"/>
        </w:rPr>
        <w:t>Manage tender process, selection, tender reports and appointment of any contractors (Enabling Works, hard landscaping, building restoration and base-build fit out, Exhibition fit-out, exhibition packages including showcases, AV hardware, mount-making, etc.) required for all aspects of the project.</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Ensure that all contract documentation is appropriately agreed and signed by all</w:t>
      </w:r>
      <w:r>
        <w:rPr>
          <w:rFonts w:ascii="TT1F2t00" w:hAnsi="TT1F2t00" w:cs="TT1F2t00"/>
          <w:sz w:val="24"/>
          <w:szCs w:val="24"/>
        </w:rPr>
        <w:t xml:space="preserve"> </w:t>
      </w:r>
      <w:r w:rsidRPr="00367307">
        <w:rPr>
          <w:rFonts w:ascii="TT1F2t00" w:hAnsi="TT1F2t00" w:cs="TT1F2t00"/>
          <w:sz w:val="24"/>
          <w:szCs w:val="24"/>
        </w:rPr>
        <w:t>relevant parties</w:t>
      </w:r>
    </w:p>
    <w:p w:rsidR="008E221E" w:rsidRDefault="008E221E" w:rsidP="008E221E">
      <w:pPr>
        <w:autoSpaceDE w:val="0"/>
        <w:autoSpaceDN w:val="0"/>
        <w:adjustRightInd w:val="0"/>
        <w:spacing w:after="0" w:line="240" w:lineRule="auto"/>
        <w:rPr>
          <w:rFonts w:ascii="TT1F2t00" w:hAnsi="TT1F2t00" w:cs="TT1F2t00"/>
          <w:sz w:val="24"/>
          <w:szCs w:val="24"/>
        </w:rPr>
      </w:pPr>
    </w:p>
    <w:p w:rsidR="00367307" w:rsidRPr="002504EC" w:rsidRDefault="0068065E" w:rsidP="008E221E">
      <w:pPr>
        <w:autoSpaceDE w:val="0"/>
        <w:autoSpaceDN w:val="0"/>
        <w:adjustRightInd w:val="0"/>
        <w:spacing w:after="0" w:line="240" w:lineRule="auto"/>
        <w:rPr>
          <w:rFonts w:ascii="TT1F2t00" w:hAnsi="TT1F2t00" w:cs="TT1F2t00"/>
          <w:b/>
          <w:sz w:val="24"/>
          <w:szCs w:val="24"/>
        </w:rPr>
      </w:pPr>
      <w:r>
        <w:rPr>
          <w:rFonts w:ascii="TT1F2t00" w:hAnsi="TT1F2t00" w:cs="TT1F2t00"/>
          <w:b/>
          <w:sz w:val="24"/>
          <w:szCs w:val="24"/>
        </w:rPr>
        <w:t xml:space="preserve">2.3 </w:t>
      </w:r>
      <w:r w:rsidR="00367307" w:rsidRPr="002504EC">
        <w:rPr>
          <w:rFonts w:ascii="TT1F2t00" w:hAnsi="TT1F2t00" w:cs="TT1F2t00"/>
          <w:b/>
          <w:sz w:val="24"/>
          <w:szCs w:val="24"/>
        </w:rPr>
        <w:t xml:space="preserve">Contract Management </w:t>
      </w:r>
      <w:r w:rsidR="00367307" w:rsidRPr="008E221E">
        <w:rPr>
          <w:rFonts w:ascii="TT1F2t00" w:hAnsi="TT1F2t00" w:cs="TT1F2t00"/>
          <w:sz w:val="24"/>
          <w:szCs w:val="24"/>
        </w:rPr>
        <w:t xml:space="preserve">(it is anticipated that the </w:t>
      </w:r>
      <w:r w:rsidR="002504EC" w:rsidRPr="008E221E">
        <w:rPr>
          <w:rFonts w:ascii="TT1F2t00" w:hAnsi="TT1F2t00" w:cs="TT1F2t00"/>
          <w:sz w:val="24"/>
          <w:szCs w:val="24"/>
        </w:rPr>
        <w:t xml:space="preserve">Project Manager </w:t>
      </w:r>
      <w:r w:rsidR="00367307" w:rsidRPr="008E221E">
        <w:rPr>
          <w:rFonts w:ascii="TT1F2t00" w:hAnsi="TT1F2t00" w:cs="TT1F2t00"/>
          <w:sz w:val="24"/>
          <w:szCs w:val="24"/>
        </w:rPr>
        <w:t xml:space="preserve">will act </w:t>
      </w:r>
      <w:r w:rsidR="00A305CA">
        <w:rPr>
          <w:rFonts w:ascii="TT1F2t00" w:hAnsi="TT1F2t00" w:cs="TT1F2t00"/>
          <w:sz w:val="24"/>
          <w:szCs w:val="24"/>
        </w:rPr>
        <w:t>as Contract Administrator</w:t>
      </w:r>
      <w:r w:rsidR="00367307" w:rsidRPr="008E221E">
        <w:rPr>
          <w:rFonts w:ascii="TT1F2t00" w:hAnsi="TT1F2t00" w:cs="TT1F2t00"/>
          <w:sz w:val="24"/>
          <w:szCs w:val="24"/>
        </w:rPr>
        <w:t xml:space="preserve"> for the project):</w:t>
      </w:r>
    </w:p>
    <w:p w:rsidR="00367307" w:rsidRPr="002504EC" w:rsidRDefault="00367307" w:rsidP="002504EC">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Set up with the Contractors a procedure for programme requirements, feedback</w:t>
      </w:r>
      <w:r w:rsidR="002504EC">
        <w:rPr>
          <w:rFonts w:ascii="TT1F2t00" w:hAnsi="TT1F2t00" w:cs="TT1F2t00"/>
          <w:sz w:val="24"/>
          <w:szCs w:val="24"/>
        </w:rPr>
        <w:t xml:space="preserve"> </w:t>
      </w:r>
      <w:r w:rsidRPr="002504EC">
        <w:rPr>
          <w:rFonts w:ascii="TT1F2t00" w:hAnsi="TT1F2t00" w:cs="TT1F2t00"/>
          <w:sz w:val="24"/>
          <w:szCs w:val="24"/>
        </w:rPr>
        <w:t>and reporting, anticipate with the Contractor problems and resolve these to the</w:t>
      </w:r>
      <w:r w:rsidR="002504EC">
        <w:rPr>
          <w:rFonts w:ascii="TT1F2t00" w:hAnsi="TT1F2t00" w:cs="TT1F2t00"/>
          <w:sz w:val="24"/>
          <w:szCs w:val="24"/>
        </w:rPr>
        <w:t xml:space="preserve"> </w:t>
      </w:r>
      <w:r w:rsidRPr="002504EC">
        <w:rPr>
          <w:rFonts w:ascii="TT1F2t00" w:hAnsi="TT1F2t00" w:cs="TT1F2t00"/>
          <w:sz w:val="24"/>
          <w:szCs w:val="24"/>
        </w:rPr>
        <w:t>best advantage of the Horniman</w:t>
      </w:r>
    </w:p>
    <w:p w:rsidR="00367307" w:rsidRPr="002504EC" w:rsidRDefault="00367307" w:rsidP="002504EC">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Ensure Consultants provide the Contractors with adequate information and by the</w:t>
      </w:r>
      <w:r w:rsidR="002504EC">
        <w:rPr>
          <w:rFonts w:ascii="TT1F2t00" w:hAnsi="TT1F2t00" w:cs="TT1F2t00"/>
          <w:sz w:val="24"/>
          <w:szCs w:val="24"/>
        </w:rPr>
        <w:t xml:space="preserve"> </w:t>
      </w:r>
      <w:r w:rsidRPr="002504EC">
        <w:rPr>
          <w:rFonts w:ascii="TT1F2t00" w:hAnsi="TT1F2t00" w:cs="TT1F2t00"/>
          <w:sz w:val="24"/>
          <w:szCs w:val="24"/>
        </w:rPr>
        <w:t>dates required</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Monitor and manage programme, cost performance and progress of the project.</w:t>
      </w:r>
    </w:p>
    <w:p w:rsidR="00367307" w:rsidRPr="002504EC" w:rsidRDefault="00367307" w:rsidP="002504EC">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Ensure quality control procedures, testing and other performance criteria are</w:t>
      </w:r>
      <w:r w:rsidR="002504EC">
        <w:rPr>
          <w:rFonts w:ascii="TT1F2t00" w:hAnsi="TT1F2t00" w:cs="TT1F2t00"/>
          <w:sz w:val="24"/>
          <w:szCs w:val="24"/>
        </w:rPr>
        <w:t xml:space="preserve"> </w:t>
      </w:r>
      <w:r w:rsidRPr="002504EC">
        <w:rPr>
          <w:rFonts w:ascii="TT1F2t00" w:hAnsi="TT1F2t00" w:cs="TT1F2t00"/>
          <w:sz w:val="24"/>
          <w:szCs w:val="24"/>
        </w:rPr>
        <w:t>adhered to</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Manage a strict variation control procedure</w:t>
      </w:r>
    </w:p>
    <w:p w:rsidR="00367307" w:rsidRPr="00367307" w:rsidRDefault="00367307" w:rsidP="00367307">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Ensure all works are properly authorised</w:t>
      </w:r>
    </w:p>
    <w:p w:rsidR="00367307" w:rsidRDefault="00367307" w:rsidP="002504EC">
      <w:pPr>
        <w:pStyle w:val="ListParagraph"/>
        <w:numPr>
          <w:ilvl w:val="0"/>
          <w:numId w:val="1"/>
        </w:numPr>
        <w:autoSpaceDE w:val="0"/>
        <w:autoSpaceDN w:val="0"/>
        <w:adjustRightInd w:val="0"/>
        <w:spacing w:after="0" w:line="240" w:lineRule="auto"/>
        <w:rPr>
          <w:rFonts w:ascii="TT1F2t00" w:hAnsi="TT1F2t00" w:cs="TT1F2t00"/>
          <w:sz w:val="24"/>
          <w:szCs w:val="24"/>
        </w:rPr>
      </w:pPr>
      <w:r w:rsidRPr="00367307">
        <w:rPr>
          <w:rFonts w:ascii="TT1F2t00" w:hAnsi="TT1F2t00" w:cs="TT1F2t00"/>
          <w:sz w:val="24"/>
          <w:szCs w:val="24"/>
        </w:rPr>
        <w:t xml:space="preserve">Provision of regular (monthly) project reports </w:t>
      </w:r>
    </w:p>
    <w:p w:rsidR="0068065E" w:rsidRDefault="0068065E" w:rsidP="0068065E">
      <w:pPr>
        <w:autoSpaceDE w:val="0"/>
        <w:autoSpaceDN w:val="0"/>
        <w:adjustRightInd w:val="0"/>
        <w:spacing w:after="0" w:line="240" w:lineRule="auto"/>
        <w:rPr>
          <w:rFonts w:ascii="TT1F2t00" w:hAnsi="TT1F2t00" w:cs="TT1F2t00"/>
          <w:sz w:val="24"/>
          <w:szCs w:val="24"/>
        </w:rPr>
      </w:pPr>
    </w:p>
    <w:p w:rsidR="0068065E" w:rsidRPr="0068065E" w:rsidRDefault="0068065E" w:rsidP="0068065E">
      <w:pPr>
        <w:autoSpaceDE w:val="0"/>
        <w:autoSpaceDN w:val="0"/>
        <w:adjustRightInd w:val="0"/>
        <w:spacing w:after="0" w:line="240" w:lineRule="auto"/>
        <w:rPr>
          <w:rFonts w:ascii="TT1F0t00" w:hAnsi="TT1F0t00" w:cs="TT1F0t00"/>
          <w:b/>
          <w:sz w:val="24"/>
          <w:szCs w:val="24"/>
        </w:rPr>
      </w:pPr>
      <w:r>
        <w:rPr>
          <w:rFonts w:ascii="TT1F0t00" w:hAnsi="TT1F0t00" w:cs="TT1F0t00"/>
          <w:b/>
          <w:sz w:val="24"/>
          <w:szCs w:val="24"/>
        </w:rPr>
        <w:t xml:space="preserve">2.4 </w:t>
      </w:r>
      <w:r w:rsidRPr="0068065E">
        <w:rPr>
          <w:rFonts w:ascii="TT1F0t00" w:hAnsi="TT1F0t00" w:cs="TT1F0t00"/>
          <w:b/>
          <w:sz w:val="24"/>
          <w:szCs w:val="24"/>
        </w:rPr>
        <w:t>Completion and Handover;</w:t>
      </w:r>
    </w:p>
    <w:p w:rsidR="0068065E" w:rsidRPr="0068065E" w:rsidRDefault="0068065E" w:rsidP="0068065E">
      <w:pPr>
        <w:pStyle w:val="ListParagraph"/>
        <w:numPr>
          <w:ilvl w:val="0"/>
          <w:numId w:val="2"/>
        </w:numPr>
        <w:autoSpaceDE w:val="0"/>
        <w:autoSpaceDN w:val="0"/>
        <w:adjustRightInd w:val="0"/>
        <w:spacing w:after="0" w:line="240" w:lineRule="auto"/>
        <w:rPr>
          <w:rFonts w:ascii="TT1F2t00" w:hAnsi="TT1F2t00" w:cs="TT1F2t00"/>
          <w:sz w:val="24"/>
          <w:szCs w:val="24"/>
        </w:rPr>
      </w:pPr>
      <w:r w:rsidRPr="0068065E">
        <w:rPr>
          <w:rFonts w:ascii="TT1F2t00" w:hAnsi="TT1F2t00" w:cs="TT1F2t00"/>
          <w:sz w:val="24"/>
          <w:szCs w:val="24"/>
        </w:rPr>
        <w:t>Develop commissioning programme to ensure all works are operational at time of completion of project</w:t>
      </w:r>
    </w:p>
    <w:p w:rsidR="0068065E" w:rsidRPr="0068065E" w:rsidRDefault="0068065E" w:rsidP="0068065E">
      <w:pPr>
        <w:pStyle w:val="ListParagraph"/>
        <w:numPr>
          <w:ilvl w:val="0"/>
          <w:numId w:val="2"/>
        </w:numPr>
        <w:autoSpaceDE w:val="0"/>
        <w:autoSpaceDN w:val="0"/>
        <w:adjustRightInd w:val="0"/>
        <w:spacing w:after="0" w:line="240" w:lineRule="auto"/>
        <w:rPr>
          <w:rFonts w:ascii="TT1F2t00" w:hAnsi="TT1F2t00" w:cs="TT1F2t00"/>
          <w:sz w:val="24"/>
          <w:szCs w:val="24"/>
        </w:rPr>
      </w:pPr>
      <w:r w:rsidRPr="0068065E">
        <w:rPr>
          <w:rFonts w:ascii="TT1F2t00" w:hAnsi="TT1F2t00" w:cs="TT1F2t00"/>
          <w:sz w:val="24"/>
          <w:szCs w:val="24"/>
        </w:rPr>
        <w:t>Ensure all Operational and Maintenance manuals are completed and handover is at the stated time</w:t>
      </w:r>
    </w:p>
    <w:p w:rsidR="008E221E" w:rsidRDefault="008E221E" w:rsidP="008E221E">
      <w:pPr>
        <w:autoSpaceDE w:val="0"/>
        <w:autoSpaceDN w:val="0"/>
        <w:adjustRightInd w:val="0"/>
        <w:spacing w:after="0" w:line="240" w:lineRule="auto"/>
        <w:rPr>
          <w:rFonts w:ascii="TT1F2t00" w:hAnsi="TT1F2t00" w:cs="TT1F2t00"/>
          <w:sz w:val="24"/>
          <w:szCs w:val="24"/>
        </w:rPr>
      </w:pPr>
    </w:p>
    <w:p w:rsidR="0068065E" w:rsidRDefault="0068065E" w:rsidP="0068065E">
      <w:pPr>
        <w:autoSpaceDE w:val="0"/>
        <w:autoSpaceDN w:val="0"/>
        <w:adjustRightInd w:val="0"/>
        <w:spacing w:after="0" w:line="240" w:lineRule="auto"/>
        <w:rPr>
          <w:rFonts w:ascii="Arial" w:hAnsi="Arial" w:cs="Arial"/>
          <w:b/>
          <w:bCs/>
          <w:sz w:val="24"/>
          <w:szCs w:val="24"/>
        </w:rPr>
      </w:pPr>
    </w:p>
    <w:p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 Selection and Contract requirements:</w:t>
      </w:r>
    </w:p>
    <w:p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.1 Selection criteria:</w:t>
      </w:r>
    </w:p>
    <w:p w:rsidR="0068065E" w:rsidRPr="0068065E" w:rsidRDefault="0068065E" w:rsidP="0068065E">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 xml:space="preserve">Demonstrable experience of the successful delivery of projects of a similar nature and scale </w:t>
      </w:r>
      <w:r w:rsidRPr="0068065E">
        <w:rPr>
          <w:rFonts w:ascii="Arial" w:hAnsi="Arial" w:cs="Arial"/>
          <w:sz w:val="24"/>
          <w:szCs w:val="24"/>
        </w:rPr>
        <w:t>within the last 10 years, providing case studies and references (3 projects max):</w:t>
      </w:r>
      <w:r w:rsidRPr="0068065E">
        <w:rPr>
          <w:rFonts w:ascii="Arial" w:hAnsi="Arial" w:cs="Arial"/>
          <w:i/>
          <w:sz w:val="24"/>
          <w:szCs w:val="24"/>
        </w:rPr>
        <w:t xml:space="preserve"> </w:t>
      </w:r>
      <w:r w:rsidRPr="0068065E">
        <w:rPr>
          <w:rFonts w:ascii="Arial" w:hAnsi="Arial" w:cs="Arial"/>
          <w:b/>
          <w:bCs/>
          <w:sz w:val="24"/>
          <w:szCs w:val="24"/>
        </w:rPr>
        <w:t>40%</w:t>
      </w:r>
    </w:p>
    <w:p w:rsidR="0068065E" w:rsidRPr="0068065E" w:rsidRDefault="0068065E" w:rsidP="0068065E">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 xml:space="preserve">Approach and methodology for the project: </w:t>
      </w:r>
      <w:r w:rsidRPr="0068065E">
        <w:rPr>
          <w:rFonts w:ascii="Arial" w:hAnsi="Arial" w:cs="Arial"/>
          <w:b/>
          <w:bCs/>
          <w:sz w:val="24"/>
          <w:szCs w:val="24"/>
        </w:rPr>
        <w:t>10%</w:t>
      </w:r>
    </w:p>
    <w:p w:rsidR="0068065E" w:rsidRPr="0068065E" w:rsidRDefault="0068065E" w:rsidP="0068065E">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 xml:space="preserve">Approach to ensuring that sustainability considerations are embedded within the project throughout: </w:t>
      </w:r>
      <w:r w:rsidRPr="0068065E">
        <w:rPr>
          <w:rFonts w:ascii="Arial" w:hAnsi="Arial" w:cs="Arial"/>
          <w:b/>
          <w:bCs/>
          <w:sz w:val="24"/>
          <w:szCs w:val="24"/>
        </w:rPr>
        <w:t>10 %</w:t>
      </w:r>
    </w:p>
    <w:p w:rsidR="0068065E" w:rsidRPr="0068065E" w:rsidRDefault="0068065E" w:rsidP="0068065E">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lastRenderedPageBreak/>
        <w:t xml:space="preserve">The most economically advantageous tender: </w:t>
      </w:r>
      <w:r w:rsidRPr="0068065E">
        <w:rPr>
          <w:rFonts w:ascii="Arial" w:hAnsi="Arial" w:cs="Arial"/>
          <w:b/>
          <w:bCs/>
          <w:sz w:val="24"/>
          <w:szCs w:val="24"/>
        </w:rPr>
        <w:t>40%</w:t>
      </w:r>
    </w:p>
    <w:p w:rsidR="0068065E" w:rsidRPr="0068065E" w:rsidRDefault="0068065E" w:rsidP="0068065E">
      <w:pPr>
        <w:autoSpaceDE w:val="0"/>
        <w:autoSpaceDN w:val="0"/>
        <w:adjustRightInd w:val="0"/>
        <w:spacing w:after="0" w:line="240" w:lineRule="auto"/>
        <w:rPr>
          <w:rFonts w:ascii="Arial" w:hAnsi="Arial" w:cs="Arial"/>
          <w:bCs/>
          <w:sz w:val="24"/>
          <w:szCs w:val="24"/>
        </w:rPr>
      </w:pPr>
    </w:p>
    <w:p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.2 Contract award:</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 xml:space="preserve"> </w:t>
      </w:r>
    </w:p>
    <w:p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.3 Contract terms and conditions:</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Our standard terms and conditions are attached for your information.</w:t>
      </w:r>
    </w:p>
    <w:p w:rsidR="0068065E" w:rsidRPr="0068065E" w:rsidRDefault="0068065E" w:rsidP="0068065E">
      <w:pPr>
        <w:autoSpaceDE w:val="0"/>
        <w:autoSpaceDN w:val="0"/>
        <w:adjustRightInd w:val="0"/>
        <w:spacing w:after="0" w:line="240" w:lineRule="auto"/>
        <w:rPr>
          <w:rFonts w:ascii="Arial" w:hAnsi="Arial" w:cs="Arial"/>
          <w:bCs/>
          <w:sz w:val="24"/>
          <w:szCs w:val="24"/>
        </w:rPr>
      </w:pPr>
    </w:p>
    <w:p w:rsidR="0068065E" w:rsidRDefault="0068065E" w:rsidP="0068065E">
      <w:pPr>
        <w:autoSpaceDE w:val="0"/>
        <w:autoSpaceDN w:val="0"/>
        <w:adjustRightInd w:val="0"/>
        <w:spacing w:after="0" w:line="240" w:lineRule="auto"/>
        <w:rPr>
          <w:rFonts w:ascii="Arial" w:hAnsi="Arial" w:cs="Arial"/>
          <w:b/>
          <w:bCs/>
          <w:sz w:val="24"/>
          <w:szCs w:val="24"/>
        </w:rPr>
      </w:pPr>
    </w:p>
    <w:p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w:t>
      </w:r>
      <w:r w:rsidRPr="0068065E">
        <w:rPr>
          <w:rFonts w:ascii="Arial" w:hAnsi="Arial" w:cs="Arial"/>
          <w:b/>
          <w:bCs/>
          <w:sz w:val="24"/>
          <w:szCs w:val="24"/>
        </w:rPr>
        <w:t>Instructions for Tender Submission:</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 xml:space="preserve">Should you wish to tender for this project you are required to provide the following </w:t>
      </w:r>
      <w:proofErr w:type="gramStart"/>
      <w:r w:rsidRPr="0068065E">
        <w:rPr>
          <w:rFonts w:ascii="Arial" w:hAnsi="Arial" w:cs="Arial"/>
          <w:bCs/>
          <w:sz w:val="24"/>
          <w:szCs w:val="24"/>
        </w:rPr>
        <w:t>information:</w:t>
      </w:r>
      <w:proofErr w:type="gramEnd"/>
    </w:p>
    <w:p w:rsidR="0068065E" w:rsidRPr="0068065E" w:rsidRDefault="0068065E" w:rsidP="0068065E">
      <w:pPr>
        <w:autoSpaceDE w:val="0"/>
        <w:autoSpaceDN w:val="0"/>
        <w:adjustRightInd w:val="0"/>
        <w:spacing w:after="0" w:line="240" w:lineRule="auto"/>
        <w:rPr>
          <w:rFonts w:ascii="Arial" w:hAnsi="Arial" w:cs="Arial"/>
          <w:bCs/>
          <w:sz w:val="24"/>
          <w:szCs w:val="24"/>
        </w:rPr>
      </w:pP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Three case studies, with references, of projects of a similar nature and scale undertaken within the last 10 years</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Your outline approach and methodology for project management throughout the project</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Your outline approach and relevant experience of working with sustainability considerations in mind.</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 xml:space="preserve">Names and CV’s of the proposed Project Partner/Director and key support team members including qualifications and experience </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Short method statement outlining the approach to the successful project delivery and approach to resource management</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Health and safety, environmental and equal opportunities policies</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Company accounts for the last three years</w:t>
      </w:r>
    </w:p>
    <w:p w:rsid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Confirmation of insurances held</w:t>
      </w:r>
    </w:p>
    <w:p w:rsidR="00E04922" w:rsidRPr="0068065E" w:rsidRDefault="00E04922"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Pr>
          <w:rFonts w:ascii="Arial" w:hAnsi="Arial" w:cs="Arial"/>
          <w:bCs/>
          <w:sz w:val="24"/>
          <w:szCs w:val="24"/>
        </w:rPr>
        <w:t>Completed anti-fraud and bribery statement</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Company history</w:t>
      </w:r>
    </w:p>
    <w:p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 xml:space="preserve">A staged fee proposal including expenses for Project Management services based on the Project Timing outline at </w:t>
      </w:r>
      <w:r w:rsidR="001104D6">
        <w:rPr>
          <w:rFonts w:ascii="Arial" w:hAnsi="Arial" w:cs="Arial"/>
          <w:bCs/>
          <w:sz w:val="24"/>
          <w:szCs w:val="24"/>
        </w:rPr>
        <w:t xml:space="preserve">4.3 </w:t>
      </w:r>
      <w:bookmarkStart w:id="0" w:name="_GoBack"/>
      <w:bookmarkEnd w:id="0"/>
      <w:r w:rsidRPr="0068065E">
        <w:rPr>
          <w:rFonts w:ascii="Arial" w:hAnsi="Arial" w:cs="Arial"/>
          <w:bCs/>
          <w:sz w:val="24"/>
          <w:szCs w:val="24"/>
        </w:rPr>
        <w:t>of the Brief.</w:t>
      </w:r>
    </w:p>
    <w:p w:rsidR="0068065E" w:rsidRPr="0068065E" w:rsidRDefault="0068065E" w:rsidP="0068065E">
      <w:pPr>
        <w:autoSpaceDE w:val="0"/>
        <w:autoSpaceDN w:val="0"/>
        <w:adjustRightInd w:val="0"/>
        <w:spacing w:after="0" w:line="240" w:lineRule="auto"/>
        <w:rPr>
          <w:rFonts w:ascii="Arial" w:hAnsi="Arial" w:cs="Arial"/>
          <w:bCs/>
          <w:sz w:val="24"/>
          <w:szCs w:val="24"/>
        </w:rPr>
      </w:pP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 xml:space="preserve">Please return the required information in writing (marked Confidential Tender) to the following address, or electronically to </w:t>
      </w:r>
      <w:hyperlink r:id="rId6" w:history="1">
        <w:r w:rsidRPr="0068065E">
          <w:rPr>
            <w:rFonts w:ascii="Arial" w:hAnsi="Arial" w:cs="Arial"/>
            <w:bCs/>
            <w:color w:val="0563C1" w:themeColor="hyperlink"/>
            <w:sz w:val="24"/>
            <w:szCs w:val="24"/>
            <w:u w:val="single"/>
          </w:rPr>
          <w:t>kwalker@horniman.ac.uk</w:t>
        </w:r>
      </w:hyperlink>
      <w:r w:rsidRPr="0068065E">
        <w:rPr>
          <w:rFonts w:ascii="Arial" w:hAnsi="Arial" w:cs="Arial"/>
          <w:bCs/>
          <w:sz w:val="24"/>
          <w:szCs w:val="24"/>
        </w:rPr>
        <w:t xml:space="preserve"> by 12.00 on the 10 December 2021</w:t>
      </w:r>
    </w:p>
    <w:p w:rsidR="0068065E" w:rsidRPr="0068065E" w:rsidRDefault="0068065E" w:rsidP="0068065E">
      <w:pPr>
        <w:autoSpaceDE w:val="0"/>
        <w:autoSpaceDN w:val="0"/>
        <w:adjustRightInd w:val="0"/>
        <w:spacing w:after="0" w:line="240" w:lineRule="auto"/>
        <w:rPr>
          <w:rFonts w:ascii="Arial" w:hAnsi="Arial" w:cs="Arial"/>
          <w:bCs/>
          <w:sz w:val="24"/>
          <w:szCs w:val="24"/>
        </w:rPr>
      </w:pP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Ms Kirsten Walker</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Director Collections Care and Estates</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Horniman Museum and Gardens</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100 London Rd</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Forest Hill</w:t>
      </w: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London SE23 3PQ</w:t>
      </w:r>
    </w:p>
    <w:p w:rsidR="0068065E" w:rsidRPr="0068065E" w:rsidRDefault="0068065E" w:rsidP="0068065E">
      <w:pPr>
        <w:autoSpaceDE w:val="0"/>
        <w:autoSpaceDN w:val="0"/>
        <w:adjustRightInd w:val="0"/>
        <w:spacing w:after="0" w:line="240" w:lineRule="auto"/>
        <w:rPr>
          <w:rFonts w:ascii="Arial" w:hAnsi="Arial" w:cs="Arial"/>
          <w:bCs/>
          <w:sz w:val="24"/>
          <w:szCs w:val="24"/>
        </w:rPr>
      </w:pPr>
    </w:p>
    <w:p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For any queries about the project please contact Kirsten Walker by e-</w:t>
      </w:r>
      <w:r>
        <w:rPr>
          <w:rFonts w:ascii="Arial" w:hAnsi="Arial" w:cs="Arial"/>
          <w:bCs/>
          <w:sz w:val="24"/>
          <w:szCs w:val="24"/>
        </w:rPr>
        <w:t>mail</w:t>
      </w:r>
      <w:r w:rsidRPr="0068065E">
        <w:rPr>
          <w:rFonts w:ascii="Arial" w:hAnsi="Arial" w:cs="Arial"/>
          <w:bCs/>
          <w:sz w:val="24"/>
          <w:szCs w:val="24"/>
        </w:rPr>
        <w:t xml:space="preserve"> </w:t>
      </w:r>
    </w:p>
    <w:p w:rsidR="008E221E" w:rsidRPr="008E221E" w:rsidRDefault="008E221E" w:rsidP="008E221E">
      <w:pPr>
        <w:autoSpaceDE w:val="0"/>
        <w:autoSpaceDN w:val="0"/>
        <w:adjustRightInd w:val="0"/>
        <w:spacing w:after="0" w:line="240" w:lineRule="auto"/>
        <w:rPr>
          <w:rFonts w:ascii="TT1F2t00" w:hAnsi="TT1F2t00" w:cs="TT1F2t00"/>
          <w:sz w:val="24"/>
          <w:szCs w:val="24"/>
        </w:rPr>
      </w:pPr>
    </w:p>
    <w:sectPr w:rsidR="008E221E" w:rsidRPr="008E2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1F0t00">
    <w:panose1 w:val="00000000000000000000"/>
    <w:charset w:val="00"/>
    <w:family w:val="auto"/>
    <w:notTrueType/>
    <w:pitch w:val="default"/>
    <w:sig w:usb0="00000003" w:usb1="00000000" w:usb2="00000000" w:usb3="00000000" w:csb0="00000001" w:csb1="00000000"/>
  </w:font>
  <w:font w:name="TT1EFt00">
    <w:panose1 w:val="00000000000000000000"/>
    <w:charset w:val="00"/>
    <w:family w:val="auto"/>
    <w:notTrueType/>
    <w:pitch w:val="default"/>
    <w:sig w:usb0="00000003" w:usb1="00000000" w:usb2="00000000" w:usb3="00000000" w:csb0="00000001" w:csb1="00000000"/>
  </w:font>
  <w:font w:name="TT1F2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75EBD"/>
    <w:multiLevelType w:val="hybridMultilevel"/>
    <w:tmpl w:val="924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74B16"/>
    <w:multiLevelType w:val="multilevel"/>
    <w:tmpl w:val="9628F794"/>
    <w:lvl w:ilvl="0">
      <w:start w:val="2"/>
      <w:numFmt w:val="decimal"/>
      <w:lvlText w:val="%1"/>
      <w:lvlJc w:val="left"/>
      <w:pPr>
        <w:ind w:left="360" w:hanging="360"/>
      </w:pPr>
      <w:rPr>
        <w:rFonts w:ascii="TT1F0t00" w:hAnsi="TT1F0t00" w:cs="TT1F0t00" w:hint="default"/>
      </w:rPr>
    </w:lvl>
    <w:lvl w:ilvl="1">
      <w:start w:val="1"/>
      <w:numFmt w:val="decimal"/>
      <w:lvlText w:val="%1.%2"/>
      <w:lvlJc w:val="left"/>
      <w:pPr>
        <w:ind w:left="360" w:hanging="360"/>
      </w:pPr>
      <w:rPr>
        <w:rFonts w:ascii="TT1F0t00" w:hAnsi="TT1F0t00" w:cs="TT1F0t00" w:hint="default"/>
      </w:rPr>
    </w:lvl>
    <w:lvl w:ilvl="2">
      <w:start w:val="1"/>
      <w:numFmt w:val="decimal"/>
      <w:lvlText w:val="%1.%2.%3"/>
      <w:lvlJc w:val="left"/>
      <w:pPr>
        <w:ind w:left="720" w:hanging="720"/>
      </w:pPr>
      <w:rPr>
        <w:rFonts w:ascii="TT1F0t00" w:hAnsi="TT1F0t00" w:cs="TT1F0t00" w:hint="default"/>
      </w:rPr>
    </w:lvl>
    <w:lvl w:ilvl="3">
      <w:start w:val="1"/>
      <w:numFmt w:val="decimal"/>
      <w:lvlText w:val="%1.%2.%3.%4"/>
      <w:lvlJc w:val="left"/>
      <w:pPr>
        <w:ind w:left="1080" w:hanging="1080"/>
      </w:pPr>
      <w:rPr>
        <w:rFonts w:ascii="TT1F0t00" w:hAnsi="TT1F0t00" w:cs="TT1F0t00" w:hint="default"/>
      </w:rPr>
    </w:lvl>
    <w:lvl w:ilvl="4">
      <w:start w:val="1"/>
      <w:numFmt w:val="decimal"/>
      <w:lvlText w:val="%1.%2.%3.%4.%5"/>
      <w:lvlJc w:val="left"/>
      <w:pPr>
        <w:ind w:left="1080" w:hanging="1080"/>
      </w:pPr>
      <w:rPr>
        <w:rFonts w:ascii="TT1F0t00" w:hAnsi="TT1F0t00" w:cs="TT1F0t00" w:hint="default"/>
      </w:rPr>
    </w:lvl>
    <w:lvl w:ilvl="5">
      <w:start w:val="1"/>
      <w:numFmt w:val="decimal"/>
      <w:lvlText w:val="%1.%2.%3.%4.%5.%6"/>
      <w:lvlJc w:val="left"/>
      <w:pPr>
        <w:ind w:left="1440" w:hanging="1440"/>
      </w:pPr>
      <w:rPr>
        <w:rFonts w:ascii="TT1F0t00" w:hAnsi="TT1F0t00" w:cs="TT1F0t00" w:hint="default"/>
      </w:rPr>
    </w:lvl>
    <w:lvl w:ilvl="6">
      <w:start w:val="1"/>
      <w:numFmt w:val="decimal"/>
      <w:lvlText w:val="%1.%2.%3.%4.%5.%6.%7"/>
      <w:lvlJc w:val="left"/>
      <w:pPr>
        <w:ind w:left="1440" w:hanging="1440"/>
      </w:pPr>
      <w:rPr>
        <w:rFonts w:ascii="TT1F0t00" w:hAnsi="TT1F0t00" w:cs="TT1F0t00" w:hint="default"/>
      </w:rPr>
    </w:lvl>
    <w:lvl w:ilvl="7">
      <w:start w:val="1"/>
      <w:numFmt w:val="decimal"/>
      <w:lvlText w:val="%1.%2.%3.%4.%5.%6.%7.%8"/>
      <w:lvlJc w:val="left"/>
      <w:pPr>
        <w:ind w:left="1800" w:hanging="1800"/>
      </w:pPr>
      <w:rPr>
        <w:rFonts w:ascii="TT1F0t00" w:hAnsi="TT1F0t00" w:cs="TT1F0t00" w:hint="default"/>
      </w:rPr>
    </w:lvl>
    <w:lvl w:ilvl="8">
      <w:start w:val="1"/>
      <w:numFmt w:val="decimal"/>
      <w:lvlText w:val="%1.%2.%3.%4.%5.%6.%7.%8.%9"/>
      <w:lvlJc w:val="left"/>
      <w:pPr>
        <w:ind w:left="1800" w:hanging="1800"/>
      </w:pPr>
      <w:rPr>
        <w:rFonts w:ascii="TT1F0t00" w:hAnsi="TT1F0t00" w:cs="TT1F0t00" w:hint="default"/>
      </w:rPr>
    </w:lvl>
  </w:abstractNum>
  <w:abstractNum w:abstractNumId="4" w15:restartNumberingAfterBreak="0">
    <w:nsid w:val="72EF7CF9"/>
    <w:multiLevelType w:val="hybridMultilevel"/>
    <w:tmpl w:val="3F32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D2"/>
    <w:rsid w:val="000F73BA"/>
    <w:rsid w:val="001104D6"/>
    <w:rsid w:val="002504EC"/>
    <w:rsid w:val="00367307"/>
    <w:rsid w:val="0068065E"/>
    <w:rsid w:val="00681FAE"/>
    <w:rsid w:val="008E221E"/>
    <w:rsid w:val="00A305CA"/>
    <w:rsid w:val="00DE48D2"/>
    <w:rsid w:val="00E0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D000B-5BB6-450A-9812-38DD21E2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alker@horniman.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6</cp:revision>
  <dcterms:created xsi:type="dcterms:W3CDTF">2021-11-10T15:49:00Z</dcterms:created>
  <dcterms:modified xsi:type="dcterms:W3CDTF">2021-11-11T10:29:00Z</dcterms:modified>
</cp:coreProperties>
</file>