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D361" w14:textId="120B0544" w:rsidR="00684A8A" w:rsidRPr="00F34455" w:rsidRDefault="00684A8A" w:rsidP="00684A8A">
      <w:pPr>
        <w:spacing w:after="60" w:line="300" w:lineRule="auto"/>
        <w:rPr>
          <w:rFonts w:ascii="Poppins Bold" w:eastAsia="Times New Roman" w:hAnsi="Poppins Bold" w:cs="Poppins"/>
          <w:b/>
          <w:bCs/>
          <w:color w:val="00A499" w:themeColor="accent3"/>
          <w:sz w:val="48"/>
          <w:szCs w:val="48"/>
          <w:lang w:eastAsia="en-GB"/>
        </w:rPr>
      </w:pPr>
      <w:r w:rsidRPr="00F34455">
        <w:rPr>
          <w:rFonts w:ascii="Poppins Bold" w:eastAsia="Times New Roman" w:hAnsi="Poppins Bold" w:cs="Poppins"/>
          <w:b/>
          <w:bCs/>
          <w:color w:val="003087" w:themeColor="text2"/>
          <w:sz w:val="48"/>
          <w:szCs w:val="48"/>
          <w:lang w:eastAsia="en-GB"/>
        </w:rPr>
        <w:t>KEY COMMERCIAL FEATURES</w:t>
      </w:r>
    </w:p>
    <w:p w14:paraId="2AA3F9AB" w14:textId="28C217B4" w:rsidR="00684A8A" w:rsidRDefault="00684A8A" w:rsidP="005E20CF">
      <w:pPr>
        <w:spacing w:after="360"/>
        <w:ind w:right="-45"/>
        <w:rPr>
          <w:rFonts w:ascii="Poppins" w:hAnsi="Poppins" w:cs="Poppins"/>
          <w:b/>
          <w:bCs/>
          <w:color w:val="00A499"/>
          <w:sz w:val="28"/>
          <w:szCs w:val="28"/>
        </w:rPr>
      </w:pPr>
      <w:r>
        <w:rPr>
          <w:rFonts w:ascii="Poppins" w:hAnsi="Poppins" w:cs="Poppins"/>
          <w:b/>
          <w:bCs/>
          <w:color w:val="00A499"/>
          <w:sz w:val="28"/>
          <w:szCs w:val="28"/>
        </w:rPr>
        <w:t xml:space="preserve">PROCUREMENT OF A NORTH WEST LONDON </w:t>
      </w:r>
      <w:r w:rsidR="00550C5E">
        <w:rPr>
          <w:rFonts w:ascii="Poppins" w:hAnsi="Poppins" w:cs="Poppins"/>
          <w:b/>
          <w:bCs/>
          <w:color w:val="00A499"/>
          <w:sz w:val="28"/>
          <w:szCs w:val="28"/>
        </w:rPr>
        <w:t>INTEGRATED MUSCULOSKELETAL CLINICAL ASSESSMENT AND TREATMENT SERVICE</w:t>
      </w:r>
    </w:p>
    <w:p w14:paraId="13022D63" w14:textId="13ABCF85" w:rsidR="00B40437" w:rsidRPr="00B40437" w:rsidRDefault="0097236F" w:rsidP="00407C93">
      <w:pPr>
        <w:pStyle w:val="ListParagraph"/>
        <w:numPr>
          <w:ilvl w:val="0"/>
          <w:numId w:val="3"/>
        </w:numPr>
        <w:spacing w:after="120"/>
        <w:ind w:left="426"/>
        <w:rPr>
          <w:lang w:eastAsia="en-GB"/>
        </w:rPr>
      </w:pPr>
      <w:r w:rsidRPr="444B5748">
        <w:rPr>
          <w:b/>
          <w:color w:val="00A499" w:themeColor="accent3"/>
          <w:sz w:val="28"/>
          <w:szCs w:val="28"/>
        </w:rPr>
        <w:t>PURPOSE</w:t>
      </w:r>
    </w:p>
    <w:p w14:paraId="1073ECE0" w14:textId="3A4AB084" w:rsidR="008C7CD3" w:rsidRDefault="008C7CD3" w:rsidP="009665B5">
      <w:pPr>
        <w:spacing w:after="240"/>
      </w:pPr>
      <w:r>
        <w:t xml:space="preserve">This paper sets out the key </w:t>
      </w:r>
      <w:r w:rsidRPr="00BC764C">
        <w:t xml:space="preserve">commercial </w:t>
      </w:r>
      <w:r>
        <w:t>features and assumptions regarding</w:t>
      </w:r>
      <w:r w:rsidR="00F12B02">
        <w:t xml:space="preserve"> an</w:t>
      </w:r>
      <w:r>
        <w:t xml:space="preserve"> intended contract</w:t>
      </w:r>
      <w:r w:rsidR="00F12B02">
        <w:t xml:space="preserve"> that is</w:t>
      </w:r>
      <w:r>
        <w:t xml:space="preserve"> expected to be awarded following an imminent competitive procurement process</w:t>
      </w:r>
      <w:r w:rsidR="00F12B02">
        <w:t xml:space="preserve"> being conducted by NHS</w:t>
      </w:r>
      <w:r w:rsidR="00715EA0">
        <w:t xml:space="preserve"> North West London </w:t>
      </w:r>
      <w:r w:rsidR="00674797">
        <w:t xml:space="preserve">(NWL) </w:t>
      </w:r>
      <w:r w:rsidR="00715EA0">
        <w:t>Integrated Care Board</w:t>
      </w:r>
      <w:r w:rsidR="00F12B02">
        <w:t xml:space="preserve"> </w:t>
      </w:r>
      <w:r w:rsidR="00EB751F">
        <w:t xml:space="preserve">(the </w:t>
      </w:r>
      <w:r w:rsidR="00715EA0">
        <w:t>ICB</w:t>
      </w:r>
      <w:r w:rsidR="00EB751F">
        <w:t>)</w:t>
      </w:r>
      <w:r w:rsidR="0089256C">
        <w:t>,</w:t>
      </w:r>
      <w:r w:rsidR="00EB751F">
        <w:t xml:space="preserve"> </w:t>
      </w:r>
      <w:r w:rsidR="00F12B02">
        <w:t xml:space="preserve">for the provision of a </w:t>
      </w:r>
      <w:r w:rsidR="00674797">
        <w:t xml:space="preserve">NWL </w:t>
      </w:r>
      <w:r w:rsidR="00674797" w:rsidRPr="00674797">
        <w:t xml:space="preserve">Musculoskeletal </w:t>
      </w:r>
      <w:r w:rsidR="00674797">
        <w:t xml:space="preserve">(MSK) </w:t>
      </w:r>
      <w:r w:rsidR="00674797" w:rsidRPr="00674797">
        <w:t>Clinical Assessment And Treatment Service</w:t>
      </w:r>
      <w:r w:rsidR="00715EA0">
        <w:t>.</w:t>
      </w:r>
    </w:p>
    <w:p w14:paraId="30BC43A6" w14:textId="417C0827" w:rsidR="00715EA0" w:rsidRDefault="00F12B02" w:rsidP="009665B5">
      <w:pPr>
        <w:spacing w:after="120"/>
      </w:pPr>
      <w:r>
        <w:t>This paper is intended to:</w:t>
      </w:r>
    </w:p>
    <w:p w14:paraId="6E0994B8" w14:textId="4E5199A2" w:rsidR="008C7CD3" w:rsidRDefault="008C7CD3" w:rsidP="009665B5">
      <w:pPr>
        <w:pStyle w:val="ListParagraph"/>
        <w:numPr>
          <w:ilvl w:val="0"/>
          <w:numId w:val="5"/>
        </w:numPr>
        <w:spacing w:after="120"/>
        <w:contextualSpacing w:val="0"/>
      </w:pPr>
      <w:r w:rsidRPr="00BC764C">
        <w:t xml:space="preserve">inform the design of </w:t>
      </w:r>
      <w:r>
        <w:t>the</w:t>
      </w:r>
      <w:r w:rsidRPr="00BC764C">
        <w:t xml:space="preserve"> procurement process</w:t>
      </w:r>
      <w:r>
        <w:t>;</w:t>
      </w:r>
    </w:p>
    <w:p w14:paraId="2B7FB10C" w14:textId="4842B766" w:rsidR="00715EA0" w:rsidRDefault="00715EA0" w:rsidP="009665B5">
      <w:pPr>
        <w:pStyle w:val="ListParagraph"/>
        <w:numPr>
          <w:ilvl w:val="0"/>
          <w:numId w:val="5"/>
        </w:numPr>
        <w:spacing w:after="120"/>
        <w:contextualSpacing w:val="0"/>
      </w:pPr>
      <w:r>
        <w:t>confirm the level of market interest in delivering the proposed MSK service;</w:t>
      </w:r>
    </w:p>
    <w:p w14:paraId="009B3927" w14:textId="160155B5" w:rsidR="008C7CD3" w:rsidRDefault="001F5A53" w:rsidP="009665B5">
      <w:pPr>
        <w:pStyle w:val="ListParagraph"/>
        <w:numPr>
          <w:ilvl w:val="0"/>
          <w:numId w:val="5"/>
        </w:numPr>
        <w:spacing w:after="120"/>
        <w:contextualSpacing w:val="0"/>
      </w:pPr>
      <w:r>
        <w:t>inform</w:t>
      </w:r>
      <w:r w:rsidR="008C7CD3" w:rsidRPr="00BC764C">
        <w:t xml:space="preserve"> all relevant </w:t>
      </w:r>
      <w:r w:rsidR="008C7CD3">
        <w:t xml:space="preserve">stakeholders </w:t>
      </w:r>
      <w:r>
        <w:t>of</w:t>
      </w:r>
      <w:r w:rsidR="00A177DF">
        <w:t xml:space="preserve"> </w:t>
      </w:r>
      <w:r w:rsidR="008C7CD3">
        <w:t>the inten</w:t>
      </w:r>
      <w:r w:rsidR="00A177DF">
        <w:t>ded</w:t>
      </w:r>
      <w:r w:rsidR="008C7CD3">
        <w:t xml:space="preserve"> </w:t>
      </w:r>
      <w:r w:rsidR="008C7CD3" w:rsidRPr="00BC764C">
        <w:t>commercial</w:t>
      </w:r>
      <w:r w:rsidR="008C7CD3">
        <w:t xml:space="preserve"> </w:t>
      </w:r>
      <w:r w:rsidR="00BD25FD">
        <w:t>aspects of the contract</w:t>
      </w:r>
      <w:r w:rsidR="008C7CD3">
        <w:t>;</w:t>
      </w:r>
    </w:p>
    <w:p w14:paraId="5DEC4CA1" w14:textId="6F1EDE03" w:rsidR="008C7CD3" w:rsidRDefault="008C7CD3" w:rsidP="009665B5">
      <w:pPr>
        <w:pStyle w:val="ListParagraph"/>
        <w:numPr>
          <w:ilvl w:val="0"/>
          <w:numId w:val="5"/>
        </w:numPr>
        <w:spacing w:after="120"/>
        <w:contextualSpacing w:val="0"/>
      </w:pPr>
      <w:r>
        <w:t>inform interested providers (potential bidders) as they consider th</w:t>
      </w:r>
      <w:r w:rsidR="00BD25FD">
        <w:t>e</w:t>
      </w:r>
      <w:r>
        <w:t xml:space="preserve"> opportunity; and </w:t>
      </w:r>
    </w:p>
    <w:p w14:paraId="4D44B6EC" w14:textId="680036DF" w:rsidR="008C7CD3" w:rsidRDefault="008C7CD3" w:rsidP="009665B5">
      <w:pPr>
        <w:pStyle w:val="ListParagraph"/>
        <w:numPr>
          <w:ilvl w:val="0"/>
          <w:numId w:val="5"/>
        </w:numPr>
        <w:spacing w:after="120"/>
        <w:contextualSpacing w:val="0"/>
      </w:pPr>
      <w:r w:rsidRPr="00BC764C">
        <w:t>support effective governance and organisational authorisation of the contract.</w:t>
      </w:r>
    </w:p>
    <w:p w14:paraId="322EFDA1" w14:textId="77777777" w:rsidR="00691C63" w:rsidRDefault="00691C63" w:rsidP="009665B5"/>
    <w:p w14:paraId="154F6652" w14:textId="634F9994" w:rsidR="00691C63" w:rsidRPr="00B40437" w:rsidRDefault="00691C63" w:rsidP="009665B5">
      <w:pPr>
        <w:pStyle w:val="ListParagraph"/>
        <w:numPr>
          <w:ilvl w:val="0"/>
          <w:numId w:val="3"/>
        </w:numPr>
        <w:spacing w:after="120"/>
        <w:contextualSpacing w:val="0"/>
        <w:rPr>
          <w:lang w:eastAsia="en-GB"/>
        </w:rPr>
      </w:pPr>
      <w:r>
        <w:rPr>
          <w:rFonts w:cstheme="minorHAnsi"/>
          <w:b/>
          <w:bCs/>
          <w:color w:val="00A499"/>
          <w:sz w:val="28"/>
          <w:szCs w:val="28"/>
        </w:rPr>
        <w:t>CONTEXT</w:t>
      </w:r>
    </w:p>
    <w:p w14:paraId="5870889E" w14:textId="73123704" w:rsidR="00715EA0" w:rsidRDefault="00715EA0" w:rsidP="009665B5">
      <w:pPr>
        <w:spacing w:after="120"/>
      </w:pPr>
      <w:r w:rsidRPr="00F44008">
        <w:t xml:space="preserve">There is considerable variation in provision of MSK services </w:t>
      </w:r>
      <w:r>
        <w:t>across</w:t>
      </w:r>
      <w:r w:rsidRPr="00F44008">
        <w:t xml:space="preserve"> </w:t>
      </w:r>
      <w:r w:rsidR="00674797">
        <w:t>NWL</w:t>
      </w:r>
      <w:r w:rsidRPr="00F44008">
        <w:t xml:space="preserve">, resulting in inequality of access to evidence-based intervention and significant variation in prescribing and surgical rates and unequal waiting times. The burden of long-term MSK condition is also expected to vary, based on socio economic variation between regions. </w:t>
      </w:r>
    </w:p>
    <w:p w14:paraId="5BC40DD9" w14:textId="293ADE19" w:rsidR="00715EA0" w:rsidRDefault="00743134" w:rsidP="009665B5">
      <w:pPr>
        <w:spacing w:after="120"/>
      </w:pPr>
      <w:r>
        <w:t>Last year the</w:t>
      </w:r>
      <w:r w:rsidR="00691C63">
        <w:t xml:space="preserve"> market </w:t>
      </w:r>
      <w:r w:rsidR="00715EA0">
        <w:t xml:space="preserve">was </w:t>
      </w:r>
      <w:r w:rsidR="00EB751F">
        <w:t xml:space="preserve">made aware </w:t>
      </w:r>
      <w:r w:rsidR="00691C63">
        <w:t xml:space="preserve">of the upcoming contract opportunity </w:t>
      </w:r>
      <w:r w:rsidR="00EB751F">
        <w:t xml:space="preserve">and </w:t>
      </w:r>
      <w:r w:rsidR="0089256C">
        <w:t xml:space="preserve">early </w:t>
      </w:r>
      <w:r w:rsidR="00691C63">
        <w:t>engagement with interested providers concluded</w:t>
      </w:r>
      <w:r w:rsidR="00715EA0">
        <w:t xml:space="preserve"> t</w:t>
      </w:r>
      <w:r w:rsidR="00691C63">
        <w:t>here to be sufficient market interest to support a competitive procurement process</w:t>
      </w:r>
      <w:r w:rsidR="00715EA0">
        <w:t>.</w:t>
      </w:r>
    </w:p>
    <w:p w14:paraId="36903AD1" w14:textId="77EE8A9D" w:rsidR="009665B5" w:rsidRDefault="00715EA0" w:rsidP="00674797">
      <w:pPr>
        <w:spacing w:after="120"/>
      </w:pPr>
      <w:r>
        <w:t xml:space="preserve">For </w:t>
      </w:r>
      <w:r w:rsidR="009C3484">
        <w:t>t</w:t>
      </w:r>
      <w:r w:rsidR="00691C63">
        <w:t>ransparency and clarification</w:t>
      </w:r>
      <w:r w:rsidR="009C3484">
        <w:t xml:space="preserve">, this paper </w:t>
      </w:r>
      <w:r w:rsidR="00691C63">
        <w:t>detail</w:t>
      </w:r>
      <w:r w:rsidR="009C3484">
        <w:t>s the</w:t>
      </w:r>
      <w:r w:rsidR="00691C63">
        <w:t xml:space="preserve"> final </w:t>
      </w:r>
      <w:r w:rsidR="009C3484">
        <w:t>version</w:t>
      </w:r>
      <w:r w:rsidR="00691C63">
        <w:t xml:space="preserve"> of the service specification</w:t>
      </w:r>
      <w:r w:rsidR="00F34455">
        <w:t xml:space="preserve"> (Annex A)</w:t>
      </w:r>
      <w:r w:rsidR="00691C63">
        <w:t xml:space="preserve"> </w:t>
      </w:r>
      <w:r>
        <w:t xml:space="preserve">and seeks </w:t>
      </w:r>
      <w:r w:rsidR="00743134">
        <w:t xml:space="preserve">further market input regarding </w:t>
      </w:r>
      <w:r w:rsidR="0089256C">
        <w:t>particular</w:t>
      </w:r>
      <w:r w:rsidR="00743134">
        <w:t xml:space="preserve"> aspects of the contract, including the clinical model </w:t>
      </w:r>
      <w:r w:rsidR="00691C63">
        <w:t xml:space="preserve">and commercial </w:t>
      </w:r>
      <w:r w:rsidR="00743134">
        <w:t>structure, prior to commencing a formal procurement process.</w:t>
      </w:r>
      <w:r w:rsidR="009665B5">
        <w:br w:type="page"/>
      </w:r>
    </w:p>
    <w:p w14:paraId="21D09E94" w14:textId="46272F43" w:rsidR="009C3484" w:rsidRPr="002923C0" w:rsidRDefault="009C3484" w:rsidP="5648EFB3">
      <w:pPr>
        <w:pStyle w:val="ListParagraph"/>
        <w:numPr>
          <w:ilvl w:val="0"/>
          <w:numId w:val="3"/>
        </w:numPr>
        <w:spacing w:after="120"/>
        <w:rPr>
          <w:lang w:eastAsia="en-GB"/>
        </w:rPr>
      </w:pPr>
      <w:r w:rsidRPr="3E34B0CB">
        <w:rPr>
          <w:b/>
          <w:bCs/>
          <w:color w:val="00A499" w:themeColor="accent3"/>
          <w:sz w:val="28"/>
          <w:szCs w:val="28"/>
        </w:rPr>
        <w:lastRenderedPageBreak/>
        <w:t>CONTRACT</w:t>
      </w:r>
    </w:p>
    <w:p w14:paraId="684C30CE" w14:textId="21C12014" w:rsidR="002923C0" w:rsidRPr="00F34455" w:rsidRDefault="002923C0" w:rsidP="00515E81">
      <w:pPr>
        <w:pStyle w:val="Heading2"/>
        <w:spacing w:after="120" w:line="264" w:lineRule="auto"/>
        <w:ind w:firstLine="0"/>
        <w:rPr>
          <w:b/>
          <w:bCs/>
        </w:rPr>
      </w:pPr>
      <w:r w:rsidRPr="00F34455">
        <w:rPr>
          <w:b/>
          <w:bCs/>
        </w:rPr>
        <w:t>CONTRACTING AUTHORITY</w:t>
      </w:r>
    </w:p>
    <w:p w14:paraId="3AECA4CA" w14:textId="03E92604" w:rsidR="002923C0" w:rsidRDefault="002923C0" w:rsidP="005A4975">
      <w:pPr>
        <w:spacing w:after="240"/>
        <w:rPr>
          <w:rFonts w:ascii="Poppins" w:hAnsi="Poppins" w:cs="Poppins"/>
        </w:rPr>
      </w:pPr>
      <w:r w:rsidRPr="00433C9D">
        <w:rPr>
          <w:rFonts w:ascii="Poppins" w:hAnsi="Poppins" w:cs="Poppins"/>
        </w:rPr>
        <w:t xml:space="preserve">NHS </w:t>
      </w:r>
      <w:r w:rsidR="00743134">
        <w:rPr>
          <w:rFonts w:ascii="Poppins" w:hAnsi="Poppins" w:cs="Poppins"/>
        </w:rPr>
        <w:t xml:space="preserve">North West London Integrated Care Board </w:t>
      </w:r>
      <w:r>
        <w:rPr>
          <w:rFonts w:ascii="Poppins" w:hAnsi="Poppins" w:cs="Poppins"/>
        </w:rPr>
        <w:t>are</w:t>
      </w:r>
      <w:r w:rsidRPr="00433C9D">
        <w:rPr>
          <w:rFonts w:ascii="Poppins" w:hAnsi="Poppins" w:cs="Poppins"/>
        </w:rPr>
        <w:t xml:space="preserve"> the </w:t>
      </w:r>
      <w:r w:rsidR="00A650BC">
        <w:rPr>
          <w:rFonts w:ascii="Poppins" w:hAnsi="Poppins" w:cs="Poppins"/>
        </w:rPr>
        <w:t>c</w:t>
      </w:r>
      <w:r w:rsidRPr="00433C9D">
        <w:rPr>
          <w:rFonts w:ascii="Poppins" w:hAnsi="Poppins" w:cs="Poppins"/>
        </w:rPr>
        <w:t xml:space="preserve">ontracting </w:t>
      </w:r>
      <w:r w:rsidR="00A650BC">
        <w:rPr>
          <w:rFonts w:ascii="Poppins" w:hAnsi="Poppins" w:cs="Poppins"/>
        </w:rPr>
        <w:t>a</w:t>
      </w:r>
      <w:r w:rsidRPr="00433C9D">
        <w:rPr>
          <w:rFonts w:ascii="Poppins" w:hAnsi="Poppins" w:cs="Poppins"/>
        </w:rPr>
        <w:t xml:space="preserve">uthority and </w:t>
      </w:r>
      <w:r w:rsidR="00743134">
        <w:rPr>
          <w:rFonts w:ascii="Poppins" w:hAnsi="Poppins" w:cs="Poppins"/>
        </w:rPr>
        <w:t>responsible for ongoing contract</w:t>
      </w:r>
      <w:r>
        <w:rPr>
          <w:rFonts w:ascii="Poppins" w:hAnsi="Poppins" w:cs="Poppins"/>
        </w:rPr>
        <w:t xml:space="preserve"> </w:t>
      </w:r>
      <w:r w:rsidRPr="00433C9D">
        <w:rPr>
          <w:rFonts w:ascii="Poppins" w:hAnsi="Poppins" w:cs="Poppins"/>
        </w:rPr>
        <w:t>manage</w:t>
      </w:r>
      <w:r w:rsidR="00743134">
        <w:rPr>
          <w:rFonts w:ascii="Poppins" w:hAnsi="Poppins" w:cs="Poppins"/>
        </w:rPr>
        <w:t>ment of</w:t>
      </w:r>
      <w:r w:rsidRPr="00433C9D">
        <w:rPr>
          <w:rFonts w:ascii="Poppins" w:hAnsi="Poppins" w:cs="Poppins"/>
        </w:rPr>
        <w:t xml:space="preserve"> </w:t>
      </w:r>
      <w:r w:rsidR="0089256C">
        <w:rPr>
          <w:rFonts w:ascii="Poppins" w:hAnsi="Poppins" w:cs="Poppins"/>
        </w:rPr>
        <w:t>any</w:t>
      </w:r>
      <w:r w:rsidRPr="00433C9D">
        <w:rPr>
          <w:rFonts w:ascii="Poppins" w:hAnsi="Poppins" w:cs="Poppins"/>
        </w:rPr>
        <w:t xml:space="preserve"> </w:t>
      </w:r>
      <w:r w:rsidR="00743134">
        <w:rPr>
          <w:rFonts w:ascii="Poppins" w:hAnsi="Poppins" w:cs="Poppins"/>
        </w:rPr>
        <w:t xml:space="preserve">awarded </w:t>
      </w:r>
      <w:r w:rsidRPr="00433C9D">
        <w:rPr>
          <w:rFonts w:ascii="Poppins" w:hAnsi="Poppins" w:cs="Poppins"/>
        </w:rPr>
        <w:t>contract</w:t>
      </w:r>
      <w:r w:rsidRPr="009E34F7">
        <w:rPr>
          <w:rFonts w:ascii="Poppins" w:hAnsi="Poppins" w:cs="Poppins"/>
        </w:rPr>
        <w:t xml:space="preserve">. </w:t>
      </w:r>
      <w:r w:rsidRPr="00433C9D">
        <w:rPr>
          <w:rFonts w:ascii="Poppins" w:hAnsi="Poppins" w:cs="Poppins"/>
        </w:rPr>
        <w:t xml:space="preserve"> </w:t>
      </w:r>
    </w:p>
    <w:p w14:paraId="6BF4B69E" w14:textId="432C14D9" w:rsidR="002923C0" w:rsidRPr="00F34455" w:rsidRDefault="002923C0" w:rsidP="00515E81">
      <w:pPr>
        <w:pStyle w:val="Heading2"/>
        <w:spacing w:after="120" w:line="264" w:lineRule="auto"/>
        <w:ind w:firstLine="0"/>
        <w:rPr>
          <w:b/>
          <w:bCs/>
        </w:rPr>
      </w:pPr>
      <w:r w:rsidRPr="00F34455">
        <w:rPr>
          <w:b/>
          <w:bCs/>
        </w:rPr>
        <w:t>FORM OF CONTRACT</w:t>
      </w:r>
    </w:p>
    <w:p w14:paraId="4C4A3C65" w14:textId="28DB77C2" w:rsidR="002923C0" w:rsidRPr="00EA202A" w:rsidRDefault="002923C0" w:rsidP="005A4975">
      <w:pPr>
        <w:spacing w:after="240"/>
        <w:rPr>
          <w:color w:val="002060"/>
        </w:rPr>
      </w:pPr>
      <w:r w:rsidRPr="00515E81">
        <w:rPr>
          <w:rFonts w:ascii="Poppins" w:hAnsi="Poppins" w:cs="Poppins"/>
        </w:rPr>
        <w:t xml:space="preserve">The </w:t>
      </w:r>
      <w:r w:rsidR="00A650BC" w:rsidRPr="00515E81">
        <w:rPr>
          <w:rFonts w:ascii="Poppins" w:hAnsi="Poppins" w:cs="Poppins"/>
        </w:rPr>
        <w:t>c</w:t>
      </w:r>
      <w:r w:rsidRPr="00515E81">
        <w:rPr>
          <w:rFonts w:ascii="Poppins" w:hAnsi="Poppins" w:cs="Poppins"/>
        </w:rPr>
        <w:t xml:space="preserve">ontracting </w:t>
      </w:r>
      <w:r w:rsidR="00A650BC" w:rsidRPr="00515E81">
        <w:rPr>
          <w:rFonts w:ascii="Poppins" w:hAnsi="Poppins" w:cs="Poppins"/>
        </w:rPr>
        <w:t>a</w:t>
      </w:r>
      <w:r w:rsidRPr="00515E81">
        <w:rPr>
          <w:rFonts w:ascii="Poppins" w:hAnsi="Poppins" w:cs="Poppins"/>
        </w:rPr>
        <w:t xml:space="preserve">uthority intends to use the full-length NHS Standard Contract, as mandated by NHS England and available at </w:t>
      </w:r>
      <w:hyperlink r:id="rId11" w:history="1">
        <w:r w:rsidRPr="00EA202A">
          <w:rPr>
            <w:rStyle w:val="Hyperlink"/>
            <w:color w:val="002060"/>
          </w:rPr>
          <w:t>http://www.england.nhs.uk/nhs-standard-contract/</w:t>
        </w:r>
      </w:hyperlink>
      <w:r w:rsidRPr="00EA202A">
        <w:rPr>
          <w:color w:val="002060"/>
        </w:rPr>
        <w:t xml:space="preserve">. </w:t>
      </w:r>
      <w:r w:rsidRPr="00515E81">
        <w:rPr>
          <w:rFonts w:ascii="Poppins" w:hAnsi="Poppins" w:cs="Poppins"/>
        </w:rPr>
        <w:t>It is a condition of this procurement that bidders confirm acceptance of the contract.</w:t>
      </w:r>
    </w:p>
    <w:p w14:paraId="59218491" w14:textId="58185CBF" w:rsidR="00366F2C" w:rsidRPr="00F34455" w:rsidRDefault="00366F2C" w:rsidP="00515E81">
      <w:pPr>
        <w:pStyle w:val="Heading2"/>
        <w:spacing w:after="120" w:line="264" w:lineRule="auto"/>
        <w:ind w:firstLine="0"/>
        <w:rPr>
          <w:b/>
          <w:bCs/>
        </w:rPr>
      </w:pPr>
      <w:r w:rsidRPr="00F34455">
        <w:rPr>
          <w:b/>
          <w:bCs/>
        </w:rPr>
        <w:t>CONTRACTING MODEL</w:t>
      </w:r>
    </w:p>
    <w:p w14:paraId="01140529" w14:textId="73BD6484" w:rsidR="002923C0" w:rsidRDefault="00366F2C" w:rsidP="005A4975">
      <w:pPr>
        <w:spacing w:after="240"/>
      </w:pPr>
      <w:r>
        <w:t>The procurement process intends to award a single contract</w:t>
      </w:r>
      <w:r w:rsidR="00D71C3A">
        <w:t xml:space="preserve"> to a single or lead provider</w:t>
      </w:r>
      <w:r>
        <w:t xml:space="preserve">.  </w:t>
      </w:r>
    </w:p>
    <w:p w14:paraId="3CF30492" w14:textId="3F8B9145" w:rsidR="002923C0" w:rsidRPr="00F34455" w:rsidRDefault="002923C0" w:rsidP="00515E81">
      <w:pPr>
        <w:pStyle w:val="Heading2"/>
        <w:spacing w:after="120" w:line="264" w:lineRule="auto"/>
        <w:ind w:firstLine="0"/>
        <w:rPr>
          <w:b/>
          <w:bCs/>
        </w:rPr>
      </w:pPr>
      <w:r w:rsidRPr="00F34455">
        <w:rPr>
          <w:b/>
          <w:bCs/>
        </w:rPr>
        <w:t>CONTRACT DURATION</w:t>
      </w:r>
    </w:p>
    <w:p w14:paraId="28F4DF30" w14:textId="3AF54799" w:rsidR="002923C0" w:rsidRDefault="002923C0" w:rsidP="009665B5">
      <w:pPr>
        <w:spacing w:after="120"/>
      </w:pPr>
      <w:r>
        <w:t>The contract will run for an initial term of 5 years, reserv</w:t>
      </w:r>
      <w:r w:rsidR="0089256C">
        <w:t>ing the option</w:t>
      </w:r>
      <w:r>
        <w:t xml:space="preserve"> to extend the contract for up to a further 2 years, with an assessment and decision to be made during the final year of the contract.</w:t>
      </w:r>
    </w:p>
    <w:p w14:paraId="52B69939" w14:textId="55230DC0" w:rsidR="002923C0" w:rsidRPr="002923C0" w:rsidRDefault="002923C0" w:rsidP="009665B5">
      <w:pPr>
        <w:rPr>
          <w:lang w:eastAsia="en-GB"/>
        </w:rPr>
      </w:pPr>
    </w:p>
    <w:p w14:paraId="1F05F19A" w14:textId="77777777" w:rsidR="002923C0" w:rsidRDefault="002923C0" w:rsidP="009665B5">
      <w:pPr>
        <w:rPr>
          <w:lang w:eastAsia="en-GB"/>
        </w:rPr>
      </w:pPr>
    </w:p>
    <w:p w14:paraId="0E0611D4" w14:textId="77777777" w:rsidR="004A0434" w:rsidRDefault="004A0434" w:rsidP="004A0434">
      <w:pPr>
        <w:spacing w:after="120"/>
        <w:sectPr w:rsidR="004A0434" w:rsidSect="00B40437">
          <w:headerReference w:type="default" r:id="rId12"/>
          <w:footerReference w:type="default" r:id="rId13"/>
          <w:headerReference w:type="first" r:id="rId14"/>
          <w:footerReference w:type="first" r:id="rId15"/>
          <w:pgSz w:w="11906" w:h="16838"/>
          <w:pgMar w:top="1843" w:right="1077" w:bottom="1361" w:left="1077" w:header="709" w:footer="284" w:gutter="0"/>
          <w:cols w:space="708"/>
          <w:titlePg/>
          <w:docGrid w:linePitch="360"/>
        </w:sectPr>
      </w:pPr>
    </w:p>
    <w:p w14:paraId="345C0B18" w14:textId="3910D989" w:rsidR="004A0434" w:rsidRPr="005A4975" w:rsidRDefault="00583FC3" w:rsidP="005A4975">
      <w:pPr>
        <w:spacing w:after="120"/>
        <w:rPr>
          <w:b/>
          <w:color w:val="003087" w:themeColor="text2"/>
        </w:rPr>
      </w:pPr>
      <w:r w:rsidRPr="005A4975">
        <w:rPr>
          <w:b/>
          <w:color w:val="003087" w:themeColor="text2"/>
        </w:rPr>
        <w:lastRenderedPageBreak/>
        <w:t>PLANNING</w:t>
      </w:r>
      <w:r w:rsidR="004A0434" w:rsidRPr="005A4975">
        <w:rPr>
          <w:b/>
          <w:color w:val="003087" w:themeColor="text2"/>
        </w:rPr>
        <w:t xml:space="preserve"> ASSUMPTIONS </w:t>
      </w:r>
    </w:p>
    <w:p w14:paraId="3C00E334" w14:textId="461F658A" w:rsidR="00B463FD" w:rsidRDefault="00E029A4" w:rsidP="00B80B9C">
      <w:pPr>
        <w:pStyle w:val="Default"/>
        <w:spacing w:after="240"/>
      </w:pPr>
      <w:r w:rsidRPr="00B463FD">
        <w:rPr>
          <w:rFonts w:asciiTheme="minorHAnsi" w:hAnsiTheme="minorHAnsi" w:cstheme="minorBidi"/>
          <w:color w:val="425563" w:themeColor="text1"/>
          <w:sz w:val="22"/>
          <w:szCs w:val="22"/>
        </w:rPr>
        <w:t xml:space="preserve">The financial envelope for </w:t>
      </w:r>
      <w:r w:rsidR="00BC2E03" w:rsidRPr="00B463FD">
        <w:rPr>
          <w:rFonts w:asciiTheme="minorHAnsi" w:hAnsiTheme="minorHAnsi" w:cstheme="minorBidi"/>
          <w:color w:val="425563" w:themeColor="text1"/>
          <w:sz w:val="22"/>
          <w:szCs w:val="22"/>
        </w:rPr>
        <w:t>this contract</w:t>
      </w:r>
      <w:r w:rsidRPr="00B463FD">
        <w:rPr>
          <w:rFonts w:asciiTheme="minorHAnsi" w:hAnsiTheme="minorHAnsi" w:cstheme="minorBidi"/>
          <w:color w:val="425563" w:themeColor="text1"/>
          <w:sz w:val="22"/>
          <w:szCs w:val="22"/>
        </w:rPr>
        <w:t xml:space="preserve"> is based on the activity assumptions </w:t>
      </w:r>
      <w:r w:rsidR="00225AF9" w:rsidRPr="00B463FD">
        <w:rPr>
          <w:rFonts w:asciiTheme="minorHAnsi" w:hAnsiTheme="minorHAnsi" w:cstheme="minorBidi"/>
          <w:color w:val="425563" w:themeColor="text1"/>
          <w:sz w:val="22"/>
          <w:szCs w:val="22"/>
        </w:rPr>
        <w:t>below and</w:t>
      </w:r>
      <w:r w:rsidRPr="00B463FD">
        <w:rPr>
          <w:rFonts w:asciiTheme="minorHAnsi" w:hAnsiTheme="minorHAnsi" w:cstheme="minorBidi"/>
          <w:color w:val="425563" w:themeColor="text1"/>
          <w:sz w:val="22"/>
          <w:szCs w:val="22"/>
        </w:rPr>
        <w:t xml:space="preserve"> </w:t>
      </w:r>
      <w:r w:rsidR="00B463FD" w:rsidRPr="00B463FD">
        <w:rPr>
          <w:rFonts w:asciiTheme="minorHAnsi" w:hAnsiTheme="minorHAnsi" w:cstheme="minorBidi"/>
          <w:color w:val="425563" w:themeColor="text1"/>
          <w:sz w:val="22"/>
          <w:szCs w:val="22"/>
        </w:rPr>
        <w:t xml:space="preserve">the bidder is expected to deliver the </w:t>
      </w:r>
      <w:r w:rsidR="007E5681">
        <w:rPr>
          <w:rFonts w:asciiTheme="minorHAnsi" w:hAnsiTheme="minorHAnsi" w:cstheme="minorBidi"/>
          <w:color w:val="425563" w:themeColor="text1"/>
          <w:sz w:val="22"/>
          <w:szCs w:val="22"/>
        </w:rPr>
        <w:t>“Expected activity”</w:t>
      </w:r>
      <w:r w:rsidR="00B463FD" w:rsidRPr="00B463FD">
        <w:rPr>
          <w:rFonts w:asciiTheme="minorHAnsi" w:hAnsiTheme="minorHAnsi" w:cstheme="minorBidi"/>
          <w:color w:val="425563" w:themeColor="text1"/>
          <w:sz w:val="22"/>
          <w:szCs w:val="22"/>
        </w:rPr>
        <w:t xml:space="preserve">. </w:t>
      </w:r>
      <w:r w:rsidR="007E5681">
        <w:rPr>
          <w:rFonts w:asciiTheme="minorHAnsi" w:hAnsiTheme="minorHAnsi" w:cstheme="minorBidi"/>
          <w:color w:val="425563" w:themeColor="text1"/>
          <w:sz w:val="22"/>
          <w:szCs w:val="22"/>
        </w:rPr>
        <w:t>The Contracting Authority has</w:t>
      </w:r>
      <w:r w:rsidR="00B463FD" w:rsidRPr="008E55E7">
        <w:rPr>
          <w:rFonts w:asciiTheme="minorHAnsi" w:hAnsiTheme="minorHAnsi" w:cstheme="minorBidi"/>
          <w:color w:val="425563" w:themeColor="text1"/>
          <w:sz w:val="22"/>
          <w:szCs w:val="22"/>
        </w:rPr>
        <w:t xml:space="preserve"> based their planning assumptions on 0.7% year-on</w:t>
      </w:r>
      <w:r w:rsidR="00B973CD">
        <w:rPr>
          <w:rFonts w:asciiTheme="minorHAnsi" w:hAnsiTheme="minorHAnsi" w:cstheme="minorBidi"/>
          <w:color w:val="425563" w:themeColor="text1"/>
          <w:sz w:val="22"/>
          <w:szCs w:val="22"/>
        </w:rPr>
        <w:t>-</w:t>
      </w:r>
      <w:r w:rsidR="00B463FD" w:rsidRPr="008E55E7">
        <w:rPr>
          <w:rFonts w:asciiTheme="minorHAnsi" w:hAnsiTheme="minorHAnsi" w:cstheme="minorBidi"/>
          <w:color w:val="425563" w:themeColor="text1"/>
          <w:sz w:val="22"/>
          <w:szCs w:val="22"/>
        </w:rPr>
        <w:t xml:space="preserve">year </w:t>
      </w:r>
      <w:r w:rsidR="00B973CD">
        <w:rPr>
          <w:rFonts w:asciiTheme="minorHAnsi" w:hAnsiTheme="minorHAnsi" w:cstheme="minorBidi"/>
          <w:color w:val="425563" w:themeColor="text1"/>
          <w:sz w:val="22"/>
          <w:szCs w:val="22"/>
        </w:rPr>
        <w:t xml:space="preserve">activity </w:t>
      </w:r>
      <w:r w:rsidR="00B463FD" w:rsidRPr="008E55E7">
        <w:rPr>
          <w:rFonts w:asciiTheme="minorHAnsi" w:hAnsiTheme="minorHAnsi" w:cstheme="minorBidi"/>
          <w:color w:val="425563" w:themeColor="text1"/>
          <w:sz w:val="22"/>
          <w:szCs w:val="22"/>
        </w:rPr>
        <w:t>growth</w:t>
      </w:r>
      <w:r w:rsidR="00B463FD">
        <w:rPr>
          <w:rFonts w:asciiTheme="minorHAnsi" w:hAnsiTheme="minorHAnsi" w:cstheme="minorBidi"/>
          <w:color w:val="425563" w:themeColor="text1"/>
          <w:sz w:val="22"/>
          <w:szCs w:val="22"/>
        </w:rPr>
        <w:t>.</w:t>
      </w:r>
      <w:r w:rsidR="00B80B9C">
        <w:t xml:space="preserve"> </w:t>
      </w:r>
    </w:p>
    <w:p w14:paraId="4E67A433" w14:textId="00653EF7" w:rsidR="00B463FD" w:rsidRDefault="007A73A8" w:rsidP="008E55E7">
      <w:pPr>
        <w:tabs>
          <w:tab w:val="left" w:pos="0"/>
        </w:tabs>
        <w:spacing w:after="120"/>
        <w:ind w:right="-258"/>
      </w:pPr>
      <w:r>
        <w:rPr>
          <w:noProof/>
        </w:rPr>
        <w:drawing>
          <wp:anchor distT="0" distB="0" distL="114300" distR="114300" simplePos="0" relativeHeight="251658241" behindDoc="0" locked="0" layoutInCell="1" allowOverlap="1" wp14:anchorId="6D867754" wp14:editId="52BA17D6">
            <wp:simplePos x="0" y="0"/>
            <wp:positionH relativeFrom="column">
              <wp:posOffset>-636905</wp:posOffset>
            </wp:positionH>
            <wp:positionV relativeFrom="paragraph">
              <wp:posOffset>261620</wp:posOffset>
            </wp:positionV>
            <wp:extent cx="10255958" cy="2171700"/>
            <wp:effectExtent l="19050" t="19050" r="12065" b="19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255958" cy="21717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463FD">
        <w:t xml:space="preserve">Table 1: “Expected activity” to be delivered by </w:t>
      </w:r>
      <w:r w:rsidR="007E5681">
        <w:t xml:space="preserve">the </w:t>
      </w:r>
      <w:r w:rsidR="00B463FD">
        <w:t xml:space="preserve">treatment </w:t>
      </w:r>
      <w:r w:rsidR="00515E81">
        <w:t>type.</w:t>
      </w:r>
    </w:p>
    <w:p w14:paraId="7DF62FEB" w14:textId="13FDD8E2" w:rsidR="007A73A8" w:rsidRDefault="007A73A8" w:rsidP="008E55E7">
      <w:pPr>
        <w:tabs>
          <w:tab w:val="left" w:pos="0"/>
        </w:tabs>
        <w:spacing w:after="120"/>
        <w:ind w:right="-258"/>
      </w:pPr>
    </w:p>
    <w:p w14:paraId="5C95293A" w14:textId="4709D84D" w:rsidR="007A73A8" w:rsidRDefault="007A73A8" w:rsidP="008E55E7">
      <w:pPr>
        <w:tabs>
          <w:tab w:val="left" w:pos="0"/>
        </w:tabs>
        <w:spacing w:after="120"/>
        <w:ind w:right="-258"/>
      </w:pPr>
    </w:p>
    <w:p w14:paraId="0EE08CCA" w14:textId="0DCEB8C7" w:rsidR="007A73A8" w:rsidRDefault="007A73A8" w:rsidP="008E55E7">
      <w:pPr>
        <w:tabs>
          <w:tab w:val="left" w:pos="0"/>
        </w:tabs>
        <w:spacing w:after="120"/>
        <w:ind w:right="-258"/>
      </w:pPr>
    </w:p>
    <w:p w14:paraId="4607194A" w14:textId="753D3760" w:rsidR="007A73A8" w:rsidRDefault="007A73A8" w:rsidP="008E55E7">
      <w:pPr>
        <w:tabs>
          <w:tab w:val="left" w:pos="0"/>
        </w:tabs>
        <w:spacing w:after="120"/>
        <w:ind w:right="-258"/>
      </w:pPr>
    </w:p>
    <w:p w14:paraId="613773BB" w14:textId="7FA452A5" w:rsidR="007A73A8" w:rsidRDefault="007A73A8" w:rsidP="008E55E7">
      <w:pPr>
        <w:tabs>
          <w:tab w:val="left" w:pos="0"/>
        </w:tabs>
        <w:spacing w:after="120"/>
        <w:ind w:right="-258"/>
      </w:pPr>
    </w:p>
    <w:p w14:paraId="35AE5F28" w14:textId="236ABA2D" w:rsidR="00B463FD" w:rsidRDefault="00B463FD" w:rsidP="008E55E7">
      <w:pPr>
        <w:tabs>
          <w:tab w:val="left" w:pos="0"/>
        </w:tabs>
        <w:spacing w:after="120"/>
        <w:ind w:right="-258"/>
      </w:pPr>
    </w:p>
    <w:p w14:paraId="373B1DB0" w14:textId="5B2C93F2" w:rsidR="007A73A8" w:rsidRDefault="007A73A8" w:rsidP="008E55E7">
      <w:pPr>
        <w:tabs>
          <w:tab w:val="left" w:pos="0"/>
        </w:tabs>
        <w:spacing w:after="120"/>
        <w:ind w:right="-258"/>
      </w:pPr>
    </w:p>
    <w:p w14:paraId="0C0C97DB" w14:textId="77777777" w:rsidR="000A681E" w:rsidRDefault="000A681E" w:rsidP="00225AF9">
      <w:pPr>
        <w:pStyle w:val="ListParagraph"/>
        <w:numPr>
          <w:ilvl w:val="0"/>
          <w:numId w:val="0"/>
        </w:numPr>
        <w:spacing w:after="120"/>
        <w:contextualSpacing w:val="0"/>
        <w:rPr>
          <w:color w:val="425563"/>
        </w:rPr>
      </w:pPr>
    </w:p>
    <w:p w14:paraId="4F64C6F0" w14:textId="5EAC1F2E" w:rsidR="000B1D87" w:rsidRDefault="004A0434" w:rsidP="00225AF9">
      <w:pPr>
        <w:pStyle w:val="ListParagraph"/>
        <w:numPr>
          <w:ilvl w:val="0"/>
          <w:numId w:val="0"/>
        </w:numPr>
        <w:spacing w:after="120"/>
        <w:contextualSpacing w:val="0"/>
        <w:rPr>
          <w:color w:val="425563"/>
        </w:rPr>
      </w:pPr>
      <w:r>
        <w:rPr>
          <w:color w:val="425563"/>
        </w:rPr>
        <w:t>T</w:t>
      </w:r>
      <w:r w:rsidRPr="000B0C86">
        <w:rPr>
          <w:color w:val="425563"/>
        </w:rPr>
        <w:t>he contract assume</w:t>
      </w:r>
      <w:r>
        <w:rPr>
          <w:color w:val="425563"/>
        </w:rPr>
        <w:t>s</w:t>
      </w:r>
      <w:r w:rsidRPr="000B0C86">
        <w:rPr>
          <w:color w:val="425563"/>
        </w:rPr>
        <w:t xml:space="preserve"> a </w:t>
      </w:r>
      <w:r>
        <w:rPr>
          <w:color w:val="425563"/>
        </w:rPr>
        <w:t xml:space="preserve">total </w:t>
      </w:r>
      <w:r w:rsidRPr="000B0C86">
        <w:rPr>
          <w:color w:val="425563"/>
        </w:rPr>
        <w:t>level of “</w:t>
      </w:r>
      <w:r w:rsidRPr="00130635">
        <w:rPr>
          <w:b/>
          <w:bCs/>
          <w:color w:val="425563"/>
        </w:rPr>
        <w:t>Expected Activity</w:t>
      </w:r>
      <w:r w:rsidRPr="000B0C86">
        <w:rPr>
          <w:color w:val="425563"/>
        </w:rPr>
        <w:t>”,</w:t>
      </w:r>
      <w:r>
        <w:rPr>
          <w:color w:val="425563"/>
        </w:rPr>
        <w:t xml:space="preserve"> as stated above,</w:t>
      </w:r>
      <w:r w:rsidRPr="000B0C86">
        <w:rPr>
          <w:color w:val="425563"/>
        </w:rPr>
        <w:t xml:space="preserve"> for which the ICB will make payment through a “</w:t>
      </w:r>
      <w:r w:rsidRPr="004A0434">
        <w:rPr>
          <w:b/>
          <w:bCs/>
          <w:color w:val="425563"/>
        </w:rPr>
        <w:t>block</w:t>
      </w:r>
      <w:r w:rsidRPr="000B0C86">
        <w:rPr>
          <w:color w:val="425563"/>
        </w:rPr>
        <w:t xml:space="preserve">” arrangement with clearly defined tolerances </w:t>
      </w:r>
      <w:r>
        <w:rPr>
          <w:color w:val="425563"/>
        </w:rPr>
        <w:t>of between 9</w:t>
      </w:r>
      <w:r w:rsidR="00321180">
        <w:rPr>
          <w:color w:val="425563"/>
        </w:rPr>
        <w:t>3% to 107</w:t>
      </w:r>
      <w:r>
        <w:rPr>
          <w:color w:val="425563"/>
        </w:rPr>
        <w:t>%</w:t>
      </w:r>
      <w:r w:rsidR="00567C24">
        <w:rPr>
          <w:color w:val="425563"/>
        </w:rPr>
        <w:t>,</w:t>
      </w:r>
      <w:r w:rsidRPr="000B0C86">
        <w:rPr>
          <w:color w:val="425563"/>
        </w:rPr>
        <w:t xml:space="preserve"> meaning</w:t>
      </w:r>
      <w:r>
        <w:rPr>
          <w:color w:val="425563"/>
        </w:rPr>
        <w:t xml:space="preserve"> that w</w:t>
      </w:r>
      <w:r w:rsidRPr="00AE5BA6">
        <w:rPr>
          <w:color w:val="425563"/>
        </w:rPr>
        <w:t>h</w:t>
      </w:r>
      <w:r w:rsidR="00567C24">
        <w:rPr>
          <w:color w:val="425563"/>
        </w:rPr>
        <w:t>ere the contract value</w:t>
      </w:r>
      <w:r w:rsidRPr="00AE5BA6">
        <w:rPr>
          <w:color w:val="425563"/>
        </w:rPr>
        <w:t xml:space="preserve"> is delivered between 9</w:t>
      </w:r>
      <w:r w:rsidR="00321180">
        <w:rPr>
          <w:color w:val="425563"/>
        </w:rPr>
        <w:t>3% to 107</w:t>
      </w:r>
      <w:r w:rsidRPr="00AE5BA6">
        <w:rPr>
          <w:color w:val="425563"/>
        </w:rPr>
        <w:t>% of the contractually a</w:t>
      </w:r>
      <w:r w:rsidR="00567C24">
        <w:rPr>
          <w:color w:val="425563"/>
        </w:rPr>
        <w:t>greed level</w:t>
      </w:r>
      <w:r w:rsidRPr="00AE5BA6">
        <w:rPr>
          <w:color w:val="425563"/>
        </w:rPr>
        <w:t>, full payment will be made by the ICB</w:t>
      </w:r>
      <w:r>
        <w:rPr>
          <w:color w:val="425563"/>
        </w:rPr>
        <w:t>.</w:t>
      </w:r>
      <w:r w:rsidR="000B1D87" w:rsidRPr="000B1D87">
        <w:t xml:space="preserve"> </w:t>
      </w:r>
      <w:r w:rsidR="000B1D87" w:rsidRPr="000B1D87">
        <w:rPr>
          <w:color w:val="425563"/>
        </w:rPr>
        <w:t xml:space="preserve">It is expected that the service will manage all activity within the </w:t>
      </w:r>
      <w:r w:rsidR="000B1D87">
        <w:rPr>
          <w:color w:val="425563"/>
        </w:rPr>
        <w:t xml:space="preserve">financial envelope </w:t>
      </w:r>
      <w:r w:rsidR="000B1D87" w:rsidRPr="000B1D87">
        <w:rPr>
          <w:color w:val="425563"/>
        </w:rPr>
        <w:t>provided</w:t>
      </w:r>
      <w:r w:rsidR="000B1D87">
        <w:rPr>
          <w:color w:val="425563"/>
        </w:rPr>
        <w:t xml:space="preserve"> in Table 3, within a tolerance of +/-</w:t>
      </w:r>
      <w:r w:rsidR="00321180">
        <w:rPr>
          <w:color w:val="425563"/>
        </w:rPr>
        <w:t>7</w:t>
      </w:r>
      <w:r w:rsidR="000B1D87" w:rsidRPr="000B1D87">
        <w:rPr>
          <w:color w:val="425563"/>
        </w:rPr>
        <w:t xml:space="preserve">%. </w:t>
      </w:r>
    </w:p>
    <w:p w14:paraId="6BC821F6" w14:textId="75BA4821" w:rsidR="00567C24" w:rsidRDefault="00567C24" w:rsidP="00225AF9">
      <w:pPr>
        <w:pStyle w:val="ListParagraph"/>
        <w:numPr>
          <w:ilvl w:val="0"/>
          <w:numId w:val="0"/>
        </w:numPr>
        <w:spacing w:after="120"/>
        <w:contextualSpacing w:val="0"/>
        <w:rPr>
          <w:color w:val="425563"/>
        </w:rPr>
      </w:pPr>
      <w:r>
        <w:rPr>
          <w:color w:val="425563"/>
        </w:rPr>
        <w:t xml:space="preserve">Where the costs of the contract </w:t>
      </w:r>
      <w:r w:rsidR="00515E81">
        <w:rPr>
          <w:color w:val="425563"/>
        </w:rPr>
        <w:t>are</w:t>
      </w:r>
      <w:r>
        <w:rPr>
          <w:color w:val="425563"/>
        </w:rPr>
        <w:t xml:space="preserve"> above or below the tolerances, an additional payment will be made to the provider for over-</w:t>
      </w:r>
      <w:r w:rsidR="00515E81">
        <w:rPr>
          <w:color w:val="425563"/>
        </w:rPr>
        <w:t>performance,</w:t>
      </w:r>
      <w:r>
        <w:rPr>
          <w:color w:val="425563"/>
        </w:rPr>
        <w:t xml:space="preserve"> or a credit will be due to the commissioner for under-performance. The payment or credit due will be calculated on the final year end position and based on a marginal rate of 70% of the value of the under/over-performance. A reconciliation will be undertaken on a quarterly basis to track progress on delivery of the contracted activity levels. The previous years’ performance will inform the activity levels</w:t>
      </w:r>
      <w:r w:rsidR="00321180">
        <w:rPr>
          <w:color w:val="425563"/>
        </w:rPr>
        <w:t xml:space="preserve"> and finance</w:t>
      </w:r>
      <w:r>
        <w:rPr>
          <w:color w:val="425563"/>
        </w:rPr>
        <w:t xml:space="preserve"> for the following year of the contract. </w:t>
      </w:r>
    </w:p>
    <w:p w14:paraId="2189BBF3" w14:textId="146A3A93" w:rsidR="00567C24" w:rsidRPr="005A4975" w:rsidRDefault="005A4975" w:rsidP="00225AF9">
      <w:pPr>
        <w:pStyle w:val="ListParagraph"/>
        <w:numPr>
          <w:ilvl w:val="0"/>
          <w:numId w:val="0"/>
        </w:numPr>
        <w:spacing w:after="120"/>
        <w:contextualSpacing w:val="0"/>
        <w:rPr>
          <w:b/>
          <w:bCs/>
          <w:color w:val="003087" w:themeColor="text2"/>
        </w:rPr>
      </w:pPr>
      <w:r w:rsidRPr="005A4975">
        <w:rPr>
          <w:b/>
          <w:bCs/>
          <w:color w:val="003087" w:themeColor="text2"/>
        </w:rPr>
        <w:lastRenderedPageBreak/>
        <w:t>WORKED EXAMPLES</w:t>
      </w:r>
    </w:p>
    <w:p w14:paraId="3392C565" w14:textId="4B40C384" w:rsidR="000B1D87" w:rsidRPr="00B80B9C" w:rsidRDefault="00675980" w:rsidP="5648EFB3">
      <w:pPr>
        <w:pStyle w:val="ListParagraph"/>
        <w:numPr>
          <w:ilvl w:val="0"/>
          <w:numId w:val="0"/>
        </w:numPr>
        <w:spacing w:after="240"/>
      </w:pPr>
      <w:r w:rsidRPr="5648EFB3">
        <w:t>Table 2 (</w:t>
      </w:r>
      <w:r w:rsidR="000B1D87" w:rsidRPr="5648EFB3">
        <w:t>Example 1</w:t>
      </w:r>
      <w:r w:rsidRPr="5648EFB3">
        <w:t>)</w:t>
      </w:r>
      <w:r w:rsidR="000B1D87" w:rsidRPr="5648EFB3">
        <w:t>:</w:t>
      </w:r>
      <w:r w:rsidR="000B1D87" w:rsidRPr="5648EFB3">
        <w:rPr>
          <w:b/>
        </w:rPr>
        <w:t xml:space="preserve"> </w:t>
      </w:r>
      <w:r w:rsidR="000B1D87" w:rsidRPr="5648EFB3">
        <w:t>T</w:t>
      </w:r>
      <w:r w:rsidR="00567C24" w:rsidRPr="5648EFB3">
        <w:t>he con</w:t>
      </w:r>
      <w:r w:rsidR="00321180" w:rsidRPr="5648EFB3">
        <w:t>tract value is higher than the 7% tolerance set. Activity is 9</w:t>
      </w:r>
      <w:r w:rsidR="00567C24" w:rsidRPr="5648EFB3">
        <w:t xml:space="preserve">% higher, </w:t>
      </w:r>
      <w:r w:rsidR="00321180" w:rsidRPr="5648EFB3">
        <w:t>resulting in 8</w:t>
      </w:r>
      <w:r w:rsidR="00567C24" w:rsidRPr="5648EFB3">
        <w:t>% cost variance. The value</w:t>
      </w:r>
      <w:r w:rsidR="00321180" w:rsidRPr="5648EFB3">
        <w:t xml:space="preserve"> of the over-performance is £1</w:t>
      </w:r>
      <w:r w:rsidR="00B80B9C">
        <w:t>,</w:t>
      </w:r>
      <w:r w:rsidR="00321180" w:rsidRPr="5648EFB3">
        <w:t>102</w:t>
      </w:r>
      <w:r w:rsidR="00B80B9C">
        <w:t>,000</w:t>
      </w:r>
      <w:r w:rsidR="00321180" w:rsidRPr="5648EFB3">
        <w:t>. The value of the 7% tolerance is £930</w:t>
      </w:r>
      <w:r w:rsidR="00B80B9C">
        <w:t>,000</w:t>
      </w:r>
      <w:r w:rsidR="00567C24" w:rsidRPr="5648EFB3">
        <w:t xml:space="preserve"> based on an annual contract of £13,283</w:t>
      </w:r>
      <w:r w:rsidR="00B80B9C">
        <w:t>,000</w:t>
      </w:r>
      <w:r w:rsidR="00567C24" w:rsidRPr="5648EFB3">
        <w:t>. A 70% marginal rate is applied to the value of the over-performance resulting in a payment owed to th</w:t>
      </w:r>
      <w:r w:rsidR="003539F4" w:rsidRPr="5648EFB3">
        <w:t>e provider of £120</w:t>
      </w:r>
      <w:r w:rsidR="00B80B9C">
        <w:t>,000</w:t>
      </w:r>
      <w:r w:rsidR="00567C24" w:rsidRPr="5648EFB3">
        <w:t>.</w:t>
      </w:r>
      <w:r w:rsidR="000B1D87" w:rsidRPr="5648EFB3">
        <w:rPr>
          <w:b/>
        </w:rPr>
        <w:t xml:space="preserve"> </w:t>
      </w:r>
    </w:p>
    <w:p w14:paraId="17295D24" w14:textId="1DD8BA77" w:rsidR="001667C8" w:rsidRDefault="003539F4" w:rsidP="00515E81">
      <w:pPr>
        <w:pStyle w:val="ListParagraph"/>
        <w:numPr>
          <w:ilvl w:val="0"/>
          <w:numId w:val="0"/>
        </w:numPr>
        <w:spacing w:after="240"/>
        <w:ind w:left="-709"/>
        <w:contextualSpacing w:val="0"/>
        <w:rPr>
          <w:b/>
          <w:color w:val="FF0000"/>
        </w:rPr>
      </w:pPr>
      <w:r w:rsidRPr="003539F4">
        <w:rPr>
          <w:noProof/>
        </w:rPr>
        <w:drawing>
          <wp:inline distT="0" distB="0" distL="0" distR="0" wp14:anchorId="1352C604" wp14:editId="5F88F414">
            <wp:extent cx="9979843" cy="32575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91413" cy="3261327"/>
                    </a:xfrm>
                    <a:prstGeom prst="rect">
                      <a:avLst/>
                    </a:prstGeom>
                    <a:noFill/>
                    <a:ln>
                      <a:solidFill>
                        <a:schemeClr val="tx1"/>
                      </a:solidFill>
                    </a:ln>
                  </pic:spPr>
                </pic:pic>
              </a:graphicData>
            </a:graphic>
          </wp:inline>
        </w:drawing>
      </w:r>
    </w:p>
    <w:p w14:paraId="3988804D" w14:textId="4B6126C9" w:rsidR="001667C8" w:rsidRDefault="001667C8" w:rsidP="00225AF9">
      <w:pPr>
        <w:pStyle w:val="ListParagraph"/>
        <w:numPr>
          <w:ilvl w:val="0"/>
          <w:numId w:val="0"/>
        </w:numPr>
        <w:spacing w:after="240"/>
        <w:contextualSpacing w:val="0"/>
        <w:rPr>
          <w:b/>
          <w:color w:val="FF0000"/>
        </w:rPr>
      </w:pPr>
    </w:p>
    <w:p w14:paraId="6919C67B" w14:textId="77777777" w:rsidR="001667C8" w:rsidRPr="000B1D87" w:rsidRDefault="001667C8" w:rsidP="00515E81">
      <w:pPr>
        <w:pStyle w:val="ListParagraph"/>
        <w:numPr>
          <w:ilvl w:val="0"/>
          <w:numId w:val="0"/>
        </w:numPr>
        <w:spacing w:after="240"/>
        <w:ind w:left="-567"/>
        <w:contextualSpacing w:val="0"/>
        <w:rPr>
          <w:b/>
          <w:color w:val="FF0000"/>
        </w:rPr>
      </w:pPr>
    </w:p>
    <w:p w14:paraId="404E25F3" w14:textId="77777777" w:rsidR="003539F4" w:rsidRDefault="003539F4" w:rsidP="000B1D87">
      <w:pPr>
        <w:pStyle w:val="ListParagraph"/>
        <w:numPr>
          <w:ilvl w:val="0"/>
          <w:numId w:val="0"/>
        </w:numPr>
        <w:spacing w:after="240"/>
        <w:contextualSpacing w:val="0"/>
        <w:rPr>
          <w:b/>
          <w:color w:val="425563"/>
        </w:rPr>
      </w:pPr>
    </w:p>
    <w:p w14:paraId="2848E94D" w14:textId="77777777" w:rsidR="003539F4" w:rsidRDefault="003539F4" w:rsidP="000B1D87">
      <w:pPr>
        <w:pStyle w:val="ListParagraph"/>
        <w:numPr>
          <w:ilvl w:val="0"/>
          <w:numId w:val="0"/>
        </w:numPr>
        <w:spacing w:after="240"/>
        <w:contextualSpacing w:val="0"/>
        <w:rPr>
          <w:b/>
          <w:color w:val="425563"/>
        </w:rPr>
      </w:pPr>
    </w:p>
    <w:p w14:paraId="26D55A1A" w14:textId="0DA9C064" w:rsidR="000B1D87" w:rsidRDefault="00515E81" w:rsidP="000B1D87">
      <w:pPr>
        <w:pStyle w:val="ListParagraph"/>
        <w:numPr>
          <w:ilvl w:val="0"/>
          <w:numId w:val="0"/>
        </w:numPr>
        <w:spacing w:after="240"/>
        <w:contextualSpacing w:val="0"/>
        <w:rPr>
          <w:color w:val="425563"/>
        </w:rPr>
      </w:pPr>
      <w:r w:rsidRPr="005A4975">
        <w:rPr>
          <w:bCs/>
          <w:noProof/>
        </w:rPr>
        <w:drawing>
          <wp:anchor distT="0" distB="0" distL="114300" distR="114300" simplePos="0" relativeHeight="251658240" behindDoc="0" locked="0" layoutInCell="1" allowOverlap="1" wp14:anchorId="48277DCB" wp14:editId="6ACE8C92">
            <wp:simplePos x="0" y="0"/>
            <wp:positionH relativeFrom="margin">
              <wp:posOffset>-502285</wp:posOffset>
            </wp:positionH>
            <wp:positionV relativeFrom="margin">
              <wp:posOffset>1389380</wp:posOffset>
            </wp:positionV>
            <wp:extent cx="9986645" cy="3190875"/>
            <wp:effectExtent l="19050" t="19050" r="14605" b="285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86645" cy="31908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75980" w:rsidRPr="005A4975">
        <w:rPr>
          <w:bCs/>
          <w:color w:val="425563"/>
        </w:rPr>
        <w:t xml:space="preserve">Table </w:t>
      </w:r>
      <w:r w:rsidR="005A4975" w:rsidRPr="005A4975">
        <w:rPr>
          <w:bCs/>
          <w:color w:val="425563"/>
        </w:rPr>
        <w:t>3</w:t>
      </w:r>
      <w:r w:rsidR="00675980" w:rsidRPr="005A4975">
        <w:rPr>
          <w:bCs/>
          <w:color w:val="425563"/>
        </w:rPr>
        <w:t xml:space="preserve"> (</w:t>
      </w:r>
      <w:r w:rsidR="000B1D87" w:rsidRPr="005A4975">
        <w:rPr>
          <w:bCs/>
          <w:color w:val="425563"/>
        </w:rPr>
        <w:t>Example 2</w:t>
      </w:r>
      <w:r w:rsidR="00675980" w:rsidRPr="005A4975">
        <w:rPr>
          <w:bCs/>
          <w:color w:val="425563"/>
        </w:rPr>
        <w:t>)</w:t>
      </w:r>
      <w:r w:rsidR="000B1D87" w:rsidRPr="005A4975">
        <w:rPr>
          <w:bCs/>
          <w:color w:val="425563"/>
        </w:rPr>
        <w:t>:</w:t>
      </w:r>
      <w:r w:rsidR="000B1D87">
        <w:rPr>
          <w:b/>
          <w:color w:val="425563"/>
        </w:rPr>
        <w:t xml:space="preserve"> </w:t>
      </w:r>
      <w:r w:rsidR="000B1D87" w:rsidRPr="000B1D87">
        <w:rPr>
          <w:color w:val="425563"/>
        </w:rPr>
        <w:t>T</w:t>
      </w:r>
      <w:r w:rsidR="00567C24">
        <w:rPr>
          <w:color w:val="425563"/>
        </w:rPr>
        <w:t xml:space="preserve">he contract value is </w:t>
      </w:r>
      <w:r w:rsidR="00567C24" w:rsidRPr="00D267F4">
        <w:rPr>
          <w:color w:val="425563"/>
        </w:rPr>
        <w:t>lower</w:t>
      </w:r>
      <w:r w:rsidR="00567C24">
        <w:rPr>
          <w:color w:val="425563"/>
        </w:rPr>
        <w:t xml:space="preserve"> than the </w:t>
      </w:r>
      <w:r w:rsidR="003539F4">
        <w:rPr>
          <w:color w:val="425563"/>
        </w:rPr>
        <w:t>7% tolerance set. Activity is 9</w:t>
      </w:r>
      <w:r w:rsidR="00567C24">
        <w:rPr>
          <w:color w:val="425563"/>
        </w:rPr>
        <w:t xml:space="preserve">% lower, resulting in costs </w:t>
      </w:r>
      <w:r w:rsidR="003539F4">
        <w:rPr>
          <w:color w:val="425563"/>
        </w:rPr>
        <w:t>being 8</w:t>
      </w:r>
      <w:r w:rsidR="001667C8">
        <w:rPr>
          <w:color w:val="425563"/>
        </w:rPr>
        <w:t xml:space="preserve">% lower. The value </w:t>
      </w:r>
      <w:r w:rsidR="003539F4">
        <w:rPr>
          <w:color w:val="425563"/>
        </w:rPr>
        <w:t>of the under-performance is £1,063</w:t>
      </w:r>
      <w:r w:rsidR="009931FA">
        <w:rPr>
          <w:color w:val="425563"/>
        </w:rPr>
        <w:t>,000</w:t>
      </w:r>
      <w:r w:rsidR="003539F4">
        <w:rPr>
          <w:color w:val="425563"/>
        </w:rPr>
        <w:t>. The value of the 7</w:t>
      </w:r>
      <w:r w:rsidR="001667C8">
        <w:rPr>
          <w:color w:val="425563"/>
        </w:rPr>
        <w:t xml:space="preserve">% </w:t>
      </w:r>
      <w:r w:rsidR="003539F4">
        <w:rPr>
          <w:color w:val="425563"/>
        </w:rPr>
        <w:t>tolerance is £930</w:t>
      </w:r>
      <w:r w:rsidR="009931FA">
        <w:rPr>
          <w:color w:val="425563"/>
        </w:rPr>
        <w:t>,000</w:t>
      </w:r>
      <w:r w:rsidR="003539F4" w:rsidRPr="003539F4">
        <w:rPr>
          <w:color w:val="425563"/>
        </w:rPr>
        <w:t xml:space="preserve"> </w:t>
      </w:r>
      <w:r w:rsidR="003539F4">
        <w:rPr>
          <w:color w:val="425563"/>
        </w:rPr>
        <w:t>based on an annual contract of £13,283</w:t>
      </w:r>
      <w:r w:rsidR="009931FA">
        <w:rPr>
          <w:color w:val="425563"/>
        </w:rPr>
        <w:t>,000</w:t>
      </w:r>
      <w:r w:rsidR="003539F4">
        <w:rPr>
          <w:color w:val="425563"/>
        </w:rPr>
        <w:t>.</w:t>
      </w:r>
      <w:r w:rsidR="003539F4" w:rsidRPr="003539F4">
        <w:rPr>
          <w:color w:val="425563"/>
        </w:rPr>
        <w:t xml:space="preserve"> </w:t>
      </w:r>
      <w:r w:rsidR="003539F4">
        <w:rPr>
          <w:color w:val="425563"/>
        </w:rPr>
        <w:t>A 70% marginal rate is applied to the value of the under-performance resulting in a credit owed to the commissioner of £93</w:t>
      </w:r>
      <w:r w:rsidR="009931FA">
        <w:rPr>
          <w:color w:val="425563"/>
        </w:rPr>
        <w:t>,000</w:t>
      </w:r>
      <w:r w:rsidR="003539F4">
        <w:rPr>
          <w:color w:val="425563"/>
        </w:rPr>
        <w:t xml:space="preserve">. </w:t>
      </w:r>
    </w:p>
    <w:p w14:paraId="7717D60B" w14:textId="77777777" w:rsidR="003539F4" w:rsidRPr="000B1D87" w:rsidRDefault="003539F4" w:rsidP="000B1D87">
      <w:pPr>
        <w:pStyle w:val="ListParagraph"/>
        <w:numPr>
          <w:ilvl w:val="0"/>
          <w:numId w:val="0"/>
        </w:numPr>
        <w:spacing w:after="240"/>
        <w:contextualSpacing w:val="0"/>
        <w:rPr>
          <w:b/>
          <w:color w:val="FF0000"/>
        </w:rPr>
      </w:pPr>
    </w:p>
    <w:p w14:paraId="387E4806" w14:textId="77777777" w:rsidR="00515E81" w:rsidRDefault="00515E81">
      <w:pPr>
        <w:spacing w:after="160" w:line="259" w:lineRule="auto"/>
      </w:pPr>
      <w:r>
        <w:br w:type="page"/>
      </w:r>
    </w:p>
    <w:p w14:paraId="296F3045" w14:textId="72DDB1F4" w:rsidR="00225AF9" w:rsidRDefault="00225AF9" w:rsidP="00225AF9">
      <w:pPr>
        <w:pStyle w:val="ListParagraph"/>
        <w:numPr>
          <w:ilvl w:val="0"/>
          <w:numId w:val="0"/>
        </w:numPr>
        <w:spacing w:after="240"/>
        <w:contextualSpacing w:val="0"/>
      </w:pPr>
      <w:r w:rsidRPr="008E55E7">
        <w:lastRenderedPageBreak/>
        <w:t>As part of their response, bidders will need</w:t>
      </w:r>
      <w:r>
        <w:t xml:space="preserve"> demonstrate that the proposed service can be delivered in a financially sustainable manner, within the financial envelope that is set out below</w:t>
      </w:r>
      <w:r w:rsidR="00CD4D4F">
        <w:t xml:space="preserve"> (Please see Annex C, MSK Financial Model Template)</w:t>
      </w:r>
      <w:r>
        <w:t>.</w:t>
      </w:r>
    </w:p>
    <w:p w14:paraId="18038500" w14:textId="77777777" w:rsidR="00D024B7" w:rsidRDefault="00D024B7" w:rsidP="00D024B7">
      <w:pPr>
        <w:pStyle w:val="ListParagraph"/>
        <w:numPr>
          <w:ilvl w:val="0"/>
          <w:numId w:val="0"/>
        </w:numPr>
        <w:spacing w:after="120"/>
        <w:contextualSpacing w:val="0"/>
      </w:pPr>
      <w:r w:rsidRPr="001D22CE">
        <w:t xml:space="preserve">Table </w:t>
      </w:r>
      <w:r>
        <w:t>3</w:t>
      </w:r>
      <w:r w:rsidRPr="001D22CE">
        <w:t xml:space="preserve"> </w:t>
      </w:r>
      <w:r>
        <w:t>–</w:t>
      </w:r>
      <w:r w:rsidRPr="001D22CE">
        <w:t xml:space="preserve"> </w:t>
      </w:r>
      <w:r>
        <w:t xml:space="preserve">Annual Financial Envelope </w:t>
      </w:r>
    </w:p>
    <w:tbl>
      <w:tblPr>
        <w:tblW w:w="15073" w:type="dxa"/>
        <w:tblInd w:w="-289" w:type="dxa"/>
        <w:tblLook w:val="04A0" w:firstRow="1" w:lastRow="0" w:firstColumn="1" w:lastColumn="0" w:noHBand="0" w:noVBand="1"/>
      </w:tblPr>
      <w:tblGrid>
        <w:gridCol w:w="1219"/>
        <w:gridCol w:w="1417"/>
        <w:gridCol w:w="1537"/>
        <w:gridCol w:w="1537"/>
        <w:gridCol w:w="1537"/>
        <w:gridCol w:w="1537"/>
        <w:gridCol w:w="1537"/>
        <w:gridCol w:w="222"/>
        <w:gridCol w:w="1537"/>
        <w:gridCol w:w="1537"/>
        <w:gridCol w:w="1456"/>
      </w:tblGrid>
      <w:tr w:rsidR="00B80B9C" w:rsidRPr="00225AF9" w14:paraId="63C58368" w14:textId="77777777" w:rsidTr="00515E81">
        <w:trPr>
          <w:trHeight w:val="475"/>
        </w:trPr>
        <w:tc>
          <w:tcPr>
            <w:tcW w:w="1219" w:type="dxa"/>
            <w:tcBorders>
              <w:top w:val="single" w:sz="4" w:space="0" w:color="auto"/>
              <w:left w:val="single" w:sz="4" w:space="0" w:color="auto"/>
              <w:bottom w:val="nil"/>
              <w:right w:val="single" w:sz="4" w:space="0" w:color="auto"/>
            </w:tcBorders>
            <w:shd w:val="clear" w:color="000000" w:fill="D9D9D9"/>
            <w:hideMark/>
          </w:tcPr>
          <w:p w14:paraId="5A11FF61" w14:textId="77777777" w:rsidR="00D024B7" w:rsidRPr="00225AF9" w:rsidRDefault="00D024B7" w:rsidP="00BC15FF">
            <w:pPr>
              <w:spacing w:line="240" w:lineRule="auto"/>
              <w:rPr>
                <w:rFonts w:ascii="Poppins" w:eastAsia="Times New Roman" w:hAnsi="Poppins" w:cs="Poppins"/>
                <w:color w:val="425563"/>
                <w:sz w:val="20"/>
                <w:szCs w:val="20"/>
                <w:lang w:eastAsia="en-GB"/>
              </w:rPr>
            </w:pPr>
          </w:p>
        </w:tc>
        <w:tc>
          <w:tcPr>
            <w:tcW w:w="1417" w:type="dxa"/>
            <w:tcBorders>
              <w:top w:val="single" w:sz="8" w:space="0" w:color="auto"/>
              <w:left w:val="single" w:sz="8" w:space="0" w:color="auto"/>
              <w:bottom w:val="single" w:sz="8" w:space="0" w:color="auto"/>
              <w:right w:val="single" w:sz="4" w:space="0" w:color="auto"/>
            </w:tcBorders>
            <w:shd w:val="clear" w:color="000000" w:fill="D9D9D9"/>
            <w:hideMark/>
          </w:tcPr>
          <w:p w14:paraId="7F7F16C8"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Year 1</w:t>
            </w:r>
            <w:r w:rsidRPr="00225AF9">
              <w:rPr>
                <w:rFonts w:ascii="Poppins" w:eastAsia="Times New Roman" w:hAnsi="Poppins" w:cs="Poppins"/>
                <w:color w:val="425563"/>
                <w:sz w:val="20"/>
                <w:szCs w:val="20"/>
                <w:lang w:eastAsia="en-GB"/>
              </w:rPr>
              <w:br/>
              <w:t>2023/2024</w:t>
            </w:r>
            <w:r w:rsidRPr="00225AF9">
              <w:rPr>
                <w:rFonts w:ascii="Poppins" w:eastAsia="Times New Roman" w:hAnsi="Poppins" w:cs="Poppins"/>
                <w:color w:val="425563"/>
                <w:sz w:val="20"/>
                <w:szCs w:val="20"/>
                <w:lang w:eastAsia="en-GB"/>
              </w:rPr>
              <w:br/>
              <w:t>(3 months)</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499A0219"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Year 2</w:t>
            </w:r>
            <w:r w:rsidRPr="00225AF9">
              <w:rPr>
                <w:rFonts w:ascii="Poppins" w:eastAsia="Times New Roman" w:hAnsi="Poppins" w:cs="Poppins"/>
                <w:color w:val="425563"/>
                <w:sz w:val="20"/>
                <w:szCs w:val="20"/>
                <w:lang w:eastAsia="en-GB"/>
              </w:rPr>
              <w:br/>
              <w:t>2024/2025</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344F5445"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Year 3</w:t>
            </w:r>
            <w:r w:rsidRPr="00225AF9">
              <w:rPr>
                <w:rFonts w:ascii="Poppins" w:eastAsia="Times New Roman" w:hAnsi="Poppins" w:cs="Poppins"/>
                <w:color w:val="425563"/>
                <w:sz w:val="20"/>
                <w:szCs w:val="20"/>
                <w:lang w:eastAsia="en-GB"/>
              </w:rPr>
              <w:br/>
              <w:t>2025/2026</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6260B714"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Year 4</w:t>
            </w:r>
            <w:r w:rsidRPr="00225AF9">
              <w:rPr>
                <w:rFonts w:ascii="Poppins" w:eastAsia="Times New Roman" w:hAnsi="Poppins" w:cs="Poppins"/>
                <w:color w:val="425563"/>
                <w:sz w:val="20"/>
                <w:szCs w:val="20"/>
                <w:lang w:eastAsia="en-GB"/>
              </w:rPr>
              <w:br/>
              <w:t>2026/2027</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335C5634"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Year 5</w:t>
            </w:r>
            <w:r w:rsidRPr="00225AF9">
              <w:rPr>
                <w:rFonts w:ascii="Poppins" w:eastAsia="Times New Roman" w:hAnsi="Poppins" w:cs="Poppins"/>
                <w:color w:val="425563"/>
                <w:sz w:val="20"/>
                <w:szCs w:val="20"/>
                <w:lang w:eastAsia="en-GB"/>
              </w:rPr>
              <w:br/>
              <w:t>2027/2028</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7863DDDB"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Totals (5 year)</w:t>
            </w:r>
            <w:r w:rsidRPr="00225AF9">
              <w:rPr>
                <w:rFonts w:ascii="Poppins" w:eastAsia="Times New Roman" w:hAnsi="Poppins" w:cs="Poppins"/>
                <w:color w:val="425563"/>
                <w:sz w:val="20"/>
                <w:szCs w:val="20"/>
                <w:lang w:eastAsia="en-GB"/>
              </w:rPr>
              <w:br/>
              <w:t>2023-2028</w:t>
            </w:r>
          </w:p>
        </w:tc>
        <w:tc>
          <w:tcPr>
            <w:tcW w:w="222" w:type="dxa"/>
            <w:tcBorders>
              <w:top w:val="nil"/>
              <w:left w:val="nil"/>
              <w:bottom w:val="nil"/>
              <w:right w:val="nil"/>
            </w:tcBorders>
            <w:shd w:val="clear" w:color="auto" w:fill="auto"/>
            <w:hideMark/>
          </w:tcPr>
          <w:p w14:paraId="2A431A03"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6B49BDE1"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 xml:space="preserve">Year 6 </w:t>
            </w:r>
            <w:r w:rsidRPr="00225AF9">
              <w:rPr>
                <w:rFonts w:ascii="Poppins" w:eastAsia="Times New Roman" w:hAnsi="Poppins" w:cs="Poppins"/>
                <w:color w:val="425563"/>
                <w:sz w:val="20"/>
                <w:szCs w:val="20"/>
                <w:lang w:eastAsia="en-GB"/>
              </w:rPr>
              <w:br/>
              <w:t>(if extended)</w:t>
            </w:r>
            <w:r w:rsidRPr="00225AF9">
              <w:rPr>
                <w:rFonts w:ascii="Poppins" w:eastAsia="Times New Roman" w:hAnsi="Poppins" w:cs="Poppins"/>
                <w:color w:val="425563"/>
                <w:sz w:val="20"/>
                <w:szCs w:val="20"/>
                <w:lang w:eastAsia="en-GB"/>
              </w:rPr>
              <w:br/>
              <w:t>2028/2029</w:t>
            </w:r>
          </w:p>
        </w:tc>
        <w:tc>
          <w:tcPr>
            <w:tcW w:w="1537" w:type="dxa"/>
            <w:tcBorders>
              <w:top w:val="single" w:sz="8" w:space="0" w:color="auto"/>
              <w:left w:val="single" w:sz="8" w:space="0" w:color="auto"/>
              <w:bottom w:val="single" w:sz="8" w:space="0" w:color="auto"/>
              <w:right w:val="single" w:sz="4" w:space="0" w:color="auto"/>
            </w:tcBorders>
            <w:shd w:val="clear" w:color="000000" w:fill="D9D9D9"/>
            <w:hideMark/>
          </w:tcPr>
          <w:p w14:paraId="070643F2"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 xml:space="preserve">Year 7 </w:t>
            </w:r>
            <w:r w:rsidRPr="00225AF9">
              <w:rPr>
                <w:rFonts w:ascii="Poppins" w:eastAsia="Times New Roman" w:hAnsi="Poppins" w:cs="Poppins"/>
                <w:color w:val="425563"/>
                <w:sz w:val="20"/>
                <w:szCs w:val="20"/>
                <w:lang w:eastAsia="en-GB"/>
              </w:rPr>
              <w:br/>
              <w:t>(if extended)</w:t>
            </w:r>
            <w:r w:rsidRPr="00225AF9">
              <w:rPr>
                <w:rFonts w:ascii="Poppins" w:eastAsia="Times New Roman" w:hAnsi="Poppins" w:cs="Poppins"/>
                <w:color w:val="425563"/>
                <w:sz w:val="20"/>
                <w:szCs w:val="20"/>
                <w:lang w:eastAsia="en-GB"/>
              </w:rPr>
              <w:br/>
              <w:t>2029/2030</w:t>
            </w:r>
          </w:p>
        </w:tc>
        <w:tc>
          <w:tcPr>
            <w:tcW w:w="1456" w:type="dxa"/>
            <w:tcBorders>
              <w:top w:val="single" w:sz="8" w:space="0" w:color="auto"/>
              <w:left w:val="single" w:sz="8" w:space="0" w:color="auto"/>
              <w:bottom w:val="single" w:sz="8" w:space="0" w:color="auto"/>
              <w:right w:val="single" w:sz="4" w:space="0" w:color="auto"/>
            </w:tcBorders>
            <w:shd w:val="clear" w:color="000000" w:fill="D9D9D9"/>
            <w:hideMark/>
          </w:tcPr>
          <w:p w14:paraId="16696146" w14:textId="77777777" w:rsidR="00D024B7" w:rsidRPr="00225AF9" w:rsidRDefault="00D024B7" w:rsidP="00BC15FF">
            <w:pPr>
              <w:spacing w:line="240" w:lineRule="auto"/>
              <w:jc w:val="right"/>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Totals (7 year)</w:t>
            </w:r>
            <w:r w:rsidRPr="00225AF9">
              <w:rPr>
                <w:rFonts w:ascii="Poppins" w:eastAsia="Times New Roman" w:hAnsi="Poppins" w:cs="Poppins"/>
                <w:color w:val="425563"/>
                <w:sz w:val="20"/>
                <w:szCs w:val="20"/>
                <w:lang w:eastAsia="en-GB"/>
              </w:rPr>
              <w:br/>
              <w:t>2023-2030</w:t>
            </w:r>
          </w:p>
        </w:tc>
      </w:tr>
      <w:tr w:rsidR="00B80B9C" w:rsidRPr="00225AF9" w14:paraId="22517073" w14:textId="77777777" w:rsidTr="00515E81">
        <w:trPr>
          <w:trHeight w:val="313"/>
        </w:trPr>
        <w:tc>
          <w:tcPr>
            <w:tcW w:w="12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4F29D7" w14:textId="77777777" w:rsidR="00D024B7" w:rsidRPr="00225AF9" w:rsidRDefault="00D024B7" w:rsidP="00BC15FF">
            <w:pPr>
              <w:spacing w:line="240" w:lineRule="auto"/>
              <w:rPr>
                <w:rFonts w:ascii="Poppins" w:eastAsia="Times New Roman" w:hAnsi="Poppins" w:cs="Poppins"/>
                <w:color w:val="425563"/>
                <w:sz w:val="20"/>
                <w:szCs w:val="20"/>
                <w:lang w:eastAsia="en-GB"/>
              </w:rPr>
            </w:pPr>
            <w:r>
              <w:t>Annual Financial Envelope to deliver Expected Activity</w:t>
            </w:r>
          </w:p>
        </w:tc>
        <w:tc>
          <w:tcPr>
            <w:tcW w:w="1417" w:type="dxa"/>
            <w:tcBorders>
              <w:top w:val="single" w:sz="4" w:space="0" w:color="auto"/>
              <w:left w:val="nil"/>
              <w:bottom w:val="single" w:sz="4" w:space="0" w:color="auto"/>
              <w:right w:val="single" w:sz="4" w:space="0" w:color="auto"/>
            </w:tcBorders>
            <w:shd w:val="clear" w:color="000000" w:fill="D5DDE3"/>
            <w:noWrap/>
            <w:vAlign w:val="center"/>
            <w:hideMark/>
          </w:tcPr>
          <w:p w14:paraId="1704D6A7" w14:textId="77777777" w:rsidR="00D024B7" w:rsidRPr="00225AF9" w:rsidRDefault="00D024B7" w:rsidP="00BC15FF">
            <w:pPr>
              <w:spacing w:line="240" w:lineRule="auto"/>
              <w:jc w:val="center"/>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£3,243,000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2FAB8B54" w14:textId="77777777" w:rsidR="00D024B7" w:rsidRPr="00225AF9" w:rsidRDefault="00D024B7" w:rsidP="00BC15FF">
            <w:pPr>
              <w:spacing w:line="240" w:lineRule="auto"/>
              <w:jc w:val="center"/>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£13,283,000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630CD401" w14:textId="77777777" w:rsidR="00D024B7" w:rsidRPr="00225AF9" w:rsidRDefault="00D024B7" w:rsidP="00BC15FF">
            <w:pPr>
              <w:spacing w:line="240" w:lineRule="auto"/>
              <w:jc w:val="center"/>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£13,602,000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7E2E16EE" w14:textId="77777777" w:rsidR="00D024B7" w:rsidRPr="00225AF9" w:rsidRDefault="00D024B7" w:rsidP="00BC15FF">
            <w:pPr>
              <w:spacing w:line="240" w:lineRule="auto"/>
              <w:jc w:val="center"/>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£13,928,000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4932B03B" w14:textId="77777777" w:rsidR="00D024B7" w:rsidRPr="00225AF9" w:rsidRDefault="00D024B7" w:rsidP="00BC15FF">
            <w:pPr>
              <w:spacing w:line="240" w:lineRule="auto"/>
              <w:jc w:val="center"/>
              <w:rPr>
                <w:rFonts w:ascii="Poppins" w:eastAsia="Times New Roman" w:hAnsi="Poppins" w:cs="Poppins"/>
                <w:color w:val="425563"/>
                <w:sz w:val="20"/>
                <w:szCs w:val="20"/>
                <w:lang w:eastAsia="en-GB"/>
              </w:rPr>
            </w:pPr>
            <w:r w:rsidRPr="00225AF9">
              <w:rPr>
                <w:rFonts w:ascii="Poppins" w:eastAsia="Times New Roman" w:hAnsi="Poppins" w:cs="Poppins"/>
                <w:color w:val="425563"/>
                <w:sz w:val="20"/>
                <w:szCs w:val="20"/>
                <w:lang w:eastAsia="en-GB"/>
              </w:rPr>
              <w:t>£14,262,000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389FA65E" w14:textId="77777777" w:rsidR="00D024B7" w:rsidRPr="00F34455" w:rsidRDefault="00D024B7" w:rsidP="00BC15FF">
            <w:pPr>
              <w:spacing w:line="240" w:lineRule="auto"/>
              <w:jc w:val="center"/>
              <w:rPr>
                <w:rFonts w:ascii="Poppins" w:eastAsia="Times New Roman" w:hAnsi="Poppins" w:cs="Poppins"/>
                <w:b/>
                <w:bCs/>
                <w:sz w:val="20"/>
                <w:szCs w:val="20"/>
                <w:lang w:eastAsia="en-GB"/>
              </w:rPr>
            </w:pPr>
            <w:r w:rsidRPr="00F34455">
              <w:rPr>
                <w:rFonts w:ascii="Poppins" w:eastAsia="Times New Roman" w:hAnsi="Poppins" w:cs="Poppins"/>
                <w:b/>
                <w:bCs/>
                <w:sz w:val="20"/>
                <w:szCs w:val="20"/>
                <w:lang w:eastAsia="en-GB"/>
              </w:rPr>
              <w:t>£58,318,000</w:t>
            </w:r>
          </w:p>
        </w:tc>
        <w:tc>
          <w:tcPr>
            <w:tcW w:w="222" w:type="dxa"/>
            <w:tcBorders>
              <w:top w:val="nil"/>
              <w:left w:val="nil"/>
              <w:bottom w:val="nil"/>
              <w:right w:val="nil"/>
            </w:tcBorders>
            <w:shd w:val="clear" w:color="auto" w:fill="auto"/>
            <w:vAlign w:val="center"/>
            <w:hideMark/>
          </w:tcPr>
          <w:p w14:paraId="5FBE434E" w14:textId="77777777" w:rsidR="00D024B7" w:rsidRPr="00F34455" w:rsidRDefault="00D024B7" w:rsidP="00BC15FF">
            <w:pPr>
              <w:spacing w:line="240" w:lineRule="auto"/>
              <w:jc w:val="center"/>
              <w:rPr>
                <w:rFonts w:ascii="Poppins" w:eastAsia="Times New Roman" w:hAnsi="Poppins" w:cs="Poppins"/>
                <w:b/>
                <w:bCs/>
                <w:sz w:val="20"/>
                <w:szCs w:val="20"/>
                <w:lang w:eastAsia="en-GB"/>
              </w:rPr>
            </w:pPr>
          </w:p>
        </w:tc>
        <w:tc>
          <w:tcPr>
            <w:tcW w:w="1537" w:type="dxa"/>
            <w:tcBorders>
              <w:top w:val="single" w:sz="4" w:space="0" w:color="auto"/>
              <w:left w:val="single" w:sz="4" w:space="0" w:color="auto"/>
              <w:bottom w:val="single" w:sz="4" w:space="0" w:color="auto"/>
              <w:right w:val="single" w:sz="4" w:space="0" w:color="auto"/>
            </w:tcBorders>
            <w:shd w:val="clear" w:color="000000" w:fill="D5DDE3"/>
            <w:noWrap/>
            <w:vAlign w:val="center"/>
            <w:hideMark/>
          </w:tcPr>
          <w:p w14:paraId="2128FB67" w14:textId="77777777" w:rsidR="00D024B7" w:rsidRPr="00F34455" w:rsidRDefault="00D024B7" w:rsidP="00BC15FF">
            <w:pPr>
              <w:spacing w:line="240" w:lineRule="auto"/>
              <w:jc w:val="center"/>
              <w:rPr>
                <w:rFonts w:ascii="Poppins" w:eastAsia="Times New Roman" w:hAnsi="Poppins" w:cs="Poppins"/>
                <w:sz w:val="20"/>
                <w:szCs w:val="20"/>
                <w:lang w:eastAsia="en-GB"/>
              </w:rPr>
            </w:pPr>
            <w:r w:rsidRPr="00F34455">
              <w:rPr>
                <w:rFonts w:ascii="Poppins" w:eastAsia="Times New Roman" w:hAnsi="Poppins" w:cs="Poppins"/>
                <w:sz w:val="20"/>
                <w:szCs w:val="20"/>
                <w:lang w:eastAsia="en-GB"/>
              </w:rPr>
              <w:t>£14,604,000</w:t>
            </w:r>
          </w:p>
        </w:tc>
        <w:tc>
          <w:tcPr>
            <w:tcW w:w="1537" w:type="dxa"/>
            <w:tcBorders>
              <w:top w:val="single" w:sz="4" w:space="0" w:color="auto"/>
              <w:left w:val="nil"/>
              <w:bottom w:val="single" w:sz="4" w:space="0" w:color="auto"/>
              <w:right w:val="single" w:sz="4" w:space="0" w:color="auto"/>
            </w:tcBorders>
            <w:shd w:val="clear" w:color="000000" w:fill="D5DDE3"/>
            <w:noWrap/>
            <w:vAlign w:val="center"/>
            <w:hideMark/>
          </w:tcPr>
          <w:p w14:paraId="3C415FC2" w14:textId="77777777" w:rsidR="00D024B7" w:rsidRPr="00F34455" w:rsidRDefault="00D024B7" w:rsidP="00BC15FF">
            <w:pPr>
              <w:spacing w:line="240" w:lineRule="auto"/>
              <w:jc w:val="center"/>
              <w:rPr>
                <w:rFonts w:ascii="Poppins" w:eastAsia="Times New Roman" w:hAnsi="Poppins" w:cs="Poppins"/>
                <w:sz w:val="20"/>
                <w:szCs w:val="20"/>
                <w:lang w:eastAsia="en-GB"/>
              </w:rPr>
            </w:pPr>
            <w:r w:rsidRPr="00F34455">
              <w:rPr>
                <w:rFonts w:ascii="Poppins" w:eastAsia="Times New Roman" w:hAnsi="Poppins" w:cs="Poppins"/>
                <w:sz w:val="20"/>
                <w:szCs w:val="20"/>
                <w:lang w:eastAsia="en-GB"/>
              </w:rPr>
              <w:t>£14,954,000</w:t>
            </w:r>
          </w:p>
        </w:tc>
        <w:tc>
          <w:tcPr>
            <w:tcW w:w="1456" w:type="dxa"/>
            <w:tcBorders>
              <w:top w:val="single" w:sz="4" w:space="0" w:color="auto"/>
              <w:left w:val="nil"/>
              <w:bottom w:val="single" w:sz="4" w:space="0" w:color="auto"/>
              <w:right w:val="single" w:sz="4" w:space="0" w:color="auto"/>
            </w:tcBorders>
            <w:shd w:val="clear" w:color="000000" w:fill="D5DDE3"/>
            <w:noWrap/>
            <w:vAlign w:val="center"/>
            <w:hideMark/>
          </w:tcPr>
          <w:p w14:paraId="330357F0" w14:textId="12D9D20B" w:rsidR="00D024B7" w:rsidRPr="00F34455" w:rsidRDefault="00D024B7" w:rsidP="008760C1">
            <w:pPr>
              <w:spacing w:line="240" w:lineRule="auto"/>
              <w:jc w:val="center"/>
              <w:rPr>
                <w:rFonts w:ascii="Poppins" w:eastAsia="Times New Roman" w:hAnsi="Poppins" w:cs="Poppins"/>
                <w:b/>
                <w:bCs/>
                <w:sz w:val="20"/>
                <w:szCs w:val="20"/>
                <w:lang w:eastAsia="en-GB"/>
              </w:rPr>
            </w:pPr>
            <w:r w:rsidRPr="00F34455">
              <w:rPr>
                <w:rFonts w:ascii="Poppins" w:eastAsia="Times New Roman" w:hAnsi="Poppins" w:cs="Poppins"/>
                <w:b/>
                <w:bCs/>
                <w:sz w:val="20"/>
                <w:szCs w:val="20"/>
                <w:lang w:eastAsia="en-GB"/>
              </w:rPr>
              <w:t>£</w:t>
            </w:r>
            <w:r w:rsidR="008760C1" w:rsidRPr="00F34455">
              <w:rPr>
                <w:rFonts w:ascii="Poppins" w:eastAsia="Times New Roman" w:hAnsi="Poppins" w:cs="Poppins"/>
                <w:b/>
                <w:bCs/>
                <w:sz w:val="20"/>
                <w:szCs w:val="20"/>
                <w:lang w:eastAsia="en-GB"/>
              </w:rPr>
              <w:t>87,876,000</w:t>
            </w:r>
          </w:p>
        </w:tc>
      </w:tr>
    </w:tbl>
    <w:p w14:paraId="074FB24B" w14:textId="77777777" w:rsidR="004A0434" w:rsidRDefault="004A0434" w:rsidP="004A0434">
      <w:pPr>
        <w:spacing w:after="120"/>
        <w:sectPr w:rsidR="004A0434" w:rsidSect="004A0434">
          <w:pgSz w:w="16838" w:h="11906" w:orient="landscape"/>
          <w:pgMar w:top="1077" w:right="1843" w:bottom="1077" w:left="1361" w:header="709" w:footer="284" w:gutter="0"/>
          <w:cols w:space="708"/>
          <w:titlePg/>
          <w:docGrid w:linePitch="360"/>
        </w:sectPr>
      </w:pPr>
    </w:p>
    <w:p w14:paraId="0A097BA5" w14:textId="77777777" w:rsidR="004A0434" w:rsidRPr="00F34455" w:rsidRDefault="004A0434" w:rsidP="00515E81">
      <w:pPr>
        <w:pStyle w:val="Heading2"/>
        <w:spacing w:after="120" w:line="264" w:lineRule="auto"/>
        <w:ind w:firstLine="0"/>
        <w:rPr>
          <w:b/>
          <w:bCs/>
        </w:rPr>
      </w:pPr>
      <w:r w:rsidRPr="00F34455">
        <w:rPr>
          <w:b/>
          <w:bCs/>
        </w:rPr>
        <w:lastRenderedPageBreak/>
        <w:t>PRICE &amp; PAYMENTS</w:t>
      </w:r>
    </w:p>
    <w:p w14:paraId="28D92230" w14:textId="796F33A1" w:rsidR="004A0434" w:rsidRPr="000C6122" w:rsidRDefault="004A0434" w:rsidP="004A0434">
      <w:pPr>
        <w:spacing w:after="120"/>
        <w:rPr>
          <w:b/>
        </w:rPr>
      </w:pPr>
      <w:r>
        <w:rPr>
          <w:color w:val="425563"/>
        </w:rPr>
        <w:t>T</w:t>
      </w:r>
      <w:r w:rsidRPr="000C6122">
        <w:rPr>
          <w:color w:val="425563"/>
        </w:rPr>
        <w:t xml:space="preserve">he contract will </w:t>
      </w:r>
      <w:r w:rsidR="00095EA9">
        <w:rPr>
          <w:color w:val="425563"/>
        </w:rPr>
        <w:t>include the following payment</w:t>
      </w:r>
      <w:r w:rsidRPr="000C6122">
        <w:rPr>
          <w:color w:val="425563"/>
        </w:rPr>
        <w:t xml:space="preserve"> provision</w:t>
      </w:r>
      <w:r w:rsidR="008A68F0">
        <w:rPr>
          <w:color w:val="425563"/>
        </w:rPr>
        <w:t>s,</w:t>
      </w:r>
      <w:r w:rsidR="00D82EFB">
        <w:rPr>
          <w:color w:val="425563"/>
        </w:rPr>
        <w:t xml:space="preserve"> based on a</w:t>
      </w:r>
      <w:r w:rsidR="00D82EFB">
        <w:t xml:space="preserve"> locally developed contract price (block)</w:t>
      </w:r>
      <w:r w:rsidRPr="000C6122">
        <w:rPr>
          <w:color w:val="425563"/>
        </w:rPr>
        <w:t>:</w:t>
      </w:r>
    </w:p>
    <w:p w14:paraId="2D015C96" w14:textId="78D64CB5" w:rsidR="004A0434" w:rsidRPr="00DD6490" w:rsidRDefault="004A0434" w:rsidP="004A0434">
      <w:pPr>
        <w:pStyle w:val="ListParagraph"/>
        <w:numPr>
          <w:ilvl w:val="0"/>
          <w:numId w:val="26"/>
        </w:numPr>
        <w:spacing w:after="120"/>
        <w:contextualSpacing w:val="0"/>
        <w:rPr>
          <w:b/>
        </w:rPr>
      </w:pPr>
      <w:r w:rsidRPr="0096221A">
        <w:rPr>
          <w:b/>
          <w:bCs/>
        </w:rPr>
        <w:t>Monthly:</w:t>
      </w:r>
      <w:r>
        <w:t xml:space="preserve"> </w:t>
      </w:r>
      <w:r w:rsidR="001931C5">
        <w:t xml:space="preserve">One twelfth (1/12) </w:t>
      </w:r>
      <w:r w:rsidRPr="000C6122">
        <w:t>of the</w:t>
      </w:r>
      <w:r w:rsidR="00CE7422">
        <w:t xml:space="preserve"> total</w:t>
      </w:r>
      <w:r w:rsidRPr="000C6122">
        <w:t xml:space="preserve"> </w:t>
      </w:r>
      <w:r w:rsidR="001508FB">
        <w:t>a</w:t>
      </w:r>
      <w:r w:rsidRPr="000C6122">
        <w:t xml:space="preserve">nnual </w:t>
      </w:r>
      <w:r w:rsidR="0075061E">
        <w:t>contract</w:t>
      </w:r>
      <w:r w:rsidRPr="000C6122">
        <w:t xml:space="preserve"> </w:t>
      </w:r>
      <w:r w:rsidR="0075061E">
        <w:t>p</w:t>
      </w:r>
      <w:r w:rsidRPr="000C6122">
        <w:t xml:space="preserve">rice </w:t>
      </w:r>
      <w:r w:rsidR="001931C5">
        <w:t xml:space="preserve">will be </w:t>
      </w:r>
      <w:r w:rsidRPr="000C6122">
        <w:t xml:space="preserve">payable </w:t>
      </w:r>
      <w:r w:rsidR="0075061E">
        <w:t xml:space="preserve">in </w:t>
      </w:r>
      <w:r w:rsidRPr="000C6122">
        <w:t xml:space="preserve">equal </w:t>
      </w:r>
      <w:r w:rsidR="001931C5">
        <w:t xml:space="preserve">monthly </w:t>
      </w:r>
      <w:r w:rsidRPr="000C6122">
        <w:t>instalments</w:t>
      </w:r>
      <w:r w:rsidRPr="000C6122">
        <w:rPr>
          <w:color w:val="425563"/>
        </w:rPr>
        <w:t xml:space="preserve"> </w:t>
      </w:r>
      <w:r w:rsidRPr="007D5152">
        <w:rPr>
          <w:color w:val="425563"/>
        </w:rPr>
        <w:t>at the commencement of each calendar month</w:t>
      </w:r>
      <w:r>
        <w:rPr>
          <w:color w:val="425563"/>
        </w:rPr>
        <w:t>,</w:t>
      </w:r>
      <w:r w:rsidRPr="007D5152">
        <w:rPr>
          <w:color w:val="425563"/>
        </w:rPr>
        <w:t xml:space="preserve"> on the launch of the service and on </w:t>
      </w:r>
      <w:r>
        <w:rPr>
          <w:color w:val="425563"/>
        </w:rPr>
        <w:t>first</w:t>
      </w:r>
      <w:r w:rsidRPr="007D5152">
        <w:rPr>
          <w:color w:val="425563"/>
        </w:rPr>
        <w:t xml:space="preserve"> of each month thereafter</w:t>
      </w:r>
      <w:r w:rsidR="00201B31">
        <w:rPr>
          <w:color w:val="425563"/>
        </w:rPr>
        <w:t xml:space="preserve">, except where </w:t>
      </w:r>
      <w:r w:rsidR="00F91368">
        <w:rPr>
          <w:color w:val="425563"/>
        </w:rPr>
        <w:t xml:space="preserve">affected by a </w:t>
      </w:r>
      <w:r w:rsidR="00D403BB">
        <w:rPr>
          <w:color w:val="425563"/>
        </w:rPr>
        <w:t>quarterly</w:t>
      </w:r>
      <w:r w:rsidR="00F91368">
        <w:rPr>
          <w:color w:val="425563"/>
        </w:rPr>
        <w:t xml:space="preserve"> adjustment</w:t>
      </w:r>
      <w:r w:rsidR="00036FD3">
        <w:rPr>
          <w:color w:val="425563"/>
        </w:rPr>
        <w:t>s</w:t>
      </w:r>
      <w:r w:rsidR="00F91368">
        <w:rPr>
          <w:color w:val="425563"/>
        </w:rPr>
        <w:t xml:space="preserve"> (please see below).</w:t>
      </w:r>
    </w:p>
    <w:p w14:paraId="2A9AABFA" w14:textId="77777777" w:rsidR="002D3AF3" w:rsidRPr="002D3AF3" w:rsidRDefault="007E2EB1" w:rsidP="004A0434">
      <w:pPr>
        <w:pStyle w:val="ListParagraph"/>
        <w:numPr>
          <w:ilvl w:val="0"/>
          <w:numId w:val="26"/>
        </w:numPr>
        <w:spacing w:after="120"/>
        <w:contextualSpacing w:val="0"/>
        <w:rPr>
          <w:b/>
        </w:rPr>
      </w:pPr>
      <w:r>
        <w:rPr>
          <w:b/>
          <w:bCs/>
        </w:rPr>
        <w:t>Quarterly</w:t>
      </w:r>
      <w:r w:rsidR="00DD6490" w:rsidRPr="0096221A">
        <w:rPr>
          <w:b/>
          <w:bCs/>
        </w:rPr>
        <w:t>:</w:t>
      </w:r>
    </w:p>
    <w:p w14:paraId="38491F68" w14:textId="078F039D" w:rsidR="00427728" w:rsidRPr="00945FD9" w:rsidRDefault="00C07C1E" w:rsidP="00C42D43">
      <w:pPr>
        <w:pStyle w:val="ListParagraph"/>
        <w:numPr>
          <w:ilvl w:val="1"/>
          <w:numId w:val="26"/>
        </w:numPr>
        <w:spacing w:after="120"/>
        <w:contextualSpacing w:val="0"/>
        <w:rPr>
          <w:b/>
          <w:bCs/>
        </w:rPr>
      </w:pPr>
      <w:r w:rsidRPr="00945FD9">
        <w:rPr>
          <w:b/>
          <w:bCs/>
        </w:rPr>
        <w:t xml:space="preserve">KPI </w:t>
      </w:r>
      <w:r w:rsidR="00427728" w:rsidRPr="00945FD9">
        <w:rPr>
          <w:b/>
          <w:bCs/>
        </w:rPr>
        <w:t>adjustment</w:t>
      </w:r>
    </w:p>
    <w:p w14:paraId="17C3112A" w14:textId="1D5E9276" w:rsidR="00FB4923" w:rsidRPr="0096221A" w:rsidRDefault="00FB4923" w:rsidP="00FB4923">
      <w:pPr>
        <w:pStyle w:val="ListParagraph"/>
        <w:numPr>
          <w:ilvl w:val="0"/>
          <w:numId w:val="0"/>
        </w:numPr>
        <w:spacing w:after="120"/>
        <w:ind w:left="1872"/>
        <w:contextualSpacing w:val="0"/>
        <w:rPr>
          <w:b/>
        </w:rPr>
      </w:pPr>
      <w:r>
        <w:t xml:space="preserve">The achievement of KPIs will be monitored over each </w:t>
      </w:r>
      <w:r w:rsidR="00396E45">
        <w:t>three</w:t>
      </w:r>
      <w:r>
        <w:t>-month period, with the following month</w:t>
      </w:r>
      <w:r w:rsidR="00396E45">
        <w:t>’s</w:t>
      </w:r>
      <w:r>
        <w:t xml:space="preserve"> payment </w:t>
      </w:r>
      <w:r w:rsidR="00396E45">
        <w:t xml:space="preserve">being </w:t>
      </w:r>
      <w:r>
        <w:t xml:space="preserve">potentially </w:t>
      </w:r>
      <w:r w:rsidR="00396E45">
        <w:t>ad</w:t>
      </w:r>
      <w:r>
        <w:t>justed (please see KPI Adjustments</w:t>
      </w:r>
      <w:r w:rsidR="00396E45">
        <w:t xml:space="preserve"> section</w:t>
      </w:r>
      <w:r>
        <w:t xml:space="preserve"> below).</w:t>
      </w:r>
      <w:r>
        <w:rPr>
          <w:b/>
          <w:bCs/>
        </w:rPr>
        <w:t xml:space="preserve"> </w:t>
      </w:r>
    </w:p>
    <w:p w14:paraId="1B5BFDDD" w14:textId="19352284" w:rsidR="00C42D43" w:rsidRPr="00E60667" w:rsidRDefault="00C42D43" w:rsidP="00C42D43">
      <w:pPr>
        <w:pStyle w:val="ListParagraph"/>
        <w:numPr>
          <w:ilvl w:val="1"/>
          <w:numId w:val="26"/>
        </w:numPr>
        <w:spacing w:after="120"/>
        <w:contextualSpacing w:val="0"/>
        <w:rPr>
          <w:b/>
          <w:bCs/>
        </w:rPr>
      </w:pPr>
      <w:r w:rsidRPr="00E60667">
        <w:rPr>
          <w:b/>
          <w:bCs/>
        </w:rPr>
        <w:t>Activity adjustment</w:t>
      </w:r>
    </w:p>
    <w:p w14:paraId="755D79CD" w14:textId="77777777" w:rsidR="005A4975" w:rsidRDefault="005A4975" w:rsidP="004148FC">
      <w:pPr>
        <w:pStyle w:val="ListParagraph"/>
        <w:numPr>
          <w:ilvl w:val="2"/>
          <w:numId w:val="26"/>
        </w:numPr>
        <w:spacing w:after="120"/>
        <w:contextualSpacing w:val="0"/>
      </w:pPr>
      <w:r>
        <w:t>Where activity exceeds the Upper Tolerance of the Core Activity, the ICB will pay the provider an additional sum, calculated as shown in the worked examples (see page 4).</w:t>
      </w:r>
    </w:p>
    <w:p w14:paraId="1D445678" w14:textId="7F499CF3" w:rsidR="004A0434" w:rsidRDefault="004A0434" w:rsidP="004148FC">
      <w:pPr>
        <w:pStyle w:val="ListParagraph"/>
        <w:numPr>
          <w:ilvl w:val="2"/>
          <w:numId w:val="26"/>
        </w:numPr>
        <w:spacing w:after="240"/>
        <w:contextualSpacing w:val="0"/>
      </w:pPr>
      <w:r>
        <w:t xml:space="preserve">Where activity falls below the Lower Tolerance of the Expected Activity, a deduction will be applied to the provider, </w:t>
      </w:r>
      <w:r w:rsidR="000B1D87">
        <w:t>calculated as shown in worked example tables</w:t>
      </w:r>
      <w:r w:rsidR="005A4975">
        <w:t xml:space="preserve"> (see page 5)</w:t>
      </w:r>
      <w:r w:rsidR="000B1D87">
        <w:t>.</w:t>
      </w:r>
    </w:p>
    <w:p w14:paraId="3CACEFCF" w14:textId="2F8D8243" w:rsidR="00D17F16" w:rsidRPr="00F34455" w:rsidRDefault="00A701DB" w:rsidP="00515E81">
      <w:pPr>
        <w:spacing w:after="120"/>
        <w:ind w:hanging="1077"/>
        <w:rPr>
          <w:b/>
          <w:bCs/>
        </w:rPr>
      </w:pPr>
      <w:r>
        <w:rPr>
          <w:rFonts w:asciiTheme="majorHAnsi" w:eastAsia="Times New Roman" w:hAnsiTheme="majorHAnsi" w:cstheme="minorHAnsi"/>
          <w:color w:val="003087" w:themeColor="text2"/>
          <w:lang w:eastAsia="en-GB"/>
        </w:rPr>
        <w:tab/>
      </w:r>
      <w:r w:rsidR="00D17F16" w:rsidRPr="00F34455">
        <w:rPr>
          <w:rFonts w:asciiTheme="majorHAnsi" w:eastAsia="Times New Roman" w:hAnsiTheme="majorHAnsi" w:cstheme="minorHAnsi"/>
          <w:b/>
          <w:bCs/>
          <w:color w:val="003087" w:themeColor="text2"/>
          <w:lang w:eastAsia="en-GB"/>
        </w:rPr>
        <w:t>QUALITY ASSURANCE</w:t>
      </w:r>
      <w:r w:rsidR="002923C0" w:rsidRPr="00F34455">
        <w:rPr>
          <w:b/>
          <w:bCs/>
        </w:rPr>
        <w:tab/>
      </w:r>
    </w:p>
    <w:p w14:paraId="477804DB" w14:textId="2F4396BE" w:rsidR="002923C0" w:rsidRDefault="002923C0" w:rsidP="005A4975">
      <w:pPr>
        <w:spacing w:after="240"/>
      </w:pPr>
      <w:r>
        <w:t xml:space="preserve">The contract will include </w:t>
      </w:r>
      <w:r w:rsidR="007E5B0E">
        <w:t xml:space="preserve">a </w:t>
      </w:r>
      <w:r>
        <w:t>clearly defined approach to assure the provision of a quality service</w:t>
      </w:r>
      <w:r w:rsidR="007E5B0E">
        <w:t xml:space="preserve"> and </w:t>
      </w:r>
      <w:r>
        <w:t>to define the routine information require</w:t>
      </w:r>
      <w:r w:rsidR="00170AC1">
        <w:t xml:space="preserve">d </w:t>
      </w:r>
      <w:r>
        <w:t>to inform contract governance.</w:t>
      </w:r>
    </w:p>
    <w:p w14:paraId="1B731C6A" w14:textId="5E6BD1B8" w:rsidR="00D17F16" w:rsidRPr="00F34455" w:rsidRDefault="00303146" w:rsidP="00515E81">
      <w:pPr>
        <w:spacing w:after="120"/>
        <w:ind w:left="2552" w:hanging="2552"/>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KPI ADJUSTMENTS</w:t>
      </w:r>
      <w:r w:rsidR="00D17F16" w:rsidRPr="00F34455">
        <w:rPr>
          <w:rFonts w:asciiTheme="majorHAnsi" w:eastAsia="Times New Roman" w:hAnsiTheme="majorHAnsi" w:cstheme="minorHAnsi"/>
          <w:b/>
          <w:bCs/>
          <w:color w:val="003087" w:themeColor="text2"/>
          <w:lang w:eastAsia="en-GB"/>
        </w:rPr>
        <w:tab/>
      </w:r>
    </w:p>
    <w:p w14:paraId="73E86C37" w14:textId="77777777" w:rsidR="0050068D" w:rsidRPr="0050068D" w:rsidRDefault="00A701DB" w:rsidP="009665B5">
      <w:pPr>
        <w:tabs>
          <w:tab w:val="left" w:pos="0"/>
        </w:tabs>
        <w:spacing w:after="120"/>
      </w:pPr>
      <w:r w:rsidRPr="00515E81">
        <w:t>Details of</w:t>
      </w:r>
      <w:r w:rsidR="001E2A8B">
        <w:t xml:space="preserve"> the provisional</w:t>
      </w:r>
      <w:r w:rsidRPr="00515E81">
        <w:t xml:space="preserve"> KPIs are provided within </w:t>
      </w:r>
      <w:r w:rsidRPr="00F34455">
        <w:t xml:space="preserve">Annex </w:t>
      </w:r>
      <w:r w:rsidR="00F34455" w:rsidRPr="00F34455">
        <w:t>B</w:t>
      </w:r>
      <w:r w:rsidR="001E2A8B" w:rsidRPr="00F34455">
        <w:t xml:space="preserve">. </w:t>
      </w:r>
      <w:r w:rsidR="004148FC" w:rsidRPr="00F34455">
        <w:t>Quarterly</w:t>
      </w:r>
      <w:r w:rsidR="004148FC">
        <w:t xml:space="preserve"> </w:t>
      </w:r>
      <w:r w:rsidR="00C47FFE">
        <w:t xml:space="preserve">performance related </w:t>
      </w:r>
      <w:r w:rsidR="004E3BE3">
        <w:t>adjustments</w:t>
      </w:r>
      <w:r w:rsidR="003030DB" w:rsidRPr="00515E81">
        <w:t xml:space="preserve"> will be calculated </w:t>
      </w:r>
      <w:r w:rsidR="00F03123">
        <w:t xml:space="preserve">based on </w:t>
      </w:r>
      <w:r w:rsidR="001E2A8B">
        <w:t xml:space="preserve">KPI </w:t>
      </w:r>
      <w:r w:rsidR="00823900">
        <w:t>achievemen</w:t>
      </w:r>
      <w:r w:rsidR="006E4810">
        <w:t>t</w:t>
      </w:r>
      <w:r w:rsidR="00F03123">
        <w:t xml:space="preserve"> </w:t>
      </w:r>
      <w:r w:rsidR="006E4810">
        <w:t xml:space="preserve">over each </w:t>
      </w:r>
      <w:r w:rsidR="004148FC">
        <w:t>three</w:t>
      </w:r>
      <w:r w:rsidR="006E4810">
        <w:t>-month</w:t>
      </w:r>
      <w:r w:rsidR="00877EB7">
        <w:t xml:space="preserve"> </w:t>
      </w:r>
      <w:r w:rsidR="00877EB7" w:rsidRPr="0050068D">
        <w:t>period</w:t>
      </w:r>
      <w:r w:rsidR="00860339" w:rsidRPr="0050068D">
        <w:t>, impacting up to</w:t>
      </w:r>
      <w:r w:rsidR="003030DB" w:rsidRPr="0050068D">
        <w:t xml:space="preserve"> 15% of the</w:t>
      </w:r>
      <w:r w:rsidR="0001206D" w:rsidRPr="0050068D">
        <w:t xml:space="preserve"> monthly </w:t>
      </w:r>
      <w:r w:rsidR="00716C31" w:rsidRPr="0050068D">
        <w:t>payment</w:t>
      </w:r>
      <w:r w:rsidR="0001206D" w:rsidRPr="0050068D">
        <w:t xml:space="preserve"> for</w:t>
      </w:r>
      <w:r w:rsidR="006376D2" w:rsidRPr="0050068D">
        <w:t xml:space="preserve"> the following </w:t>
      </w:r>
      <w:r w:rsidR="0001206D" w:rsidRPr="0050068D">
        <w:t>month</w:t>
      </w:r>
      <w:r w:rsidR="006376D2" w:rsidRPr="0050068D">
        <w:t xml:space="preserve"> (e.g., month</w:t>
      </w:r>
      <w:r w:rsidR="00231ED9" w:rsidRPr="0050068D">
        <w:t>s 4,</w:t>
      </w:r>
      <w:r w:rsidR="006376D2" w:rsidRPr="0050068D">
        <w:t xml:space="preserve"> 7</w:t>
      </w:r>
      <w:r w:rsidR="0067608F" w:rsidRPr="0050068D">
        <w:t>,</w:t>
      </w:r>
      <w:r w:rsidR="00FF2E92" w:rsidRPr="0050068D">
        <w:t xml:space="preserve"> </w:t>
      </w:r>
      <w:r w:rsidR="00B43E4E" w:rsidRPr="0050068D">
        <w:t>10</w:t>
      </w:r>
      <w:r w:rsidR="006376D2" w:rsidRPr="0050068D">
        <w:t xml:space="preserve"> and 13 etc.)</w:t>
      </w:r>
      <w:r w:rsidR="00B0059D" w:rsidRPr="0050068D">
        <w:t>.</w:t>
      </w:r>
      <w:r w:rsidR="00716C31" w:rsidRPr="0050068D">
        <w:t xml:space="preserve"> </w:t>
      </w:r>
    </w:p>
    <w:p w14:paraId="682D61E5" w14:textId="0D64A806" w:rsidR="0050068D" w:rsidRPr="0050068D" w:rsidRDefault="0050068D" w:rsidP="0050068D">
      <w:pPr>
        <w:tabs>
          <w:tab w:val="left" w:pos="0"/>
        </w:tabs>
        <w:spacing w:after="120"/>
      </w:pPr>
      <w:r w:rsidRPr="0050068D">
        <w:t>The following 15% outcome-based payment will be contingent upon performance across the following five key measures: </w:t>
      </w:r>
    </w:p>
    <w:p w14:paraId="2C262F26" w14:textId="6454B9F9" w:rsidR="0050068D" w:rsidRPr="0050068D" w:rsidRDefault="0050068D" w:rsidP="0050068D">
      <w:pPr>
        <w:pStyle w:val="ListParagraph"/>
        <w:numPr>
          <w:ilvl w:val="0"/>
          <w:numId w:val="28"/>
        </w:numPr>
        <w:tabs>
          <w:tab w:val="left" w:pos="0"/>
        </w:tabs>
        <w:spacing w:after="120"/>
      </w:pPr>
      <w:r w:rsidRPr="0050068D">
        <w:t>% of patients referred to secondary care orthopaedics who receive an interventional / surgical procedure (‘surgical conversion rate’) (Proposed Target &gt;70%). </w:t>
      </w:r>
    </w:p>
    <w:p w14:paraId="4FEB9D38" w14:textId="77777777" w:rsidR="0050068D" w:rsidRPr="0050068D" w:rsidRDefault="0050068D" w:rsidP="0050068D">
      <w:pPr>
        <w:numPr>
          <w:ilvl w:val="0"/>
          <w:numId w:val="28"/>
        </w:numPr>
        <w:shd w:val="clear" w:color="auto" w:fill="FFFFFF"/>
        <w:spacing w:after="120"/>
      </w:pPr>
      <w:r w:rsidRPr="0050068D">
        <w:lastRenderedPageBreak/>
        <w:t xml:space="preserve">% of patients referred to rheumatology started on </w:t>
      </w:r>
      <w:proofErr w:type="spellStart"/>
      <w:r w:rsidRPr="0050068D">
        <w:t>cDMARD</w:t>
      </w:r>
      <w:proofErr w:type="spellEnd"/>
      <w:r w:rsidRPr="0050068D">
        <w:t xml:space="preserve">, </w:t>
      </w:r>
      <w:proofErr w:type="spellStart"/>
      <w:r w:rsidRPr="0050068D">
        <w:t>bDMARD</w:t>
      </w:r>
      <w:proofErr w:type="spellEnd"/>
      <w:r w:rsidRPr="0050068D">
        <w:t xml:space="preserve"> treatment (proxy measure of referrals for inflammatory conditions), or </w:t>
      </w:r>
      <w:proofErr w:type="gramStart"/>
      <w:r w:rsidRPr="0050068D">
        <w:t>secondary-care</w:t>
      </w:r>
      <w:proofErr w:type="gramEnd"/>
      <w:r w:rsidRPr="0050068D">
        <w:t xml:space="preserve"> based osteoporosis treatment (Proposed Target &gt;70%) </w:t>
      </w:r>
    </w:p>
    <w:p w14:paraId="1CFB5413" w14:textId="77777777" w:rsidR="0050068D" w:rsidRPr="0050068D" w:rsidRDefault="0050068D" w:rsidP="0050068D">
      <w:pPr>
        <w:numPr>
          <w:ilvl w:val="0"/>
          <w:numId w:val="28"/>
        </w:numPr>
        <w:shd w:val="clear" w:color="auto" w:fill="FFFFFF"/>
        <w:spacing w:after="120"/>
      </w:pPr>
      <w:r w:rsidRPr="0050068D">
        <w:t>% of patients referred to secondary care pain services who receive an interventional pain procedure (Proposed Target &gt;70%). </w:t>
      </w:r>
    </w:p>
    <w:p w14:paraId="70D51180" w14:textId="77777777" w:rsidR="0050068D" w:rsidRPr="0050068D" w:rsidRDefault="0050068D" w:rsidP="0050068D">
      <w:pPr>
        <w:numPr>
          <w:ilvl w:val="0"/>
          <w:numId w:val="28"/>
        </w:numPr>
        <w:shd w:val="clear" w:color="auto" w:fill="FFFFFF"/>
        <w:spacing w:after="120"/>
      </w:pPr>
      <w:r w:rsidRPr="0050068D">
        <w:t>Patients with a stable or long-term MSK condition receive a care plan that was developed in conjunction with them (proposed target &gt;90%) </w:t>
      </w:r>
    </w:p>
    <w:p w14:paraId="390D48F9" w14:textId="77777777" w:rsidR="0050068D" w:rsidRPr="0050068D" w:rsidRDefault="0050068D" w:rsidP="0050068D">
      <w:pPr>
        <w:numPr>
          <w:ilvl w:val="0"/>
          <w:numId w:val="28"/>
        </w:numPr>
        <w:shd w:val="clear" w:color="auto" w:fill="FFFFFF"/>
        <w:spacing w:after="120"/>
      </w:pPr>
      <w:r w:rsidRPr="0050068D">
        <w:t>Number of advanced practitioners per registered population (Proposed Target TBA) </w:t>
      </w:r>
    </w:p>
    <w:p w14:paraId="7E3B1C90" w14:textId="77777777" w:rsidR="0050068D" w:rsidRDefault="0050068D" w:rsidP="0050068D">
      <w:pPr>
        <w:tabs>
          <w:tab w:val="left" w:pos="0"/>
        </w:tabs>
      </w:pPr>
    </w:p>
    <w:p w14:paraId="07453368" w14:textId="66DDF347" w:rsidR="00A701DB" w:rsidRPr="00515E81" w:rsidRDefault="0050068D" w:rsidP="009665B5">
      <w:pPr>
        <w:tabs>
          <w:tab w:val="left" w:pos="0"/>
        </w:tabs>
        <w:spacing w:after="120"/>
      </w:pPr>
      <w:r>
        <w:t xml:space="preserve">The outcome -based payment </w:t>
      </w:r>
      <w:r w:rsidRPr="00515E81">
        <w:t>will</w:t>
      </w:r>
      <w:r w:rsidR="00A701DB" w:rsidRPr="00515E81">
        <w:t xml:space="preserve"> be calculated against 3 bands of performance delivery:</w:t>
      </w:r>
    </w:p>
    <w:p w14:paraId="04D1C103" w14:textId="3B514E0F" w:rsidR="00A701DB" w:rsidRPr="00515E81" w:rsidRDefault="00A701DB" w:rsidP="009665B5">
      <w:pPr>
        <w:pStyle w:val="ListParagraph"/>
        <w:numPr>
          <w:ilvl w:val="0"/>
          <w:numId w:val="24"/>
        </w:numPr>
        <w:spacing w:after="120"/>
        <w:contextualSpacing w:val="0"/>
      </w:pPr>
      <w:r w:rsidRPr="00515E81">
        <w:t xml:space="preserve">Band A – KPI achievement of 95.00% or above, will </w:t>
      </w:r>
      <w:r w:rsidR="000C6122" w:rsidRPr="00515E81">
        <w:t xml:space="preserve">result in no </w:t>
      </w:r>
      <w:r w:rsidR="0043424B">
        <w:t>deduction</w:t>
      </w:r>
      <w:r w:rsidRPr="00515E81">
        <w:t xml:space="preserve">. </w:t>
      </w:r>
    </w:p>
    <w:p w14:paraId="7DE64FF6" w14:textId="0281754B" w:rsidR="00A701DB" w:rsidRPr="00515E81" w:rsidRDefault="00A701DB" w:rsidP="009665B5">
      <w:pPr>
        <w:pStyle w:val="ListParagraph"/>
        <w:numPr>
          <w:ilvl w:val="0"/>
          <w:numId w:val="24"/>
        </w:numPr>
        <w:spacing w:after="120"/>
        <w:contextualSpacing w:val="0"/>
      </w:pPr>
      <w:r w:rsidRPr="00515E81">
        <w:t xml:space="preserve">Band B – KPI achievement of 90% to 94.99%, </w:t>
      </w:r>
      <w:r w:rsidR="000C6122" w:rsidRPr="00515E81">
        <w:t xml:space="preserve">will result in </w:t>
      </w:r>
      <w:r w:rsidR="00081B51">
        <w:t>a</w:t>
      </w:r>
      <w:r w:rsidR="000C6122" w:rsidRPr="00515E81">
        <w:t xml:space="preserve"> 5% </w:t>
      </w:r>
      <w:r w:rsidR="001A1D48">
        <w:t xml:space="preserve">deduction </w:t>
      </w:r>
      <w:r w:rsidR="000C6122" w:rsidRPr="00515E81">
        <w:t xml:space="preserve">of the </w:t>
      </w:r>
      <w:r w:rsidR="00081B51">
        <w:t>monthly payment</w:t>
      </w:r>
      <w:r w:rsidR="000C6122" w:rsidRPr="00515E81">
        <w:t>.</w:t>
      </w:r>
    </w:p>
    <w:p w14:paraId="40E2B7C1" w14:textId="71FA8A03" w:rsidR="000C6122" w:rsidRPr="00515E81" w:rsidRDefault="00A701DB" w:rsidP="001A1D48">
      <w:pPr>
        <w:pStyle w:val="ListParagraph"/>
        <w:numPr>
          <w:ilvl w:val="0"/>
          <w:numId w:val="24"/>
        </w:numPr>
        <w:spacing w:after="120"/>
        <w:contextualSpacing w:val="0"/>
      </w:pPr>
      <w:r w:rsidRPr="00515E81">
        <w:t xml:space="preserve">Band C – KPI achievement of 80% to 89.99%, </w:t>
      </w:r>
      <w:r w:rsidR="000C6122" w:rsidRPr="00515E81">
        <w:t xml:space="preserve">will result in </w:t>
      </w:r>
      <w:r w:rsidR="00081B51">
        <w:t>a</w:t>
      </w:r>
      <w:r w:rsidR="000C6122" w:rsidRPr="00515E81">
        <w:t xml:space="preserve"> 10% </w:t>
      </w:r>
      <w:r w:rsidR="001A1D48">
        <w:t xml:space="preserve">deduction </w:t>
      </w:r>
      <w:r w:rsidR="001A1D48" w:rsidRPr="00515E81">
        <w:t xml:space="preserve">of the </w:t>
      </w:r>
      <w:r w:rsidR="001A1D48">
        <w:t>monthly payment</w:t>
      </w:r>
      <w:r w:rsidR="001A1D48" w:rsidRPr="00515E81">
        <w:t>.</w:t>
      </w:r>
    </w:p>
    <w:p w14:paraId="38361BAA" w14:textId="183663EE" w:rsidR="00A701DB" w:rsidRPr="00515E81" w:rsidRDefault="00A701DB" w:rsidP="001A1D48">
      <w:pPr>
        <w:pStyle w:val="ListParagraph"/>
        <w:numPr>
          <w:ilvl w:val="0"/>
          <w:numId w:val="24"/>
        </w:numPr>
        <w:spacing w:after="120"/>
        <w:contextualSpacing w:val="0"/>
      </w:pPr>
      <w:r w:rsidRPr="00515E81">
        <w:t xml:space="preserve">KPI performance of less than 80% will </w:t>
      </w:r>
      <w:r w:rsidR="000C6122" w:rsidRPr="00515E81">
        <w:t xml:space="preserve">result in </w:t>
      </w:r>
      <w:r w:rsidR="001A1D48">
        <w:t>a</w:t>
      </w:r>
      <w:r w:rsidR="001A1D48" w:rsidRPr="00515E81">
        <w:t xml:space="preserve"> 1</w:t>
      </w:r>
      <w:r w:rsidR="001A1D48">
        <w:t>5</w:t>
      </w:r>
      <w:r w:rsidR="001A1D48" w:rsidRPr="00515E81">
        <w:t xml:space="preserve">% </w:t>
      </w:r>
      <w:r w:rsidR="001A1D48">
        <w:t xml:space="preserve">deduction </w:t>
      </w:r>
      <w:r w:rsidR="001A1D48" w:rsidRPr="00515E81">
        <w:t xml:space="preserve">of the </w:t>
      </w:r>
      <w:r w:rsidR="001A1D48">
        <w:t>monthly payment</w:t>
      </w:r>
      <w:r w:rsidR="001A1D48" w:rsidRPr="00515E81">
        <w:t>.</w:t>
      </w:r>
    </w:p>
    <w:p w14:paraId="0ED01EEE" w14:textId="579B802A" w:rsidR="00A701DB" w:rsidRPr="007876A4" w:rsidRDefault="00A701DB" w:rsidP="007876A4">
      <w:pPr>
        <w:spacing w:after="120"/>
      </w:pPr>
      <w:r w:rsidRPr="007876A4">
        <w:t>Calculation of KPI</w:t>
      </w:r>
      <w:r w:rsidR="00A44A1F" w:rsidRPr="007876A4">
        <w:t xml:space="preserve"> achievement</w:t>
      </w:r>
      <w:r w:rsidRPr="007876A4">
        <w:t xml:space="preserve"> will be based on the weighted average performance </w:t>
      </w:r>
      <w:r w:rsidR="00CE7367" w:rsidRPr="007876A4">
        <w:t xml:space="preserve">over the </w:t>
      </w:r>
      <w:r w:rsidR="007876A4" w:rsidRPr="007876A4">
        <w:t xml:space="preserve">previous </w:t>
      </w:r>
      <w:r w:rsidR="00BC15FF">
        <w:t>three</w:t>
      </w:r>
      <w:r w:rsidR="00CE7367" w:rsidRPr="007876A4">
        <w:t>-month period.</w:t>
      </w:r>
    </w:p>
    <w:p w14:paraId="613F3F97" w14:textId="3BAB5D0E" w:rsidR="00A701DB" w:rsidRPr="0096221A" w:rsidRDefault="00A701DB" w:rsidP="007876A4">
      <w:pPr>
        <w:spacing w:after="120"/>
      </w:pPr>
      <w:r w:rsidRPr="0096221A">
        <w:t xml:space="preserve">The National KPIs and other contractual KPIs will be detailed within the service specification and in the Standard NHS contract (including Schedule 2L) that will be made available at the launch of the </w:t>
      </w:r>
      <w:r w:rsidR="0096221A" w:rsidRPr="0096221A">
        <w:t>procurement.</w:t>
      </w:r>
      <w:r w:rsidRPr="0096221A">
        <w:t xml:space="preserve"> </w:t>
      </w:r>
    </w:p>
    <w:p w14:paraId="49C516A7" w14:textId="658C6CDE" w:rsidR="00A701DB" w:rsidRPr="0096221A" w:rsidRDefault="00A701DB" w:rsidP="007876A4">
      <w:pPr>
        <w:spacing w:after="240"/>
      </w:pPr>
      <w:r w:rsidRPr="001B54A3">
        <w:t xml:space="preserve">Should there be evidence that certain </w:t>
      </w:r>
      <w:r w:rsidR="0096221A" w:rsidRPr="001B54A3">
        <w:t xml:space="preserve">KPIs </w:t>
      </w:r>
      <w:r w:rsidRPr="001B54A3">
        <w:t>are consistently failed but the average is met, the commissioner reserves the right to alter that KPIs to ensure patient service quality is maintained</w:t>
      </w:r>
      <w:r w:rsidR="0096221A" w:rsidRPr="001B54A3">
        <w:t>.</w:t>
      </w:r>
    </w:p>
    <w:p w14:paraId="228E51E4" w14:textId="1E1692DB" w:rsidR="00D17F16" w:rsidRPr="00F34455" w:rsidRDefault="002923C0" w:rsidP="005A4975">
      <w:pPr>
        <w:tabs>
          <w:tab w:val="left" w:pos="0"/>
        </w:tabs>
        <w:rPr>
          <w:rFonts w:asciiTheme="majorHAnsi" w:eastAsia="Times New Roman" w:hAnsiTheme="majorHAnsi" w:cstheme="minorHAnsi"/>
          <w:b/>
          <w:bCs/>
          <w:color w:val="003087" w:themeColor="text2"/>
          <w:lang w:eastAsia="en-GB"/>
        </w:rPr>
      </w:pPr>
      <w:r>
        <w:t xml:space="preserve"> </w:t>
      </w:r>
      <w:r w:rsidR="00D17F16" w:rsidRPr="00F34455">
        <w:rPr>
          <w:rFonts w:asciiTheme="majorHAnsi" w:eastAsia="Times New Roman" w:hAnsiTheme="majorHAnsi" w:cstheme="minorHAnsi"/>
          <w:b/>
          <w:bCs/>
          <w:color w:val="003087" w:themeColor="text2"/>
          <w:lang w:eastAsia="en-GB"/>
        </w:rPr>
        <w:t>TERMINATION – NO FAULT</w:t>
      </w:r>
      <w:r w:rsidR="00D17F16" w:rsidRPr="00F34455">
        <w:rPr>
          <w:rFonts w:asciiTheme="majorHAnsi" w:eastAsia="Times New Roman" w:hAnsiTheme="majorHAnsi" w:cstheme="minorHAnsi"/>
          <w:b/>
          <w:bCs/>
          <w:color w:val="003087" w:themeColor="text2"/>
          <w:lang w:eastAsia="en-GB"/>
        </w:rPr>
        <w:tab/>
      </w:r>
    </w:p>
    <w:p w14:paraId="51173E39" w14:textId="77777777" w:rsidR="00C0631C" w:rsidRDefault="002923C0" w:rsidP="009665B5">
      <w:pPr>
        <w:spacing w:after="120"/>
      </w:pPr>
      <w:r>
        <w:t xml:space="preserve">The </w:t>
      </w:r>
      <w:r w:rsidR="00170AC1">
        <w:t>c</w:t>
      </w:r>
      <w:r>
        <w:t xml:space="preserve">ontracting </w:t>
      </w:r>
      <w:r w:rsidR="00170AC1">
        <w:t>a</w:t>
      </w:r>
      <w:r>
        <w:t xml:space="preserve">uthority is committed to the contract being in place for the duration as set out above, however recognition is given to the potential for unforeseeable exceptional events which could trigger a need to terminate the provision of services. </w:t>
      </w:r>
    </w:p>
    <w:p w14:paraId="13435597" w14:textId="3F1D26CF" w:rsidR="002923C0" w:rsidRPr="00A650BC" w:rsidRDefault="002923C0" w:rsidP="005A4975">
      <w:pPr>
        <w:spacing w:after="240"/>
        <w:rPr>
          <w:color w:val="FF0000"/>
        </w:rPr>
      </w:pPr>
      <w:r w:rsidRPr="003B5C14">
        <w:rPr>
          <w:sz w:val="23"/>
          <w:szCs w:val="23"/>
        </w:rPr>
        <w:lastRenderedPageBreak/>
        <w:t xml:space="preserve">The default </w:t>
      </w:r>
      <w:r w:rsidRPr="00DE1DC7">
        <w:rPr>
          <w:sz w:val="23"/>
          <w:szCs w:val="23"/>
        </w:rPr>
        <w:t xml:space="preserve">no-fault termination notice on the part of the </w:t>
      </w:r>
      <w:r w:rsidR="003B5C14" w:rsidRPr="00DE1DC7">
        <w:rPr>
          <w:sz w:val="23"/>
          <w:szCs w:val="23"/>
        </w:rPr>
        <w:t>c</w:t>
      </w:r>
      <w:r w:rsidRPr="00DE1DC7">
        <w:rPr>
          <w:sz w:val="23"/>
          <w:szCs w:val="23"/>
        </w:rPr>
        <w:t xml:space="preserve">ontacting </w:t>
      </w:r>
      <w:r w:rsidR="003B5C14" w:rsidRPr="00DE1DC7">
        <w:rPr>
          <w:sz w:val="23"/>
          <w:szCs w:val="23"/>
        </w:rPr>
        <w:t>a</w:t>
      </w:r>
      <w:r w:rsidRPr="00DE1DC7">
        <w:rPr>
          <w:sz w:val="23"/>
          <w:szCs w:val="23"/>
        </w:rPr>
        <w:t xml:space="preserve">uthority </w:t>
      </w:r>
      <w:r w:rsidR="003B5C14" w:rsidRPr="00DE1DC7">
        <w:rPr>
          <w:sz w:val="23"/>
          <w:szCs w:val="23"/>
        </w:rPr>
        <w:t xml:space="preserve">or provider </w:t>
      </w:r>
      <w:r w:rsidRPr="00DE1DC7">
        <w:rPr>
          <w:sz w:val="23"/>
          <w:szCs w:val="23"/>
        </w:rPr>
        <w:t xml:space="preserve">will be </w:t>
      </w:r>
      <w:r w:rsidR="00515E81" w:rsidRPr="00DE1DC7">
        <w:rPr>
          <w:sz w:val="23"/>
          <w:szCs w:val="23"/>
        </w:rPr>
        <w:t>6</w:t>
      </w:r>
      <w:r w:rsidRPr="00DE1DC7">
        <w:rPr>
          <w:sz w:val="23"/>
          <w:szCs w:val="23"/>
        </w:rPr>
        <w:t xml:space="preserve"> months.</w:t>
      </w:r>
      <w:r w:rsidRPr="00DE1DC7">
        <w:rPr>
          <w:color w:val="FF0000"/>
        </w:rPr>
        <w:t xml:space="preserve"> </w:t>
      </w:r>
      <w:r w:rsidR="003B5C14" w:rsidRPr="00DE1DC7">
        <w:rPr>
          <w:sz w:val="23"/>
          <w:szCs w:val="23"/>
        </w:rPr>
        <w:t xml:space="preserve"> The contract makes explicit the ability of the parties to terminate the contract at any time by</w:t>
      </w:r>
      <w:r w:rsidR="003B5C14" w:rsidRPr="00091A22">
        <w:rPr>
          <w:sz w:val="23"/>
          <w:szCs w:val="23"/>
        </w:rPr>
        <w:t xml:space="preserve"> mutual </w:t>
      </w:r>
      <w:r w:rsidR="00515E81" w:rsidRPr="00091A22">
        <w:rPr>
          <w:sz w:val="23"/>
          <w:szCs w:val="23"/>
        </w:rPr>
        <w:t>consent.</w:t>
      </w:r>
    </w:p>
    <w:p w14:paraId="7E40F95F" w14:textId="2ECFCE40" w:rsidR="006A647D" w:rsidRPr="00F34455" w:rsidRDefault="006A647D"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EXIT PLAN</w:t>
      </w:r>
      <w:r w:rsidR="002923C0" w:rsidRPr="00F34455">
        <w:rPr>
          <w:b/>
          <w:bCs/>
        </w:rPr>
        <w:tab/>
      </w:r>
    </w:p>
    <w:p w14:paraId="78EE4E0D" w14:textId="39412237" w:rsidR="002923C0" w:rsidRDefault="002923C0" w:rsidP="005A4975">
      <w:pPr>
        <w:spacing w:after="240"/>
      </w:pPr>
      <w:r>
        <w:t xml:space="preserve">Prior to contract signature the </w:t>
      </w:r>
      <w:r w:rsidR="00A650BC">
        <w:t xml:space="preserve">successful provider </w:t>
      </w:r>
      <w:r>
        <w:t xml:space="preserve">will draft </w:t>
      </w:r>
      <w:r w:rsidR="00A650BC">
        <w:t xml:space="preserve">a </w:t>
      </w:r>
      <w:r>
        <w:t xml:space="preserve">detailed </w:t>
      </w:r>
      <w:r w:rsidR="00170AC1">
        <w:t>e</w:t>
      </w:r>
      <w:r>
        <w:t xml:space="preserve">xit </w:t>
      </w:r>
      <w:r w:rsidR="00170AC1">
        <w:t>p</w:t>
      </w:r>
      <w:r>
        <w:t xml:space="preserve">lan for approval </w:t>
      </w:r>
      <w:r w:rsidR="00A650BC">
        <w:t xml:space="preserve">and </w:t>
      </w:r>
      <w:r>
        <w:t>inclusion within the contract.</w:t>
      </w:r>
      <w:r w:rsidR="00170AC1">
        <w:t xml:space="preserve"> </w:t>
      </w:r>
      <w:r>
        <w:t xml:space="preserve">To inform transparency and acceptance of financial risk </w:t>
      </w:r>
      <w:r w:rsidR="00A650BC">
        <w:t>by both parties</w:t>
      </w:r>
      <w:r>
        <w:t xml:space="preserve"> in relation to early termination</w:t>
      </w:r>
      <w:r w:rsidR="00A650BC">
        <w:t>,</w:t>
      </w:r>
      <w:r>
        <w:t xml:space="preserve"> due to specified exceptional events, the </w:t>
      </w:r>
      <w:r w:rsidR="00170AC1">
        <w:t>plan</w:t>
      </w:r>
      <w:r>
        <w:t xml:space="preserve"> will include confirmation of financial obligations and responsibilities.</w:t>
      </w:r>
    </w:p>
    <w:p w14:paraId="43B83A46" w14:textId="77777777" w:rsidR="00515E81" w:rsidRPr="00F34455" w:rsidRDefault="00515E81">
      <w:pPr>
        <w:spacing w:after="160" w:line="259" w:lineRule="auto"/>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INSURANCE</w:t>
      </w:r>
    </w:p>
    <w:p w14:paraId="498561A1" w14:textId="77777777" w:rsidR="00D267F4" w:rsidRDefault="00515E81">
      <w:pPr>
        <w:spacing w:after="160" w:line="259" w:lineRule="auto"/>
      </w:pPr>
      <w:r>
        <w:t xml:space="preserve">Prior to service commencement, the </w:t>
      </w:r>
      <w:r w:rsidR="00D267F4">
        <w:t>p</w:t>
      </w:r>
      <w:r>
        <w:t>rovider</w:t>
      </w:r>
      <w:r w:rsidR="00D267F4">
        <w:t xml:space="preserve"> will be expected to evidence that the following level of insurance cover (to be held for the duration of the contract):</w:t>
      </w:r>
      <w:r>
        <w:t xml:space="preserve"> </w:t>
      </w:r>
    </w:p>
    <w:p w14:paraId="53316E1B" w14:textId="0156AA7F" w:rsidR="00D267F4" w:rsidRDefault="00D267F4" w:rsidP="00D267F4">
      <w:pPr>
        <w:spacing w:after="160" w:line="259" w:lineRule="auto"/>
      </w:pPr>
      <w:r>
        <w:t>(</w:t>
      </w:r>
      <w:proofErr w:type="spellStart"/>
      <w:r>
        <w:t>i</w:t>
      </w:r>
      <w:proofErr w:type="spellEnd"/>
      <w:r>
        <w:t>) Employer’s (Compulsory) Liability Insurance* = £5m</w:t>
      </w:r>
    </w:p>
    <w:p w14:paraId="2A59DE59" w14:textId="77777777" w:rsidR="00D267F4" w:rsidRDefault="00D267F4" w:rsidP="00D267F4">
      <w:pPr>
        <w:spacing w:after="160" w:line="259" w:lineRule="auto"/>
      </w:pPr>
      <w:r>
        <w:t>(ii) Public and Products Liability Insurance = £5m</w:t>
      </w:r>
    </w:p>
    <w:p w14:paraId="54B3BC52" w14:textId="77777777" w:rsidR="00D267F4" w:rsidRDefault="00D267F4" w:rsidP="00D267F4">
      <w:pPr>
        <w:spacing w:after="160" w:line="259" w:lineRule="auto"/>
      </w:pPr>
      <w:r>
        <w:t>(iii) Professional Indemnity /Medical Malpractice Liability Insurance = £5m</w:t>
      </w:r>
    </w:p>
    <w:p w14:paraId="5E931CC6" w14:textId="7985E9A7" w:rsidR="005A4975" w:rsidRDefault="00D267F4">
      <w:pPr>
        <w:spacing w:after="160" w:line="259" w:lineRule="auto"/>
      </w:pPr>
      <w:r>
        <w:t>(iv) Clinical Negligence Insurance = £5m</w:t>
      </w:r>
      <w:r w:rsidR="005A4975">
        <w:br w:type="page"/>
      </w:r>
    </w:p>
    <w:p w14:paraId="69C2DEE8" w14:textId="75225046" w:rsidR="00A650BC" w:rsidRDefault="00A650BC" w:rsidP="009665B5">
      <w:pPr>
        <w:pStyle w:val="ListParagraph"/>
        <w:numPr>
          <w:ilvl w:val="0"/>
          <w:numId w:val="3"/>
        </w:numPr>
        <w:spacing w:after="120"/>
        <w:contextualSpacing w:val="0"/>
      </w:pPr>
      <w:r>
        <w:rPr>
          <w:rFonts w:cstheme="minorHAnsi"/>
          <w:b/>
          <w:bCs/>
          <w:color w:val="00A499"/>
          <w:sz w:val="28"/>
          <w:szCs w:val="28"/>
        </w:rPr>
        <w:lastRenderedPageBreak/>
        <w:t>FINANCE</w:t>
      </w:r>
    </w:p>
    <w:p w14:paraId="07EEBF9B" w14:textId="338A434A" w:rsidR="00A650BC" w:rsidRPr="00B5631C" w:rsidRDefault="007948DA" w:rsidP="006279F3">
      <w:pPr>
        <w:spacing w:after="240"/>
        <w:ind w:left="2552" w:hanging="2552"/>
        <w:rPr>
          <w:b/>
          <w:bCs/>
        </w:rPr>
      </w:pPr>
      <w:r w:rsidRPr="00B5631C">
        <w:rPr>
          <w:b/>
          <w:bCs/>
        </w:rPr>
        <w:t>COMMISSIONER RESPONSIBILITIES</w:t>
      </w:r>
    </w:p>
    <w:p w14:paraId="369E711E" w14:textId="41B32168" w:rsidR="007948DA" w:rsidRPr="00F34455" w:rsidRDefault="007948DA" w:rsidP="009665B5">
      <w:pPr>
        <w:spacing w:after="120"/>
        <w:ind w:left="2552" w:hanging="2552"/>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ESTATES</w:t>
      </w:r>
    </w:p>
    <w:p w14:paraId="1400BA74" w14:textId="06BB273D" w:rsidR="0096221A" w:rsidRDefault="007948DA" w:rsidP="006279F3">
      <w:pPr>
        <w:spacing w:after="240"/>
      </w:pPr>
      <w:r>
        <w:t>The</w:t>
      </w:r>
      <w:r w:rsidR="0096221A">
        <w:t xml:space="preserve"> </w:t>
      </w:r>
      <w:r w:rsidR="003E4BCD">
        <w:t>contracting authority will not be liable for any estates related costs.</w:t>
      </w:r>
    </w:p>
    <w:p w14:paraId="040193C6" w14:textId="4D6EBCFF" w:rsidR="00A650BC" w:rsidRPr="00F34455" w:rsidRDefault="00A650BC"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PAYMENT RESPONSIBILITIES</w:t>
      </w:r>
      <w:r w:rsidRPr="00F34455">
        <w:rPr>
          <w:b/>
          <w:bCs/>
        </w:rPr>
        <w:tab/>
      </w:r>
    </w:p>
    <w:p w14:paraId="4D7AC28F" w14:textId="5BDD5AA2" w:rsidR="00A650BC" w:rsidRDefault="00A650BC" w:rsidP="009665B5">
      <w:pPr>
        <w:spacing w:after="240"/>
      </w:pPr>
      <w:r>
        <w:t xml:space="preserve">The </w:t>
      </w:r>
      <w:r w:rsidR="007948DA">
        <w:t>c</w:t>
      </w:r>
      <w:r>
        <w:t xml:space="preserve">ontracting </w:t>
      </w:r>
      <w:r w:rsidR="007948DA">
        <w:t>a</w:t>
      </w:r>
      <w:r>
        <w:t xml:space="preserve">uthority </w:t>
      </w:r>
      <w:r w:rsidR="007948DA">
        <w:t xml:space="preserve">is </w:t>
      </w:r>
      <w:r>
        <w:t xml:space="preserve">responsible for payment of invoices directly with the </w:t>
      </w:r>
      <w:r w:rsidR="00D40A36">
        <w:t>Lead P</w:t>
      </w:r>
      <w:r>
        <w:t>rovider in relation to this contract.</w:t>
      </w:r>
    </w:p>
    <w:p w14:paraId="55EAF229" w14:textId="77777777" w:rsidR="006279F3" w:rsidRDefault="006279F3" w:rsidP="009665B5">
      <w:pPr>
        <w:spacing w:after="240"/>
      </w:pPr>
    </w:p>
    <w:p w14:paraId="7986C049" w14:textId="68A45143" w:rsidR="00A650BC" w:rsidRPr="00B5631C" w:rsidRDefault="007948DA" w:rsidP="006279F3">
      <w:pPr>
        <w:spacing w:after="240"/>
        <w:ind w:left="2552" w:hanging="2552"/>
        <w:rPr>
          <w:b/>
          <w:bCs/>
        </w:rPr>
      </w:pPr>
      <w:r>
        <w:rPr>
          <w:b/>
          <w:bCs/>
        </w:rPr>
        <w:t>P</w:t>
      </w:r>
      <w:r w:rsidRPr="00B5631C">
        <w:rPr>
          <w:b/>
          <w:bCs/>
        </w:rPr>
        <w:t>ROVIDER</w:t>
      </w:r>
      <w:r>
        <w:rPr>
          <w:b/>
          <w:bCs/>
        </w:rPr>
        <w:t xml:space="preserve"> RESPONSIBILITIES</w:t>
      </w:r>
    </w:p>
    <w:p w14:paraId="097736C8" w14:textId="77777777" w:rsidR="007948DA" w:rsidRPr="00F34455" w:rsidRDefault="007948DA" w:rsidP="009665B5">
      <w:pPr>
        <w:spacing w:after="120"/>
        <w:ind w:left="2552" w:hanging="2552"/>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ESTATES</w:t>
      </w:r>
    </w:p>
    <w:p w14:paraId="103FDECF" w14:textId="6C9C5C49" w:rsidR="003E4BCD" w:rsidRDefault="003E4BCD" w:rsidP="006279F3">
      <w:pPr>
        <w:spacing w:after="240"/>
      </w:pPr>
      <w:r>
        <w:t xml:space="preserve">The Lead Provider is responsible for all associated </w:t>
      </w:r>
      <w:r w:rsidRPr="007948DA">
        <w:t>estates related costs</w:t>
      </w:r>
      <w:r>
        <w:t xml:space="preserve">, both regarding their own premises and ensuring that such responsibility is appropriately managed in their supply chain (where applicable). </w:t>
      </w:r>
    </w:p>
    <w:p w14:paraId="3FE2890D" w14:textId="77777777" w:rsidR="00A650BC" w:rsidRPr="00F34455" w:rsidRDefault="00A650BC"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SERVICE DELIVERY</w:t>
      </w:r>
      <w:r w:rsidRPr="00F34455">
        <w:rPr>
          <w:b/>
          <w:bCs/>
        </w:rPr>
        <w:tab/>
      </w:r>
    </w:p>
    <w:p w14:paraId="45725B7E" w14:textId="3E3FB84C" w:rsidR="00D40A36" w:rsidRDefault="00A650BC" w:rsidP="006279F3">
      <w:pPr>
        <w:spacing w:after="240"/>
      </w:pPr>
      <w:r>
        <w:t xml:space="preserve">The provider will </w:t>
      </w:r>
      <w:r w:rsidR="003E4BCD">
        <w:t>detail</w:t>
      </w:r>
      <w:r>
        <w:t xml:space="preserve"> its ongoing costs to deliver </w:t>
      </w:r>
      <w:r w:rsidR="008C5528">
        <w:t>the service</w:t>
      </w:r>
      <w:r>
        <w:t xml:space="preserve"> over the term of the contract</w:t>
      </w:r>
      <w:r w:rsidR="003E4BCD">
        <w:t>,</w:t>
      </w:r>
      <w:r>
        <w:t xml:space="preserve"> following successful </w:t>
      </w:r>
      <w:r w:rsidR="008C5528">
        <w:t xml:space="preserve">mobilisation, </w:t>
      </w:r>
      <w:r>
        <w:t xml:space="preserve">which will include all workforce costs, </w:t>
      </w:r>
      <w:r w:rsidR="00170AC1">
        <w:t>overheads</w:t>
      </w:r>
      <w:r w:rsidR="00D40A36">
        <w:t xml:space="preserve"> (e.g., contract management)</w:t>
      </w:r>
      <w:r w:rsidR="00170AC1">
        <w:t>,</w:t>
      </w:r>
      <w:r>
        <w:t xml:space="preserve"> and </w:t>
      </w:r>
      <w:r w:rsidR="008C5528">
        <w:t>profit</w:t>
      </w:r>
      <w:r w:rsidR="003E4BCD">
        <w:t xml:space="preserve">. </w:t>
      </w:r>
    </w:p>
    <w:p w14:paraId="2DC045E3" w14:textId="39E33704" w:rsidR="00D40A36" w:rsidRPr="00F34455" w:rsidRDefault="00AE5BA6" w:rsidP="009665B5">
      <w:pPr>
        <w:spacing w:after="120"/>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SUBCONTRACTORS</w:t>
      </w:r>
    </w:p>
    <w:p w14:paraId="1D07A092" w14:textId="3B1D15C3" w:rsidR="00A650BC" w:rsidRDefault="00AE5BA6" w:rsidP="006279F3">
      <w:pPr>
        <w:spacing w:after="240"/>
      </w:pPr>
      <w:r>
        <w:t>Where applicable, t</w:t>
      </w:r>
      <w:r w:rsidR="00D40A36">
        <w:t>he Lead Provider is responsible the</w:t>
      </w:r>
      <w:r>
        <w:t xml:space="preserve"> timely</w:t>
      </w:r>
      <w:r w:rsidR="00D40A36">
        <w:t xml:space="preserve"> remuneration of subcontractors a</w:t>
      </w:r>
      <w:r>
        <w:t>nd ensuring that growth</w:t>
      </w:r>
      <w:r w:rsidR="0089256C">
        <w:t>, as</w:t>
      </w:r>
      <w:r>
        <w:t xml:space="preserve"> provided for in this contract</w:t>
      </w:r>
      <w:r w:rsidR="0089256C">
        <w:t>,</w:t>
      </w:r>
      <w:r>
        <w:t xml:space="preserve"> is reflected in any subcontracting arrangements. </w:t>
      </w:r>
    </w:p>
    <w:p w14:paraId="5AF519E1" w14:textId="17FB922D" w:rsidR="00A650BC" w:rsidRPr="00F34455" w:rsidRDefault="00FC31AB" w:rsidP="009665B5">
      <w:pPr>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PERFORMANCE</w:t>
      </w:r>
    </w:p>
    <w:p w14:paraId="0564644C" w14:textId="2465BD32" w:rsidR="00FC31AB" w:rsidRDefault="00FC31AB" w:rsidP="009665B5">
      <w:pPr>
        <w:rPr>
          <w:rFonts w:asciiTheme="majorHAnsi" w:eastAsia="Times New Roman" w:hAnsiTheme="majorHAnsi" w:cstheme="minorHAnsi"/>
          <w:color w:val="003087" w:themeColor="text2"/>
          <w:lang w:eastAsia="en-GB"/>
        </w:rPr>
      </w:pPr>
      <w:r>
        <w:t xml:space="preserve">Where KPI performance warrants, the Lead Provider is responsible the timely issuing of service credits. </w:t>
      </w:r>
    </w:p>
    <w:p w14:paraId="6FA2ACEB" w14:textId="57B80FBB" w:rsidR="004A0434" w:rsidRDefault="004A0434">
      <w:pPr>
        <w:spacing w:after="160" w:line="259" w:lineRule="auto"/>
      </w:pPr>
      <w:r>
        <w:br w:type="page"/>
      </w:r>
    </w:p>
    <w:p w14:paraId="2495FB9D" w14:textId="51388033" w:rsidR="008C5528" w:rsidRDefault="003909B5" w:rsidP="009665B5">
      <w:pPr>
        <w:pStyle w:val="ListParagraph"/>
        <w:numPr>
          <w:ilvl w:val="0"/>
          <w:numId w:val="3"/>
        </w:numPr>
        <w:spacing w:after="120"/>
        <w:contextualSpacing w:val="0"/>
      </w:pPr>
      <w:r>
        <w:rPr>
          <w:rFonts w:cstheme="minorHAnsi"/>
          <w:b/>
          <w:bCs/>
          <w:color w:val="00A499"/>
          <w:sz w:val="28"/>
          <w:szCs w:val="28"/>
        </w:rPr>
        <w:lastRenderedPageBreak/>
        <w:t>PROCUREMENT</w:t>
      </w:r>
    </w:p>
    <w:p w14:paraId="7A06D8B6" w14:textId="299C11FF" w:rsidR="00FC31AB" w:rsidRPr="00F34455" w:rsidRDefault="00FC31AB" w:rsidP="00515E81">
      <w:pPr>
        <w:spacing w:after="120"/>
        <w:rPr>
          <w:rFonts w:asciiTheme="majorHAnsi" w:eastAsia="Times New Roman" w:hAnsiTheme="majorHAnsi" w:cstheme="minorHAnsi"/>
          <w:b/>
          <w:bCs/>
          <w:color w:val="003087" w:themeColor="text2"/>
          <w:lang w:eastAsia="en-GB"/>
        </w:rPr>
      </w:pPr>
      <w:r w:rsidRPr="00F34455">
        <w:rPr>
          <w:rFonts w:asciiTheme="majorHAnsi" w:eastAsia="Times New Roman" w:hAnsiTheme="majorHAnsi" w:cstheme="minorHAnsi"/>
          <w:b/>
          <w:bCs/>
          <w:color w:val="003087" w:themeColor="text2"/>
          <w:lang w:eastAsia="en-GB"/>
        </w:rPr>
        <w:t>PROCESS</w:t>
      </w:r>
    </w:p>
    <w:p w14:paraId="5CB88F9B" w14:textId="4597D367" w:rsidR="00FC31AB" w:rsidRPr="005C6CC9" w:rsidRDefault="00FC31AB" w:rsidP="00FC31AB">
      <w:pPr>
        <w:spacing w:after="120" w:line="276" w:lineRule="auto"/>
      </w:pPr>
      <w:r>
        <w:t>As a Healthcare Service, this contract falls under the Light Touch Regime (LTR) of the Public Procurement Regulations 2015 (PCR 2015)</w:t>
      </w:r>
      <w:r w:rsidR="0089256C">
        <w:t>. T</w:t>
      </w:r>
      <w:r w:rsidRPr="005C6CC9">
        <w:t>he ICB</w:t>
      </w:r>
      <w:r w:rsidR="0089256C">
        <w:t xml:space="preserve"> therefore</w:t>
      </w:r>
      <w:r w:rsidRPr="005C6CC9">
        <w:t xml:space="preserve"> intends to </w:t>
      </w:r>
      <w:r>
        <w:t>follow</w:t>
      </w:r>
      <w:r w:rsidRPr="005C6CC9">
        <w:t xml:space="preserve"> a </w:t>
      </w:r>
      <w:r>
        <w:t>single</w:t>
      </w:r>
      <w:r w:rsidRPr="005C6CC9">
        <w:t xml:space="preserve">-stage competitive process, akin to the </w:t>
      </w:r>
      <w:r>
        <w:t>open</w:t>
      </w:r>
      <w:r w:rsidRPr="005C6CC9">
        <w:t xml:space="preserve"> procedure, that includes a</w:t>
      </w:r>
      <w:r>
        <w:t xml:space="preserve"> bidder interview</w:t>
      </w:r>
      <w:r w:rsidRPr="005C6CC9">
        <w:t xml:space="preserve"> stage</w:t>
      </w:r>
      <w:r w:rsidR="0089256C">
        <w:t xml:space="preserve"> and is </w:t>
      </w:r>
      <w:r w:rsidRPr="005C6CC9">
        <w:t xml:space="preserve">designed to </w:t>
      </w:r>
      <w:r w:rsidR="0089256C">
        <w:t xml:space="preserve">instil the ICB with a level of </w:t>
      </w:r>
      <w:r>
        <w:t>confidence</w:t>
      </w:r>
      <w:r w:rsidRPr="005C6CC9">
        <w:t xml:space="preserve"> </w:t>
      </w:r>
      <w:r>
        <w:t>regarding the Lead Bidder’s ability to deliver a high-quality integrated community MSK service</w:t>
      </w:r>
      <w:r w:rsidR="0089256C">
        <w:t xml:space="preserve"> (as specified)</w:t>
      </w:r>
      <w:r>
        <w:t>, in a</w:t>
      </w:r>
      <w:r w:rsidR="004A0434">
        <w:t>n economical and</w:t>
      </w:r>
      <w:r>
        <w:t xml:space="preserve"> sustainable manner.</w:t>
      </w:r>
    </w:p>
    <w:p w14:paraId="70A84988" w14:textId="3ED8D7D0" w:rsidR="008C5528" w:rsidRDefault="008C5528" w:rsidP="009665B5">
      <w:pPr>
        <w:spacing w:after="120"/>
      </w:pPr>
      <w:r>
        <w:t xml:space="preserve">The procurement process will include </w:t>
      </w:r>
      <w:r w:rsidR="0017093A">
        <w:t>selective</w:t>
      </w:r>
      <w:r>
        <w:t xml:space="preserve"> evaluation</w:t>
      </w:r>
      <w:r w:rsidR="0017093A">
        <w:t>, through</w:t>
      </w:r>
      <w:r>
        <w:t xml:space="preserve"> which </w:t>
      </w:r>
      <w:r w:rsidR="0017093A">
        <w:t xml:space="preserve">bidders will </w:t>
      </w:r>
      <w:r>
        <w:t xml:space="preserve">need to </w:t>
      </w:r>
      <w:r w:rsidR="0017093A">
        <w:t xml:space="preserve">provide </w:t>
      </w:r>
      <w:r>
        <w:t>assur</w:t>
      </w:r>
      <w:r w:rsidR="0017093A">
        <w:t>ance of the</w:t>
      </w:r>
      <w:r>
        <w:t xml:space="preserve"> following:</w:t>
      </w:r>
    </w:p>
    <w:p w14:paraId="0319E3FD" w14:textId="36A8A623" w:rsidR="008C5528" w:rsidRDefault="008C5528" w:rsidP="00392802">
      <w:pPr>
        <w:pStyle w:val="ListParagraph"/>
        <w:numPr>
          <w:ilvl w:val="4"/>
          <w:numId w:val="15"/>
        </w:numPr>
        <w:spacing w:after="120"/>
        <w:ind w:left="851" w:hanging="284"/>
        <w:contextualSpacing w:val="0"/>
      </w:pPr>
      <w:r>
        <w:t>Reasonable financial stability;</w:t>
      </w:r>
    </w:p>
    <w:p w14:paraId="134C24E0" w14:textId="56CB4D98" w:rsidR="008C5528" w:rsidRDefault="008C5528" w:rsidP="00392802">
      <w:pPr>
        <w:pStyle w:val="ListParagraph"/>
        <w:numPr>
          <w:ilvl w:val="4"/>
          <w:numId w:val="15"/>
        </w:numPr>
        <w:spacing w:after="120"/>
        <w:ind w:left="851" w:hanging="284"/>
        <w:contextualSpacing w:val="0"/>
      </w:pPr>
      <w:r>
        <w:t>No prior contract terminat</w:t>
      </w:r>
      <w:r w:rsidR="0017093A">
        <w:t>ion</w:t>
      </w:r>
      <w:r>
        <w:t xml:space="preserve"> relati</w:t>
      </w:r>
      <w:r w:rsidR="0017093A">
        <w:t>ng</w:t>
      </w:r>
      <w:r>
        <w:t xml:space="preserve"> to matters</w:t>
      </w:r>
      <w:r w:rsidR="0017093A">
        <w:t xml:space="preserve"> that may</w:t>
      </w:r>
      <w:r>
        <w:t xml:space="preserve"> negatively impact this contract;</w:t>
      </w:r>
      <w:r w:rsidR="00154552">
        <w:t xml:space="preserve"> and</w:t>
      </w:r>
    </w:p>
    <w:p w14:paraId="7AC1FDB8" w14:textId="47D861B3" w:rsidR="003E4BCD" w:rsidRDefault="003E4BCD" w:rsidP="00392802">
      <w:pPr>
        <w:pStyle w:val="ListParagraph"/>
        <w:numPr>
          <w:ilvl w:val="4"/>
          <w:numId w:val="15"/>
        </w:numPr>
        <w:spacing w:after="120"/>
        <w:ind w:left="851" w:hanging="284"/>
        <w:contextualSpacing w:val="0"/>
      </w:pPr>
      <w:r>
        <w:t>Three references (or appropriate</w:t>
      </w:r>
      <w:r w:rsidR="00DD4DD5">
        <w:t xml:space="preserve"> supporting</w:t>
      </w:r>
      <w:r>
        <w:t xml:space="preserve"> narrative</w:t>
      </w:r>
      <w:r w:rsidR="00DD4DD5">
        <w:t>, where</w:t>
      </w:r>
      <w:r>
        <w:t xml:space="preserve"> this is not possible)</w:t>
      </w:r>
    </w:p>
    <w:p w14:paraId="6B2F4F2F" w14:textId="1D0A9A1B" w:rsidR="008C5528" w:rsidRDefault="003E4BCD" w:rsidP="00392802">
      <w:pPr>
        <w:pStyle w:val="ListParagraph"/>
        <w:numPr>
          <w:ilvl w:val="4"/>
          <w:numId w:val="15"/>
        </w:numPr>
        <w:spacing w:after="240"/>
        <w:ind w:left="851" w:hanging="284"/>
        <w:contextualSpacing w:val="0"/>
      </w:pPr>
      <w:r>
        <w:t xml:space="preserve">Details of subcontracting arrangements and </w:t>
      </w:r>
      <w:r w:rsidR="008A1373">
        <w:t xml:space="preserve">supply chain </w:t>
      </w:r>
      <w:r>
        <w:t>relationships (if applicable)</w:t>
      </w:r>
      <w:r w:rsidR="00154552">
        <w:t>.</w:t>
      </w:r>
    </w:p>
    <w:p w14:paraId="1E637B28" w14:textId="5DE815CE" w:rsidR="003909B5" w:rsidRPr="00F34455" w:rsidRDefault="003909B5"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CONTRACT TERMS</w:t>
      </w:r>
      <w:r w:rsidR="008C5528" w:rsidRPr="00F34455">
        <w:rPr>
          <w:b/>
          <w:bCs/>
        </w:rPr>
        <w:tab/>
      </w:r>
    </w:p>
    <w:p w14:paraId="10FDBC8E" w14:textId="2E9EDBED" w:rsidR="008C5528" w:rsidRDefault="008C5528" w:rsidP="005A4975">
      <w:pPr>
        <w:spacing w:after="240"/>
      </w:pPr>
      <w:r>
        <w:t xml:space="preserve">Bidders will be required to confirm acceptance of the </w:t>
      </w:r>
      <w:r w:rsidR="0017093A">
        <w:t>c</w:t>
      </w:r>
      <w:r>
        <w:t xml:space="preserve">ontracting </w:t>
      </w:r>
      <w:r w:rsidR="0017093A">
        <w:t>a</w:t>
      </w:r>
      <w:r>
        <w:t>uthority’s contract terms and conditions</w:t>
      </w:r>
      <w:r w:rsidR="0017093A">
        <w:t>, including</w:t>
      </w:r>
      <w:r>
        <w:t xml:space="preserve"> the </w:t>
      </w:r>
      <w:r w:rsidR="0017093A">
        <w:t>s</w:t>
      </w:r>
      <w:r>
        <w:t xml:space="preserve">ervice </w:t>
      </w:r>
      <w:r w:rsidR="0017093A">
        <w:t>s</w:t>
      </w:r>
      <w:r>
        <w:t>pecification.</w:t>
      </w:r>
    </w:p>
    <w:p w14:paraId="2801AA6B" w14:textId="77777777" w:rsidR="003909B5" w:rsidRPr="00F34455" w:rsidRDefault="008C5528"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VAT</w:t>
      </w:r>
      <w:r w:rsidRPr="00F34455">
        <w:rPr>
          <w:b/>
          <w:bCs/>
        </w:rPr>
        <w:tab/>
      </w:r>
    </w:p>
    <w:p w14:paraId="5CEF0EE8" w14:textId="2AD4F5C1" w:rsidR="008C5528" w:rsidRDefault="004558A8" w:rsidP="005A4975">
      <w:pPr>
        <w:spacing w:after="240"/>
      </w:pPr>
      <w:r>
        <w:t>B</w:t>
      </w:r>
      <w:r w:rsidR="008C5528">
        <w:t>idder</w:t>
      </w:r>
      <w:r>
        <w:t>s</w:t>
      </w:r>
      <w:r w:rsidR="008C5528">
        <w:t xml:space="preserve"> </w:t>
      </w:r>
      <w:r>
        <w:t>must</w:t>
      </w:r>
      <w:r w:rsidR="008C5528">
        <w:t xml:space="preserve"> include all relevant input VAT within its costing assumptions and ensure that the bid price excludes output VAT.</w:t>
      </w:r>
    </w:p>
    <w:p w14:paraId="2EEE17CD" w14:textId="77777777" w:rsidR="003909B5" w:rsidRPr="00F34455" w:rsidRDefault="003909B5" w:rsidP="009665B5">
      <w:pPr>
        <w:spacing w:after="120"/>
        <w:ind w:left="2552" w:hanging="2552"/>
        <w:rPr>
          <w:b/>
          <w:bCs/>
        </w:rPr>
      </w:pPr>
      <w:r w:rsidRPr="00F34455">
        <w:rPr>
          <w:rFonts w:asciiTheme="majorHAnsi" w:eastAsia="Times New Roman" w:hAnsiTheme="majorHAnsi" w:cstheme="minorHAnsi"/>
          <w:b/>
          <w:bCs/>
          <w:color w:val="003087" w:themeColor="text2"/>
          <w:lang w:eastAsia="en-GB"/>
        </w:rPr>
        <w:t>CASH-FLOW</w:t>
      </w:r>
      <w:r w:rsidR="008C5528" w:rsidRPr="00F34455">
        <w:rPr>
          <w:b/>
          <w:bCs/>
        </w:rPr>
        <w:tab/>
      </w:r>
    </w:p>
    <w:p w14:paraId="5A1BC9A0" w14:textId="7864D3A7" w:rsidR="008C5528" w:rsidRDefault="008C5528" w:rsidP="009665B5">
      <w:pPr>
        <w:spacing w:after="120"/>
      </w:pPr>
      <w:r>
        <w:t xml:space="preserve">Financial evaluation of the bidder will include an assurance that the bidder organisation is able to financially sustain </w:t>
      </w:r>
      <w:r w:rsidR="004558A8">
        <w:t xml:space="preserve">all </w:t>
      </w:r>
      <w:r>
        <w:t xml:space="preserve">necessary costs </w:t>
      </w:r>
      <w:r w:rsidR="004558A8">
        <w:t>involved with operating the servi</w:t>
      </w:r>
      <w:r w:rsidR="004A0434">
        <w:t>ce</w:t>
      </w:r>
      <w:r w:rsidR="004A0434" w:rsidRPr="004A0434">
        <w:t xml:space="preserve"> </w:t>
      </w:r>
      <w:r w:rsidR="004A0434">
        <w:t xml:space="preserve">and evidence how any subcontracts will be managed to support financial sustainability of the wider supply chain. </w:t>
      </w:r>
    </w:p>
    <w:p w14:paraId="44D2F289" w14:textId="77777777" w:rsidR="00915E9B" w:rsidRDefault="00915E9B" w:rsidP="009665B5">
      <w:pPr>
        <w:spacing w:after="120"/>
      </w:pPr>
    </w:p>
    <w:sectPr w:rsidR="00915E9B" w:rsidSect="004A0434">
      <w:pgSz w:w="11906" w:h="16838"/>
      <w:pgMar w:top="1843"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858E" w14:textId="77777777" w:rsidR="00BE2391" w:rsidRDefault="00BE2391" w:rsidP="0069385B">
      <w:pPr>
        <w:spacing w:line="240" w:lineRule="auto"/>
      </w:pPr>
      <w:r>
        <w:separator/>
      </w:r>
    </w:p>
  </w:endnote>
  <w:endnote w:type="continuationSeparator" w:id="0">
    <w:p w14:paraId="1237F3AC" w14:textId="77777777" w:rsidR="00BE2391" w:rsidRDefault="00BE2391" w:rsidP="0069385B">
      <w:pPr>
        <w:spacing w:line="240" w:lineRule="auto"/>
      </w:pPr>
      <w:r>
        <w:continuationSeparator/>
      </w:r>
    </w:p>
  </w:endnote>
  <w:endnote w:type="continuationNotice" w:id="1">
    <w:p w14:paraId="1AB249CC" w14:textId="77777777" w:rsidR="00C14234" w:rsidRDefault="00C14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oppins Bold">
    <w:altName w:val="Courier New"/>
    <w:panose1 w:val="00000800000000000000"/>
    <w:charset w:val="58"/>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72769"/>
      <w:docPartObj>
        <w:docPartGallery w:val="Page Numbers (Bottom of Page)"/>
        <w:docPartUnique/>
      </w:docPartObj>
    </w:sdtPr>
    <w:sdtEndPr/>
    <w:sdtContent>
      <w:sdt>
        <w:sdtPr>
          <w:id w:val="82267798"/>
          <w:docPartObj>
            <w:docPartGallery w:val="Page Numbers (Top of Page)"/>
            <w:docPartUnique/>
          </w:docPartObj>
        </w:sdtPr>
        <w:sdtEndPr/>
        <w:sdtContent>
          <w:p w14:paraId="28F65D14" w14:textId="13675AB4" w:rsidR="004A0434" w:rsidRDefault="004A0434">
            <w:pPr>
              <w:pStyle w:val="Footer"/>
              <w:jc w:val="right"/>
            </w:pPr>
            <w:r w:rsidRPr="00154552">
              <w:rPr>
                <w:sz w:val="16"/>
                <w:szCs w:val="16"/>
              </w:rPr>
              <w:t xml:space="preserve">Page </w:t>
            </w:r>
            <w:r w:rsidRPr="00154552">
              <w:rPr>
                <w:b/>
                <w:bCs/>
                <w:sz w:val="16"/>
                <w:szCs w:val="16"/>
              </w:rPr>
              <w:fldChar w:fldCharType="begin"/>
            </w:r>
            <w:r w:rsidRPr="00154552">
              <w:rPr>
                <w:b/>
                <w:bCs/>
                <w:sz w:val="16"/>
                <w:szCs w:val="16"/>
              </w:rPr>
              <w:instrText xml:space="preserve"> PAGE </w:instrText>
            </w:r>
            <w:r w:rsidRPr="00154552">
              <w:rPr>
                <w:b/>
                <w:bCs/>
                <w:sz w:val="16"/>
                <w:szCs w:val="16"/>
              </w:rPr>
              <w:fldChar w:fldCharType="separate"/>
            </w:r>
            <w:r w:rsidR="003539F4">
              <w:rPr>
                <w:b/>
                <w:bCs/>
                <w:noProof/>
                <w:sz w:val="16"/>
                <w:szCs w:val="16"/>
              </w:rPr>
              <w:t>10</w:t>
            </w:r>
            <w:r w:rsidRPr="00154552">
              <w:rPr>
                <w:b/>
                <w:bCs/>
                <w:sz w:val="16"/>
                <w:szCs w:val="16"/>
              </w:rPr>
              <w:fldChar w:fldCharType="end"/>
            </w:r>
            <w:r w:rsidRPr="00154552">
              <w:rPr>
                <w:sz w:val="16"/>
                <w:szCs w:val="16"/>
              </w:rPr>
              <w:t xml:space="preserve"> of </w:t>
            </w:r>
            <w:r w:rsidRPr="00154552">
              <w:rPr>
                <w:b/>
                <w:bCs/>
                <w:sz w:val="16"/>
                <w:szCs w:val="16"/>
              </w:rPr>
              <w:fldChar w:fldCharType="begin"/>
            </w:r>
            <w:r w:rsidRPr="00154552">
              <w:rPr>
                <w:b/>
                <w:bCs/>
                <w:sz w:val="16"/>
                <w:szCs w:val="16"/>
              </w:rPr>
              <w:instrText xml:space="preserve"> NUMPAGES  </w:instrText>
            </w:r>
            <w:r w:rsidRPr="00154552">
              <w:rPr>
                <w:b/>
                <w:bCs/>
                <w:sz w:val="16"/>
                <w:szCs w:val="16"/>
              </w:rPr>
              <w:fldChar w:fldCharType="separate"/>
            </w:r>
            <w:r w:rsidR="003539F4">
              <w:rPr>
                <w:b/>
                <w:bCs/>
                <w:noProof/>
                <w:sz w:val="16"/>
                <w:szCs w:val="16"/>
              </w:rPr>
              <w:t>10</w:t>
            </w:r>
            <w:r w:rsidRPr="00154552">
              <w:rPr>
                <w:b/>
                <w:bCs/>
                <w:sz w:val="16"/>
                <w:szCs w:val="16"/>
              </w:rPr>
              <w:fldChar w:fldCharType="end"/>
            </w:r>
          </w:p>
        </w:sdtContent>
      </w:sdt>
    </w:sdtContent>
  </w:sdt>
  <w:p w14:paraId="0E5D8436" w14:textId="77777777" w:rsidR="004A0434" w:rsidRDefault="004A0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D784" w14:textId="70F5ED29" w:rsidR="004A0434" w:rsidRDefault="004A0434">
    <w:pPr>
      <w:pStyle w:val="Footer"/>
      <w:jc w:val="right"/>
    </w:pPr>
    <w:r w:rsidRPr="00154552">
      <w:rPr>
        <w:sz w:val="16"/>
        <w:szCs w:val="16"/>
      </w:rPr>
      <w:t xml:space="preserve">Page </w:t>
    </w:r>
    <w:r w:rsidRPr="00154552">
      <w:rPr>
        <w:b/>
        <w:bCs/>
        <w:sz w:val="16"/>
        <w:szCs w:val="16"/>
      </w:rPr>
      <w:fldChar w:fldCharType="begin"/>
    </w:r>
    <w:r w:rsidRPr="00154552">
      <w:rPr>
        <w:b/>
        <w:bCs/>
        <w:sz w:val="16"/>
        <w:szCs w:val="16"/>
      </w:rPr>
      <w:instrText xml:space="preserve"> PAGE </w:instrText>
    </w:r>
    <w:r w:rsidRPr="00154552">
      <w:rPr>
        <w:b/>
        <w:bCs/>
        <w:sz w:val="16"/>
        <w:szCs w:val="16"/>
      </w:rPr>
      <w:fldChar w:fldCharType="separate"/>
    </w:r>
    <w:r w:rsidR="003539F4">
      <w:rPr>
        <w:b/>
        <w:bCs/>
        <w:noProof/>
        <w:sz w:val="16"/>
        <w:szCs w:val="16"/>
      </w:rPr>
      <w:t>1</w:t>
    </w:r>
    <w:r w:rsidRPr="00154552">
      <w:rPr>
        <w:b/>
        <w:bCs/>
        <w:sz w:val="16"/>
        <w:szCs w:val="16"/>
      </w:rPr>
      <w:fldChar w:fldCharType="end"/>
    </w:r>
    <w:r w:rsidRPr="00154552">
      <w:rPr>
        <w:sz w:val="16"/>
        <w:szCs w:val="16"/>
      </w:rPr>
      <w:t xml:space="preserve"> of </w:t>
    </w:r>
    <w:r w:rsidRPr="00154552">
      <w:rPr>
        <w:b/>
        <w:bCs/>
        <w:sz w:val="16"/>
        <w:szCs w:val="16"/>
      </w:rPr>
      <w:fldChar w:fldCharType="begin"/>
    </w:r>
    <w:r w:rsidRPr="00154552">
      <w:rPr>
        <w:b/>
        <w:bCs/>
        <w:sz w:val="16"/>
        <w:szCs w:val="16"/>
      </w:rPr>
      <w:instrText xml:space="preserve"> NUMPAGES  </w:instrText>
    </w:r>
    <w:r w:rsidRPr="00154552">
      <w:rPr>
        <w:b/>
        <w:bCs/>
        <w:sz w:val="16"/>
        <w:szCs w:val="16"/>
      </w:rPr>
      <w:fldChar w:fldCharType="separate"/>
    </w:r>
    <w:r w:rsidR="003539F4">
      <w:rPr>
        <w:b/>
        <w:bCs/>
        <w:noProof/>
        <w:sz w:val="16"/>
        <w:szCs w:val="16"/>
      </w:rPr>
      <w:t>10</w:t>
    </w:r>
    <w:r w:rsidRPr="00154552">
      <w:rPr>
        <w:b/>
        <w:bCs/>
        <w:sz w:val="16"/>
        <w:szCs w:val="16"/>
      </w:rPr>
      <w:fldChar w:fldCharType="end"/>
    </w:r>
  </w:p>
  <w:p w14:paraId="1F0E9456" w14:textId="77777777" w:rsidR="004A0434" w:rsidRDefault="004A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7A46" w14:textId="77777777" w:rsidR="00BE2391" w:rsidRDefault="00BE2391" w:rsidP="0069385B">
      <w:pPr>
        <w:spacing w:line="240" w:lineRule="auto"/>
      </w:pPr>
      <w:r>
        <w:separator/>
      </w:r>
    </w:p>
  </w:footnote>
  <w:footnote w:type="continuationSeparator" w:id="0">
    <w:p w14:paraId="483BC492" w14:textId="77777777" w:rsidR="00BE2391" w:rsidRDefault="00BE2391" w:rsidP="0069385B">
      <w:pPr>
        <w:spacing w:line="240" w:lineRule="auto"/>
      </w:pPr>
      <w:r>
        <w:continuationSeparator/>
      </w:r>
    </w:p>
  </w:footnote>
  <w:footnote w:type="continuationNotice" w:id="1">
    <w:p w14:paraId="341C9BFA" w14:textId="77777777" w:rsidR="00C14234" w:rsidRDefault="00C142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83E2" w14:textId="23BFCD0A" w:rsidR="004A0434" w:rsidRDefault="004A0434" w:rsidP="00154552">
    <w:pPr>
      <w:pStyle w:val="Header"/>
      <w:jc w:val="right"/>
    </w:pPr>
    <w:r>
      <w:rPr>
        <w:noProof/>
        <w:lang w:eastAsia="en-GB"/>
      </w:rPr>
      <w:drawing>
        <wp:inline distT="0" distB="0" distL="0" distR="0" wp14:anchorId="7D0F5591" wp14:editId="50529AD4">
          <wp:extent cx="1628518" cy="561213"/>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669040" cy="575178"/>
                  </a:xfrm>
                  <a:prstGeom prst="rect">
                    <a:avLst/>
                  </a:prstGeom>
                </pic:spPr>
              </pic:pic>
            </a:graphicData>
          </a:graphic>
        </wp:inline>
      </w:drawing>
    </w:r>
    <w:r>
      <w:rPr>
        <w:noProof/>
        <w:lang w:eastAsia="en-GB"/>
      </w:rPr>
      <mc:AlternateContent>
        <mc:Choice Requires="wps">
          <w:drawing>
            <wp:anchor distT="0" distB="0" distL="114300" distR="114300" simplePos="0" relativeHeight="251658240" behindDoc="0" locked="0" layoutInCell="0" allowOverlap="1" wp14:anchorId="2F2DE942" wp14:editId="6AB5DE41">
              <wp:simplePos x="0" y="0"/>
              <wp:positionH relativeFrom="page">
                <wp:posOffset>0</wp:posOffset>
              </wp:positionH>
              <wp:positionV relativeFrom="page">
                <wp:posOffset>190500</wp:posOffset>
              </wp:positionV>
              <wp:extent cx="7560310" cy="270510"/>
              <wp:effectExtent l="0" t="0" r="0" b="15240"/>
              <wp:wrapNone/>
              <wp:docPr id="1" name="Text Box 1"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61C17" w14:textId="77777777" w:rsidR="004A0434" w:rsidRPr="0069385B" w:rsidRDefault="004A0434"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F2DE942" id="_x0000_t202" coordsize="21600,21600" o:spt="202" path="m,l,21600r21600,l21600,xe">
              <v:stroke joinstyle="miter"/>
              <v:path gradientshapeok="t" o:connecttype="rect"/>
            </v:shapetype>
            <v:shape id="Text Box 1" o:spid="_x0000_s1026" type="#_x0000_t202" alt="{&quot;HashCode&quot;:-1601822747,&quot;Height&quot;:841.0,&quot;Width&quot;:595.0,&quot;Placement&quot;:&quot;Header&quot;,&quot;Index&quot;:&quot;Primary&quot;,&quot;Section&quot;:1,&quot;Top&quot;:0.0,&quot;Left&quot;:0.0}" style="position:absolute;left:0;text-align:left;margin-left:0;margin-top:15pt;width:595.3pt;height:21.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55661C17" w14:textId="77777777" w:rsidR="004A0434" w:rsidRPr="0069385B" w:rsidRDefault="004A0434"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B8B3" w14:textId="4ED7E549" w:rsidR="004A0434" w:rsidRDefault="004A0434" w:rsidP="00C24B54">
    <w:pPr>
      <w:pStyle w:val="Header"/>
      <w:jc w:val="right"/>
    </w:pPr>
    <w:r>
      <w:rPr>
        <w:noProof/>
        <w:lang w:eastAsia="en-GB"/>
      </w:rPr>
      <w:drawing>
        <wp:inline distT="0" distB="0" distL="0" distR="0" wp14:anchorId="1987FDDC" wp14:editId="11229C31">
          <wp:extent cx="1628518" cy="561213"/>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669040" cy="575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89D89"/>
    <w:multiLevelType w:val="hybridMultilevel"/>
    <w:tmpl w:val="B216EC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CFDB91"/>
    <w:multiLevelType w:val="hybridMultilevel"/>
    <w:tmpl w:val="3BF3CD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86EE0"/>
    <w:multiLevelType w:val="hybridMultilevel"/>
    <w:tmpl w:val="CF7E9692"/>
    <w:lvl w:ilvl="0" w:tplc="08090005">
      <w:start w:val="1"/>
      <w:numFmt w:val="bullet"/>
      <w:lvlText w:val=""/>
      <w:lvlJc w:val="left"/>
      <w:pPr>
        <w:ind w:left="405" w:hanging="360"/>
      </w:pPr>
      <w:rPr>
        <w:rFonts w:ascii="Wingdings" w:hAnsi="Wingdings"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 w15:restartNumberingAfterBreak="0">
    <w:nsid w:val="05110C9A"/>
    <w:multiLevelType w:val="hybridMultilevel"/>
    <w:tmpl w:val="EF10E6BA"/>
    <w:lvl w:ilvl="0" w:tplc="CD3AD696">
      <w:start w:val="1"/>
      <w:numFmt w:val="decimal"/>
      <w:lvlText w:val="%1."/>
      <w:lvlJc w:val="left"/>
      <w:pPr>
        <w:ind w:left="720" w:hanging="360"/>
      </w:pPr>
      <w:rPr>
        <w:rFonts w:cstheme="minorHAnsi" w:hint="default"/>
        <w:b/>
        <w:color w:val="00A499"/>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012D1"/>
    <w:multiLevelType w:val="hybridMultilevel"/>
    <w:tmpl w:val="29226C94"/>
    <w:lvl w:ilvl="0" w:tplc="FFFFFFFF">
      <w:start w:val="2"/>
      <w:numFmt w:val="bullet"/>
      <w:lvlText w:val="-"/>
      <w:lvlJc w:val="left"/>
      <w:pPr>
        <w:ind w:left="405" w:hanging="360"/>
      </w:pPr>
      <w:rPr>
        <w:rFonts w:ascii="Calibri" w:eastAsiaTheme="minorHAnsi" w:hAnsi="Calibri" w:cs="Calibri"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04090005">
      <w:start w:val="1"/>
      <w:numFmt w:val="bullet"/>
      <w:lvlText w:val=""/>
      <w:lvlJc w:val="left"/>
      <w:pPr>
        <w:ind w:left="3285" w:hanging="360"/>
      </w:pPr>
      <w:rPr>
        <w:rFonts w:ascii="Wingdings" w:hAnsi="Wingdings" w:hint="default"/>
      </w:rPr>
    </w:lvl>
    <w:lvl w:ilvl="5" w:tplc="FFFFFFFF">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5" w15:restartNumberingAfterBreak="0">
    <w:nsid w:val="10C50596"/>
    <w:multiLevelType w:val="hybridMultilevel"/>
    <w:tmpl w:val="09F6902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C26CF"/>
    <w:multiLevelType w:val="hybridMultilevel"/>
    <w:tmpl w:val="BCACACFA"/>
    <w:lvl w:ilvl="0" w:tplc="08090005">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22141F4C"/>
    <w:multiLevelType w:val="hybridMultilevel"/>
    <w:tmpl w:val="EF10E6BA"/>
    <w:lvl w:ilvl="0" w:tplc="FFFFFFFF">
      <w:start w:val="1"/>
      <w:numFmt w:val="decimal"/>
      <w:lvlText w:val="%1."/>
      <w:lvlJc w:val="left"/>
      <w:pPr>
        <w:ind w:left="720" w:hanging="360"/>
      </w:pPr>
      <w:rPr>
        <w:rFonts w:cstheme="minorHAnsi" w:hint="default"/>
        <w:b/>
        <w:color w:val="00A499"/>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F4B8A"/>
    <w:multiLevelType w:val="hybridMultilevel"/>
    <w:tmpl w:val="61602138"/>
    <w:lvl w:ilvl="0" w:tplc="08090005">
      <w:start w:val="1"/>
      <w:numFmt w:val="bullet"/>
      <w:lvlText w:val=""/>
      <w:lvlJc w:val="left"/>
      <w:pPr>
        <w:ind w:left="405" w:hanging="360"/>
      </w:pPr>
      <w:rPr>
        <w:rFonts w:ascii="Wingdings" w:hAnsi="Wingdings"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9" w15:restartNumberingAfterBreak="0">
    <w:nsid w:val="254C0FDB"/>
    <w:multiLevelType w:val="hybridMultilevel"/>
    <w:tmpl w:val="0784BF5E"/>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F42AB"/>
    <w:multiLevelType w:val="hybridMultilevel"/>
    <w:tmpl w:val="CCACA0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255AA"/>
    <w:multiLevelType w:val="hybridMultilevel"/>
    <w:tmpl w:val="2926FCF6"/>
    <w:lvl w:ilvl="0" w:tplc="08090005">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2EE11F4C"/>
    <w:multiLevelType w:val="hybridMultilevel"/>
    <w:tmpl w:val="D57C7A58"/>
    <w:lvl w:ilvl="0" w:tplc="A7805BCA">
      <w:start w:val="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09287A"/>
    <w:multiLevelType w:val="hybridMultilevel"/>
    <w:tmpl w:val="35F8B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5642ED"/>
    <w:multiLevelType w:val="hybridMultilevel"/>
    <w:tmpl w:val="6FA6A404"/>
    <w:lvl w:ilvl="0" w:tplc="08090005">
      <w:start w:val="1"/>
      <w:numFmt w:val="bullet"/>
      <w:lvlText w:val=""/>
      <w:lvlJc w:val="left"/>
      <w:pPr>
        <w:ind w:left="1152" w:hanging="360"/>
      </w:pPr>
      <w:rPr>
        <w:rFonts w:ascii="Wingdings" w:hAnsi="Wingdings"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39C50280"/>
    <w:multiLevelType w:val="hybridMultilevel"/>
    <w:tmpl w:val="212CE844"/>
    <w:lvl w:ilvl="0" w:tplc="97283E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56E56"/>
    <w:multiLevelType w:val="multilevel"/>
    <w:tmpl w:val="0AAE172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425563" w:themeColor="text1"/>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1815E2"/>
    <w:multiLevelType w:val="hybridMultilevel"/>
    <w:tmpl w:val="6D7E2E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E44ECB"/>
    <w:multiLevelType w:val="hybridMultilevel"/>
    <w:tmpl w:val="3586C7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5676B"/>
    <w:multiLevelType w:val="hybridMultilevel"/>
    <w:tmpl w:val="EF10E6BA"/>
    <w:lvl w:ilvl="0" w:tplc="FFFFFFFF">
      <w:start w:val="1"/>
      <w:numFmt w:val="decimal"/>
      <w:lvlText w:val="%1."/>
      <w:lvlJc w:val="left"/>
      <w:pPr>
        <w:ind w:left="720" w:hanging="360"/>
      </w:pPr>
      <w:rPr>
        <w:rFonts w:cstheme="minorHAnsi" w:hint="default"/>
        <w:b/>
        <w:color w:val="00A499"/>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E852E6"/>
    <w:multiLevelType w:val="multilevel"/>
    <w:tmpl w:val="0BAAB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654B29"/>
    <w:multiLevelType w:val="hybridMultilevel"/>
    <w:tmpl w:val="DCC4F6B6"/>
    <w:lvl w:ilvl="0" w:tplc="0809000F">
      <w:start w:val="1"/>
      <w:numFmt w:val="decimal"/>
      <w:lvlText w:val="%1."/>
      <w:lvlJc w:val="left"/>
      <w:pPr>
        <w:ind w:left="447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5F1ADE"/>
    <w:multiLevelType w:val="hybridMultilevel"/>
    <w:tmpl w:val="4C1C37DC"/>
    <w:lvl w:ilvl="0" w:tplc="FFFFFFFF">
      <w:start w:val="1"/>
      <w:numFmt w:val="decimal"/>
      <w:lvlText w:val="%1."/>
      <w:lvlJc w:val="left"/>
      <w:pPr>
        <w:ind w:left="720" w:hanging="360"/>
      </w:pPr>
      <w:rPr>
        <w:rFonts w:cstheme="minorHAnsi" w:hint="default"/>
        <w:b/>
        <w:color w:val="00A499"/>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B14F9A"/>
    <w:multiLevelType w:val="hybridMultilevel"/>
    <w:tmpl w:val="730E6910"/>
    <w:lvl w:ilvl="0" w:tplc="0568D3A2">
      <w:start w:val="1"/>
      <w:numFmt w:val="bullet"/>
      <w:lvlText w:val=""/>
      <w:lvlJc w:val="left"/>
      <w:pPr>
        <w:ind w:left="720" w:hanging="360"/>
      </w:pPr>
      <w:rPr>
        <w:rFonts w:ascii="Wingdings" w:hAnsi="Wingdings" w:hint="default"/>
        <w:color w:val="42556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C3CFD"/>
    <w:multiLevelType w:val="hybridMultilevel"/>
    <w:tmpl w:val="E00CEA78"/>
    <w:lvl w:ilvl="0" w:tplc="08090005">
      <w:start w:val="1"/>
      <w:numFmt w:val="bullet"/>
      <w:lvlText w:val=""/>
      <w:lvlJc w:val="left"/>
      <w:pPr>
        <w:ind w:left="1152" w:hanging="360"/>
      </w:pPr>
      <w:rPr>
        <w:rFonts w:ascii="Wingdings" w:hAnsi="Wingdings"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795E6D4A"/>
    <w:multiLevelType w:val="hybridMultilevel"/>
    <w:tmpl w:val="ED4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07948">
    <w:abstractNumId w:val="27"/>
  </w:num>
  <w:num w:numId="2" w16cid:durableId="791703992">
    <w:abstractNumId w:val="11"/>
  </w:num>
  <w:num w:numId="3" w16cid:durableId="963001137">
    <w:abstractNumId w:val="3"/>
  </w:num>
  <w:num w:numId="4" w16cid:durableId="471941903">
    <w:abstractNumId w:val="13"/>
  </w:num>
  <w:num w:numId="5" w16cid:durableId="1627276766">
    <w:abstractNumId w:val="2"/>
  </w:num>
  <w:num w:numId="6" w16cid:durableId="1078135166">
    <w:abstractNumId w:val="7"/>
  </w:num>
  <w:num w:numId="7" w16cid:durableId="114833552">
    <w:abstractNumId w:val="8"/>
  </w:num>
  <w:num w:numId="8" w16cid:durableId="697973395">
    <w:abstractNumId w:val="23"/>
  </w:num>
  <w:num w:numId="9" w16cid:durableId="867715301">
    <w:abstractNumId w:val="26"/>
  </w:num>
  <w:num w:numId="10" w16cid:durableId="1730378766">
    <w:abstractNumId w:val="5"/>
  </w:num>
  <w:num w:numId="11" w16cid:durableId="1918778943">
    <w:abstractNumId w:val="19"/>
  </w:num>
  <w:num w:numId="12" w16cid:durableId="231160842">
    <w:abstractNumId w:val="9"/>
  </w:num>
  <w:num w:numId="13" w16cid:durableId="714037357">
    <w:abstractNumId w:val="22"/>
  </w:num>
  <w:num w:numId="14" w16cid:durableId="1949894226">
    <w:abstractNumId w:val="20"/>
  </w:num>
  <w:num w:numId="15" w16cid:durableId="33426493">
    <w:abstractNumId w:val="4"/>
  </w:num>
  <w:num w:numId="16" w16cid:durableId="2121877637">
    <w:abstractNumId w:val="24"/>
  </w:num>
  <w:num w:numId="17" w16cid:durableId="1303464096">
    <w:abstractNumId w:val="0"/>
  </w:num>
  <w:num w:numId="18" w16cid:durableId="995230908">
    <w:abstractNumId w:val="18"/>
  </w:num>
  <w:num w:numId="19" w16cid:durableId="637806986">
    <w:abstractNumId w:val="1"/>
  </w:num>
  <w:num w:numId="20" w16cid:durableId="1120488474">
    <w:abstractNumId w:val="16"/>
  </w:num>
  <w:num w:numId="21" w16cid:durableId="465318272">
    <w:abstractNumId w:val="14"/>
  </w:num>
  <w:num w:numId="22" w16cid:durableId="18626229">
    <w:abstractNumId w:val="17"/>
  </w:num>
  <w:num w:numId="23" w16cid:durableId="404691060">
    <w:abstractNumId w:val="12"/>
  </w:num>
  <w:num w:numId="24" w16cid:durableId="293371810">
    <w:abstractNumId w:val="6"/>
  </w:num>
  <w:num w:numId="25" w16cid:durableId="831332140">
    <w:abstractNumId w:val="15"/>
  </w:num>
  <w:num w:numId="26" w16cid:durableId="923489106">
    <w:abstractNumId w:val="25"/>
  </w:num>
  <w:num w:numId="27" w16cid:durableId="610673246">
    <w:abstractNumId w:val="10"/>
  </w:num>
  <w:num w:numId="28" w16cid:durableId="5277161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DF"/>
    <w:rsid w:val="0000192B"/>
    <w:rsid w:val="0001206D"/>
    <w:rsid w:val="00036FD3"/>
    <w:rsid w:val="000370F2"/>
    <w:rsid w:val="0004351D"/>
    <w:rsid w:val="00061A95"/>
    <w:rsid w:val="00081B51"/>
    <w:rsid w:val="00091A22"/>
    <w:rsid w:val="00094943"/>
    <w:rsid w:val="00095EA9"/>
    <w:rsid w:val="000A07FC"/>
    <w:rsid w:val="000A681E"/>
    <w:rsid w:val="000B1D87"/>
    <w:rsid w:val="000B6841"/>
    <w:rsid w:val="000C6122"/>
    <w:rsid w:val="000C770D"/>
    <w:rsid w:val="000F72E4"/>
    <w:rsid w:val="00117CD2"/>
    <w:rsid w:val="001242DE"/>
    <w:rsid w:val="00126977"/>
    <w:rsid w:val="00130635"/>
    <w:rsid w:val="00131877"/>
    <w:rsid w:val="00131D50"/>
    <w:rsid w:val="001508FB"/>
    <w:rsid w:val="001540BF"/>
    <w:rsid w:val="00154552"/>
    <w:rsid w:val="00157B95"/>
    <w:rsid w:val="001667C8"/>
    <w:rsid w:val="0017093A"/>
    <w:rsid w:val="00170AC1"/>
    <w:rsid w:val="0017185D"/>
    <w:rsid w:val="00183CFB"/>
    <w:rsid w:val="001916B2"/>
    <w:rsid w:val="001931C5"/>
    <w:rsid w:val="001969FF"/>
    <w:rsid w:val="001A1D48"/>
    <w:rsid w:val="001A6275"/>
    <w:rsid w:val="001A79AA"/>
    <w:rsid w:val="001B54A3"/>
    <w:rsid w:val="001D046D"/>
    <w:rsid w:val="001D3982"/>
    <w:rsid w:val="001E22B9"/>
    <w:rsid w:val="001E2A8B"/>
    <w:rsid w:val="001E7826"/>
    <w:rsid w:val="001F5A53"/>
    <w:rsid w:val="00201B31"/>
    <w:rsid w:val="002114CC"/>
    <w:rsid w:val="00225AF9"/>
    <w:rsid w:val="00230CC6"/>
    <w:rsid w:val="00231ED9"/>
    <w:rsid w:val="00235049"/>
    <w:rsid w:val="0024018F"/>
    <w:rsid w:val="002412FC"/>
    <w:rsid w:val="0024565A"/>
    <w:rsid w:val="0025299E"/>
    <w:rsid w:val="0025766C"/>
    <w:rsid w:val="00266B3C"/>
    <w:rsid w:val="00280A22"/>
    <w:rsid w:val="002810AC"/>
    <w:rsid w:val="002923C0"/>
    <w:rsid w:val="002A7AA6"/>
    <w:rsid w:val="002B00FA"/>
    <w:rsid w:val="002B7F71"/>
    <w:rsid w:val="002C17C6"/>
    <w:rsid w:val="002C4DAB"/>
    <w:rsid w:val="002D3AF3"/>
    <w:rsid w:val="002D72A2"/>
    <w:rsid w:val="002E43BB"/>
    <w:rsid w:val="002F0B69"/>
    <w:rsid w:val="002F280F"/>
    <w:rsid w:val="002F5C95"/>
    <w:rsid w:val="003030DB"/>
    <w:rsid w:val="00303146"/>
    <w:rsid w:val="00305704"/>
    <w:rsid w:val="00314C91"/>
    <w:rsid w:val="00321180"/>
    <w:rsid w:val="00323B83"/>
    <w:rsid w:val="00333B05"/>
    <w:rsid w:val="003539F4"/>
    <w:rsid w:val="003609D4"/>
    <w:rsid w:val="00366F2C"/>
    <w:rsid w:val="00373AA9"/>
    <w:rsid w:val="0038373F"/>
    <w:rsid w:val="00386F4E"/>
    <w:rsid w:val="003909B5"/>
    <w:rsid w:val="00391142"/>
    <w:rsid w:val="00392802"/>
    <w:rsid w:val="00396E45"/>
    <w:rsid w:val="003B5C14"/>
    <w:rsid w:val="003D48A5"/>
    <w:rsid w:val="003E4BCD"/>
    <w:rsid w:val="00401797"/>
    <w:rsid w:val="00404E98"/>
    <w:rsid w:val="00405BE7"/>
    <w:rsid w:val="0040690A"/>
    <w:rsid w:val="00407C93"/>
    <w:rsid w:val="00410BF6"/>
    <w:rsid w:val="00414593"/>
    <w:rsid w:val="004148FC"/>
    <w:rsid w:val="00424064"/>
    <w:rsid w:val="00427728"/>
    <w:rsid w:val="0043424B"/>
    <w:rsid w:val="004558A8"/>
    <w:rsid w:val="00456DCC"/>
    <w:rsid w:val="00490A80"/>
    <w:rsid w:val="004A0434"/>
    <w:rsid w:val="004A32CD"/>
    <w:rsid w:val="004B6B55"/>
    <w:rsid w:val="004D3CA0"/>
    <w:rsid w:val="004D7149"/>
    <w:rsid w:val="004E3BE3"/>
    <w:rsid w:val="004F72F5"/>
    <w:rsid w:val="0050068D"/>
    <w:rsid w:val="00515E81"/>
    <w:rsid w:val="00550C5E"/>
    <w:rsid w:val="005537A3"/>
    <w:rsid w:val="0055414E"/>
    <w:rsid w:val="00567C24"/>
    <w:rsid w:val="00576336"/>
    <w:rsid w:val="00580097"/>
    <w:rsid w:val="00580441"/>
    <w:rsid w:val="00583FC3"/>
    <w:rsid w:val="00597D4A"/>
    <w:rsid w:val="005A4975"/>
    <w:rsid w:val="005C4EB7"/>
    <w:rsid w:val="005E1CC0"/>
    <w:rsid w:val="005E20CF"/>
    <w:rsid w:val="0060555D"/>
    <w:rsid w:val="006279F3"/>
    <w:rsid w:val="006376D2"/>
    <w:rsid w:val="00655837"/>
    <w:rsid w:val="00666803"/>
    <w:rsid w:val="00674797"/>
    <w:rsid w:val="00675980"/>
    <w:rsid w:val="0067608F"/>
    <w:rsid w:val="00683D0E"/>
    <w:rsid w:val="00684A8A"/>
    <w:rsid w:val="006869D0"/>
    <w:rsid w:val="00686F9B"/>
    <w:rsid w:val="00691C63"/>
    <w:rsid w:val="0069385B"/>
    <w:rsid w:val="006A647D"/>
    <w:rsid w:val="006C0E63"/>
    <w:rsid w:val="006C5F81"/>
    <w:rsid w:val="006C7725"/>
    <w:rsid w:val="006D5913"/>
    <w:rsid w:val="006E3529"/>
    <w:rsid w:val="006E43FF"/>
    <w:rsid w:val="006E4810"/>
    <w:rsid w:val="006F3CAA"/>
    <w:rsid w:val="00706A90"/>
    <w:rsid w:val="007110DE"/>
    <w:rsid w:val="00715EA0"/>
    <w:rsid w:val="00716C31"/>
    <w:rsid w:val="0073260D"/>
    <w:rsid w:val="00743134"/>
    <w:rsid w:val="0075061E"/>
    <w:rsid w:val="00775534"/>
    <w:rsid w:val="00776EB4"/>
    <w:rsid w:val="007876A4"/>
    <w:rsid w:val="00793259"/>
    <w:rsid w:val="007948DA"/>
    <w:rsid w:val="007A2F8D"/>
    <w:rsid w:val="007A73A8"/>
    <w:rsid w:val="007C10C7"/>
    <w:rsid w:val="007D0D98"/>
    <w:rsid w:val="007E2EB1"/>
    <w:rsid w:val="007E5681"/>
    <w:rsid w:val="007E5B0E"/>
    <w:rsid w:val="007E7129"/>
    <w:rsid w:val="00811F2E"/>
    <w:rsid w:val="00821746"/>
    <w:rsid w:val="00823900"/>
    <w:rsid w:val="00832554"/>
    <w:rsid w:val="0083722D"/>
    <w:rsid w:val="00840AE5"/>
    <w:rsid w:val="00853213"/>
    <w:rsid w:val="00853E9D"/>
    <w:rsid w:val="008571E5"/>
    <w:rsid w:val="00860339"/>
    <w:rsid w:val="008673DB"/>
    <w:rsid w:val="0087146D"/>
    <w:rsid w:val="008760C1"/>
    <w:rsid w:val="00877EB7"/>
    <w:rsid w:val="00884D50"/>
    <w:rsid w:val="0089256C"/>
    <w:rsid w:val="008A1373"/>
    <w:rsid w:val="008A68F0"/>
    <w:rsid w:val="008C4B9F"/>
    <w:rsid w:val="008C5528"/>
    <w:rsid w:val="008C7CD3"/>
    <w:rsid w:val="008E0691"/>
    <w:rsid w:val="008E55E7"/>
    <w:rsid w:val="008E5D7F"/>
    <w:rsid w:val="008F2755"/>
    <w:rsid w:val="008F7FD1"/>
    <w:rsid w:val="009114B9"/>
    <w:rsid w:val="00913FE5"/>
    <w:rsid w:val="00915E9B"/>
    <w:rsid w:val="009216A7"/>
    <w:rsid w:val="00925ABF"/>
    <w:rsid w:val="00945FD9"/>
    <w:rsid w:val="00947568"/>
    <w:rsid w:val="0096221A"/>
    <w:rsid w:val="009647DF"/>
    <w:rsid w:val="009665B5"/>
    <w:rsid w:val="0097236F"/>
    <w:rsid w:val="00985F28"/>
    <w:rsid w:val="009931FA"/>
    <w:rsid w:val="00997A82"/>
    <w:rsid w:val="009A37C9"/>
    <w:rsid w:val="009C3484"/>
    <w:rsid w:val="009E2138"/>
    <w:rsid w:val="009F0C7F"/>
    <w:rsid w:val="00A01362"/>
    <w:rsid w:val="00A019E7"/>
    <w:rsid w:val="00A02C2B"/>
    <w:rsid w:val="00A177DF"/>
    <w:rsid w:val="00A3719D"/>
    <w:rsid w:val="00A373C8"/>
    <w:rsid w:val="00A44A1F"/>
    <w:rsid w:val="00A44B16"/>
    <w:rsid w:val="00A512C8"/>
    <w:rsid w:val="00A650BC"/>
    <w:rsid w:val="00A701DB"/>
    <w:rsid w:val="00A848A4"/>
    <w:rsid w:val="00A96A61"/>
    <w:rsid w:val="00A96F92"/>
    <w:rsid w:val="00AC7C39"/>
    <w:rsid w:val="00AE5BA6"/>
    <w:rsid w:val="00B0059D"/>
    <w:rsid w:val="00B40437"/>
    <w:rsid w:val="00B43E4E"/>
    <w:rsid w:val="00B44792"/>
    <w:rsid w:val="00B463FD"/>
    <w:rsid w:val="00B80B9C"/>
    <w:rsid w:val="00B831DC"/>
    <w:rsid w:val="00B91D0A"/>
    <w:rsid w:val="00B973CD"/>
    <w:rsid w:val="00BA1499"/>
    <w:rsid w:val="00BB1797"/>
    <w:rsid w:val="00BB2BB2"/>
    <w:rsid w:val="00BB3DBF"/>
    <w:rsid w:val="00BB5225"/>
    <w:rsid w:val="00BC15FF"/>
    <w:rsid w:val="00BC2E03"/>
    <w:rsid w:val="00BC4FD9"/>
    <w:rsid w:val="00BD25FD"/>
    <w:rsid w:val="00BE2198"/>
    <w:rsid w:val="00BE2391"/>
    <w:rsid w:val="00BF20D8"/>
    <w:rsid w:val="00C051BD"/>
    <w:rsid w:val="00C0631C"/>
    <w:rsid w:val="00C07C1E"/>
    <w:rsid w:val="00C14234"/>
    <w:rsid w:val="00C143D9"/>
    <w:rsid w:val="00C14809"/>
    <w:rsid w:val="00C24B54"/>
    <w:rsid w:val="00C3791F"/>
    <w:rsid w:val="00C42D43"/>
    <w:rsid w:val="00C47FFE"/>
    <w:rsid w:val="00C869E3"/>
    <w:rsid w:val="00CB134D"/>
    <w:rsid w:val="00CD4D4F"/>
    <w:rsid w:val="00CE7367"/>
    <w:rsid w:val="00CE7422"/>
    <w:rsid w:val="00CF4671"/>
    <w:rsid w:val="00D024B7"/>
    <w:rsid w:val="00D071AC"/>
    <w:rsid w:val="00D17F16"/>
    <w:rsid w:val="00D267F4"/>
    <w:rsid w:val="00D403BB"/>
    <w:rsid w:val="00D40A16"/>
    <w:rsid w:val="00D40A36"/>
    <w:rsid w:val="00D662DC"/>
    <w:rsid w:val="00D66331"/>
    <w:rsid w:val="00D71C3A"/>
    <w:rsid w:val="00D82EFB"/>
    <w:rsid w:val="00D83B56"/>
    <w:rsid w:val="00D86152"/>
    <w:rsid w:val="00DA4217"/>
    <w:rsid w:val="00DD4DD5"/>
    <w:rsid w:val="00DD6490"/>
    <w:rsid w:val="00DE1DC7"/>
    <w:rsid w:val="00DE66E2"/>
    <w:rsid w:val="00E029A4"/>
    <w:rsid w:val="00E10F23"/>
    <w:rsid w:val="00E1239E"/>
    <w:rsid w:val="00E17D62"/>
    <w:rsid w:val="00E22959"/>
    <w:rsid w:val="00E30F16"/>
    <w:rsid w:val="00E41662"/>
    <w:rsid w:val="00E60667"/>
    <w:rsid w:val="00E60B60"/>
    <w:rsid w:val="00E67E20"/>
    <w:rsid w:val="00E71872"/>
    <w:rsid w:val="00EA202A"/>
    <w:rsid w:val="00EA60AF"/>
    <w:rsid w:val="00EB06D8"/>
    <w:rsid w:val="00EB3057"/>
    <w:rsid w:val="00EB751F"/>
    <w:rsid w:val="00EC6025"/>
    <w:rsid w:val="00ED2C1D"/>
    <w:rsid w:val="00ED7EF8"/>
    <w:rsid w:val="00EE01F9"/>
    <w:rsid w:val="00EE24AE"/>
    <w:rsid w:val="00EF618C"/>
    <w:rsid w:val="00F01157"/>
    <w:rsid w:val="00F03123"/>
    <w:rsid w:val="00F12B02"/>
    <w:rsid w:val="00F2061D"/>
    <w:rsid w:val="00F23EED"/>
    <w:rsid w:val="00F34455"/>
    <w:rsid w:val="00F57668"/>
    <w:rsid w:val="00F70182"/>
    <w:rsid w:val="00F730B2"/>
    <w:rsid w:val="00F85666"/>
    <w:rsid w:val="00F91368"/>
    <w:rsid w:val="00F979EE"/>
    <w:rsid w:val="00FA4379"/>
    <w:rsid w:val="00FA5435"/>
    <w:rsid w:val="00FB4923"/>
    <w:rsid w:val="00FC31AB"/>
    <w:rsid w:val="00FC4B7E"/>
    <w:rsid w:val="00FE65B3"/>
    <w:rsid w:val="00FF2E92"/>
    <w:rsid w:val="0848E26B"/>
    <w:rsid w:val="0A4F6D26"/>
    <w:rsid w:val="18ED869F"/>
    <w:rsid w:val="2BD6034C"/>
    <w:rsid w:val="2EC971A9"/>
    <w:rsid w:val="3E34B0CB"/>
    <w:rsid w:val="444B5748"/>
    <w:rsid w:val="482AE160"/>
    <w:rsid w:val="5648EFB3"/>
    <w:rsid w:val="58A17625"/>
    <w:rsid w:val="6830A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81D63"/>
  <w15:chartTrackingRefBased/>
  <w15:docId w15:val="{8224D3C9-E84C-49C2-B600-7052B0E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E5"/>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customStyle="1" w:styleId="UnresolvedMention1">
    <w:name w:val="Unresolved Mention1"/>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Reportsubtitle">
    <w:name w:val="Report subtitle"/>
    <w:basedOn w:val="Normal"/>
    <w:link w:val="ReportsubtitleChar"/>
    <w:qFormat/>
    <w:rsid w:val="00B40437"/>
    <w:rPr>
      <w:color w:val="FFFFFF" w:themeColor="background1"/>
      <w:sz w:val="32"/>
      <w:szCs w:val="32"/>
    </w:rPr>
  </w:style>
  <w:style w:type="character" w:customStyle="1" w:styleId="ReportsubtitleChar">
    <w:name w:val="Report subtitle Char"/>
    <w:basedOn w:val="DefaultParagraphFont"/>
    <w:link w:val="Reportsubtitle"/>
    <w:rsid w:val="00B40437"/>
    <w:rPr>
      <w:color w:val="FFFFFF" w:themeColor="background1"/>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qFormat/>
    <w:rsid w:val="007948DA"/>
    <w:rPr>
      <w:color w:val="425563" w:themeColor="text1"/>
    </w:rPr>
  </w:style>
  <w:style w:type="character" w:styleId="CommentReference">
    <w:name w:val="annotation reference"/>
    <w:basedOn w:val="DefaultParagraphFont"/>
    <w:uiPriority w:val="99"/>
    <w:semiHidden/>
    <w:unhideWhenUsed/>
    <w:rsid w:val="00EC6025"/>
    <w:rPr>
      <w:sz w:val="16"/>
      <w:szCs w:val="16"/>
    </w:rPr>
  </w:style>
  <w:style w:type="paragraph" w:styleId="CommentText">
    <w:name w:val="annotation text"/>
    <w:basedOn w:val="Normal"/>
    <w:link w:val="CommentTextChar"/>
    <w:uiPriority w:val="99"/>
    <w:unhideWhenUsed/>
    <w:rsid w:val="00EC6025"/>
    <w:pPr>
      <w:spacing w:line="240" w:lineRule="auto"/>
    </w:pPr>
    <w:rPr>
      <w:sz w:val="20"/>
      <w:szCs w:val="20"/>
    </w:rPr>
  </w:style>
  <w:style w:type="character" w:customStyle="1" w:styleId="CommentTextChar">
    <w:name w:val="Comment Text Char"/>
    <w:basedOn w:val="DefaultParagraphFont"/>
    <w:link w:val="CommentText"/>
    <w:uiPriority w:val="99"/>
    <w:rsid w:val="00EC602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EC6025"/>
    <w:rPr>
      <w:b/>
      <w:bCs/>
    </w:rPr>
  </w:style>
  <w:style w:type="character" w:customStyle="1" w:styleId="CommentSubjectChar">
    <w:name w:val="Comment Subject Char"/>
    <w:basedOn w:val="CommentTextChar"/>
    <w:link w:val="CommentSubject"/>
    <w:uiPriority w:val="99"/>
    <w:semiHidden/>
    <w:rsid w:val="00EC6025"/>
    <w:rPr>
      <w:b/>
      <w:bCs/>
      <w:color w:val="425563" w:themeColor="text1"/>
      <w:sz w:val="20"/>
      <w:szCs w:val="20"/>
    </w:rPr>
  </w:style>
  <w:style w:type="paragraph" w:customStyle="1" w:styleId="Default">
    <w:name w:val="Default"/>
    <w:rsid w:val="00EC602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43134"/>
    <w:pPr>
      <w:spacing w:after="0" w:line="240" w:lineRule="auto"/>
    </w:pPr>
    <w:rPr>
      <w:color w:val="425563" w:themeColor="text1"/>
    </w:rPr>
  </w:style>
  <w:style w:type="paragraph" w:styleId="BalloonText">
    <w:name w:val="Balloon Text"/>
    <w:basedOn w:val="Normal"/>
    <w:link w:val="BalloonTextChar"/>
    <w:uiPriority w:val="99"/>
    <w:semiHidden/>
    <w:unhideWhenUsed/>
    <w:rsid w:val="006E35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29"/>
    <w:rPr>
      <w:rFonts w:ascii="Segoe UI" w:hAnsi="Segoe UI" w:cs="Segoe UI"/>
      <w:color w:val="425563" w:themeColor="text1"/>
      <w:sz w:val="18"/>
      <w:szCs w:val="18"/>
    </w:rPr>
  </w:style>
  <w:style w:type="character" w:customStyle="1" w:styleId="contentpasted0">
    <w:name w:val="contentpasted0"/>
    <w:basedOn w:val="DefaultParagraphFont"/>
    <w:rsid w:val="0050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9447">
      <w:bodyDiv w:val="1"/>
      <w:marLeft w:val="0"/>
      <w:marRight w:val="0"/>
      <w:marTop w:val="0"/>
      <w:marBottom w:val="0"/>
      <w:divBdr>
        <w:top w:val="none" w:sz="0" w:space="0" w:color="auto"/>
        <w:left w:val="none" w:sz="0" w:space="0" w:color="auto"/>
        <w:bottom w:val="none" w:sz="0" w:space="0" w:color="auto"/>
        <w:right w:val="none" w:sz="0" w:space="0" w:color="auto"/>
      </w:divBdr>
    </w:div>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840585642">
      <w:bodyDiv w:val="1"/>
      <w:marLeft w:val="0"/>
      <w:marRight w:val="0"/>
      <w:marTop w:val="0"/>
      <w:marBottom w:val="0"/>
      <w:divBdr>
        <w:top w:val="none" w:sz="0" w:space="0" w:color="auto"/>
        <w:left w:val="none" w:sz="0" w:space="0" w:color="auto"/>
        <w:bottom w:val="none" w:sz="0" w:space="0" w:color="auto"/>
        <w:right w:val="none" w:sz="0" w:space="0" w:color="auto"/>
      </w:divBdr>
    </w:div>
    <w:div w:id="866286542">
      <w:bodyDiv w:val="1"/>
      <w:marLeft w:val="0"/>
      <w:marRight w:val="0"/>
      <w:marTop w:val="0"/>
      <w:marBottom w:val="0"/>
      <w:divBdr>
        <w:top w:val="none" w:sz="0" w:space="0" w:color="auto"/>
        <w:left w:val="none" w:sz="0" w:space="0" w:color="auto"/>
        <w:bottom w:val="none" w:sz="0" w:space="0" w:color="auto"/>
        <w:right w:val="none" w:sz="0" w:space="0" w:color="auto"/>
      </w:divBdr>
    </w:div>
    <w:div w:id="889152256">
      <w:bodyDiv w:val="1"/>
      <w:marLeft w:val="0"/>
      <w:marRight w:val="0"/>
      <w:marTop w:val="0"/>
      <w:marBottom w:val="0"/>
      <w:divBdr>
        <w:top w:val="none" w:sz="0" w:space="0" w:color="auto"/>
        <w:left w:val="none" w:sz="0" w:space="0" w:color="auto"/>
        <w:bottom w:val="none" w:sz="0" w:space="0" w:color="auto"/>
        <w:right w:val="none" w:sz="0" w:space="0" w:color="auto"/>
      </w:divBdr>
    </w:div>
    <w:div w:id="980698737">
      <w:bodyDiv w:val="1"/>
      <w:marLeft w:val="0"/>
      <w:marRight w:val="0"/>
      <w:marTop w:val="0"/>
      <w:marBottom w:val="0"/>
      <w:divBdr>
        <w:top w:val="none" w:sz="0" w:space="0" w:color="auto"/>
        <w:left w:val="none" w:sz="0" w:space="0" w:color="auto"/>
        <w:bottom w:val="none" w:sz="0" w:space="0" w:color="auto"/>
        <w:right w:val="none" w:sz="0" w:space="0" w:color="auto"/>
      </w:divBdr>
    </w:div>
    <w:div w:id="1067917051">
      <w:bodyDiv w:val="1"/>
      <w:marLeft w:val="0"/>
      <w:marRight w:val="0"/>
      <w:marTop w:val="0"/>
      <w:marBottom w:val="0"/>
      <w:divBdr>
        <w:top w:val="none" w:sz="0" w:space="0" w:color="auto"/>
        <w:left w:val="none" w:sz="0" w:space="0" w:color="auto"/>
        <w:bottom w:val="none" w:sz="0" w:space="0" w:color="auto"/>
        <w:right w:val="none" w:sz="0" w:space="0" w:color="auto"/>
      </w:divBdr>
    </w:div>
    <w:div w:id="1354302142">
      <w:bodyDiv w:val="1"/>
      <w:marLeft w:val="0"/>
      <w:marRight w:val="0"/>
      <w:marTop w:val="0"/>
      <w:marBottom w:val="0"/>
      <w:divBdr>
        <w:top w:val="none" w:sz="0" w:space="0" w:color="auto"/>
        <w:left w:val="none" w:sz="0" w:space="0" w:color="auto"/>
        <w:bottom w:val="none" w:sz="0" w:space="0" w:color="auto"/>
        <w:right w:val="none" w:sz="0" w:space="0" w:color="auto"/>
      </w:divBdr>
    </w:div>
    <w:div w:id="1385911431">
      <w:bodyDiv w:val="1"/>
      <w:marLeft w:val="0"/>
      <w:marRight w:val="0"/>
      <w:marTop w:val="0"/>
      <w:marBottom w:val="0"/>
      <w:divBdr>
        <w:top w:val="none" w:sz="0" w:space="0" w:color="auto"/>
        <w:left w:val="none" w:sz="0" w:space="0" w:color="auto"/>
        <w:bottom w:val="none" w:sz="0" w:space="0" w:color="auto"/>
        <w:right w:val="none" w:sz="0" w:space="0" w:color="auto"/>
      </w:divBdr>
    </w:div>
    <w:div w:id="1403454794">
      <w:bodyDiv w:val="1"/>
      <w:marLeft w:val="0"/>
      <w:marRight w:val="0"/>
      <w:marTop w:val="0"/>
      <w:marBottom w:val="0"/>
      <w:divBdr>
        <w:top w:val="none" w:sz="0" w:space="0" w:color="auto"/>
        <w:left w:val="none" w:sz="0" w:space="0" w:color="auto"/>
        <w:bottom w:val="none" w:sz="0" w:space="0" w:color="auto"/>
        <w:right w:val="none" w:sz="0" w:space="0" w:color="auto"/>
      </w:divBdr>
    </w:div>
    <w:div w:id="1683167392">
      <w:bodyDiv w:val="1"/>
      <w:marLeft w:val="0"/>
      <w:marRight w:val="0"/>
      <w:marTop w:val="0"/>
      <w:marBottom w:val="0"/>
      <w:divBdr>
        <w:top w:val="none" w:sz="0" w:space="0" w:color="auto"/>
        <w:left w:val="none" w:sz="0" w:space="0" w:color="auto"/>
        <w:bottom w:val="none" w:sz="0" w:space="0" w:color="auto"/>
        <w:right w:val="none" w:sz="0" w:space="0" w:color="auto"/>
      </w:divBdr>
    </w:div>
    <w:div w:id="1776746729">
      <w:bodyDiv w:val="1"/>
      <w:marLeft w:val="0"/>
      <w:marRight w:val="0"/>
      <w:marTop w:val="0"/>
      <w:marBottom w:val="0"/>
      <w:divBdr>
        <w:top w:val="none" w:sz="0" w:space="0" w:color="auto"/>
        <w:left w:val="none" w:sz="0" w:space="0" w:color="auto"/>
        <w:bottom w:val="none" w:sz="0" w:space="0" w:color="auto"/>
        <w:right w:val="none" w:sz="0" w:space="0" w:color="auto"/>
      </w:divBdr>
    </w:div>
    <w:div w:id="1835604010">
      <w:bodyDiv w:val="1"/>
      <w:marLeft w:val="0"/>
      <w:marRight w:val="0"/>
      <w:marTop w:val="0"/>
      <w:marBottom w:val="0"/>
      <w:divBdr>
        <w:top w:val="none" w:sz="0" w:space="0" w:color="auto"/>
        <w:left w:val="none" w:sz="0" w:space="0" w:color="auto"/>
        <w:bottom w:val="none" w:sz="0" w:space="0" w:color="auto"/>
        <w:right w:val="none" w:sz="0" w:space="0" w:color="auto"/>
      </w:divBdr>
    </w:div>
    <w:div w:id="2046101137">
      <w:bodyDiv w:val="1"/>
      <w:marLeft w:val="0"/>
      <w:marRight w:val="0"/>
      <w:marTop w:val="0"/>
      <w:marBottom w:val="0"/>
      <w:divBdr>
        <w:top w:val="none" w:sz="0" w:space="0" w:color="auto"/>
        <w:left w:val="none" w:sz="0" w:space="0" w:color="auto"/>
        <w:bottom w:val="none" w:sz="0" w:space="0" w:color="auto"/>
        <w:right w:val="none" w:sz="0" w:space="0" w:color="auto"/>
      </w:divBdr>
    </w:div>
    <w:div w:id="2048027212">
      <w:bodyDiv w:val="1"/>
      <w:marLeft w:val="0"/>
      <w:marRight w:val="0"/>
      <w:marTop w:val="0"/>
      <w:marBottom w:val="0"/>
      <w:divBdr>
        <w:top w:val="none" w:sz="0" w:space="0" w:color="auto"/>
        <w:left w:val="none" w:sz="0" w:space="0" w:color="auto"/>
        <w:bottom w:val="none" w:sz="0" w:space="0" w:color="auto"/>
        <w:right w:val="none" w:sz="0" w:space="0" w:color="auto"/>
      </w:divBdr>
    </w:div>
    <w:div w:id="21000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land.nhs.uk/nhs-standard-contra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no%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334369-4ec1-42f5-ab51-b3e2345e0083" xsi:nil="true"/>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lcf76f155ced4ddcb4097134ff3c332f xmlns="74f5b756-4277-41a8-9477-4f6166addc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22" ma:contentTypeDescription="Create a new document." ma:contentTypeScope="" ma:versionID="c0d76bfefba1403b181db89d9bc8e740">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ad886108e7831ec190cf41802aae30d2"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a37e54a-fafe-4791-84c1-58459c2abccf}" ma:internalName="TaxCatchAll" ma:showField="CatchAllData" ma:web="ba334369-4ec1-42f5-ab51-b3e2345e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CCC47-BC7D-4DD9-A60F-1EBAF7ADF9ED}">
  <ds:schemaRefs>
    <ds:schemaRef ds:uri="http://schemas.microsoft.com/office/2006/documentManagement/types"/>
    <ds:schemaRef ds:uri="http://purl.org/dc/dcmitype/"/>
    <ds:schemaRef ds:uri="74f5b756-4277-41a8-9477-4f6166addcb2"/>
    <ds:schemaRef ds:uri="ba334369-4ec1-42f5-ab51-b3e2345e0083"/>
    <ds:schemaRef ds:uri="http://schemas.microsoft.com/sharepoint/v3"/>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CB0C3F-16E2-45DA-AB71-EAA807A5E814}">
  <ds:schemaRefs>
    <ds:schemaRef ds:uri="http://schemas.openxmlformats.org/officeDocument/2006/bibliography"/>
  </ds:schemaRefs>
</ds:datastoreItem>
</file>

<file path=customXml/itemProps3.xml><?xml version="1.0" encoding="utf-8"?>
<ds:datastoreItem xmlns:ds="http://schemas.openxmlformats.org/officeDocument/2006/customXml" ds:itemID="{FF5A0BA0-0E7C-46A0-96D9-3C4E9948D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F6A9E-FBAB-4523-A4C8-3E9DE1EF2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Branded Word Template - A4 portrait - no footer</Template>
  <TotalTime>15</TotalTime>
  <Pages>11</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BARRETT, Jasmine (NHS SHARED BUSINESS SERVICES (SALFORD))</cp:lastModifiedBy>
  <cp:revision>96</cp:revision>
  <dcterms:created xsi:type="dcterms:W3CDTF">2023-03-29T19:36:00Z</dcterms:created>
  <dcterms:modified xsi:type="dcterms:W3CDTF">2023-04-05T08:41:00Z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0x010100285A630666369D408C383F7F56FAACC6</vt:lpwstr>
  </property>
  <property fmtid="{D5CDD505-2E9C-101B-9397-08002B2CF9AE}" pid="10" name="MediaServiceImageTags">
    <vt:lpwstr/>
  </property>
</Properties>
</file>