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65689569" w:rsidR="008E082F" w:rsidRPr="00C3320D" w:rsidRDefault="00126EC1" w:rsidP="00126EC1">
      <w:pPr>
        <w:pStyle w:val="GPSTITLES"/>
        <w:tabs>
          <w:tab w:val="left" w:pos="1590"/>
          <w:tab w:val="center" w:pos="5366"/>
        </w:tabs>
        <w:spacing w:before="120" w:after="120"/>
        <w:jc w:val="left"/>
        <w:rPr>
          <w:rFonts w:ascii="Arial" w:hAnsi="Arial"/>
        </w:rPr>
      </w:pPr>
      <w:r>
        <w:rPr>
          <w:rFonts w:ascii="Arial" w:hAnsi="Arial"/>
        </w:rPr>
        <w:tab/>
      </w:r>
      <w:r>
        <w:rPr>
          <w:rFonts w:ascii="Arial" w:hAnsi="Arial"/>
        </w:rPr>
        <w:tab/>
      </w:r>
      <w:r w:rsidR="008E082F"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770A2B06" w:rsidR="008E082F" w:rsidRPr="00D24CCE" w:rsidRDefault="008E082F" w:rsidP="00676D8E">
      <w:pPr>
        <w:numPr>
          <w:ilvl w:val="0"/>
          <w:numId w:val="23"/>
        </w:numPr>
        <w:spacing w:before="120" w:after="120" w:line="240" w:lineRule="auto"/>
        <w:rPr>
          <w:rFonts w:cs="Arial"/>
          <w:szCs w:val="22"/>
        </w:rPr>
      </w:pPr>
      <w:r w:rsidRPr="00D24CCE">
        <w:rPr>
          <w:rFonts w:cs="Arial"/>
          <w:szCs w:val="22"/>
        </w:rPr>
        <w:t xml:space="preserve">This Order Form </w:t>
      </w:r>
      <w:r w:rsidR="00F944DA" w:rsidRPr="00D24CCE">
        <w:rPr>
          <w:rFonts w:cs="Arial"/>
          <w:szCs w:val="22"/>
        </w:rPr>
        <w:t xml:space="preserve">dated </w:t>
      </w:r>
      <w:r w:rsidR="00E53959">
        <w:rPr>
          <w:rFonts w:cs="Arial"/>
          <w:szCs w:val="22"/>
        </w:rPr>
        <w:t>26</w:t>
      </w:r>
      <w:r w:rsidR="00F944DA" w:rsidRPr="00D24CCE">
        <w:rPr>
          <w:rFonts w:cs="Arial"/>
          <w:szCs w:val="22"/>
        </w:rPr>
        <w:t>/</w:t>
      </w:r>
      <w:r w:rsidR="00540324">
        <w:rPr>
          <w:rFonts w:cs="Arial"/>
          <w:szCs w:val="22"/>
        </w:rPr>
        <w:t>02</w:t>
      </w:r>
      <w:r w:rsidR="00F944DA" w:rsidRPr="00D24CCE">
        <w:rPr>
          <w:rFonts w:cs="Arial"/>
          <w:szCs w:val="22"/>
        </w:rPr>
        <w:t>/</w:t>
      </w:r>
      <w:r w:rsidR="00540324">
        <w:rPr>
          <w:rFonts w:cs="Arial"/>
          <w:szCs w:val="22"/>
        </w:rPr>
        <w:t>2019</w:t>
      </w:r>
      <w:r w:rsidR="00F944DA" w:rsidRPr="00D24CCE">
        <w:rPr>
          <w:rFonts w:cs="Arial"/>
          <w:b/>
          <w:szCs w:val="22"/>
        </w:rPr>
        <w:t xml:space="preserve"> </w:t>
      </w:r>
      <w:r w:rsidRPr="00D24CCE">
        <w:rPr>
          <w:rFonts w:cs="Arial"/>
          <w:szCs w:val="22"/>
        </w:rPr>
        <w:t>is issued in accordance with the provisions of the Panel Agreement</w:t>
      </w:r>
      <w:r w:rsidRPr="00D24CCE" w:rsidDel="003451E9">
        <w:rPr>
          <w:rStyle w:val="FootnoteReference"/>
          <w:rFonts w:ascii="Arial" w:hAnsi="Arial" w:cs="Arial"/>
          <w:b/>
          <w:szCs w:val="22"/>
        </w:rPr>
        <w:t xml:space="preserve"> </w:t>
      </w:r>
      <w:r w:rsidRPr="00D24CCE">
        <w:rPr>
          <w:rFonts w:cs="Arial"/>
          <w:szCs w:val="22"/>
        </w:rPr>
        <w:t xml:space="preserve">for the provision of </w:t>
      </w:r>
      <w:r w:rsidR="003C0AC8" w:rsidRPr="00D24CCE">
        <w:rPr>
          <w:rFonts w:cs="Arial"/>
          <w:szCs w:val="22"/>
        </w:rPr>
        <w:t>General L</w:t>
      </w:r>
      <w:r w:rsidR="00F944DA" w:rsidRPr="00D24CCE">
        <w:rPr>
          <w:rFonts w:cs="Arial"/>
          <w:szCs w:val="22"/>
        </w:rPr>
        <w:t xml:space="preserve">egal </w:t>
      </w:r>
      <w:r w:rsidR="003C0AC8" w:rsidRPr="00D24CCE">
        <w:rPr>
          <w:rFonts w:cs="Arial"/>
          <w:szCs w:val="22"/>
        </w:rPr>
        <w:t>A</w:t>
      </w:r>
      <w:r w:rsidR="009562FE" w:rsidRPr="00D24CCE">
        <w:rPr>
          <w:rFonts w:cs="Arial"/>
          <w:szCs w:val="22"/>
        </w:rPr>
        <w:t xml:space="preserve">dvice </w:t>
      </w:r>
      <w:r w:rsidR="00F944DA" w:rsidRPr="00D24CCE">
        <w:rPr>
          <w:rFonts w:cs="Arial"/>
          <w:szCs w:val="22"/>
        </w:rPr>
        <w:t>services</w:t>
      </w:r>
      <w:r w:rsidRPr="00D24CCE">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676D8E">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676D8E">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676D8E">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676D8E">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676D8E">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3A1042" w14:paraId="431A0C45" w14:textId="77777777" w:rsidTr="003A1042">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5EB6A257" w:rsidR="008E082F" w:rsidRPr="00C3320D" w:rsidRDefault="003A1042"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48810C3F" w:rsidR="008E082F" w:rsidRPr="003A1042" w:rsidRDefault="003A1042" w:rsidP="00981059">
            <w:pPr>
              <w:spacing w:before="120" w:after="120" w:line="240" w:lineRule="auto"/>
              <w:jc w:val="left"/>
              <w:rPr>
                <w:rFonts w:cs="Arial"/>
                <w:i/>
                <w:szCs w:val="22"/>
              </w:rPr>
            </w:pPr>
            <w:r w:rsidRPr="003A1042">
              <w:rPr>
                <w:rFonts w:cs="Arial"/>
                <w:szCs w:val="22"/>
              </w:rPr>
              <w:t xml:space="preserve">CCLL18A18 – The Provision of Legal </w:t>
            </w:r>
            <w:r w:rsidR="00981059">
              <w:rPr>
                <w:rFonts w:cs="Arial"/>
                <w:szCs w:val="22"/>
              </w:rPr>
              <w:t>Advice for the DWP Estates Target Operating Model</w:t>
            </w:r>
          </w:p>
        </w:tc>
      </w:tr>
      <w:tr w:rsidR="00C3320D" w:rsidRPr="00C3320D" w14:paraId="5F0543CE" w14:textId="77777777" w:rsidTr="003A1042">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404CF52B" w:rsidR="008E082F" w:rsidRPr="00C3320D" w:rsidRDefault="003A1042" w:rsidP="00D40F55">
            <w:pPr>
              <w:spacing w:before="120" w:after="120" w:line="240" w:lineRule="auto"/>
              <w:jc w:val="left"/>
              <w:rPr>
                <w:rFonts w:cs="Arial"/>
                <w:b/>
                <w:szCs w:val="22"/>
              </w:rPr>
            </w:pPr>
            <w:r>
              <w:rPr>
                <w:rFonts w:cs="Arial"/>
                <w:b/>
                <w:spacing w:val="-3"/>
                <w:szCs w:val="22"/>
                <w:lang w:eastAsia="en-GB"/>
              </w:rPr>
              <w:t xml:space="preserve">The </w:t>
            </w:r>
            <w:r w:rsidR="00A12975">
              <w:rPr>
                <w:rFonts w:cs="Arial"/>
                <w:b/>
                <w:spacing w:val="-3"/>
                <w:szCs w:val="22"/>
                <w:lang w:eastAsia="en-GB"/>
              </w:rPr>
              <w:t xml:space="preserve"> Secretary of State for Work and Pensions</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7491AC" w14:textId="5D677D8C" w:rsidR="008E082F" w:rsidRPr="003A1042" w:rsidRDefault="00E8139F" w:rsidP="00D40F55">
            <w:pPr>
              <w:spacing w:before="120" w:after="120" w:line="240" w:lineRule="auto"/>
              <w:jc w:val="left"/>
              <w:rPr>
                <w:rFonts w:cs="Arial"/>
                <w:szCs w:val="22"/>
              </w:rPr>
            </w:pPr>
            <w:r w:rsidRPr="00E8139F">
              <w:rPr>
                <w:rFonts w:cs="Arial"/>
                <w:szCs w:val="22"/>
              </w:rPr>
              <w:t xml:space="preserve">Department for Work and Pensions </w:t>
            </w:r>
            <w:r w:rsidR="003A1042">
              <w:rPr>
                <w:rFonts w:cs="Arial"/>
                <w:szCs w:val="22"/>
              </w:rPr>
              <w:t>Caxton House, Tothill Street, London SW1H 9NA</w:t>
            </w:r>
          </w:p>
        </w:tc>
      </w:tr>
      <w:tr w:rsidR="00C3320D" w:rsidRPr="00C3320D" w14:paraId="70BF2D98" w14:textId="77777777" w:rsidTr="003A1042">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1B1AC49D" w14:textId="6CF58789" w:rsidR="0042785F" w:rsidRDefault="0042785F" w:rsidP="00D40F55">
            <w:pPr>
              <w:spacing w:before="120" w:after="120" w:line="240" w:lineRule="auto"/>
              <w:jc w:val="left"/>
              <w:rPr>
                <w:rFonts w:cs="Arial"/>
                <w:b/>
                <w:szCs w:val="22"/>
              </w:rPr>
            </w:pPr>
            <w:r>
              <w:rPr>
                <w:rFonts w:cs="Arial"/>
                <w:b/>
                <w:szCs w:val="22"/>
              </w:rPr>
              <w:t>Mills &amp; Reeve LLP</w:t>
            </w:r>
          </w:p>
          <w:p w14:paraId="269275C6" w14:textId="7005B198" w:rsidR="008E082F" w:rsidRPr="0042785F" w:rsidRDefault="008E082F" w:rsidP="0042785F">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27D9FCAC" w14:textId="35AE0514" w:rsidR="008E082F" w:rsidRPr="0042785F" w:rsidRDefault="0042785F" w:rsidP="0042785F">
            <w:pPr>
              <w:spacing w:before="120" w:after="120" w:line="240" w:lineRule="auto"/>
              <w:jc w:val="left"/>
              <w:rPr>
                <w:rFonts w:cs="Arial"/>
                <w:szCs w:val="22"/>
              </w:rPr>
            </w:pPr>
            <w:r w:rsidRPr="0042785F">
              <w:rPr>
                <w:rFonts w:cs="Arial"/>
                <w:szCs w:val="22"/>
              </w:rPr>
              <w:t>Mills &amp; Reeve LLP, Monument Place, 24 Monument Street, London, EC3R 8AJ</w:t>
            </w:r>
          </w:p>
        </w:tc>
      </w:tr>
      <w:tr w:rsidR="00C3320D" w:rsidRPr="00C3320D" w14:paraId="16AC3458" w14:textId="77777777" w:rsidTr="003A1042">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78FF0192"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003A1042">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FBE76C3" w14:textId="0C59B11B" w:rsidR="008E082F" w:rsidRDefault="009553CD" w:rsidP="00D40F55">
            <w:pPr>
              <w:spacing w:before="120" w:after="120" w:line="240" w:lineRule="auto"/>
              <w:jc w:val="left"/>
              <w:rPr>
                <w:rFonts w:eastAsia="Calibri" w:cs="Arial"/>
                <w:szCs w:val="22"/>
              </w:rPr>
            </w:pPr>
            <w:r>
              <w:rPr>
                <w:rFonts w:eastAsia="Calibri" w:cs="Arial"/>
                <w:szCs w:val="22"/>
              </w:rPr>
              <w:t>4</w:t>
            </w:r>
            <w:r w:rsidRPr="009553CD">
              <w:rPr>
                <w:rFonts w:eastAsia="Calibri" w:cs="Arial"/>
                <w:szCs w:val="22"/>
                <w:vertAlign w:val="superscript"/>
              </w:rPr>
              <w:t>th</w:t>
            </w:r>
            <w:r>
              <w:rPr>
                <w:rFonts w:eastAsia="Calibri" w:cs="Arial"/>
                <w:szCs w:val="22"/>
              </w:rPr>
              <w:t xml:space="preserve"> March</w:t>
            </w:r>
            <w:r w:rsidR="00540324">
              <w:rPr>
                <w:rFonts w:eastAsia="Calibri" w:cs="Arial"/>
                <w:szCs w:val="22"/>
              </w:rPr>
              <w:t xml:space="preserve"> </w:t>
            </w:r>
            <w:r w:rsidR="003A1042" w:rsidRPr="003A1042">
              <w:rPr>
                <w:rFonts w:eastAsia="Calibri" w:cs="Arial"/>
                <w:szCs w:val="22"/>
              </w:rPr>
              <w:t>2019</w:t>
            </w:r>
          </w:p>
          <w:p w14:paraId="72147A7E" w14:textId="5774CD12" w:rsidR="00101D2F" w:rsidRPr="003A1042" w:rsidRDefault="00101D2F" w:rsidP="00540324">
            <w:pPr>
              <w:spacing w:before="120" w:after="120" w:line="240" w:lineRule="auto"/>
              <w:jc w:val="left"/>
              <w:rPr>
                <w:rFonts w:cs="Arial"/>
                <w:szCs w:val="22"/>
                <w:shd w:val="clear" w:color="auto" w:fill="D9D9D9"/>
              </w:rPr>
            </w:pPr>
          </w:p>
        </w:tc>
      </w:tr>
      <w:tr w:rsidR="00C3320D" w:rsidRPr="00C3320D" w14:paraId="39842C8A" w14:textId="77777777" w:rsidTr="003A1042">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77777777" w:rsidR="008E082F" w:rsidRPr="00C3320D" w:rsidRDefault="008E082F" w:rsidP="003A1042">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3A6A688E" w14:textId="1C2D84D5" w:rsidR="008E082F" w:rsidRPr="00C3320D" w:rsidRDefault="008E082F" w:rsidP="003A1042">
            <w:pPr>
              <w:overflowPunct/>
              <w:autoSpaceDE/>
              <w:autoSpaceDN/>
              <w:spacing w:before="120" w:after="120" w:line="240" w:lineRule="auto"/>
              <w:jc w:val="left"/>
              <w:textAlignment w:val="auto"/>
              <w:rPr>
                <w:rFonts w:eastAsia="STZhongsong" w:cs="Arial"/>
                <w:b/>
                <w:szCs w:val="22"/>
                <w:lang w:eastAsia="zh-CN"/>
              </w:rPr>
            </w:pP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A982303" w14:textId="21B9135E" w:rsidR="00EA26DD" w:rsidRPr="00927666" w:rsidRDefault="00E53959" w:rsidP="00927666">
            <w:pPr>
              <w:pStyle w:val="Heading2"/>
              <w:numPr>
                <w:ilvl w:val="0"/>
                <w:numId w:val="0"/>
              </w:numPr>
            </w:pPr>
            <w:r>
              <w:rPr>
                <w:rFonts w:cs="Arial"/>
                <w:szCs w:val="22"/>
              </w:rPr>
              <w:t>28</w:t>
            </w:r>
            <w:r w:rsidR="00B32339">
              <w:rPr>
                <w:rFonts w:cs="Arial"/>
                <w:szCs w:val="22"/>
              </w:rPr>
              <w:t xml:space="preserve"> February</w:t>
            </w:r>
            <w:r w:rsidR="003A1042">
              <w:rPr>
                <w:rFonts w:cs="Arial"/>
                <w:szCs w:val="22"/>
              </w:rPr>
              <w:t xml:space="preserve"> 2021 with an option to extend for up to two years in 12 month intervals. </w:t>
            </w:r>
            <w:r w:rsidR="003A1042" w:rsidRPr="00BF3BAA">
              <w:t xml:space="preserve">The option to extend </w:t>
            </w:r>
            <w:r w:rsidR="003A1042">
              <w:t xml:space="preserve">will </w:t>
            </w:r>
            <w:r w:rsidR="003A1042" w:rsidRPr="00BF3BAA">
              <w:t xml:space="preserve">only be exercised in the event that the CCS </w:t>
            </w:r>
            <w:r w:rsidR="003A1042">
              <w:t>Panel</w:t>
            </w:r>
            <w:r w:rsidR="003A1042" w:rsidRPr="00BF3BAA">
              <w:t xml:space="preserve"> RM3786</w:t>
            </w:r>
            <w:r w:rsidR="003A1042">
              <w:t xml:space="preserve"> –</w:t>
            </w:r>
            <w:r w:rsidR="00927666">
              <w:t xml:space="preserve"> </w:t>
            </w:r>
            <w:r w:rsidR="00E8139F">
              <w:t xml:space="preserve">General </w:t>
            </w:r>
            <w:r w:rsidR="003A1042">
              <w:t xml:space="preserve">Legal </w:t>
            </w:r>
            <w:r w:rsidR="00927666">
              <w:t xml:space="preserve">Advice </w:t>
            </w:r>
            <w:r w:rsidR="003A1042">
              <w:t>Services</w:t>
            </w:r>
            <w:r w:rsidR="003A1042" w:rsidRPr="00BF3BAA">
              <w:t xml:space="preserve"> </w:t>
            </w:r>
            <w:r w:rsidR="003A1042">
              <w:t>is itself extended</w:t>
            </w:r>
            <w:r w:rsidR="003A1042" w:rsidRPr="00BF3BAA">
              <w:t xml:space="preserve">. Should this not be the case the option to extend the </w:t>
            </w:r>
            <w:r w:rsidR="003A1042">
              <w:t>Contract</w:t>
            </w:r>
            <w:r w:rsidR="003A1042" w:rsidRPr="00BF3BAA">
              <w:t xml:space="preserve"> will not apply. </w:t>
            </w:r>
          </w:p>
        </w:tc>
      </w:tr>
      <w:tr w:rsidR="00C3320D" w:rsidRPr="00C3320D" w14:paraId="03449035" w14:textId="77777777" w:rsidTr="003A1042">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194D993A"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3A1042">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5AE0A453" w:rsidR="008E082F" w:rsidRPr="00415774" w:rsidRDefault="00415774" w:rsidP="00D40F55">
            <w:pPr>
              <w:spacing w:before="120" w:after="120" w:line="240" w:lineRule="auto"/>
              <w:jc w:val="left"/>
              <w:rPr>
                <w:rFonts w:cs="Arial"/>
                <w:b/>
                <w:szCs w:val="22"/>
              </w:rPr>
            </w:pPr>
            <w:r w:rsidRPr="00415774">
              <w:rPr>
                <w:rFonts w:cs="Arial"/>
                <w:b/>
                <w:szCs w:val="22"/>
              </w:rPr>
              <w:t>[Redacted]</w:t>
            </w:r>
          </w:p>
        </w:tc>
      </w:tr>
      <w:tr w:rsidR="00C3320D" w:rsidRPr="00C3320D" w14:paraId="08486D76" w14:textId="77777777" w:rsidTr="003A1042">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2C6C82C" w:rsidR="008E082F" w:rsidRPr="00C3320D" w:rsidRDefault="00415774" w:rsidP="00D40F55">
            <w:pPr>
              <w:spacing w:before="120" w:after="120" w:line="240" w:lineRule="auto"/>
              <w:jc w:val="left"/>
              <w:rPr>
                <w:rFonts w:cs="Arial"/>
                <w:i/>
                <w:szCs w:val="22"/>
              </w:rPr>
            </w:pPr>
            <w:r w:rsidRPr="00415774">
              <w:rPr>
                <w:rFonts w:cs="Arial"/>
                <w:b/>
                <w:szCs w:val="22"/>
              </w:rPr>
              <w:t>[Redacted]</w:t>
            </w:r>
          </w:p>
        </w:tc>
      </w:tr>
      <w:tr w:rsidR="00C3320D" w:rsidRPr="00C3320D" w14:paraId="63E7C589" w14:textId="77777777" w:rsidTr="003A1042">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0CB5D37C" w:rsidR="008E082F" w:rsidRPr="00C3320D" w:rsidRDefault="00415774" w:rsidP="00D40F55">
            <w:pPr>
              <w:spacing w:before="120" w:after="120" w:line="240" w:lineRule="auto"/>
              <w:jc w:val="left"/>
              <w:rPr>
                <w:rFonts w:cs="Arial"/>
                <w:i/>
                <w:szCs w:val="22"/>
              </w:rPr>
            </w:pPr>
            <w:r w:rsidRPr="00415774">
              <w:rPr>
                <w:rFonts w:cs="Arial"/>
                <w:b/>
                <w:szCs w:val="22"/>
              </w:rPr>
              <w:t>[Redacted]</w:t>
            </w:r>
          </w:p>
        </w:tc>
      </w:tr>
      <w:tr w:rsidR="00C3320D" w:rsidRPr="00C3320D" w14:paraId="30AA013D" w14:textId="77777777" w:rsidTr="003A1042">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50FC023D"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3A1042">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097AFDF" w:rsidR="008E082F" w:rsidRPr="00C3320D" w:rsidRDefault="00415774" w:rsidP="00D40F55">
            <w:pPr>
              <w:spacing w:before="120" w:after="120" w:line="240" w:lineRule="auto"/>
              <w:jc w:val="left"/>
              <w:rPr>
                <w:rFonts w:cs="Arial"/>
                <w:i/>
                <w:szCs w:val="22"/>
              </w:rPr>
            </w:pPr>
            <w:r w:rsidRPr="00415774">
              <w:rPr>
                <w:rFonts w:cs="Arial"/>
                <w:b/>
                <w:szCs w:val="22"/>
              </w:rPr>
              <w:t>[Redacted]</w:t>
            </w:r>
          </w:p>
        </w:tc>
      </w:tr>
      <w:tr w:rsidR="00C3320D" w:rsidRPr="00C3320D" w14:paraId="18997506" w14:textId="77777777" w:rsidTr="003A1042">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3FA6ED93" w:rsidR="008E082F" w:rsidRPr="00C3320D" w:rsidRDefault="00415774" w:rsidP="00D40F55">
            <w:pPr>
              <w:spacing w:before="120" w:after="120" w:line="240" w:lineRule="auto"/>
              <w:jc w:val="left"/>
              <w:rPr>
                <w:rFonts w:cs="Arial"/>
                <w:i/>
                <w:szCs w:val="22"/>
              </w:rPr>
            </w:pPr>
            <w:r w:rsidRPr="00415774">
              <w:rPr>
                <w:rFonts w:cs="Arial"/>
                <w:b/>
                <w:szCs w:val="22"/>
              </w:rPr>
              <w:t>[Redacted]</w:t>
            </w:r>
          </w:p>
        </w:tc>
      </w:tr>
      <w:tr w:rsidR="00C3320D" w:rsidRPr="00C3320D" w14:paraId="7A5BFCD6" w14:textId="77777777" w:rsidTr="003A1042">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3FC1076D" w:rsidR="008E082F" w:rsidRPr="00C3320D" w:rsidRDefault="00415774" w:rsidP="00D40F55">
            <w:pPr>
              <w:spacing w:before="120" w:after="120" w:line="240" w:lineRule="auto"/>
              <w:jc w:val="left"/>
              <w:rPr>
                <w:rFonts w:cs="Arial"/>
                <w:i/>
                <w:szCs w:val="22"/>
              </w:rPr>
            </w:pPr>
            <w:r w:rsidRPr="00415774">
              <w:rPr>
                <w:rFonts w:cs="Arial"/>
                <w:b/>
                <w:szCs w:val="22"/>
              </w:rPr>
              <w:t>[Redacted]</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676D8E">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3A1042">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75ED3CC5" w14:textId="0306D2EF" w:rsidR="008E082F" w:rsidRPr="003A1042"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tc>
        <w:tc>
          <w:tcPr>
            <w:tcW w:w="4044" w:type="dxa"/>
            <w:shd w:val="clear" w:color="auto" w:fill="auto"/>
          </w:tcPr>
          <w:p w14:paraId="2E2776C3" w14:textId="5D48F3AC" w:rsidR="008E082F" w:rsidRPr="0042785F" w:rsidRDefault="0042785F" w:rsidP="0042785F">
            <w:pPr>
              <w:tabs>
                <w:tab w:val="left" w:pos="577"/>
              </w:tabs>
              <w:overflowPunct/>
              <w:autoSpaceDE/>
              <w:autoSpaceDN/>
              <w:spacing w:before="120" w:after="120" w:line="240" w:lineRule="auto"/>
              <w:jc w:val="left"/>
              <w:textAlignment w:val="auto"/>
              <w:rPr>
                <w:rFonts w:eastAsia="STZhongsong" w:cs="Arial"/>
                <w:szCs w:val="22"/>
                <w:lang w:eastAsia="zh-CN"/>
              </w:rPr>
            </w:pPr>
            <w:r w:rsidRPr="0042785F">
              <w:rPr>
                <w:rFonts w:eastAsia="STZhongsong" w:cs="Arial"/>
                <w:szCs w:val="22"/>
                <w:lang w:eastAsia="zh-CN"/>
              </w:rPr>
              <w:t>Please refer to Statement of Requirements within Section C of this document for full details of services to be provided.</w:t>
            </w:r>
          </w:p>
        </w:tc>
      </w:tr>
      <w:tr w:rsidR="00C3320D" w:rsidRPr="003A1042" w14:paraId="7E732C24" w14:textId="77777777" w:rsidTr="003A1042">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29D0A7EC" w14:textId="3DAC355C"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tc>
        <w:tc>
          <w:tcPr>
            <w:tcW w:w="4044" w:type="dxa"/>
            <w:shd w:val="clear" w:color="auto" w:fill="auto"/>
          </w:tcPr>
          <w:p w14:paraId="1A99197A" w14:textId="31DA02FF" w:rsidR="008E082F" w:rsidRPr="003A1042" w:rsidRDefault="0042785F" w:rsidP="0042785F">
            <w:pPr>
              <w:numPr>
                <w:ilvl w:val="1"/>
                <w:numId w:val="0"/>
              </w:numPr>
              <w:tabs>
                <w:tab w:val="left" w:pos="577"/>
              </w:tabs>
              <w:overflowPunct/>
              <w:autoSpaceDE/>
              <w:autoSpaceDN/>
              <w:spacing w:before="120" w:after="120" w:line="240" w:lineRule="auto"/>
              <w:jc w:val="left"/>
              <w:textAlignment w:val="auto"/>
              <w:rPr>
                <w:rFonts w:cs="Arial"/>
                <w:szCs w:val="22"/>
              </w:rPr>
            </w:pPr>
            <w:r w:rsidRPr="0042785F">
              <w:rPr>
                <w:rFonts w:cs="Arial"/>
                <w:szCs w:val="22"/>
              </w:rPr>
              <w:t>Please refer to Statement of Requirements within Section C of this document for full details of management and review of the Services.</w:t>
            </w:r>
          </w:p>
        </w:tc>
      </w:tr>
      <w:tr w:rsidR="00C3320D" w:rsidRPr="00C3320D" w14:paraId="677CDEBB" w14:textId="77777777" w:rsidTr="00F53995">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292094D2" w14:textId="665FF275" w:rsidR="008E082F" w:rsidRPr="00C3320D" w:rsidRDefault="00F53995"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Place of performance</w:t>
            </w:r>
          </w:p>
        </w:tc>
        <w:tc>
          <w:tcPr>
            <w:tcW w:w="4044" w:type="dxa"/>
            <w:shd w:val="clear" w:color="auto" w:fill="auto"/>
          </w:tcPr>
          <w:p w14:paraId="4D08D915" w14:textId="14853BA3" w:rsidR="008E082F" w:rsidRPr="00F53995" w:rsidRDefault="00E8139F" w:rsidP="003F7D0B">
            <w:pPr>
              <w:pStyle w:val="Heading2"/>
              <w:numPr>
                <w:ilvl w:val="0"/>
                <w:numId w:val="0"/>
              </w:numPr>
            </w:pPr>
            <w:r>
              <w:t xml:space="preserve">The Services will be </w:t>
            </w:r>
            <w:r w:rsidR="00782C33">
              <w:t xml:space="preserve">principally </w:t>
            </w:r>
            <w:r>
              <w:t xml:space="preserve">carried out at the Supplier’s </w:t>
            </w:r>
            <w:r w:rsidR="003F7D0B">
              <w:t xml:space="preserve">business </w:t>
            </w:r>
            <w:r>
              <w:t xml:space="preserve">premises </w:t>
            </w:r>
            <w:r w:rsidR="003F7D0B">
              <w:t xml:space="preserve">or, as may be appropriate in order to facilitate delivery of the Contract requirements, </w:t>
            </w:r>
            <w:r w:rsidR="0075097E">
              <w:t xml:space="preserve">at </w:t>
            </w:r>
            <w:r w:rsidR="00F53995">
              <w:t xml:space="preserve">the </w:t>
            </w:r>
            <w:r w:rsidR="00A12975">
              <w:t>Customer</w:t>
            </w:r>
            <w:r w:rsidR="00F53995">
              <w:t xml:space="preserve">’s </w:t>
            </w:r>
            <w:r w:rsidR="00A12975">
              <w:t xml:space="preserve">offices </w:t>
            </w:r>
            <w:r w:rsidR="00F53995">
              <w:t xml:space="preserve">at </w:t>
            </w:r>
            <w:r w:rsidR="00F53995" w:rsidRPr="00467EE0">
              <w:rPr>
                <w:iCs/>
                <w:lang w:eastAsia="en-GB"/>
              </w:rPr>
              <w:t>Caxton House, Tothill Street, London SW1H 9NA</w:t>
            </w:r>
            <w:r w:rsidR="00F53995" w:rsidRPr="008C5F3B">
              <w:t>.</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180"/>
        <w:gridCol w:w="4086"/>
      </w:tblGrid>
      <w:tr w:rsidR="00C3320D" w:rsidRPr="00C3320D" w14:paraId="57650518" w14:textId="77777777" w:rsidTr="00F53995">
        <w:trPr>
          <w:trHeight w:val="274"/>
        </w:trPr>
        <w:tc>
          <w:tcPr>
            <w:tcW w:w="645" w:type="dxa"/>
          </w:tcPr>
          <w:p w14:paraId="6DCD4E37" w14:textId="13B1B98C" w:rsidR="007A2902" w:rsidRPr="00C3320D" w:rsidRDefault="007A2902" w:rsidP="0042785F">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w:t>
            </w:r>
          </w:p>
        </w:tc>
        <w:tc>
          <w:tcPr>
            <w:tcW w:w="4180" w:type="dxa"/>
            <w:shd w:val="clear" w:color="auto" w:fill="auto"/>
          </w:tcPr>
          <w:p w14:paraId="783E9647" w14:textId="13E73B9D"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p>
          <w:p w14:paraId="14181D34" w14:textId="20CA81EE"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Daily Rates </w:t>
            </w:r>
          </w:p>
          <w:p w14:paraId="7A798EF4" w14:textId="77777777" w:rsidR="00F53995" w:rsidRPr="00C3320D" w:rsidRDefault="00F53995" w:rsidP="0047277D">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685B2F5A" w14:textId="2427E4B9" w:rsidR="007A2902" w:rsidRPr="00F53995" w:rsidRDefault="007A2902" w:rsidP="0042785F">
            <w:pPr>
              <w:pStyle w:val="ListParagraph"/>
              <w:overflowPunct/>
              <w:autoSpaceDE/>
              <w:autoSpaceDN/>
              <w:spacing w:before="120" w:after="120" w:line="240" w:lineRule="auto"/>
              <w:jc w:val="left"/>
              <w:textAlignment w:val="auto"/>
              <w:rPr>
                <w:rFonts w:eastAsia="STZhongsong" w:cs="Arial"/>
                <w:szCs w:val="22"/>
                <w:lang w:eastAsia="zh-CN"/>
              </w:rPr>
            </w:pPr>
          </w:p>
        </w:tc>
        <w:tc>
          <w:tcPr>
            <w:tcW w:w="4086" w:type="dxa"/>
            <w:shd w:val="clear" w:color="auto" w:fill="auto"/>
          </w:tcPr>
          <w:p w14:paraId="5515912C" w14:textId="3B4D353C" w:rsidR="007A2902" w:rsidRPr="0042785F" w:rsidRDefault="00A44880" w:rsidP="00F53995">
            <w:pPr>
              <w:numPr>
                <w:ilvl w:val="1"/>
                <w:numId w:val="0"/>
              </w:numPr>
              <w:overflowPunct/>
              <w:autoSpaceDE/>
              <w:autoSpaceDN/>
              <w:spacing w:before="120" w:after="120" w:line="240" w:lineRule="auto"/>
              <w:jc w:val="left"/>
              <w:textAlignment w:val="auto"/>
              <w:rPr>
                <w:rFonts w:cs="Arial"/>
                <w:szCs w:val="22"/>
              </w:rPr>
            </w:pPr>
            <w:r w:rsidRPr="00C3320D">
              <w:rPr>
                <w:rFonts w:cs="Arial"/>
                <w:i/>
                <w:szCs w:val="22"/>
              </w:rPr>
              <w:t xml:space="preserve"> </w:t>
            </w:r>
            <w:r w:rsidR="0042785F" w:rsidRPr="0042785F">
              <w:rPr>
                <w:rFonts w:cs="Arial"/>
                <w:szCs w:val="22"/>
              </w:rPr>
              <w:t xml:space="preserve">Hourly Rates: </w:t>
            </w:r>
          </w:p>
          <w:tbl>
            <w:tblPr>
              <w:tblStyle w:val="TableGrid"/>
              <w:tblW w:w="0" w:type="auto"/>
              <w:tblLook w:val="04A0" w:firstRow="1" w:lastRow="0" w:firstColumn="1" w:lastColumn="0" w:noHBand="0" w:noVBand="1"/>
            </w:tblPr>
            <w:tblGrid>
              <w:gridCol w:w="1953"/>
              <w:gridCol w:w="1902"/>
            </w:tblGrid>
            <w:tr w:rsidR="0042785F" w:rsidRPr="007D0764" w14:paraId="16689642" w14:textId="77777777" w:rsidTr="0042785F">
              <w:tc>
                <w:tcPr>
                  <w:tcW w:w="1953" w:type="dxa"/>
                  <w:shd w:val="clear" w:color="auto" w:fill="C6D9F1" w:themeFill="text2" w:themeFillTint="33"/>
                </w:tcPr>
                <w:p w14:paraId="3E5A26AD" w14:textId="77777777" w:rsidR="0042785F" w:rsidRPr="007D0764" w:rsidRDefault="0042785F" w:rsidP="0042785F">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Role</w:t>
                  </w:r>
                </w:p>
              </w:tc>
              <w:tc>
                <w:tcPr>
                  <w:tcW w:w="1902" w:type="dxa"/>
                  <w:shd w:val="clear" w:color="auto" w:fill="C6D9F1" w:themeFill="text2" w:themeFillTint="33"/>
                </w:tcPr>
                <w:p w14:paraId="238A9450" w14:textId="77777777" w:rsidR="0042785F" w:rsidRPr="007D0764" w:rsidRDefault="0042785F" w:rsidP="0042785F">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 xml:space="preserve">Hourly Rates </w:t>
                  </w:r>
                  <w:r>
                    <w:rPr>
                      <w:rFonts w:cs="Arial"/>
                      <w:szCs w:val="22"/>
                    </w:rPr>
                    <w:t>Offered - E</w:t>
                  </w:r>
                  <w:r w:rsidRPr="007D0764">
                    <w:rPr>
                      <w:rFonts w:cs="Arial"/>
                      <w:szCs w:val="22"/>
                    </w:rPr>
                    <w:t>x VAT</w:t>
                  </w:r>
                </w:p>
              </w:tc>
            </w:tr>
            <w:tr w:rsidR="00415774" w:rsidRPr="007D0764" w14:paraId="33264D8B" w14:textId="77777777" w:rsidTr="0042785F">
              <w:tc>
                <w:tcPr>
                  <w:tcW w:w="1953" w:type="dxa"/>
                </w:tcPr>
                <w:p w14:paraId="4559299C" w14:textId="77777777"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Partner </w:t>
                  </w:r>
                </w:p>
              </w:tc>
              <w:tc>
                <w:tcPr>
                  <w:tcW w:w="1902" w:type="dxa"/>
                </w:tcPr>
                <w:p w14:paraId="089E1207" w14:textId="0BCEBD42"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sidRPr="00A71542">
                    <w:rPr>
                      <w:rFonts w:cs="Arial"/>
                      <w:b/>
                      <w:szCs w:val="22"/>
                    </w:rPr>
                    <w:t>[Redacted]</w:t>
                  </w:r>
                </w:p>
              </w:tc>
            </w:tr>
            <w:tr w:rsidR="00415774" w:rsidRPr="007D0764" w14:paraId="18E24F3B" w14:textId="77777777" w:rsidTr="0042785F">
              <w:tc>
                <w:tcPr>
                  <w:tcW w:w="1953" w:type="dxa"/>
                </w:tcPr>
                <w:p w14:paraId="5F798D69" w14:textId="77777777"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Pr>
                      <w:rFonts w:cs="Arial"/>
                      <w:szCs w:val="22"/>
                    </w:rPr>
                    <w:t>Legal Director</w:t>
                  </w:r>
                </w:p>
              </w:tc>
              <w:tc>
                <w:tcPr>
                  <w:tcW w:w="1902" w:type="dxa"/>
                </w:tcPr>
                <w:p w14:paraId="5532CCA9" w14:textId="365EF666"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sidRPr="00A71542">
                    <w:rPr>
                      <w:rFonts w:cs="Arial"/>
                      <w:b/>
                      <w:szCs w:val="22"/>
                    </w:rPr>
                    <w:t>[Redacted]</w:t>
                  </w:r>
                </w:p>
              </w:tc>
            </w:tr>
            <w:tr w:rsidR="00415774" w:rsidRPr="007D0764" w14:paraId="501C99FE" w14:textId="77777777" w:rsidTr="0042785F">
              <w:tc>
                <w:tcPr>
                  <w:tcW w:w="1953" w:type="dxa"/>
                </w:tcPr>
                <w:p w14:paraId="3D064A20" w14:textId="77777777"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Pr>
                      <w:rFonts w:cs="Arial"/>
                      <w:szCs w:val="22"/>
                    </w:rPr>
                    <w:t>Senior Associate</w:t>
                  </w:r>
                </w:p>
              </w:tc>
              <w:tc>
                <w:tcPr>
                  <w:tcW w:w="1902" w:type="dxa"/>
                </w:tcPr>
                <w:p w14:paraId="3556703D" w14:textId="7869D9CF"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sidRPr="00A71542">
                    <w:rPr>
                      <w:rFonts w:cs="Arial"/>
                      <w:b/>
                      <w:szCs w:val="22"/>
                    </w:rPr>
                    <w:t>[Redacted]</w:t>
                  </w:r>
                </w:p>
              </w:tc>
            </w:tr>
            <w:tr w:rsidR="00415774" w:rsidRPr="007D0764" w14:paraId="4814FB9C" w14:textId="77777777" w:rsidTr="0042785F">
              <w:tc>
                <w:tcPr>
                  <w:tcW w:w="1953" w:type="dxa"/>
                </w:tcPr>
                <w:p w14:paraId="744C8A33" w14:textId="77777777"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02" w:type="dxa"/>
                </w:tcPr>
                <w:p w14:paraId="375EBA11" w14:textId="171A9658"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sidRPr="00A71542">
                    <w:rPr>
                      <w:rFonts w:cs="Arial"/>
                      <w:b/>
                      <w:szCs w:val="22"/>
                    </w:rPr>
                    <w:t>[Redacted]</w:t>
                  </w:r>
                </w:p>
              </w:tc>
            </w:tr>
            <w:tr w:rsidR="00415774" w:rsidRPr="007D0764" w14:paraId="59F43D69" w14:textId="77777777" w:rsidTr="0042785F">
              <w:tc>
                <w:tcPr>
                  <w:tcW w:w="1953" w:type="dxa"/>
                </w:tcPr>
                <w:p w14:paraId="68057CEA" w14:textId="77777777"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Pr>
                      <w:rFonts w:cs="Arial"/>
                      <w:szCs w:val="22"/>
                    </w:rPr>
                    <w:t>Trainee Solicitor</w:t>
                  </w:r>
                </w:p>
              </w:tc>
              <w:tc>
                <w:tcPr>
                  <w:tcW w:w="1902" w:type="dxa"/>
                </w:tcPr>
                <w:p w14:paraId="359616C4" w14:textId="7C112A59"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sidRPr="00A71542">
                    <w:rPr>
                      <w:rFonts w:cs="Arial"/>
                      <w:b/>
                      <w:szCs w:val="22"/>
                    </w:rPr>
                    <w:t>[Redacted]</w:t>
                  </w:r>
                </w:p>
              </w:tc>
            </w:tr>
            <w:tr w:rsidR="00415774" w14:paraId="5D5A880C" w14:textId="77777777" w:rsidTr="0042785F">
              <w:tc>
                <w:tcPr>
                  <w:tcW w:w="1953" w:type="dxa"/>
                </w:tcPr>
                <w:p w14:paraId="09E4C7AE" w14:textId="77777777" w:rsidR="00415774" w:rsidRDefault="00415774" w:rsidP="00415774">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Paralegal </w:t>
                  </w:r>
                </w:p>
              </w:tc>
              <w:tc>
                <w:tcPr>
                  <w:tcW w:w="1902" w:type="dxa"/>
                </w:tcPr>
                <w:p w14:paraId="28CD0C38" w14:textId="45B96B1F" w:rsidR="00415774" w:rsidRDefault="00415774" w:rsidP="00415774">
                  <w:pPr>
                    <w:numPr>
                      <w:ilvl w:val="1"/>
                      <w:numId w:val="0"/>
                    </w:numPr>
                    <w:overflowPunct/>
                    <w:autoSpaceDE/>
                    <w:autoSpaceDN/>
                    <w:spacing w:before="120" w:after="120" w:line="240" w:lineRule="auto"/>
                    <w:jc w:val="left"/>
                    <w:textAlignment w:val="auto"/>
                    <w:rPr>
                      <w:rFonts w:cs="Arial"/>
                      <w:szCs w:val="22"/>
                    </w:rPr>
                  </w:pPr>
                  <w:r w:rsidRPr="00A71542">
                    <w:rPr>
                      <w:rFonts w:cs="Arial"/>
                      <w:b/>
                      <w:szCs w:val="22"/>
                    </w:rPr>
                    <w:t>[Redacted]</w:t>
                  </w:r>
                </w:p>
              </w:tc>
            </w:tr>
          </w:tbl>
          <w:p w14:paraId="528D502B" w14:textId="77777777" w:rsidR="0042785F" w:rsidRDefault="0042785F" w:rsidP="00F53995">
            <w:pPr>
              <w:numPr>
                <w:ilvl w:val="1"/>
                <w:numId w:val="0"/>
              </w:numPr>
              <w:overflowPunct/>
              <w:autoSpaceDE/>
              <w:autoSpaceDN/>
              <w:spacing w:before="120" w:after="120" w:line="240" w:lineRule="auto"/>
              <w:jc w:val="left"/>
              <w:textAlignment w:val="auto"/>
              <w:rPr>
                <w:rFonts w:cs="Arial"/>
                <w:szCs w:val="22"/>
              </w:rPr>
            </w:pPr>
          </w:p>
          <w:p w14:paraId="0DBD027B" w14:textId="3FF8CB1E" w:rsidR="0042785F" w:rsidRPr="0042785F" w:rsidRDefault="0042785F" w:rsidP="00F53995">
            <w:pPr>
              <w:numPr>
                <w:ilvl w:val="1"/>
                <w:numId w:val="0"/>
              </w:numPr>
              <w:overflowPunct/>
              <w:autoSpaceDE/>
              <w:autoSpaceDN/>
              <w:spacing w:before="120" w:after="120" w:line="240" w:lineRule="auto"/>
              <w:jc w:val="left"/>
              <w:textAlignment w:val="auto"/>
              <w:rPr>
                <w:rFonts w:cs="Arial"/>
                <w:szCs w:val="22"/>
              </w:rPr>
            </w:pPr>
            <w:r w:rsidRPr="0042785F">
              <w:rPr>
                <w:rFonts w:cs="Arial"/>
                <w:szCs w:val="22"/>
              </w:rPr>
              <w:t xml:space="preserve">Daily rates: </w:t>
            </w:r>
          </w:p>
          <w:tbl>
            <w:tblPr>
              <w:tblStyle w:val="TableGrid"/>
              <w:tblW w:w="0" w:type="auto"/>
              <w:tblLook w:val="04A0" w:firstRow="1" w:lastRow="0" w:firstColumn="1" w:lastColumn="0" w:noHBand="0" w:noVBand="1"/>
            </w:tblPr>
            <w:tblGrid>
              <w:gridCol w:w="1953"/>
              <w:gridCol w:w="1902"/>
            </w:tblGrid>
            <w:tr w:rsidR="0042785F" w:rsidRPr="007D0764" w14:paraId="4963C966" w14:textId="77777777" w:rsidTr="0042785F">
              <w:tc>
                <w:tcPr>
                  <w:tcW w:w="1953" w:type="dxa"/>
                  <w:shd w:val="clear" w:color="auto" w:fill="C6D9F1" w:themeFill="text2" w:themeFillTint="33"/>
                </w:tcPr>
                <w:p w14:paraId="5B7EBE7B" w14:textId="77777777" w:rsidR="0042785F" w:rsidRPr="007D0764" w:rsidRDefault="0042785F" w:rsidP="0042785F">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Role</w:t>
                  </w:r>
                </w:p>
              </w:tc>
              <w:tc>
                <w:tcPr>
                  <w:tcW w:w="1902" w:type="dxa"/>
                  <w:shd w:val="clear" w:color="auto" w:fill="C6D9F1" w:themeFill="text2" w:themeFillTint="33"/>
                </w:tcPr>
                <w:p w14:paraId="285E6C0C" w14:textId="1117A122" w:rsidR="0042785F" w:rsidRPr="007D0764" w:rsidRDefault="0042785F" w:rsidP="0042785F">
                  <w:pPr>
                    <w:numPr>
                      <w:ilvl w:val="1"/>
                      <w:numId w:val="0"/>
                    </w:numPr>
                    <w:overflowPunct/>
                    <w:autoSpaceDE/>
                    <w:autoSpaceDN/>
                    <w:spacing w:before="120" w:after="120" w:line="240" w:lineRule="auto"/>
                    <w:jc w:val="left"/>
                    <w:textAlignment w:val="auto"/>
                    <w:rPr>
                      <w:rFonts w:cs="Arial"/>
                      <w:szCs w:val="22"/>
                    </w:rPr>
                  </w:pPr>
                  <w:r>
                    <w:rPr>
                      <w:rFonts w:cs="Arial"/>
                      <w:szCs w:val="22"/>
                    </w:rPr>
                    <w:t>Daily</w:t>
                  </w:r>
                  <w:r w:rsidRPr="007D0764">
                    <w:rPr>
                      <w:rFonts w:cs="Arial"/>
                      <w:szCs w:val="22"/>
                    </w:rPr>
                    <w:t xml:space="preserve"> Rates </w:t>
                  </w:r>
                  <w:r>
                    <w:rPr>
                      <w:rFonts w:cs="Arial"/>
                      <w:szCs w:val="22"/>
                    </w:rPr>
                    <w:t>Offered - E</w:t>
                  </w:r>
                  <w:r w:rsidRPr="007D0764">
                    <w:rPr>
                      <w:rFonts w:cs="Arial"/>
                      <w:szCs w:val="22"/>
                    </w:rPr>
                    <w:t>x VAT</w:t>
                  </w:r>
                </w:p>
              </w:tc>
            </w:tr>
            <w:tr w:rsidR="00415774" w:rsidRPr="007D0764" w14:paraId="5E35CB7B" w14:textId="77777777" w:rsidTr="0042785F">
              <w:tc>
                <w:tcPr>
                  <w:tcW w:w="1953" w:type="dxa"/>
                </w:tcPr>
                <w:p w14:paraId="14321B02" w14:textId="77777777"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Partner </w:t>
                  </w:r>
                </w:p>
              </w:tc>
              <w:tc>
                <w:tcPr>
                  <w:tcW w:w="1902" w:type="dxa"/>
                </w:tcPr>
                <w:p w14:paraId="6142E41B" w14:textId="78DF7F9E"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sidRPr="00A72FEE">
                    <w:rPr>
                      <w:rFonts w:cs="Arial"/>
                      <w:b/>
                      <w:szCs w:val="22"/>
                    </w:rPr>
                    <w:t>[Redacted]</w:t>
                  </w:r>
                </w:p>
              </w:tc>
            </w:tr>
            <w:tr w:rsidR="00415774" w:rsidRPr="007D0764" w14:paraId="03081C1B" w14:textId="77777777" w:rsidTr="0042785F">
              <w:tc>
                <w:tcPr>
                  <w:tcW w:w="1953" w:type="dxa"/>
                </w:tcPr>
                <w:p w14:paraId="50CC0832" w14:textId="77777777"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Pr>
                      <w:rFonts w:cs="Arial"/>
                      <w:szCs w:val="22"/>
                    </w:rPr>
                    <w:lastRenderedPageBreak/>
                    <w:t>Legal Director</w:t>
                  </w:r>
                </w:p>
              </w:tc>
              <w:tc>
                <w:tcPr>
                  <w:tcW w:w="1902" w:type="dxa"/>
                </w:tcPr>
                <w:p w14:paraId="3E635030" w14:textId="13CF8558"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sidRPr="00A72FEE">
                    <w:rPr>
                      <w:rFonts w:cs="Arial"/>
                      <w:b/>
                      <w:szCs w:val="22"/>
                    </w:rPr>
                    <w:t>[Redacted]</w:t>
                  </w:r>
                </w:p>
              </w:tc>
            </w:tr>
            <w:tr w:rsidR="00415774" w:rsidRPr="007D0764" w14:paraId="2E71C539" w14:textId="77777777" w:rsidTr="0042785F">
              <w:tc>
                <w:tcPr>
                  <w:tcW w:w="1953" w:type="dxa"/>
                </w:tcPr>
                <w:p w14:paraId="692AE30A" w14:textId="77777777"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Pr>
                      <w:rFonts w:cs="Arial"/>
                      <w:szCs w:val="22"/>
                    </w:rPr>
                    <w:t>Senior Associate</w:t>
                  </w:r>
                </w:p>
              </w:tc>
              <w:tc>
                <w:tcPr>
                  <w:tcW w:w="1902" w:type="dxa"/>
                </w:tcPr>
                <w:p w14:paraId="2D54EF6C" w14:textId="4D6B3C24"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sidRPr="00A72FEE">
                    <w:rPr>
                      <w:rFonts w:cs="Arial"/>
                      <w:b/>
                      <w:szCs w:val="22"/>
                    </w:rPr>
                    <w:t>[Redacted]</w:t>
                  </w:r>
                </w:p>
              </w:tc>
            </w:tr>
            <w:tr w:rsidR="00415774" w:rsidRPr="007D0764" w14:paraId="0C12D222" w14:textId="77777777" w:rsidTr="0042785F">
              <w:tc>
                <w:tcPr>
                  <w:tcW w:w="1953" w:type="dxa"/>
                </w:tcPr>
                <w:p w14:paraId="5DA7DE04" w14:textId="77777777"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02" w:type="dxa"/>
                </w:tcPr>
                <w:p w14:paraId="0BFD3625" w14:textId="5E7A0B6E"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sidRPr="00A72FEE">
                    <w:rPr>
                      <w:rFonts w:cs="Arial"/>
                      <w:b/>
                      <w:szCs w:val="22"/>
                    </w:rPr>
                    <w:t>[Redacted]</w:t>
                  </w:r>
                </w:p>
              </w:tc>
            </w:tr>
            <w:tr w:rsidR="00415774" w:rsidRPr="007D0764" w14:paraId="0DE706FF" w14:textId="77777777" w:rsidTr="0042785F">
              <w:tc>
                <w:tcPr>
                  <w:tcW w:w="1953" w:type="dxa"/>
                </w:tcPr>
                <w:p w14:paraId="491407AA" w14:textId="77777777"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Pr>
                      <w:rFonts w:cs="Arial"/>
                      <w:szCs w:val="22"/>
                    </w:rPr>
                    <w:t>Trainee Solicitor</w:t>
                  </w:r>
                </w:p>
              </w:tc>
              <w:tc>
                <w:tcPr>
                  <w:tcW w:w="1902" w:type="dxa"/>
                </w:tcPr>
                <w:p w14:paraId="2076F022" w14:textId="4E2C1995" w:rsidR="00415774" w:rsidRPr="007D0764" w:rsidRDefault="00415774" w:rsidP="00415774">
                  <w:pPr>
                    <w:numPr>
                      <w:ilvl w:val="1"/>
                      <w:numId w:val="0"/>
                    </w:numPr>
                    <w:overflowPunct/>
                    <w:autoSpaceDE/>
                    <w:autoSpaceDN/>
                    <w:spacing w:before="120" w:after="120" w:line="240" w:lineRule="auto"/>
                    <w:jc w:val="left"/>
                    <w:textAlignment w:val="auto"/>
                    <w:rPr>
                      <w:rFonts w:cs="Arial"/>
                      <w:szCs w:val="22"/>
                    </w:rPr>
                  </w:pPr>
                  <w:r w:rsidRPr="00A72FEE">
                    <w:rPr>
                      <w:rFonts w:cs="Arial"/>
                      <w:b/>
                      <w:szCs w:val="22"/>
                    </w:rPr>
                    <w:t>[Redacted]</w:t>
                  </w:r>
                </w:p>
              </w:tc>
            </w:tr>
            <w:tr w:rsidR="00415774" w14:paraId="7B947519" w14:textId="77777777" w:rsidTr="0042785F">
              <w:tc>
                <w:tcPr>
                  <w:tcW w:w="1953" w:type="dxa"/>
                </w:tcPr>
                <w:p w14:paraId="7304126A" w14:textId="77777777" w:rsidR="00415774" w:rsidRDefault="00415774" w:rsidP="00415774">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Paralegal </w:t>
                  </w:r>
                </w:p>
              </w:tc>
              <w:tc>
                <w:tcPr>
                  <w:tcW w:w="1902" w:type="dxa"/>
                </w:tcPr>
                <w:p w14:paraId="7E436C08" w14:textId="4534DBD8" w:rsidR="00415774" w:rsidRDefault="00415774" w:rsidP="00415774">
                  <w:pPr>
                    <w:numPr>
                      <w:ilvl w:val="1"/>
                      <w:numId w:val="0"/>
                    </w:numPr>
                    <w:overflowPunct/>
                    <w:autoSpaceDE/>
                    <w:autoSpaceDN/>
                    <w:spacing w:before="120" w:after="120" w:line="240" w:lineRule="auto"/>
                    <w:jc w:val="left"/>
                    <w:textAlignment w:val="auto"/>
                    <w:rPr>
                      <w:rFonts w:cs="Arial"/>
                      <w:szCs w:val="22"/>
                    </w:rPr>
                  </w:pPr>
                  <w:r w:rsidRPr="00A72FEE">
                    <w:rPr>
                      <w:rFonts w:cs="Arial"/>
                      <w:b/>
                      <w:szCs w:val="22"/>
                    </w:rPr>
                    <w:t>[Redacted]</w:t>
                  </w:r>
                </w:p>
              </w:tc>
            </w:tr>
          </w:tbl>
          <w:p w14:paraId="2714E7C6" w14:textId="77777777" w:rsidR="0042785F" w:rsidRDefault="0042785F" w:rsidP="00F53995">
            <w:pPr>
              <w:numPr>
                <w:ilvl w:val="1"/>
                <w:numId w:val="0"/>
              </w:numPr>
              <w:overflowPunct/>
              <w:autoSpaceDE/>
              <w:autoSpaceDN/>
              <w:spacing w:before="120" w:after="120" w:line="240" w:lineRule="auto"/>
              <w:jc w:val="left"/>
              <w:textAlignment w:val="auto"/>
              <w:rPr>
                <w:rFonts w:cs="Arial"/>
                <w:i/>
                <w:szCs w:val="22"/>
              </w:rPr>
            </w:pPr>
          </w:p>
          <w:p w14:paraId="195E72C1" w14:textId="62A80745" w:rsidR="0042785F" w:rsidRPr="00C3320D" w:rsidRDefault="0042785F" w:rsidP="00F5399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F53995">
        <w:tc>
          <w:tcPr>
            <w:tcW w:w="645" w:type="dxa"/>
          </w:tcPr>
          <w:p w14:paraId="16030869" w14:textId="376F27E4"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4180" w:type="dxa"/>
            <w:shd w:val="clear" w:color="auto" w:fill="auto"/>
          </w:tcPr>
          <w:p w14:paraId="0D665886" w14:textId="558A55C5"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6" w:type="dxa"/>
            <w:shd w:val="clear" w:color="auto" w:fill="auto"/>
          </w:tcPr>
          <w:p w14:paraId="6141EC23" w14:textId="67EF1C9B" w:rsidR="008E082F" w:rsidRPr="00F53995" w:rsidRDefault="007D2EBB" w:rsidP="0075097E">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2F19B1C1" w14:textId="77777777" w:rsidTr="00F53995">
        <w:tc>
          <w:tcPr>
            <w:tcW w:w="645"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80" w:type="dxa"/>
            <w:shd w:val="clear" w:color="auto" w:fill="auto"/>
          </w:tcPr>
          <w:p w14:paraId="0D801B05" w14:textId="439013C2" w:rsidR="008E082F" w:rsidRPr="00C3320D" w:rsidRDefault="00F53995"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086" w:type="dxa"/>
            <w:shd w:val="clear" w:color="auto" w:fill="auto"/>
          </w:tcPr>
          <w:p w14:paraId="0F50F027" w14:textId="1E3C0DCD" w:rsidR="008E082F" w:rsidRPr="00F53995" w:rsidRDefault="00F53995" w:rsidP="00F53995">
            <w:p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53D9C72F" w14:textId="77777777" w:rsidTr="00F53995">
        <w:tc>
          <w:tcPr>
            <w:tcW w:w="645"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80" w:type="dxa"/>
            <w:shd w:val="clear" w:color="auto" w:fill="auto"/>
          </w:tcPr>
          <w:p w14:paraId="4306D6B3" w14:textId="05B8624A" w:rsidR="008E082F" w:rsidRPr="00C3320D" w:rsidRDefault="00F53995"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tc>
        <w:tc>
          <w:tcPr>
            <w:tcW w:w="4086" w:type="dxa"/>
            <w:shd w:val="clear" w:color="auto" w:fill="auto"/>
          </w:tcPr>
          <w:p w14:paraId="08B6474B" w14:textId="6872371B" w:rsidR="008E082F" w:rsidRPr="00C3320D" w:rsidRDefault="007D2EBB" w:rsidP="00F53995">
            <w:pPr>
              <w:overflowPunct/>
              <w:autoSpaceDE/>
              <w:autoSpaceDN/>
              <w:spacing w:before="120" w:after="120" w:line="240" w:lineRule="auto"/>
              <w:jc w:val="left"/>
              <w:textAlignment w:val="auto"/>
              <w:rPr>
                <w:rFonts w:cs="Arial"/>
                <w:i/>
                <w:szCs w:val="22"/>
              </w:rPr>
            </w:pPr>
            <w:r>
              <w:rPr>
                <w:rFonts w:cs="Arial"/>
                <w:szCs w:val="22"/>
              </w:rPr>
              <w:t xml:space="preserve">The value of this contract shall not exceed </w:t>
            </w:r>
            <w:r w:rsidR="00415774" w:rsidRPr="00415774">
              <w:rPr>
                <w:rFonts w:cs="Arial"/>
                <w:b/>
                <w:szCs w:val="22"/>
              </w:rPr>
              <w:t>[Redacted]</w:t>
            </w:r>
            <w:r w:rsidR="00415774">
              <w:rPr>
                <w:rFonts w:cs="Arial"/>
                <w:b/>
                <w:szCs w:val="22"/>
              </w:rPr>
              <w:t xml:space="preserve"> </w:t>
            </w:r>
            <w:r w:rsidR="00C20523">
              <w:rPr>
                <w:rFonts w:cs="Arial"/>
                <w:szCs w:val="22"/>
              </w:rPr>
              <w:t>Ex-Vat</w:t>
            </w:r>
            <w:r>
              <w:rPr>
                <w:rFonts w:cs="Arial"/>
                <w:szCs w:val="22"/>
              </w:rPr>
              <w:t>.</w:t>
            </w:r>
          </w:p>
        </w:tc>
      </w:tr>
      <w:tr w:rsidR="00C3320D" w:rsidRPr="00C3320D" w14:paraId="5A92AABB" w14:textId="77777777" w:rsidTr="00927666">
        <w:tc>
          <w:tcPr>
            <w:tcW w:w="645"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180"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03123570" w14:textId="77777777" w:rsidR="00927666" w:rsidRDefault="00927666" w:rsidP="00D40F55">
            <w:pPr>
              <w:numPr>
                <w:ilvl w:val="1"/>
                <w:numId w:val="0"/>
              </w:numPr>
              <w:overflowPunct/>
              <w:autoSpaceDE/>
              <w:autoSpaceDN/>
              <w:spacing w:before="120" w:after="120" w:line="240" w:lineRule="auto"/>
              <w:jc w:val="left"/>
              <w:textAlignment w:val="auto"/>
              <w:rPr>
                <w:rFonts w:cs="Arial"/>
                <w:b/>
                <w:szCs w:val="22"/>
              </w:rPr>
            </w:pPr>
          </w:p>
          <w:p w14:paraId="71B7DB31" w14:textId="77777777" w:rsidR="00ED76A1" w:rsidRDefault="00ED76A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7E3A3340" w14:textId="77777777" w:rsidR="00ED76A1" w:rsidRDefault="00ED76A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542519B7" w14:textId="77777777" w:rsidR="00DB3DDB" w:rsidRPr="00C3320D" w:rsidRDefault="00ED76A1"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A</w:t>
            </w:r>
            <w:r w:rsidR="00DB3DDB" w:rsidRPr="00C3320D">
              <w:rPr>
                <w:rFonts w:eastAsia="STZhongsong" w:cs="Arial"/>
                <w:b/>
                <w:szCs w:val="22"/>
                <w:lang w:eastAsia="zh-CN"/>
              </w:rPr>
              <w:t>dditional training</w:t>
            </w:r>
          </w:p>
          <w:p w14:paraId="2E5866B6" w14:textId="3ED4C18E"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6" w:type="dxa"/>
            <w:shd w:val="clear" w:color="auto" w:fill="auto"/>
          </w:tcPr>
          <w:p w14:paraId="1C31DAAD" w14:textId="464CE0BB" w:rsidR="0075097E" w:rsidRDefault="0075097E" w:rsidP="0075097E">
            <w:pPr>
              <w:numPr>
                <w:ilvl w:val="1"/>
                <w:numId w:val="0"/>
              </w:numPr>
              <w:tabs>
                <w:tab w:val="left" w:pos="577"/>
              </w:tabs>
              <w:overflowPunct/>
              <w:autoSpaceDE/>
              <w:autoSpaceDN/>
              <w:spacing w:before="120" w:after="120" w:line="240" w:lineRule="auto"/>
              <w:jc w:val="left"/>
              <w:textAlignment w:val="auto"/>
              <w:rPr>
                <w:rFonts w:cs="Arial"/>
                <w:szCs w:val="22"/>
              </w:rPr>
            </w:pPr>
            <w:r w:rsidRPr="0075097E">
              <w:rPr>
                <w:rFonts w:cs="Arial"/>
                <w:szCs w:val="22"/>
              </w:rPr>
              <w:t xml:space="preserve">Disbursements </w:t>
            </w:r>
            <w:r w:rsidR="00555457">
              <w:rPr>
                <w:rFonts w:cs="Arial"/>
                <w:szCs w:val="22"/>
              </w:rPr>
              <w:t xml:space="preserve">and expenses </w:t>
            </w:r>
            <w:r w:rsidRPr="0075097E">
              <w:rPr>
                <w:rFonts w:cs="Arial"/>
                <w:szCs w:val="22"/>
              </w:rPr>
              <w:t>shall only be payable where the Cu</w:t>
            </w:r>
            <w:r w:rsidR="00954E4E">
              <w:rPr>
                <w:rFonts w:cs="Arial"/>
                <w:szCs w:val="22"/>
              </w:rPr>
              <w:t>stomer has authorised that the d</w:t>
            </w:r>
            <w:r w:rsidRPr="0075097E">
              <w:rPr>
                <w:rFonts w:cs="Arial"/>
                <w:szCs w:val="22"/>
              </w:rPr>
              <w:t xml:space="preserve">isbursements </w:t>
            </w:r>
            <w:r w:rsidR="00555457">
              <w:rPr>
                <w:rFonts w:cs="Arial"/>
                <w:szCs w:val="22"/>
              </w:rPr>
              <w:t xml:space="preserve">or expenses </w:t>
            </w:r>
            <w:r w:rsidR="00782C33">
              <w:rPr>
                <w:rFonts w:cs="Arial"/>
                <w:szCs w:val="22"/>
              </w:rPr>
              <w:t>may be incurred in advance and where they are within the total Contract value.</w:t>
            </w:r>
          </w:p>
          <w:p w14:paraId="08AC71B4" w14:textId="42F1A568" w:rsidR="00C54786" w:rsidRPr="00927666" w:rsidRDefault="003F7D0B" w:rsidP="00927666">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Additional training and the hosting, maintenance and management of the Cloud based filing system as detailed in the Statement of Requirements are to be provided free of charge.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F53995" w14:paraId="7805A5E1" w14:textId="77777777" w:rsidTr="00F53995">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71B229F7" w14:textId="4382DDF1" w:rsidR="008E082F" w:rsidRDefault="00415774" w:rsidP="00F35627">
            <w:pPr>
              <w:keepNext/>
              <w:keepLines/>
              <w:overflowPunct/>
              <w:autoSpaceDE/>
              <w:autoSpaceDN/>
              <w:spacing w:before="120" w:after="120" w:line="240" w:lineRule="auto"/>
              <w:textAlignment w:val="auto"/>
              <w:rPr>
                <w:rFonts w:eastAsia="STZhongsong" w:cs="Arial"/>
                <w:szCs w:val="22"/>
                <w:lang w:eastAsia="zh-CN"/>
              </w:rPr>
            </w:pPr>
            <w:r w:rsidRPr="00415774">
              <w:rPr>
                <w:rFonts w:cs="Arial"/>
                <w:b/>
                <w:szCs w:val="22"/>
              </w:rPr>
              <w:t>[Redacted]</w:t>
            </w:r>
            <w:r>
              <w:rPr>
                <w:rFonts w:cs="Arial"/>
                <w:b/>
                <w:szCs w:val="22"/>
              </w:rPr>
              <w:t xml:space="preserve"> </w:t>
            </w:r>
            <w:r w:rsidR="00937EF1">
              <w:rPr>
                <w:rFonts w:eastAsia="STZhongsong" w:cs="Arial"/>
                <w:szCs w:val="22"/>
                <w:lang w:eastAsia="zh-CN"/>
              </w:rPr>
              <w:t xml:space="preserve">– Business Manager </w:t>
            </w:r>
          </w:p>
          <w:p w14:paraId="43B884AB" w14:textId="77777777" w:rsidR="00937EF1" w:rsidRDefault="00937EF1" w:rsidP="00E86426">
            <w:pPr>
              <w:keepNext/>
              <w:keepLines/>
              <w:overflowPunct/>
              <w:autoSpaceDE/>
              <w:autoSpaceDN/>
              <w:spacing w:before="120" w:after="0" w:line="240" w:lineRule="auto"/>
              <w:textAlignment w:val="auto"/>
              <w:rPr>
                <w:rFonts w:eastAsia="STZhongsong" w:cs="Arial"/>
                <w:szCs w:val="22"/>
                <w:lang w:eastAsia="zh-CN"/>
              </w:rPr>
            </w:pPr>
            <w:r>
              <w:rPr>
                <w:rFonts w:eastAsia="STZhongsong" w:cs="Arial"/>
                <w:szCs w:val="22"/>
                <w:lang w:eastAsia="zh-CN"/>
              </w:rPr>
              <w:t>Department for Work and Pensions</w:t>
            </w:r>
            <w:r w:rsidR="00E86426">
              <w:rPr>
                <w:rFonts w:eastAsia="STZhongsong" w:cs="Arial"/>
                <w:szCs w:val="22"/>
                <w:lang w:eastAsia="zh-CN"/>
              </w:rPr>
              <w:t>,</w:t>
            </w:r>
          </w:p>
          <w:p w14:paraId="10A31A77" w14:textId="77777777" w:rsidR="00E86426" w:rsidRDefault="00E86426" w:rsidP="00E86426">
            <w:pPr>
              <w:keepNext/>
              <w:keepLines/>
              <w:overflowPunct/>
              <w:autoSpaceDE/>
              <w:autoSpaceDN/>
              <w:spacing w:before="120" w:after="0" w:line="240" w:lineRule="auto"/>
              <w:textAlignment w:val="auto"/>
              <w:rPr>
                <w:rFonts w:eastAsia="STZhongsong" w:cs="Arial"/>
                <w:szCs w:val="22"/>
                <w:lang w:eastAsia="zh-CN"/>
              </w:rPr>
            </w:pPr>
            <w:r>
              <w:rPr>
                <w:rFonts w:eastAsia="STZhongsong" w:cs="Arial"/>
                <w:szCs w:val="22"/>
                <w:lang w:eastAsia="zh-CN"/>
              </w:rPr>
              <w:t>Ground Floor,</w:t>
            </w:r>
          </w:p>
          <w:p w14:paraId="5C0476B2" w14:textId="77777777" w:rsidR="00E86426" w:rsidRDefault="00E86426" w:rsidP="00E86426">
            <w:pPr>
              <w:keepNext/>
              <w:keepLines/>
              <w:overflowPunct/>
              <w:autoSpaceDE/>
              <w:autoSpaceDN/>
              <w:spacing w:before="120" w:after="0" w:line="240" w:lineRule="auto"/>
              <w:textAlignment w:val="auto"/>
              <w:rPr>
                <w:rFonts w:eastAsia="STZhongsong" w:cs="Arial"/>
                <w:szCs w:val="22"/>
                <w:lang w:eastAsia="zh-CN"/>
              </w:rPr>
            </w:pPr>
            <w:r>
              <w:rPr>
                <w:rFonts w:eastAsia="STZhongsong" w:cs="Arial"/>
                <w:szCs w:val="22"/>
                <w:lang w:eastAsia="zh-CN"/>
              </w:rPr>
              <w:t>Caxton House,</w:t>
            </w:r>
          </w:p>
          <w:p w14:paraId="6AF5DAEC" w14:textId="77777777" w:rsidR="00E86426" w:rsidRDefault="00E86426" w:rsidP="00E86426">
            <w:pPr>
              <w:keepNext/>
              <w:keepLines/>
              <w:overflowPunct/>
              <w:autoSpaceDE/>
              <w:autoSpaceDN/>
              <w:spacing w:before="120" w:after="0" w:line="240" w:lineRule="auto"/>
              <w:textAlignment w:val="auto"/>
              <w:rPr>
                <w:rFonts w:eastAsia="STZhongsong" w:cs="Arial"/>
                <w:szCs w:val="22"/>
                <w:lang w:eastAsia="zh-CN"/>
              </w:rPr>
            </w:pPr>
            <w:r>
              <w:rPr>
                <w:rFonts w:eastAsia="STZhongsong" w:cs="Arial"/>
                <w:szCs w:val="22"/>
                <w:lang w:eastAsia="zh-CN"/>
              </w:rPr>
              <w:t>Tothill Street,</w:t>
            </w:r>
          </w:p>
          <w:p w14:paraId="489409A9" w14:textId="77777777" w:rsidR="00E86426" w:rsidRDefault="00E86426" w:rsidP="00E86426">
            <w:pPr>
              <w:keepNext/>
              <w:keepLines/>
              <w:overflowPunct/>
              <w:autoSpaceDE/>
              <w:autoSpaceDN/>
              <w:spacing w:before="120" w:after="0" w:line="240" w:lineRule="auto"/>
              <w:textAlignment w:val="auto"/>
              <w:rPr>
                <w:rFonts w:eastAsia="STZhongsong" w:cs="Arial"/>
                <w:szCs w:val="22"/>
                <w:lang w:eastAsia="zh-CN"/>
              </w:rPr>
            </w:pPr>
            <w:r>
              <w:rPr>
                <w:rFonts w:eastAsia="STZhongsong" w:cs="Arial"/>
                <w:szCs w:val="22"/>
                <w:lang w:eastAsia="zh-CN"/>
              </w:rPr>
              <w:t>London,</w:t>
            </w:r>
          </w:p>
          <w:p w14:paraId="76AB6829" w14:textId="77777777" w:rsidR="00E86426" w:rsidRDefault="00E86426" w:rsidP="00E86426">
            <w:pPr>
              <w:keepNext/>
              <w:keepLines/>
              <w:overflowPunct/>
              <w:autoSpaceDE/>
              <w:autoSpaceDN/>
              <w:spacing w:before="120" w:after="0" w:line="240" w:lineRule="auto"/>
              <w:textAlignment w:val="auto"/>
              <w:rPr>
                <w:rFonts w:eastAsia="STZhongsong" w:cs="Arial"/>
                <w:szCs w:val="22"/>
                <w:lang w:eastAsia="zh-CN"/>
              </w:rPr>
            </w:pPr>
            <w:r>
              <w:rPr>
                <w:rFonts w:eastAsia="STZhongsong" w:cs="Arial"/>
                <w:szCs w:val="22"/>
                <w:lang w:eastAsia="zh-CN"/>
              </w:rPr>
              <w:t xml:space="preserve">SW1H 9NA </w:t>
            </w:r>
          </w:p>
          <w:p w14:paraId="51F67C26" w14:textId="71962D41" w:rsidR="00E86426" w:rsidRPr="00F53995" w:rsidRDefault="00E86426" w:rsidP="00E86426">
            <w:pPr>
              <w:keepNext/>
              <w:keepLines/>
              <w:overflowPunct/>
              <w:autoSpaceDE/>
              <w:autoSpaceDN/>
              <w:spacing w:before="120" w:after="0" w:line="240" w:lineRule="auto"/>
              <w:textAlignment w:val="auto"/>
              <w:rPr>
                <w:rFonts w:eastAsia="STZhongsong" w:cs="Arial"/>
                <w:caps/>
                <w:szCs w:val="22"/>
                <w:lang w:eastAsia="zh-CN"/>
              </w:rPr>
            </w:pPr>
            <w:r>
              <w:rPr>
                <w:rFonts w:eastAsia="STZhongsong" w:cs="Arial"/>
                <w:szCs w:val="22"/>
                <w:lang w:eastAsia="zh-CN"/>
              </w:rPr>
              <w:t xml:space="preserve">Email: </w:t>
            </w:r>
            <w:r w:rsidR="00415774" w:rsidRPr="00415774">
              <w:rPr>
                <w:rFonts w:cs="Arial"/>
                <w:b/>
                <w:szCs w:val="22"/>
              </w:rPr>
              <w:t>[Redacted]</w:t>
            </w:r>
          </w:p>
        </w:tc>
      </w:tr>
      <w:tr w:rsidR="00C3320D" w:rsidRPr="00F53995" w14:paraId="48F22CFB" w14:textId="77777777" w:rsidTr="00F53995">
        <w:tc>
          <w:tcPr>
            <w:tcW w:w="610" w:type="dxa"/>
          </w:tcPr>
          <w:p w14:paraId="0BB98E0B" w14:textId="72437CB9"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693E5AD0" w14:textId="2863341B" w:rsidR="008E082F" w:rsidRDefault="00415774" w:rsidP="00F53995">
            <w:pPr>
              <w:keepNext/>
              <w:keepLines/>
              <w:overflowPunct/>
              <w:autoSpaceDE/>
              <w:autoSpaceDN/>
              <w:spacing w:before="120" w:after="120" w:line="240" w:lineRule="auto"/>
              <w:textAlignment w:val="auto"/>
              <w:rPr>
                <w:rFonts w:eastAsia="STZhongsong" w:cs="Arial"/>
                <w:szCs w:val="22"/>
                <w:lang w:eastAsia="zh-CN"/>
              </w:rPr>
            </w:pPr>
            <w:r w:rsidRPr="00415774">
              <w:rPr>
                <w:rFonts w:cs="Arial"/>
                <w:b/>
                <w:szCs w:val="22"/>
              </w:rPr>
              <w:t>[Redacted]</w:t>
            </w:r>
            <w:r>
              <w:rPr>
                <w:rFonts w:cs="Arial"/>
                <w:b/>
                <w:szCs w:val="22"/>
              </w:rPr>
              <w:t xml:space="preserve"> </w:t>
            </w:r>
            <w:r w:rsidR="00F35627">
              <w:rPr>
                <w:rFonts w:eastAsia="STZhongsong" w:cs="Arial"/>
                <w:szCs w:val="22"/>
                <w:lang w:eastAsia="zh-CN"/>
              </w:rPr>
              <w:t>– Partner</w:t>
            </w:r>
          </w:p>
          <w:p w14:paraId="628F0975" w14:textId="77777777" w:rsidR="00F35627" w:rsidRDefault="00F35627" w:rsidP="00F5399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Monument Place,</w:t>
            </w:r>
          </w:p>
          <w:p w14:paraId="2F0979F2" w14:textId="77777777" w:rsidR="00F35627" w:rsidRDefault="00F35627" w:rsidP="00F5399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24 Monument Street,</w:t>
            </w:r>
          </w:p>
          <w:p w14:paraId="79620FCD" w14:textId="77777777" w:rsidR="00F35627" w:rsidRDefault="00F35627" w:rsidP="00F5399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London,</w:t>
            </w:r>
          </w:p>
          <w:p w14:paraId="1C692F77" w14:textId="77777777" w:rsidR="00F35627" w:rsidRDefault="00F35627" w:rsidP="00F5399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EC3R 8AJ</w:t>
            </w:r>
          </w:p>
          <w:p w14:paraId="07685785" w14:textId="7E540DA3" w:rsidR="00F35627" w:rsidRPr="00F35627" w:rsidRDefault="00415774" w:rsidP="00F5399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sidRPr="00415774">
              <w:rPr>
                <w:rFonts w:cs="Arial"/>
                <w:b/>
                <w:szCs w:val="22"/>
              </w:rPr>
              <w:t>[Redacted]</w:t>
            </w:r>
          </w:p>
        </w:tc>
      </w:tr>
      <w:tr w:rsidR="00C3320D" w:rsidRPr="00C3320D" w14:paraId="54B5A07E" w14:textId="77777777" w:rsidTr="00F53995">
        <w:tc>
          <w:tcPr>
            <w:tcW w:w="610" w:type="dxa"/>
          </w:tcPr>
          <w:p w14:paraId="0DB484B6" w14:textId="629B435F"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9D1E8C7" w14:textId="7F663E7B" w:rsidR="008E082F" w:rsidRPr="00C3320D" w:rsidRDefault="00F53995"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personnel</w:t>
            </w:r>
          </w:p>
        </w:tc>
        <w:tc>
          <w:tcPr>
            <w:tcW w:w="4164" w:type="dxa"/>
            <w:shd w:val="clear" w:color="auto" w:fill="auto"/>
          </w:tcPr>
          <w:p w14:paraId="2126486F" w14:textId="10FE74BC" w:rsidR="008E082F" w:rsidRPr="00C3320D" w:rsidRDefault="00E86426" w:rsidP="00F53995">
            <w:pPr>
              <w:keepNext/>
              <w:keepLines/>
              <w:overflowPunct/>
              <w:autoSpaceDE/>
              <w:autoSpaceDN/>
              <w:spacing w:before="120" w:after="120" w:line="240" w:lineRule="auto"/>
              <w:textAlignment w:val="auto"/>
              <w:rPr>
                <w:rFonts w:eastAsia="STZhongsong" w:cs="Arial"/>
                <w:i/>
                <w:szCs w:val="22"/>
                <w:lang w:eastAsia="zh-CN"/>
              </w:rPr>
            </w:pPr>
            <w:r w:rsidRPr="00D20F0C">
              <w:rPr>
                <w:rFonts w:eastAsia="STZhongsong" w:cs="Arial"/>
                <w:szCs w:val="22"/>
                <w:lang w:eastAsia="zh-CN"/>
              </w:rPr>
              <w:t>The customer has not identified any key personnel that are required to carry out specific Ordered Panel Services.</w:t>
            </w:r>
          </w:p>
        </w:tc>
      </w:tr>
      <w:tr w:rsidR="00C3320D" w:rsidRPr="00C3320D" w14:paraId="110CF97A" w14:textId="77777777" w:rsidTr="00F53995">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488CF036" w14:textId="77777777" w:rsidR="008E082F" w:rsidRDefault="00E86426" w:rsidP="00E86426">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The below contact details have been provided for the purposes of this contract</w:t>
            </w:r>
            <w:r>
              <w:rPr>
                <w:rFonts w:eastAsia="STZhongsong" w:cs="Arial"/>
                <w:szCs w:val="22"/>
                <w:lang w:eastAsia="zh-CN"/>
              </w:rPr>
              <w:t xml:space="preserve">, </w:t>
            </w:r>
            <w:r w:rsidRPr="00636DDC">
              <w:rPr>
                <w:rFonts w:eastAsia="STZhongsong" w:cs="Arial"/>
                <w:szCs w:val="22"/>
                <w:lang w:eastAsia="zh-CN"/>
              </w:rPr>
              <w:t>for serving notices under the Legal Services Contract Clause 23 (Notices).</w:t>
            </w:r>
          </w:p>
          <w:p w14:paraId="61E815C4" w14:textId="77777777" w:rsidR="0087085C" w:rsidRDefault="0087085C" w:rsidP="00E86426">
            <w:pPr>
              <w:keepNext/>
              <w:keepLines/>
              <w:overflowPunct/>
              <w:autoSpaceDE/>
              <w:autoSpaceDN/>
              <w:spacing w:before="120" w:after="120" w:line="240" w:lineRule="auto"/>
              <w:textAlignment w:val="auto"/>
              <w:rPr>
                <w:rFonts w:eastAsia="STZhongsong" w:cs="Arial"/>
                <w:szCs w:val="22"/>
                <w:lang w:eastAsia="zh-CN"/>
              </w:rPr>
            </w:pPr>
          </w:p>
          <w:p w14:paraId="4E0A14EA" w14:textId="2D57D89B" w:rsidR="0087085C" w:rsidRDefault="0087085C" w:rsidP="00E8642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Customer: </w:t>
            </w:r>
            <w:r w:rsidR="00415774" w:rsidRPr="00415774">
              <w:rPr>
                <w:rFonts w:cs="Arial"/>
                <w:b/>
                <w:szCs w:val="22"/>
              </w:rPr>
              <w:t>[Redacted]</w:t>
            </w:r>
          </w:p>
          <w:p w14:paraId="6DCDA444" w14:textId="77777777" w:rsidR="0087085C" w:rsidRDefault="0087085C" w:rsidP="0087085C">
            <w:pPr>
              <w:keepNext/>
              <w:keepLines/>
              <w:overflowPunct/>
              <w:autoSpaceDE/>
              <w:autoSpaceDN/>
              <w:spacing w:before="120" w:after="0" w:line="240" w:lineRule="auto"/>
              <w:textAlignment w:val="auto"/>
              <w:rPr>
                <w:rFonts w:eastAsia="STZhongsong" w:cs="Arial"/>
                <w:szCs w:val="22"/>
                <w:lang w:eastAsia="zh-CN"/>
              </w:rPr>
            </w:pPr>
            <w:r>
              <w:rPr>
                <w:rFonts w:eastAsia="STZhongsong" w:cs="Arial"/>
                <w:szCs w:val="22"/>
                <w:lang w:eastAsia="zh-CN"/>
              </w:rPr>
              <w:t>Department for Work and Pensions,</w:t>
            </w:r>
          </w:p>
          <w:p w14:paraId="0523AE81" w14:textId="77777777" w:rsidR="0087085C" w:rsidRDefault="0087085C" w:rsidP="0087085C">
            <w:pPr>
              <w:keepNext/>
              <w:keepLines/>
              <w:overflowPunct/>
              <w:autoSpaceDE/>
              <w:autoSpaceDN/>
              <w:spacing w:before="120" w:after="0" w:line="240" w:lineRule="auto"/>
              <w:textAlignment w:val="auto"/>
              <w:rPr>
                <w:rFonts w:eastAsia="STZhongsong" w:cs="Arial"/>
                <w:szCs w:val="22"/>
                <w:lang w:eastAsia="zh-CN"/>
              </w:rPr>
            </w:pPr>
            <w:r>
              <w:rPr>
                <w:rFonts w:eastAsia="STZhongsong" w:cs="Arial"/>
                <w:szCs w:val="22"/>
                <w:lang w:eastAsia="zh-CN"/>
              </w:rPr>
              <w:t>Ground Floor,</w:t>
            </w:r>
          </w:p>
          <w:p w14:paraId="44EA509F" w14:textId="77777777" w:rsidR="0087085C" w:rsidRDefault="0087085C" w:rsidP="0087085C">
            <w:pPr>
              <w:keepNext/>
              <w:keepLines/>
              <w:overflowPunct/>
              <w:autoSpaceDE/>
              <w:autoSpaceDN/>
              <w:spacing w:before="120" w:after="0" w:line="240" w:lineRule="auto"/>
              <w:textAlignment w:val="auto"/>
              <w:rPr>
                <w:rFonts w:eastAsia="STZhongsong" w:cs="Arial"/>
                <w:szCs w:val="22"/>
                <w:lang w:eastAsia="zh-CN"/>
              </w:rPr>
            </w:pPr>
            <w:r>
              <w:rPr>
                <w:rFonts w:eastAsia="STZhongsong" w:cs="Arial"/>
                <w:szCs w:val="22"/>
                <w:lang w:eastAsia="zh-CN"/>
              </w:rPr>
              <w:t>Caxton House,</w:t>
            </w:r>
          </w:p>
          <w:p w14:paraId="6C23C1B8" w14:textId="77777777" w:rsidR="0087085C" w:rsidRDefault="0087085C" w:rsidP="0087085C">
            <w:pPr>
              <w:keepNext/>
              <w:keepLines/>
              <w:overflowPunct/>
              <w:autoSpaceDE/>
              <w:autoSpaceDN/>
              <w:spacing w:before="120" w:after="0" w:line="240" w:lineRule="auto"/>
              <w:textAlignment w:val="auto"/>
              <w:rPr>
                <w:rFonts w:eastAsia="STZhongsong" w:cs="Arial"/>
                <w:szCs w:val="22"/>
                <w:lang w:eastAsia="zh-CN"/>
              </w:rPr>
            </w:pPr>
            <w:r>
              <w:rPr>
                <w:rFonts w:eastAsia="STZhongsong" w:cs="Arial"/>
                <w:szCs w:val="22"/>
                <w:lang w:eastAsia="zh-CN"/>
              </w:rPr>
              <w:t>Tothill Street,</w:t>
            </w:r>
          </w:p>
          <w:p w14:paraId="32CBA781" w14:textId="77777777" w:rsidR="0087085C" w:rsidRDefault="0087085C" w:rsidP="0087085C">
            <w:pPr>
              <w:keepNext/>
              <w:keepLines/>
              <w:overflowPunct/>
              <w:autoSpaceDE/>
              <w:autoSpaceDN/>
              <w:spacing w:before="120" w:after="0" w:line="240" w:lineRule="auto"/>
              <w:textAlignment w:val="auto"/>
              <w:rPr>
                <w:rFonts w:eastAsia="STZhongsong" w:cs="Arial"/>
                <w:szCs w:val="22"/>
                <w:lang w:eastAsia="zh-CN"/>
              </w:rPr>
            </w:pPr>
            <w:r>
              <w:rPr>
                <w:rFonts w:eastAsia="STZhongsong" w:cs="Arial"/>
                <w:szCs w:val="22"/>
                <w:lang w:eastAsia="zh-CN"/>
              </w:rPr>
              <w:t>London,</w:t>
            </w:r>
          </w:p>
          <w:p w14:paraId="49E5DCD9" w14:textId="77777777" w:rsidR="0087085C" w:rsidRDefault="0087085C" w:rsidP="0087085C">
            <w:pPr>
              <w:keepNext/>
              <w:keepLines/>
              <w:overflowPunct/>
              <w:autoSpaceDE/>
              <w:autoSpaceDN/>
              <w:spacing w:before="120" w:after="0" w:line="240" w:lineRule="auto"/>
              <w:textAlignment w:val="auto"/>
              <w:rPr>
                <w:rFonts w:eastAsia="STZhongsong" w:cs="Arial"/>
                <w:szCs w:val="22"/>
                <w:lang w:eastAsia="zh-CN"/>
              </w:rPr>
            </w:pPr>
            <w:r>
              <w:rPr>
                <w:rFonts w:eastAsia="STZhongsong" w:cs="Arial"/>
                <w:szCs w:val="22"/>
                <w:lang w:eastAsia="zh-CN"/>
              </w:rPr>
              <w:t xml:space="preserve">SW1H 9NA </w:t>
            </w:r>
          </w:p>
          <w:p w14:paraId="15DFBE9D" w14:textId="14D12E01" w:rsidR="0087085C" w:rsidRDefault="0087085C" w:rsidP="0087085C">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sidR="00415774" w:rsidRPr="00415774">
              <w:rPr>
                <w:rFonts w:cs="Arial"/>
                <w:b/>
                <w:szCs w:val="22"/>
              </w:rPr>
              <w:t>[Redacted]</w:t>
            </w:r>
          </w:p>
          <w:p w14:paraId="18341B47" w14:textId="77777777" w:rsidR="0087085C" w:rsidRDefault="0087085C" w:rsidP="0087085C">
            <w:pPr>
              <w:keepNext/>
              <w:keepLines/>
              <w:overflowPunct/>
              <w:autoSpaceDE/>
              <w:autoSpaceDN/>
              <w:spacing w:before="120" w:after="120" w:line="240" w:lineRule="auto"/>
              <w:textAlignment w:val="auto"/>
              <w:rPr>
                <w:rFonts w:eastAsia="STZhongsong" w:cs="Arial"/>
                <w:szCs w:val="22"/>
                <w:lang w:eastAsia="zh-CN"/>
              </w:rPr>
            </w:pPr>
          </w:p>
          <w:p w14:paraId="15BA6B01" w14:textId="2153EAE1" w:rsidR="0087085C" w:rsidRDefault="009553CD" w:rsidP="0087085C">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Supplier: </w:t>
            </w:r>
            <w:r w:rsidR="00415774" w:rsidRPr="00415774">
              <w:rPr>
                <w:rFonts w:cs="Arial"/>
                <w:b/>
                <w:szCs w:val="22"/>
              </w:rPr>
              <w:t>[Redacted]</w:t>
            </w:r>
          </w:p>
          <w:p w14:paraId="2BA7D503" w14:textId="77777777" w:rsidR="0087085C" w:rsidRDefault="0087085C" w:rsidP="0087085C">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Monument Place,</w:t>
            </w:r>
          </w:p>
          <w:p w14:paraId="60A3B126" w14:textId="77777777" w:rsidR="0087085C" w:rsidRDefault="0087085C" w:rsidP="0087085C">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24 Monument Street,</w:t>
            </w:r>
          </w:p>
          <w:p w14:paraId="02CFEF93" w14:textId="77777777" w:rsidR="0087085C" w:rsidRDefault="0087085C" w:rsidP="0087085C">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London,</w:t>
            </w:r>
          </w:p>
          <w:p w14:paraId="7E269C09" w14:textId="77777777" w:rsidR="0087085C" w:rsidRDefault="0087085C" w:rsidP="0087085C">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EC3R 8AJ</w:t>
            </w:r>
          </w:p>
          <w:p w14:paraId="232301E8" w14:textId="10CDF152" w:rsidR="0087085C" w:rsidRPr="0087085C" w:rsidRDefault="0087085C" w:rsidP="0087085C">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sidR="00415774" w:rsidRPr="00415774">
              <w:rPr>
                <w:rFonts w:cs="Arial"/>
                <w:b/>
                <w:szCs w:val="22"/>
              </w:rPr>
              <w:t>[Redacted]</w:t>
            </w:r>
          </w:p>
        </w:tc>
      </w:tr>
      <w:tr w:rsidR="00C3320D" w:rsidRPr="00C3320D" w14:paraId="0E8449E4" w14:textId="77777777" w:rsidTr="00927666">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59C76BE" w14:textId="0E08230B" w:rsidR="003F7D0B" w:rsidRPr="0087085C" w:rsidRDefault="003F7D0B" w:rsidP="00D40F55">
            <w:pPr>
              <w:keepNext/>
              <w:keepLines/>
              <w:overflowPunct/>
              <w:autoSpaceDE/>
              <w:autoSpaceDN/>
              <w:spacing w:before="120" w:after="120" w:line="240" w:lineRule="auto"/>
              <w:textAlignment w:val="auto"/>
              <w:rPr>
                <w:rFonts w:eastAsia="STZhongsong" w:cs="Arial"/>
                <w:szCs w:val="22"/>
                <w:lang w:eastAsia="zh-CN"/>
              </w:rPr>
            </w:pPr>
            <w:r w:rsidRPr="00E22D2B">
              <w:rPr>
                <w:rFonts w:eastAsia="STZhongsong" w:cs="Arial"/>
                <w:szCs w:val="22"/>
                <w:lang w:eastAsia="zh-CN"/>
              </w:rPr>
              <w:t xml:space="preserve">DWP uses a third party supplier (Shared Services Connected Limited) for paying invoices. </w:t>
            </w:r>
            <w:r>
              <w:rPr>
                <w:rFonts w:eastAsia="STZhongsong" w:cs="Arial"/>
                <w:szCs w:val="22"/>
                <w:lang w:eastAsia="zh-CN"/>
              </w:rPr>
              <w:t xml:space="preserve">The Customer </w:t>
            </w:r>
            <w:r w:rsidRPr="00E22D2B">
              <w:rPr>
                <w:rFonts w:eastAsia="STZhongsong" w:cs="Arial"/>
                <w:szCs w:val="22"/>
                <w:lang w:eastAsia="zh-CN"/>
              </w:rPr>
              <w:t>will confirm the electronic invoicing an</w:t>
            </w:r>
            <w:r w:rsidR="00782C33">
              <w:rPr>
                <w:rFonts w:eastAsia="STZhongsong" w:cs="Arial"/>
                <w:szCs w:val="22"/>
                <w:lang w:eastAsia="zh-CN"/>
              </w:rPr>
              <w:t>d</w:t>
            </w:r>
            <w:r w:rsidR="0087085C">
              <w:rPr>
                <w:rFonts w:eastAsia="STZhongsong" w:cs="Arial"/>
                <w:szCs w:val="22"/>
                <w:lang w:eastAsia="zh-CN"/>
              </w:rPr>
              <w:t xml:space="preserve"> payment process in due course.</w:t>
            </w:r>
          </w:p>
        </w:tc>
      </w:tr>
      <w:tr w:rsidR="00C3320D" w:rsidRPr="00C3320D" w14:paraId="30E47F98" w14:textId="77777777" w:rsidTr="00F53995">
        <w:tc>
          <w:tcPr>
            <w:tcW w:w="610" w:type="dxa"/>
          </w:tcPr>
          <w:p w14:paraId="041374D7" w14:textId="09ADE8ED"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358ECF11" w:rsidR="008E082F" w:rsidRPr="00F53995" w:rsidRDefault="0087085C" w:rsidP="00D40F55">
            <w:pPr>
              <w:keepNext/>
              <w:keepLines/>
              <w:overflowPunct/>
              <w:autoSpaceDE/>
              <w:autoSpaceDN/>
              <w:spacing w:before="120" w:after="120" w:line="240" w:lineRule="auto"/>
              <w:textAlignment w:val="auto"/>
              <w:rPr>
                <w:rFonts w:eastAsia="STZhongsong" w:cs="Arial"/>
                <w:szCs w:val="22"/>
                <w:lang w:eastAsia="zh-CN"/>
              </w:rPr>
            </w:pPr>
            <w:r w:rsidRPr="00F843B9">
              <w:rPr>
                <w:rFonts w:eastAsia="STZhongsong" w:cs="Arial"/>
                <w:szCs w:val="22"/>
                <w:lang w:eastAsia="zh-CN"/>
              </w:rPr>
              <w:t>To be confirmed between the customer and supplier.</w:t>
            </w:r>
          </w:p>
        </w:tc>
      </w:tr>
      <w:tr w:rsidR="00C3320D" w:rsidRPr="00C3320D" w14:paraId="5F745813" w14:textId="77777777" w:rsidTr="00F53995">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15C7D80E" w:rsidR="008E082F" w:rsidRPr="00F53995" w:rsidRDefault="00F53995" w:rsidP="00782C33">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To be </w:t>
            </w:r>
            <w:r w:rsidR="00782C33">
              <w:rPr>
                <w:rFonts w:eastAsia="STZhongsong" w:cs="Arial"/>
                <w:szCs w:val="22"/>
                <w:lang w:eastAsia="zh-CN"/>
              </w:rPr>
              <w:t>supplied by the customer.</w:t>
            </w:r>
          </w:p>
        </w:tc>
      </w:tr>
      <w:tr w:rsidR="00C3320D" w:rsidRPr="00C3320D" w14:paraId="5ABDD40A" w14:textId="77777777" w:rsidTr="00F53995">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1FCD3428" w:rsidR="008E082F" w:rsidRPr="00C3320D" w:rsidRDefault="0087085C" w:rsidP="0087085C">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 xml:space="preserve">Not Applicable. </w:t>
            </w:r>
          </w:p>
        </w:tc>
      </w:tr>
      <w:tr w:rsidR="00C3320D" w:rsidRPr="00C3320D" w14:paraId="22C9699F" w14:textId="77777777" w:rsidTr="00BE2ABB">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13611E45" w:rsidR="008E082F" w:rsidRPr="00BE2ABB" w:rsidRDefault="00555457" w:rsidP="00555457">
            <w:pPr>
              <w:keepNext/>
              <w:keepLines/>
              <w:overflowPunct/>
              <w:autoSpaceDE/>
              <w:autoSpaceDN/>
              <w:spacing w:before="120" w:after="120" w:line="240" w:lineRule="auto"/>
              <w:textAlignment w:val="auto"/>
              <w:rPr>
                <w:rFonts w:eastAsia="STZhongsong" w:cs="Arial"/>
                <w:szCs w:val="22"/>
                <w:lang w:eastAsia="zh-CN"/>
              </w:rPr>
            </w:pPr>
            <w:r w:rsidRPr="00BE2ABB">
              <w:rPr>
                <w:rFonts w:eastAsia="STZhongsong" w:cs="Arial"/>
                <w:szCs w:val="22"/>
                <w:lang w:eastAsia="zh-CN"/>
              </w:rPr>
              <w:t xml:space="preserve">No additional requirements to </w:t>
            </w:r>
            <w:r w:rsidR="003F7D0B" w:rsidRPr="00BE2ABB">
              <w:rPr>
                <w:rFonts w:eastAsia="STZhongsong" w:cs="Arial"/>
                <w:szCs w:val="22"/>
                <w:lang w:eastAsia="zh-CN"/>
              </w:rPr>
              <w:t xml:space="preserve">those set out in </w:t>
            </w:r>
            <w:r w:rsidRPr="00BE2ABB">
              <w:rPr>
                <w:rFonts w:eastAsia="STZhongsong" w:cs="Arial"/>
                <w:szCs w:val="22"/>
                <w:lang w:eastAsia="zh-CN"/>
              </w:rPr>
              <w:t>the Panel Agreement Services</w:t>
            </w:r>
          </w:p>
        </w:tc>
      </w:tr>
      <w:tr w:rsidR="00C3320D" w:rsidRPr="00C3320D" w14:paraId="31DD9B40" w14:textId="77777777" w:rsidTr="003B6C47">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7EAC75E8"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39344064" w:rsidR="00021D24" w:rsidRPr="003B6C47" w:rsidRDefault="003B6C47"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Please see Schedule 2 (Exit Management).</w:t>
            </w:r>
          </w:p>
        </w:tc>
      </w:tr>
      <w:tr w:rsidR="00C3320D" w:rsidRPr="00C3320D" w14:paraId="23EBD425" w14:textId="77777777" w:rsidTr="003B6C47">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0800A5E6" w:rsidR="005B6A9E" w:rsidRPr="003B6C47" w:rsidRDefault="003B6C47"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Please review Contract Schedule 4 (Transparency Reports) – Section 9.5.</w:t>
            </w:r>
          </w:p>
        </w:tc>
      </w:tr>
      <w:tr w:rsidR="00C3320D" w:rsidRPr="00C3320D" w14:paraId="25B5F6DE" w14:textId="77777777" w:rsidTr="003B6C47">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4163DEE3" w:rsidR="00144AFA" w:rsidRPr="003B6C47" w:rsidRDefault="00144AFA" w:rsidP="003B6C47">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3B6C47">
              <w:rPr>
                <w:rFonts w:cs="Arial"/>
                <w:b/>
                <w:szCs w:val="22"/>
              </w:rPr>
              <w:t>):</w:t>
            </w:r>
          </w:p>
        </w:tc>
        <w:tc>
          <w:tcPr>
            <w:tcW w:w="4164" w:type="dxa"/>
            <w:shd w:val="clear" w:color="auto" w:fill="auto"/>
          </w:tcPr>
          <w:p w14:paraId="27132D1A" w14:textId="2C98064C" w:rsidR="00144AFA" w:rsidRPr="003B6C47" w:rsidRDefault="003B6C47" w:rsidP="00D40F55">
            <w:pPr>
              <w:keepNext/>
              <w:keepLines/>
              <w:overflowPunct/>
              <w:autoSpaceDE/>
              <w:autoSpaceDN/>
              <w:spacing w:before="120" w:after="120" w:line="240" w:lineRule="auto"/>
              <w:textAlignment w:val="auto"/>
              <w:rPr>
                <w:rFonts w:eastAsia="STZhongsong" w:cs="Arial"/>
                <w:szCs w:val="22"/>
                <w:lang w:eastAsia="zh-CN"/>
              </w:rPr>
            </w:pPr>
            <w:r>
              <w:rPr>
                <w:rFonts w:cs="Arial"/>
                <w:szCs w:val="22"/>
              </w:rPr>
              <w:t>There has been no call-off guarantee for this requirement.</w:t>
            </w:r>
          </w:p>
        </w:tc>
      </w:tr>
    </w:tbl>
    <w:p w14:paraId="50CC73DF" w14:textId="2F6A7FCF" w:rsidR="008E082F" w:rsidRDefault="008E082F" w:rsidP="00D40F55">
      <w:pPr>
        <w:spacing w:before="120" w:after="120" w:line="240" w:lineRule="auto"/>
        <w:rPr>
          <w:rFonts w:cs="Arial"/>
          <w:i/>
          <w:szCs w:val="22"/>
        </w:rPr>
      </w:pPr>
    </w:p>
    <w:p w14:paraId="59893ABC" w14:textId="77777777" w:rsidR="00BE2ABB" w:rsidRDefault="00BE2ABB" w:rsidP="00D40F55">
      <w:pPr>
        <w:spacing w:before="120" w:after="120" w:line="240" w:lineRule="auto"/>
        <w:rPr>
          <w:rFonts w:cs="Arial"/>
          <w:i/>
          <w:szCs w:val="22"/>
        </w:rPr>
      </w:pPr>
    </w:p>
    <w:p w14:paraId="4E8607F4" w14:textId="77777777" w:rsidR="008E082F" w:rsidRPr="00C3320D" w:rsidRDefault="00ED76A1" w:rsidP="00D40F55">
      <w:pPr>
        <w:pStyle w:val="ORDERFORML1PraraNo"/>
        <w:spacing w:before="120" w:after="120"/>
        <w:rPr>
          <w:rFonts w:ascii="Arial" w:hAnsi="Arial" w:cs="Arial"/>
        </w:rPr>
      </w:pPr>
      <w:r>
        <w:rPr>
          <w:rFonts w:ascii="Arial" w:hAnsi="Arial" w:cs="Arial"/>
        </w:rPr>
        <w:t>V</w:t>
      </w:r>
      <w:r w:rsidR="008E082F" w:rsidRPr="00C3320D">
        <w:rPr>
          <w:rFonts w:ascii="Arial" w:hAnsi="Arial" w:cs="Arial"/>
        </w:rPr>
        <w:t>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292"/>
        <w:gridCol w:w="5071"/>
      </w:tblGrid>
      <w:tr w:rsidR="00C3320D" w:rsidRPr="00C3320D" w14:paraId="20964881" w14:textId="77777777" w:rsidTr="00BE2ABB">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8"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9" w:type="dxa"/>
            <w:shd w:val="clear" w:color="auto" w:fill="auto"/>
          </w:tcPr>
          <w:p w14:paraId="338F6EB1" w14:textId="619CA3AF" w:rsidR="008E082F" w:rsidRPr="00C3320D" w:rsidRDefault="00415774" w:rsidP="005E6A87">
            <w:pPr>
              <w:keepNext/>
              <w:keepLines/>
              <w:overflowPunct/>
              <w:autoSpaceDE/>
              <w:autoSpaceDN/>
              <w:spacing w:before="120" w:after="120" w:line="240" w:lineRule="auto"/>
              <w:jc w:val="left"/>
              <w:textAlignment w:val="auto"/>
              <w:rPr>
                <w:rFonts w:eastAsia="STZhongsong" w:cs="Arial"/>
                <w:b/>
                <w:caps/>
                <w:szCs w:val="22"/>
                <w:lang w:eastAsia="zh-CN"/>
              </w:rPr>
            </w:pPr>
            <w:r w:rsidRPr="00415774">
              <w:rPr>
                <w:rFonts w:cs="Arial"/>
                <w:b/>
                <w:szCs w:val="22"/>
              </w:rPr>
              <w:t>[Redacted]</w:t>
            </w:r>
          </w:p>
        </w:tc>
      </w:tr>
      <w:tr w:rsidR="00C3320D" w:rsidRPr="00C3320D" w14:paraId="37E00115" w14:textId="77777777" w:rsidTr="00A65273">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8"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9" w:type="dxa"/>
            <w:shd w:val="clear" w:color="auto" w:fill="auto"/>
          </w:tcPr>
          <w:p w14:paraId="43D40566" w14:textId="3F2E0AD4" w:rsidR="008E082F" w:rsidRPr="003B6C47" w:rsidRDefault="003B6C47" w:rsidP="00D40F55">
            <w:pPr>
              <w:keepNext/>
              <w:keepLines/>
              <w:overflowPunct/>
              <w:autoSpaceDE/>
              <w:autoSpaceDN/>
              <w:spacing w:before="120" w:after="120" w:line="240" w:lineRule="auto"/>
              <w:textAlignment w:val="auto"/>
              <w:rPr>
                <w:rFonts w:cs="Arial"/>
                <w:szCs w:val="22"/>
              </w:rPr>
            </w:pPr>
            <w:r>
              <w:rPr>
                <w:rFonts w:cs="Arial"/>
                <w:szCs w:val="22"/>
              </w:rPr>
              <w:t>Please refer to Section 3 of the Terms and Conditions.</w:t>
            </w:r>
          </w:p>
        </w:tc>
      </w:tr>
      <w:tr w:rsidR="00C3320D" w:rsidRPr="00C3320D" w14:paraId="3FC0EB8B" w14:textId="77777777" w:rsidTr="00BE2ABB">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8"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9" w:type="dxa"/>
            <w:shd w:val="clear" w:color="auto" w:fill="auto"/>
          </w:tcPr>
          <w:p w14:paraId="3ECEE036" w14:textId="59C3DE39" w:rsidR="00BB0ADA" w:rsidRDefault="00BB0ADA" w:rsidP="00BB0ADA">
            <w:pPr>
              <w:keepNext/>
              <w:keepLines/>
              <w:overflowPunct/>
              <w:autoSpaceDE/>
              <w:autoSpaceDN/>
              <w:spacing w:before="120" w:after="120" w:line="240" w:lineRule="auto"/>
              <w:jc w:val="left"/>
              <w:textAlignment w:val="auto"/>
              <w:rPr>
                <w:rFonts w:cs="Arial"/>
                <w:szCs w:val="22"/>
              </w:rPr>
            </w:pPr>
            <w:r w:rsidRPr="00BB0ADA">
              <w:rPr>
                <w:rFonts w:cs="Arial"/>
                <w:szCs w:val="22"/>
              </w:rPr>
              <w:t>The Supplier is requir</w:t>
            </w:r>
            <w:r>
              <w:rPr>
                <w:rFonts w:cs="Arial"/>
                <w:szCs w:val="22"/>
              </w:rPr>
              <w:t>ed to comply with the following</w:t>
            </w:r>
            <w:r w:rsidR="00BE2ABB">
              <w:rPr>
                <w:rFonts w:cs="Arial"/>
                <w:szCs w:val="22"/>
              </w:rPr>
              <w:t xml:space="preserve"> </w:t>
            </w:r>
            <w:r>
              <w:rPr>
                <w:rFonts w:cs="Arial"/>
                <w:szCs w:val="22"/>
              </w:rPr>
              <w:t>security requirements:</w:t>
            </w:r>
          </w:p>
          <w:p w14:paraId="2DDC4BE9" w14:textId="217C465E" w:rsidR="00BB0ADA" w:rsidRDefault="00CC5926" w:rsidP="00BB0ADA">
            <w:pPr>
              <w:keepNext/>
              <w:keepLines/>
              <w:overflowPunct/>
              <w:autoSpaceDE/>
              <w:autoSpaceDN/>
              <w:spacing w:before="120" w:after="120" w:line="240" w:lineRule="auto"/>
              <w:jc w:val="left"/>
              <w:textAlignment w:val="auto"/>
              <w:rPr>
                <w:rFonts w:cs="Arial"/>
                <w:szCs w:val="22"/>
              </w:rPr>
            </w:pPr>
            <w:hyperlink r:id="rId9" w:history="1">
              <w:r w:rsidR="00BB0ADA" w:rsidRPr="00F5175B">
                <w:rPr>
                  <w:rStyle w:val="Hyperlink"/>
                  <w:rFonts w:cs="Arial"/>
                  <w:szCs w:val="22"/>
                </w:rPr>
                <w:t>https://www.gov.uk/government/publications/data-protection-and-security-of-information-supplying-to-dwp</w:t>
              </w:r>
            </w:hyperlink>
          </w:p>
          <w:p w14:paraId="4EFFA099" w14:textId="7C349AAE" w:rsidR="008E082F" w:rsidRPr="00BE2ABB" w:rsidRDefault="00954E4E" w:rsidP="00101D2F">
            <w:pPr>
              <w:keepNext/>
              <w:keepLines/>
              <w:overflowPunct/>
              <w:autoSpaceDE/>
              <w:autoSpaceDN/>
              <w:spacing w:before="120" w:after="120" w:line="240" w:lineRule="auto"/>
              <w:jc w:val="left"/>
              <w:textAlignment w:val="auto"/>
              <w:rPr>
                <w:rFonts w:cs="Arial"/>
                <w:szCs w:val="22"/>
              </w:rPr>
            </w:pPr>
            <w:r w:rsidRPr="00954E4E">
              <w:rPr>
                <w:rFonts w:cs="Arial"/>
                <w:szCs w:val="22"/>
              </w:rPr>
              <w:t xml:space="preserve">No </w:t>
            </w:r>
            <w:r w:rsidR="00BB0ADA">
              <w:rPr>
                <w:rFonts w:cs="Arial"/>
                <w:szCs w:val="22"/>
              </w:rPr>
              <w:t xml:space="preserve">other </w:t>
            </w:r>
            <w:r w:rsidRPr="00954E4E">
              <w:rPr>
                <w:rFonts w:cs="Arial"/>
                <w:szCs w:val="22"/>
              </w:rPr>
              <w:t>additional measures to those set out</w:t>
            </w:r>
            <w:r>
              <w:rPr>
                <w:rFonts w:cs="Arial"/>
                <w:szCs w:val="22"/>
              </w:rPr>
              <w:t xml:space="preserve"> in </w:t>
            </w:r>
            <w:r w:rsidR="00366CA4">
              <w:rPr>
                <w:rFonts w:cs="Arial"/>
                <w:szCs w:val="22"/>
              </w:rPr>
              <w:t>the Statement of Requirement</w:t>
            </w:r>
            <w:r w:rsidRPr="00954E4E">
              <w:rPr>
                <w:rFonts w:cs="Arial"/>
                <w:szCs w:val="22"/>
              </w:rPr>
              <w:t>.</w:t>
            </w:r>
          </w:p>
        </w:tc>
      </w:tr>
      <w:tr w:rsidR="00C3320D" w:rsidRPr="00C3320D" w14:paraId="5E42AA5C" w14:textId="77777777" w:rsidTr="00BE2ABB">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8"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9" w:type="dxa"/>
            <w:shd w:val="clear" w:color="auto" w:fill="auto"/>
          </w:tcPr>
          <w:p w14:paraId="5245E3D8" w14:textId="0FCD1D1A" w:rsidR="008E082F" w:rsidRPr="00A65273" w:rsidRDefault="00A65273" w:rsidP="00A65273">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Please refer to Clause 8 of this order form, Terms and Conditions. Intellectual Property Rights.</w:t>
            </w:r>
          </w:p>
        </w:tc>
      </w:tr>
    </w:tbl>
    <w:p w14:paraId="42AB1D30" w14:textId="77777777" w:rsidR="008E082F" w:rsidRDefault="008E082F" w:rsidP="00D40F55">
      <w:pPr>
        <w:spacing w:before="120" w:after="120" w:line="240" w:lineRule="auto"/>
        <w:rPr>
          <w:rFonts w:cs="Arial"/>
          <w:szCs w:val="22"/>
        </w:rPr>
      </w:pPr>
    </w:p>
    <w:p w14:paraId="398BA4B0"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6B19F9AC" w14:textId="77777777" w:rsidR="00E560CC" w:rsidRDefault="00E560CC" w:rsidP="00D40F55">
      <w:pPr>
        <w:pStyle w:val="MarginText"/>
        <w:spacing w:before="120" w:after="120"/>
        <w:rPr>
          <w:rFonts w:cs="Arial"/>
          <w:b/>
          <w:szCs w:val="22"/>
        </w:rPr>
      </w:pPr>
    </w:p>
    <w:p w14:paraId="4AE21DA6" w14:textId="6DBBB960" w:rsidR="00A65273" w:rsidRDefault="00A65273" w:rsidP="00D40F55">
      <w:pPr>
        <w:pStyle w:val="MarginText"/>
        <w:spacing w:before="120" w:after="120"/>
        <w:rPr>
          <w:rFonts w:cs="Arial"/>
          <w:b/>
          <w:szCs w:val="22"/>
        </w:rPr>
      </w:pPr>
      <w:r>
        <w:rPr>
          <w:rFonts w:cs="Arial"/>
          <w:b/>
          <w:szCs w:val="22"/>
        </w:rPr>
        <w:t>STATEMENT OF REQUIREMENTS</w:t>
      </w:r>
    </w:p>
    <w:p w14:paraId="7AD02C9D" w14:textId="77777777" w:rsidR="00C40F52" w:rsidRDefault="00C40F52" w:rsidP="00D40F55">
      <w:pPr>
        <w:pStyle w:val="MarginText"/>
        <w:spacing w:before="120" w:after="120"/>
        <w:rPr>
          <w:rFonts w:cs="Arial"/>
          <w:b/>
          <w:szCs w:val="22"/>
        </w:rPr>
      </w:pPr>
    </w:p>
    <w:p w14:paraId="2138BEBA" w14:textId="77777777" w:rsidR="00C40F52" w:rsidRPr="008C5F3B" w:rsidRDefault="00C40F52" w:rsidP="00C40F52">
      <w:pPr>
        <w:pStyle w:val="bodystrongcentred"/>
      </w:pPr>
      <w:r w:rsidRPr="008C5F3B">
        <w:t>CONTENTS</w:t>
      </w:r>
    </w:p>
    <w:p w14:paraId="18F9B6B8" w14:textId="77777777" w:rsidR="00C40F52" w:rsidRPr="008C5F3B" w:rsidRDefault="00C40F52" w:rsidP="00C40F52"/>
    <w:p w14:paraId="7B2FA740" w14:textId="2FFE17B7" w:rsidR="00813EA2" w:rsidRDefault="00C40F52">
      <w:pPr>
        <w:pStyle w:val="TOC1"/>
        <w:rPr>
          <w:rFonts w:asciiTheme="minorHAnsi" w:eastAsiaTheme="minorEastAsia" w:hAnsiTheme="minorHAnsi" w:cstheme="minorBidi"/>
          <w:caps w:val="0"/>
          <w:noProof/>
          <w:szCs w:val="22"/>
          <w:lang w:eastAsia="en-GB"/>
        </w:rPr>
      </w:pPr>
      <w:r w:rsidRPr="008C5F3B">
        <w:rPr>
          <w:rFonts w:cs="Arial"/>
          <w:caps w:val="0"/>
        </w:rPr>
        <w:lastRenderedPageBreak/>
        <w:fldChar w:fldCharType="begin"/>
      </w:r>
      <w:r w:rsidRPr="008C5F3B">
        <w:rPr>
          <w:rFonts w:cs="Arial"/>
          <w:caps w:val="0"/>
        </w:rPr>
        <w:instrText xml:space="preserve"> TOC \o "1-1" \h \z \u </w:instrText>
      </w:r>
      <w:r w:rsidRPr="008C5F3B">
        <w:rPr>
          <w:rFonts w:cs="Arial"/>
          <w:caps w:val="0"/>
        </w:rPr>
        <w:fldChar w:fldCharType="separate"/>
      </w:r>
      <w:hyperlink w:anchor="_Toc531702576" w:history="1">
        <w:r w:rsidR="00813EA2" w:rsidRPr="00DA0B23">
          <w:rPr>
            <w:rStyle w:val="Hyperlink"/>
            <w:noProof/>
          </w:rPr>
          <w:t>1.</w:t>
        </w:r>
        <w:r w:rsidR="00813EA2">
          <w:rPr>
            <w:rFonts w:asciiTheme="minorHAnsi" w:eastAsiaTheme="minorEastAsia" w:hAnsiTheme="minorHAnsi" w:cstheme="minorBidi"/>
            <w:caps w:val="0"/>
            <w:noProof/>
            <w:szCs w:val="22"/>
            <w:lang w:eastAsia="en-GB"/>
          </w:rPr>
          <w:tab/>
        </w:r>
        <w:r w:rsidR="00813EA2" w:rsidRPr="00DA0B23">
          <w:rPr>
            <w:rStyle w:val="Hyperlink"/>
            <w:noProof/>
          </w:rPr>
          <w:t>PURPOSE</w:t>
        </w:r>
        <w:r w:rsidR="00813EA2">
          <w:rPr>
            <w:noProof/>
            <w:webHidden/>
          </w:rPr>
          <w:tab/>
        </w:r>
        <w:r w:rsidR="00813EA2">
          <w:rPr>
            <w:noProof/>
            <w:webHidden/>
          </w:rPr>
          <w:fldChar w:fldCharType="begin"/>
        </w:r>
        <w:r w:rsidR="00813EA2">
          <w:rPr>
            <w:noProof/>
            <w:webHidden/>
          </w:rPr>
          <w:instrText xml:space="preserve"> PAGEREF _Toc531702576 \h </w:instrText>
        </w:r>
        <w:r w:rsidR="00813EA2">
          <w:rPr>
            <w:noProof/>
            <w:webHidden/>
          </w:rPr>
        </w:r>
        <w:r w:rsidR="00813EA2">
          <w:rPr>
            <w:noProof/>
            <w:webHidden/>
          </w:rPr>
          <w:fldChar w:fldCharType="separate"/>
        </w:r>
        <w:r w:rsidR="00813EA2">
          <w:rPr>
            <w:noProof/>
            <w:webHidden/>
          </w:rPr>
          <w:t>8</w:t>
        </w:r>
        <w:r w:rsidR="00813EA2">
          <w:rPr>
            <w:noProof/>
            <w:webHidden/>
          </w:rPr>
          <w:fldChar w:fldCharType="end"/>
        </w:r>
      </w:hyperlink>
    </w:p>
    <w:p w14:paraId="6E302F7E" w14:textId="41E0878B" w:rsidR="00813EA2" w:rsidRDefault="00CC5926">
      <w:pPr>
        <w:pStyle w:val="TOC1"/>
        <w:rPr>
          <w:rFonts w:asciiTheme="minorHAnsi" w:eastAsiaTheme="minorEastAsia" w:hAnsiTheme="minorHAnsi" w:cstheme="minorBidi"/>
          <w:caps w:val="0"/>
          <w:noProof/>
          <w:szCs w:val="22"/>
          <w:lang w:eastAsia="en-GB"/>
        </w:rPr>
      </w:pPr>
      <w:hyperlink w:anchor="_Toc531702577" w:history="1">
        <w:r w:rsidR="00813EA2" w:rsidRPr="00DA0B23">
          <w:rPr>
            <w:rStyle w:val="Hyperlink"/>
            <w:noProof/>
          </w:rPr>
          <w:t>2.</w:t>
        </w:r>
        <w:r w:rsidR="00813EA2">
          <w:rPr>
            <w:rFonts w:asciiTheme="minorHAnsi" w:eastAsiaTheme="minorEastAsia" w:hAnsiTheme="minorHAnsi" w:cstheme="minorBidi"/>
            <w:caps w:val="0"/>
            <w:noProof/>
            <w:szCs w:val="22"/>
            <w:lang w:eastAsia="en-GB"/>
          </w:rPr>
          <w:tab/>
        </w:r>
        <w:r w:rsidR="00813EA2" w:rsidRPr="00DA0B23">
          <w:rPr>
            <w:rStyle w:val="Hyperlink"/>
            <w:noProof/>
          </w:rPr>
          <w:t>BACKGROUND TO THE CONTRACTING AUTHORITY</w:t>
        </w:r>
        <w:r w:rsidR="00813EA2">
          <w:rPr>
            <w:noProof/>
            <w:webHidden/>
          </w:rPr>
          <w:tab/>
        </w:r>
        <w:r w:rsidR="00813EA2">
          <w:rPr>
            <w:noProof/>
            <w:webHidden/>
          </w:rPr>
          <w:fldChar w:fldCharType="begin"/>
        </w:r>
        <w:r w:rsidR="00813EA2">
          <w:rPr>
            <w:noProof/>
            <w:webHidden/>
          </w:rPr>
          <w:instrText xml:space="preserve"> PAGEREF _Toc531702577 \h </w:instrText>
        </w:r>
        <w:r w:rsidR="00813EA2">
          <w:rPr>
            <w:noProof/>
            <w:webHidden/>
          </w:rPr>
        </w:r>
        <w:r w:rsidR="00813EA2">
          <w:rPr>
            <w:noProof/>
            <w:webHidden/>
          </w:rPr>
          <w:fldChar w:fldCharType="separate"/>
        </w:r>
        <w:r w:rsidR="00813EA2">
          <w:rPr>
            <w:noProof/>
            <w:webHidden/>
          </w:rPr>
          <w:t>8</w:t>
        </w:r>
        <w:r w:rsidR="00813EA2">
          <w:rPr>
            <w:noProof/>
            <w:webHidden/>
          </w:rPr>
          <w:fldChar w:fldCharType="end"/>
        </w:r>
      </w:hyperlink>
    </w:p>
    <w:p w14:paraId="499AEEAE" w14:textId="5DBCC4F3" w:rsidR="00813EA2" w:rsidRDefault="00CC5926">
      <w:pPr>
        <w:pStyle w:val="TOC1"/>
        <w:rPr>
          <w:rFonts w:asciiTheme="minorHAnsi" w:eastAsiaTheme="minorEastAsia" w:hAnsiTheme="minorHAnsi" w:cstheme="minorBidi"/>
          <w:caps w:val="0"/>
          <w:noProof/>
          <w:szCs w:val="22"/>
          <w:lang w:eastAsia="en-GB"/>
        </w:rPr>
      </w:pPr>
      <w:hyperlink w:anchor="_Toc531702578" w:history="1">
        <w:r w:rsidR="00813EA2" w:rsidRPr="00DA0B23">
          <w:rPr>
            <w:rStyle w:val="Hyperlink"/>
            <w:noProof/>
          </w:rPr>
          <w:t>3.</w:t>
        </w:r>
        <w:r w:rsidR="00813EA2">
          <w:rPr>
            <w:rFonts w:asciiTheme="minorHAnsi" w:eastAsiaTheme="minorEastAsia" w:hAnsiTheme="minorHAnsi" w:cstheme="minorBidi"/>
            <w:caps w:val="0"/>
            <w:noProof/>
            <w:szCs w:val="22"/>
            <w:lang w:eastAsia="en-GB"/>
          </w:rPr>
          <w:tab/>
        </w:r>
        <w:r w:rsidR="00813EA2" w:rsidRPr="00DA0B23">
          <w:rPr>
            <w:rStyle w:val="Hyperlink"/>
            <w:noProof/>
          </w:rPr>
          <w:t>BACKGROUND TO REQUIREMENT/OVERVIEW OF REQUIREMENT</w:t>
        </w:r>
        <w:r w:rsidR="00813EA2">
          <w:rPr>
            <w:noProof/>
            <w:webHidden/>
          </w:rPr>
          <w:tab/>
        </w:r>
        <w:r w:rsidR="00813EA2">
          <w:rPr>
            <w:noProof/>
            <w:webHidden/>
          </w:rPr>
          <w:fldChar w:fldCharType="begin"/>
        </w:r>
        <w:r w:rsidR="00813EA2">
          <w:rPr>
            <w:noProof/>
            <w:webHidden/>
          </w:rPr>
          <w:instrText xml:space="preserve"> PAGEREF _Toc531702578 \h </w:instrText>
        </w:r>
        <w:r w:rsidR="00813EA2">
          <w:rPr>
            <w:noProof/>
            <w:webHidden/>
          </w:rPr>
        </w:r>
        <w:r w:rsidR="00813EA2">
          <w:rPr>
            <w:noProof/>
            <w:webHidden/>
          </w:rPr>
          <w:fldChar w:fldCharType="separate"/>
        </w:r>
        <w:r w:rsidR="00813EA2">
          <w:rPr>
            <w:noProof/>
            <w:webHidden/>
          </w:rPr>
          <w:t>8</w:t>
        </w:r>
        <w:r w:rsidR="00813EA2">
          <w:rPr>
            <w:noProof/>
            <w:webHidden/>
          </w:rPr>
          <w:fldChar w:fldCharType="end"/>
        </w:r>
      </w:hyperlink>
    </w:p>
    <w:p w14:paraId="57C3776E" w14:textId="2DDC75DF" w:rsidR="00813EA2" w:rsidRDefault="00CC5926">
      <w:pPr>
        <w:pStyle w:val="TOC1"/>
        <w:rPr>
          <w:rFonts w:asciiTheme="minorHAnsi" w:eastAsiaTheme="minorEastAsia" w:hAnsiTheme="minorHAnsi" w:cstheme="minorBidi"/>
          <w:caps w:val="0"/>
          <w:noProof/>
          <w:szCs w:val="22"/>
          <w:lang w:eastAsia="en-GB"/>
        </w:rPr>
      </w:pPr>
      <w:hyperlink w:anchor="_Toc531702579" w:history="1">
        <w:r w:rsidR="00813EA2" w:rsidRPr="00DA0B23">
          <w:rPr>
            <w:rStyle w:val="Hyperlink"/>
            <w:noProof/>
          </w:rPr>
          <w:t>4.</w:t>
        </w:r>
        <w:r w:rsidR="00813EA2">
          <w:rPr>
            <w:rFonts w:asciiTheme="minorHAnsi" w:eastAsiaTheme="minorEastAsia" w:hAnsiTheme="minorHAnsi" w:cstheme="minorBidi"/>
            <w:caps w:val="0"/>
            <w:noProof/>
            <w:szCs w:val="22"/>
            <w:lang w:eastAsia="en-GB"/>
          </w:rPr>
          <w:tab/>
        </w:r>
        <w:r w:rsidR="00813EA2" w:rsidRPr="00DA0B23">
          <w:rPr>
            <w:rStyle w:val="Hyperlink"/>
            <w:noProof/>
          </w:rPr>
          <w:t>DEFINITIONS</w:t>
        </w:r>
        <w:r w:rsidR="00813EA2">
          <w:rPr>
            <w:noProof/>
            <w:webHidden/>
          </w:rPr>
          <w:tab/>
        </w:r>
        <w:r w:rsidR="00813EA2">
          <w:rPr>
            <w:noProof/>
            <w:webHidden/>
          </w:rPr>
          <w:fldChar w:fldCharType="begin"/>
        </w:r>
        <w:r w:rsidR="00813EA2">
          <w:rPr>
            <w:noProof/>
            <w:webHidden/>
          </w:rPr>
          <w:instrText xml:space="preserve"> PAGEREF _Toc531702579 \h </w:instrText>
        </w:r>
        <w:r w:rsidR="00813EA2">
          <w:rPr>
            <w:noProof/>
            <w:webHidden/>
          </w:rPr>
        </w:r>
        <w:r w:rsidR="00813EA2">
          <w:rPr>
            <w:noProof/>
            <w:webHidden/>
          </w:rPr>
          <w:fldChar w:fldCharType="separate"/>
        </w:r>
        <w:r w:rsidR="00813EA2">
          <w:rPr>
            <w:noProof/>
            <w:webHidden/>
          </w:rPr>
          <w:t>9</w:t>
        </w:r>
        <w:r w:rsidR="00813EA2">
          <w:rPr>
            <w:noProof/>
            <w:webHidden/>
          </w:rPr>
          <w:fldChar w:fldCharType="end"/>
        </w:r>
      </w:hyperlink>
    </w:p>
    <w:p w14:paraId="00C99839" w14:textId="7DA2AC72" w:rsidR="00813EA2" w:rsidRDefault="00CC5926">
      <w:pPr>
        <w:pStyle w:val="TOC1"/>
        <w:rPr>
          <w:rFonts w:asciiTheme="minorHAnsi" w:eastAsiaTheme="minorEastAsia" w:hAnsiTheme="minorHAnsi" w:cstheme="minorBidi"/>
          <w:caps w:val="0"/>
          <w:noProof/>
          <w:szCs w:val="22"/>
          <w:lang w:eastAsia="en-GB"/>
        </w:rPr>
      </w:pPr>
      <w:hyperlink w:anchor="_Toc531702580" w:history="1">
        <w:r w:rsidR="00813EA2" w:rsidRPr="00DA0B23">
          <w:rPr>
            <w:rStyle w:val="Hyperlink"/>
            <w:noProof/>
          </w:rPr>
          <w:t>5.</w:t>
        </w:r>
        <w:r w:rsidR="00813EA2">
          <w:rPr>
            <w:rFonts w:asciiTheme="minorHAnsi" w:eastAsiaTheme="minorEastAsia" w:hAnsiTheme="minorHAnsi" w:cstheme="minorBidi"/>
            <w:caps w:val="0"/>
            <w:noProof/>
            <w:szCs w:val="22"/>
            <w:lang w:eastAsia="en-GB"/>
          </w:rPr>
          <w:tab/>
        </w:r>
        <w:r w:rsidR="00813EA2" w:rsidRPr="00DA0B23">
          <w:rPr>
            <w:rStyle w:val="Hyperlink"/>
            <w:noProof/>
          </w:rPr>
          <w:t>SCOPE OF REQUIREMENT</w:t>
        </w:r>
        <w:r w:rsidR="00813EA2">
          <w:rPr>
            <w:noProof/>
            <w:webHidden/>
          </w:rPr>
          <w:tab/>
        </w:r>
        <w:r w:rsidR="00813EA2">
          <w:rPr>
            <w:noProof/>
            <w:webHidden/>
          </w:rPr>
          <w:fldChar w:fldCharType="begin"/>
        </w:r>
        <w:r w:rsidR="00813EA2">
          <w:rPr>
            <w:noProof/>
            <w:webHidden/>
          </w:rPr>
          <w:instrText xml:space="preserve"> PAGEREF _Toc531702580 \h </w:instrText>
        </w:r>
        <w:r w:rsidR="00813EA2">
          <w:rPr>
            <w:noProof/>
            <w:webHidden/>
          </w:rPr>
        </w:r>
        <w:r w:rsidR="00813EA2">
          <w:rPr>
            <w:noProof/>
            <w:webHidden/>
          </w:rPr>
          <w:fldChar w:fldCharType="separate"/>
        </w:r>
        <w:r w:rsidR="00813EA2">
          <w:rPr>
            <w:noProof/>
            <w:webHidden/>
          </w:rPr>
          <w:t>10</w:t>
        </w:r>
        <w:r w:rsidR="00813EA2">
          <w:rPr>
            <w:noProof/>
            <w:webHidden/>
          </w:rPr>
          <w:fldChar w:fldCharType="end"/>
        </w:r>
      </w:hyperlink>
    </w:p>
    <w:p w14:paraId="50E16D57" w14:textId="64BE99B5" w:rsidR="00813EA2" w:rsidRDefault="00CC5926">
      <w:pPr>
        <w:pStyle w:val="TOC1"/>
        <w:rPr>
          <w:rFonts w:asciiTheme="minorHAnsi" w:eastAsiaTheme="minorEastAsia" w:hAnsiTheme="minorHAnsi" w:cstheme="minorBidi"/>
          <w:caps w:val="0"/>
          <w:noProof/>
          <w:szCs w:val="22"/>
          <w:lang w:eastAsia="en-GB"/>
        </w:rPr>
      </w:pPr>
      <w:hyperlink w:anchor="_Toc531702581" w:history="1">
        <w:r w:rsidR="00813EA2" w:rsidRPr="00DA0B23">
          <w:rPr>
            <w:rStyle w:val="Hyperlink"/>
            <w:noProof/>
          </w:rPr>
          <w:t>6.</w:t>
        </w:r>
        <w:r w:rsidR="00813EA2">
          <w:rPr>
            <w:rFonts w:asciiTheme="minorHAnsi" w:eastAsiaTheme="minorEastAsia" w:hAnsiTheme="minorHAnsi" w:cstheme="minorBidi"/>
            <w:caps w:val="0"/>
            <w:noProof/>
            <w:szCs w:val="22"/>
            <w:lang w:eastAsia="en-GB"/>
          </w:rPr>
          <w:tab/>
        </w:r>
        <w:r w:rsidR="00813EA2" w:rsidRPr="00DA0B23">
          <w:rPr>
            <w:rStyle w:val="Hyperlink"/>
            <w:noProof/>
          </w:rPr>
          <w:t>THE REQUIREMENT</w:t>
        </w:r>
        <w:r w:rsidR="00813EA2">
          <w:rPr>
            <w:noProof/>
            <w:webHidden/>
          </w:rPr>
          <w:tab/>
        </w:r>
        <w:r w:rsidR="00813EA2">
          <w:rPr>
            <w:noProof/>
            <w:webHidden/>
          </w:rPr>
          <w:fldChar w:fldCharType="begin"/>
        </w:r>
        <w:r w:rsidR="00813EA2">
          <w:rPr>
            <w:noProof/>
            <w:webHidden/>
          </w:rPr>
          <w:instrText xml:space="preserve"> PAGEREF _Toc531702581 \h </w:instrText>
        </w:r>
        <w:r w:rsidR="00813EA2">
          <w:rPr>
            <w:noProof/>
            <w:webHidden/>
          </w:rPr>
        </w:r>
        <w:r w:rsidR="00813EA2">
          <w:rPr>
            <w:noProof/>
            <w:webHidden/>
          </w:rPr>
          <w:fldChar w:fldCharType="separate"/>
        </w:r>
        <w:r w:rsidR="00813EA2">
          <w:rPr>
            <w:noProof/>
            <w:webHidden/>
          </w:rPr>
          <w:t>10</w:t>
        </w:r>
        <w:r w:rsidR="00813EA2">
          <w:rPr>
            <w:noProof/>
            <w:webHidden/>
          </w:rPr>
          <w:fldChar w:fldCharType="end"/>
        </w:r>
      </w:hyperlink>
    </w:p>
    <w:p w14:paraId="732C8A01" w14:textId="7F1B9E2D" w:rsidR="00813EA2" w:rsidRDefault="00CC5926">
      <w:pPr>
        <w:pStyle w:val="TOC1"/>
        <w:rPr>
          <w:rFonts w:asciiTheme="minorHAnsi" w:eastAsiaTheme="minorEastAsia" w:hAnsiTheme="minorHAnsi" w:cstheme="minorBidi"/>
          <w:caps w:val="0"/>
          <w:noProof/>
          <w:szCs w:val="22"/>
          <w:lang w:eastAsia="en-GB"/>
        </w:rPr>
      </w:pPr>
      <w:hyperlink w:anchor="_Toc531702582" w:history="1">
        <w:r w:rsidR="00813EA2" w:rsidRPr="00DA0B23">
          <w:rPr>
            <w:rStyle w:val="Hyperlink"/>
            <w:noProof/>
          </w:rPr>
          <w:t>7.</w:t>
        </w:r>
        <w:r w:rsidR="00813EA2">
          <w:rPr>
            <w:rFonts w:asciiTheme="minorHAnsi" w:eastAsiaTheme="minorEastAsia" w:hAnsiTheme="minorHAnsi" w:cstheme="minorBidi"/>
            <w:caps w:val="0"/>
            <w:noProof/>
            <w:szCs w:val="22"/>
            <w:lang w:eastAsia="en-GB"/>
          </w:rPr>
          <w:tab/>
        </w:r>
        <w:r w:rsidR="00813EA2" w:rsidRPr="00DA0B23">
          <w:rPr>
            <w:rStyle w:val="Hyperlink"/>
            <w:noProof/>
          </w:rPr>
          <w:t>KEY MILESTONES</w:t>
        </w:r>
        <w:r w:rsidR="00813EA2">
          <w:rPr>
            <w:noProof/>
            <w:webHidden/>
          </w:rPr>
          <w:tab/>
        </w:r>
        <w:r w:rsidR="00813EA2">
          <w:rPr>
            <w:noProof/>
            <w:webHidden/>
          </w:rPr>
          <w:fldChar w:fldCharType="begin"/>
        </w:r>
        <w:r w:rsidR="00813EA2">
          <w:rPr>
            <w:noProof/>
            <w:webHidden/>
          </w:rPr>
          <w:instrText xml:space="preserve"> PAGEREF _Toc531702582 \h </w:instrText>
        </w:r>
        <w:r w:rsidR="00813EA2">
          <w:rPr>
            <w:noProof/>
            <w:webHidden/>
          </w:rPr>
        </w:r>
        <w:r w:rsidR="00813EA2">
          <w:rPr>
            <w:noProof/>
            <w:webHidden/>
          </w:rPr>
          <w:fldChar w:fldCharType="separate"/>
        </w:r>
        <w:r w:rsidR="00813EA2">
          <w:rPr>
            <w:noProof/>
            <w:webHidden/>
          </w:rPr>
          <w:t>12</w:t>
        </w:r>
        <w:r w:rsidR="00813EA2">
          <w:rPr>
            <w:noProof/>
            <w:webHidden/>
          </w:rPr>
          <w:fldChar w:fldCharType="end"/>
        </w:r>
      </w:hyperlink>
    </w:p>
    <w:p w14:paraId="0EB74725" w14:textId="619013FD" w:rsidR="00813EA2" w:rsidRDefault="00CC5926">
      <w:pPr>
        <w:pStyle w:val="TOC1"/>
        <w:rPr>
          <w:rFonts w:asciiTheme="minorHAnsi" w:eastAsiaTheme="minorEastAsia" w:hAnsiTheme="minorHAnsi" w:cstheme="minorBidi"/>
          <w:caps w:val="0"/>
          <w:noProof/>
          <w:szCs w:val="22"/>
          <w:lang w:eastAsia="en-GB"/>
        </w:rPr>
      </w:pPr>
      <w:hyperlink w:anchor="_Toc531702583" w:history="1">
        <w:r w:rsidR="00813EA2" w:rsidRPr="00DA0B23">
          <w:rPr>
            <w:rStyle w:val="Hyperlink"/>
            <w:rFonts w:cs="Arial"/>
            <w:noProof/>
          </w:rPr>
          <w:t>8.</w:t>
        </w:r>
        <w:r w:rsidR="00813EA2">
          <w:rPr>
            <w:rFonts w:asciiTheme="minorHAnsi" w:eastAsiaTheme="minorEastAsia" w:hAnsiTheme="minorHAnsi" w:cstheme="minorBidi"/>
            <w:caps w:val="0"/>
            <w:noProof/>
            <w:szCs w:val="22"/>
            <w:lang w:eastAsia="en-GB"/>
          </w:rPr>
          <w:tab/>
        </w:r>
        <w:r w:rsidR="00813EA2" w:rsidRPr="00DA0B23">
          <w:rPr>
            <w:rStyle w:val="Hyperlink"/>
            <w:rFonts w:cs="Arial"/>
            <w:noProof/>
          </w:rPr>
          <w:t>AUTHORITY’S RESPONSIBILITIES</w:t>
        </w:r>
        <w:r w:rsidR="00813EA2">
          <w:rPr>
            <w:noProof/>
            <w:webHidden/>
          </w:rPr>
          <w:tab/>
        </w:r>
        <w:r w:rsidR="00813EA2">
          <w:rPr>
            <w:noProof/>
            <w:webHidden/>
          </w:rPr>
          <w:fldChar w:fldCharType="begin"/>
        </w:r>
        <w:r w:rsidR="00813EA2">
          <w:rPr>
            <w:noProof/>
            <w:webHidden/>
          </w:rPr>
          <w:instrText xml:space="preserve"> PAGEREF _Toc531702583 \h </w:instrText>
        </w:r>
        <w:r w:rsidR="00813EA2">
          <w:rPr>
            <w:noProof/>
            <w:webHidden/>
          </w:rPr>
        </w:r>
        <w:r w:rsidR="00813EA2">
          <w:rPr>
            <w:noProof/>
            <w:webHidden/>
          </w:rPr>
          <w:fldChar w:fldCharType="separate"/>
        </w:r>
        <w:r w:rsidR="00813EA2">
          <w:rPr>
            <w:noProof/>
            <w:webHidden/>
          </w:rPr>
          <w:t>12</w:t>
        </w:r>
        <w:r w:rsidR="00813EA2">
          <w:rPr>
            <w:noProof/>
            <w:webHidden/>
          </w:rPr>
          <w:fldChar w:fldCharType="end"/>
        </w:r>
      </w:hyperlink>
    </w:p>
    <w:p w14:paraId="283116CE" w14:textId="6F5BC39F" w:rsidR="00813EA2" w:rsidRDefault="00CC5926">
      <w:pPr>
        <w:pStyle w:val="TOC1"/>
        <w:rPr>
          <w:rFonts w:asciiTheme="minorHAnsi" w:eastAsiaTheme="minorEastAsia" w:hAnsiTheme="minorHAnsi" w:cstheme="minorBidi"/>
          <w:caps w:val="0"/>
          <w:noProof/>
          <w:szCs w:val="22"/>
          <w:lang w:eastAsia="en-GB"/>
        </w:rPr>
      </w:pPr>
      <w:hyperlink w:anchor="_Toc531702584" w:history="1">
        <w:r w:rsidR="00813EA2" w:rsidRPr="00DA0B23">
          <w:rPr>
            <w:rStyle w:val="Hyperlink"/>
            <w:rFonts w:cs="Arial"/>
            <w:noProof/>
          </w:rPr>
          <w:t>9.</w:t>
        </w:r>
        <w:r w:rsidR="00813EA2">
          <w:rPr>
            <w:rFonts w:asciiTheme="minorHAnsi" w:eastAsiaTheme="minorEastAsia" w:hAnsiTheme="minorHAnsi" w:cstheme="minorBidi"/>
            <w:caps w:val="0"/>
            <w:noProof/>
            <w:szCs w:val="22"/>
            <w:lang w:eastAsia="en-GB"/>
          </w:rPr>
          <w:tab/>
        </w:r>
        <w:r w:rsidR="00813EA2" w:rsidRPr="00DA0B23">
          <w:rPr>
            <w:rStyle w:val="Hyperlink"/>
            <w:rFonts w:cs="Arial"/>
            <w:noProof/>
          </w:rPr>
          <w:t>REPORTING</w:t>
        </w:r>
        <w:r w:rsidR="00813EA2">
          <w:rPr>
            <w:noProof/>
            <w:webHidden/>
          </w:rPr>
          <w:tab/>
        </w:r>
        <w:r w:rsidR="00813EA2">
          <w:rPr>
            <w:noProof/>
            <w:webHidden/>
          </w:rPr>
          <w:fldChar w:fldCharType="begin"/>
        </w:r>
        <w:r w:rsidR="00813EA2">
          <w:rPr>
            <w:noProof/>
            <w:webHidden/>
          </w:rPr>
          <w:instrText xml:space="preserve"> PAGEREF _Toc531702584 \h </w:instrText>
        </w:r>
        <w:r w:rsidR="00813EA2">
          <w:rPr>
            <w:noProof/>
            <w:webHidden/>
          </w:rPr>
        </w:r>
        <w:r w:rsidR="00813EA2">
          <w:rPr>
            <w:noProof/>
            <w:webHidden/>
          </w:rPr>
          <w:fldChar w:fldCharType="separate"/>
        </w:r>
        <w:r w:rsidR="00813EA2">
          <w:rPr>
            <w:noProof/>
            <w:webHidden/>
          </w:rPr>
          <w:t>12</w:t>
        </w:r>
        <w:r w:rsidR="00813EA2">
          <w:rPr>
            <w:noProof/>
            <w:webHidden/>
          </w:rPr>
          <w:fldChar w:fldCharType="end"/>
        </w:r>
      </w:hyperlink>
    </w:p>
    <w:p w14:paraId="7E44B7CC" w14:textId="2E6CAE7D" w:rsidR="00813EA2" w:rsidRDefault="00CC5926">
      <w:pPr>
        <w:pStyle w:val="TOC1"/>
        <w:rPr>
          <w:rFonts w:asciiTheme="minorHAnsi" w:eastAsiaTheme="minorEastAsia" w:hAnsiTheme="minorHAnsi" w:cstheme="minorBidi"/>
          <w:caps w:val="0"/>
          <w:noProof/>
          <w:szCs w:val="22"/>
          <w:lang w:eastAsia="en-GB"/>
        </w:rPr>
      </w:pPr>
      <w:hyperlink w:anchor="_Toc531702585" w:history="1">
        <w:r w:rsidR="00813EA2" w:rsidRPr="00DA0B23">
          <w:rPr>
            <w:rStyle w:val="Hyperlink"/>
            <w:rFonts w:cs="Arial"/>
            <w:noProof/>
          </w:rPr>
          <w:t>10.</w:t>
        </w:r>
        <w:r w:rsidR="00813EA2">
          <w:rPr>
            <w:rFonts w:asciiTheme="minorHAnsi" w:eastAsiaTheme="minorEastAsia" w:hAnsiTheme="minorHAnsi" w:cstheme="minorBidi"/>
            <w:caps w:val="0"/>
            <w:noProof/>
            <w:szCs w:val="22"/>
            <w:lang w:eastAsia="en-GB"/>
          </w:rPr>
          <w:tab/>
        </w:r>
        <w:r w:rsidR="00813EA2" w:rsidRPr="00DA0B23">
          <w:rPr>
            <w:rStyle w:val="Hyperlink"/>
            <w:rFonts w:cs="Arial"/>
            <w:noProof/>
          </w:rPr>
          <w:t>VOLUMES</w:t>
        </w:r>
        <w:r w:rsidR="00813EA2">
          <w:rPr>
            <w:noProof/>
            <w:webHidden/>
          </w:rPr>
          <w:tab/>
        </w:r>
        <w:r w:rsidR="00813EA2">
          <w:rPr>
            <w:noProof/>
            <w:webHidden/>
          </w:rPr>
          <w:fldChar w:fldCharType="begin"/>
        </w:r>
        <w:r w:rsidR="00813EA2">
          <w:rPr>
            <w:noProof/>
            <w:webHidden/>
          </w:rPr>
          <w:instrText xml:space="preserve"> PAGEREF _Toc531702585 \h </w:instrText>
        </w:r>
        <w:r w:rsidR="00813EA2">
          <w:rPr>
            <w:noProof/>
            <w:webHidden/>
          </w:rPr>
        </w:r>
        <w:r w:rsidR="00813EA2">
          <w:rPr>
            <w:noProof/>
            <w:webHidden/>
          </w:rPr>
          <w:fldChar w:fldCharType="separate"/>
        </w:r>
        <w:r w:rsidR="00813EA2">
          <w:rPr>
            <w:noProof/>
            <w:webHidden/>
          </w:rPr>
          <w:t>13</w:t>
        </w:r>
        <w:r w:rsidR="00813EA2">
          <w:rPr>
            <w:noProof/>
            <w:webHidden/>
          </w:rPr>
          <w:fldChar w:fldCharType="end"/>
        </w:r>
      </w:hyperlink>
    </w:p>
    <w:p w14:paraId="2D4BFA95" w14:textId="1A6EB17A" w:rsidR="00813EA2" w:rsidRDefault="00CC5926">
      <w:pPr>
        <w:pStyle w:val="TOC1"/>
        <w:rPr>
          <w:rFonts w:asciiTheme="minorHAnsi" w:eastAsiaTheme="minorEastAsia" w:hAnsiTheme="minorHAnsi" w:cstheme="minorBidi"/>
          <w:caps w:val="0"/>
          <w:noProof/>
          <w:szCs w:val="22"/>
          <w:lang w:eastAsia="en-GB"/>
        </w:rPr>
      </w:pPr>
      <w:hyperlink w:anchor="_Toc531702586" w:history="1">
        <w:r w:rsidR="00813EA2" w:rsidRPr="00DA0B23">
          <w:rPr>
            <w:rStyle w:val="Hyperlink"/>
            <w:rFonts w:cs="Arial"/>
            <w:noProof/>
          </w:rPr>
          <w:t>11.</w:t>
        </w:r>
        <w:r w:rsidR="00813EA2">
          <w:rPr>
            <w:rFonts w:asciiTheme="minorHAnsi" w:eastAsiaTheme="minorEastAsia" w:hAnsiTheme="minorHAnsi" w:cstheme="minorBidi"/>
            <w:caps w:val="0"/>
            <w:noProof/>
            <w:szCs w:val="22"/>
            <w:lang w:eastAsia="en-GB"/>
          </w:rPr>
          <w:tab/>
        </w:r>
        <w:r w:rsidR="00813EA2" w:rsidRPr="00DA0B23">
          <w:rPr>
            <w:rStyle w:val="Hyperlink"/>
            <w:rFonts w:cs="Arial"/>
            <w:noProof/>
          </w:rPr>
          <w:t>CONTINUOUS IMPROVEMENT</w:t>
        </w:r>
        <w:r w:rsidR="00813EA2">
          <w:rPr>
            <w:noProof/>
            <w:webHidden/>
          </w:rPr>
          <w:tab/>
        </w:r>
        <w:r w:rsidR="00813EA2">
          <w:rPr>
            <w:noProof/>
            <w:webHidden/>
          </w:rPr>
          <w:fldChar w:fldCharType="begin"/>
        </w:r>
        <w:r w:rsidR="00813EA2">
          <w:rPr>
            <w:noProof/>
            <w:webHidden/>
          </w:rPr>
          <w:instrText xml:space="preserve"> PAGEREF _Toc531702586 \h </w:instrText>
        </w:r>
        <w:r w:rsidR="00813EA2">
          <w:rPr>
            <w:noProof/>
            <w:webHidden/>
          </w:rPr>
        </w:r>
        <w:r w:rsidR="00813EA2">
          <w:rPr>
            <w:noProof/>
            <w:webHidden/>
          </w:rPr>
          <w:fldChar w:fldCharType="separate"/>
        </w:r>
        <w:r w:rsidR="00813EA2">
          <w:rPr>
            <w:noProof/>
            <w:webHidden/>
          </w:rPr>
          <w:t>13</w:t>
        </w:r>
        <w:r w:rsidR="00813EA2">
          <w:rPr>
            <w:noProof/>
            <w:webHidden/>
          </w:rPr>
          <w:fldChar w:fldCharType="end"/>
        </w:r>
      </w:hyperlink>
    </w:p>
    <w:p w14:paraId="56D8E824" w14:textId="239B5469" w:rsidR="00813EA2" w:rsidRDefault="00CC5926">
      <w:pPr>
        <w:pStyle w:val="TOC1"/>
        <w:rPr>
          <w:rFonts w:asciiTheme="minorHAnsi" w:eastAsiaTheme="minorEastAsia" w:hAnsiTheme="minorHAnsi" w:cstheme="minorBidi"/>
          <w:caps w:val="0"/>
          <w:noProof/>
          <w:szCs w:val="22"/>
          <w:lang w:eastAsia="en-GB"/>
        </w:rPr>
      </w:pPr>
      <w:hyperlink w:anchor="_Toc531702587" w:history="1">
        <w:r w:rsidR="00813EA2" w:rsidRPr="00DA0B23">
          <w:rPr>
            <w:rStyle w:val="Hyperlink"/>
            <w:noProof/>
          </w:rPr>
          <w:t>12.</w:t>
        </w:r>
        <w:r w:rsidR="00813EA2">
          <w:rPr>
            <w:rFonts w:asciiTheme="minorHAnsi" w:eastAsiaTheme="minorEastAsia" w:hAnsiTheme="minorHAnsi" w:cstheme="minorBidi"/>
            <w:caps w:val="0"/>
            <w:noProof/>
            <w:szCs w:val="22"/>
            <w:lang w:eastAsia="en-GB"/>
          </w:rPr>
          <w:tab/>
        </w:r>
        <w:r w:rsidR="00813EA2" w:rsidRPr="00DA0B23">
          <w:rPr>
            <w:rStyle w:val="Hyperlink"/>
            <w:noProof/>
          </w:rPr>
          <w:t>SUSTAINABILITY</w:t>
        </w:r>
        <w:r w:rsidR="00813EA2">
          <w:rPr>
            <w:noProof/>
            <w:webHidden/>
          </w:rPr>
          <w:tab/>
        </w:r>
        <w:r w:rsidR="00813EA2">
          <w:rPr>
            <w:noProof/>
            <w:webHidden/>
          </w:rPr>
          <w:fldChar w:fldCharType="begin"/>
        </w:r>
        <w:r w:rsidR="00813EA2">
          <w:rPr>
            <w:noProof/>
            <w:webHidden/>
          </w:rPr>
          <w:instrText xml:space="preserve"> PAGEREF _Toc531702587 \h </w:instrText>
        </w:r>
        <w:r w:rsidR="00813EA2">
          <w:rPr>
            <w:noProof/>
            <w:webHidden/>
          </w:rPr>
        </w:r>
        <w:r w:rsidR="00813EA2">
          <w:rPr>
            <w:noProof/>
            <w:webHidden/>
          </w:rPr>
          <w:fldChar w:fldCharType="separate"/>
        </w:r>
        <w:r w:rsidR="00813EA2">
          <w:rPr>
            <w:noProof/>
            <w:webHidden/>
          </w:rPr>
          <w:t>14</w:t>
        </w:r>
        <w:r w:rsidR="00813EA2">
          <w:rPr>
            <w:noProof/>
            <w:webHidden/>
          </w:rPr>
          <w:fldChar w:fldCharType="end"/>
        </w:r>
      </w:hyperlink>
    </w:p>
    <w:p w14:paraId="5A4E87E4" w14:textId="190217BD" w:rsidR="00813EA2" w:rsidRDefault="00CC5926">
      <w:pPr>
        <w:pStyle w:val="TOC1"/>
        <w:rPr>
          <w:rFonts w:asciiTheme="minorHAnsi" w:eastAsiaTheme="minorEastAsia" w:hAnsiTheme="minorHAnsi" w:cstheme="minorBidi"/>
          <w:caps w:val="0"/>
          <w:noProof/>
          <w:szCs w:val="22"/>
          <w:lang w:eastAsia="en-GB"/>
        </w:rPr>
      </w:pPr>
      <w:hyperlink w:anchor="_Toc531702588" w:history="1">
        <w:r w:rsidR="00813EA2" w:rsidRPr="00DA0B23">
          <w:rPr>
            <w:rStyle w:val="Hyperlink"/>
            <w:rFonts w:cs="Arial"/>
            <w:noProof/>
          </w:rPr>
          <w:t>13.</w:t>
        </w:r>
        <w:r w:rsidR="00813EA2">
          <w:rPr>
            <w:rFonts w:asciiTheme="minorHAnsi" w:eastAsiaTheme="minorEastAsia" w:hAnsiTheme="minorHAnsi" w:cstheme="minorBidi"/>
            <w:caps w:val="0"/>
            <w:noProof/>
            <w:szCs w:val="22"/>
            <w:lang w:eastAsia="en-GB"/>
          </w:rPr>
          <w:tab/>
        </w:r>
        <w:r w:rsidR="00813EA2" w:rsidRPr="00DA0B23">
          <w:rPr>
            <w:rStyle w:val="Hyperlink"/>
            <w:rFonts w:cs="Arial"/>
            <w:noProof/>
          </w:rPr>
          <w:t>QUALITY</w:t>
        </w:r>
        <w:r w:rsidR="00813EA2">
          <w:rPr>
            <w:noProof/>
            <w:webHidden/>
          </w:rPr>
          <w:tab/>
        </w:r>
        <w:r w:rsidR="00813EA2">
          <w:rPr>
            <w:noProof/>
            <w:webHidden/>
          </w:rPr>
          <w:fldChar w:fldCharType="begin"/>
        </w:r>
        <w:r w:rsidR="00813EA2">
          <w:rPr>
            <w:noProof/>
            <w:webHidden/>
          </w:rPr>
          <w:instrText xml:space="preserve"> PAGEREF _Toc531702588 \h </w:instrText>
        </w:r>
        <w:r w:rsidR="00813EA2">
          <w:rPr>
            <w:noProof/>
            <w:webHidden/>
          </w:rPr>
        </w:r>
        <w:r w:rsidR="00813EA2">
          <w:rPr>
            <w:noProof/>
            <w:webHidden/>
          </w:rPr>
          <w:fldChar w:fldCharType="separate"/>
        </w:r>
        <w:r w:rsidR="00813EA2">
          <w:rPr>
            <w:noProof/>
            <w:webHidden/>
          </w:rPr>
          <w:t>14</w:t>
        </w:r>
        <w:r w:rsidR="00813EA2">
          <w:rPr>
            <w:noProof/>
            <w:webHidden/>
          </w:rPr>
          <w:fldChar w:fldCharType="end"/>
        </w:r>
      </w:hyperlink>
    </w:p>
    <w:p w14:paraId="11C0155D" w14:textId="00556E1A" w:rsidR="00813EA2" w:rsidRDefault="00CC5926">
      <w:pPr>
        <w:pStyle w:val="TOC1"/>
        <w:rPr>
          <w:rFonts w:asciiTheme="minorHAnsi" w:eastAsiaTheme="minorEastAsia" w:hAnsiTheme="minorHAnsi" w:cstheme="minorBidi"/>
          <w:caps w:val="0"/>
          <w:noProof/>
          <w:szCs w:val="22"/>
          <w:lang w:eastAsia="en-GB"/>
        </w:rPr>
      </w:pPr>
      <w:hyperlink w:anchor="_Toc531702589" w:history="1">
        <w:r w:rsidR="00813EA2" w:rsidRPr="00DA0B23">
          <w:rPr>
            <w:rStyle w:val="Hyperlink"/>
            <w:rFonts w:cs="Arial"/>
            <w:noProof/>
          </w:rPr>
          <w:t>14.</w:t>
        </w:r>
        <w:r w:rsidR="00813EA2">
          <w:rPr>
            <w:rFonts w:asciiTheme="minorHAnsi" w:eastAsiaTheme="minorEastAsia" w:hAnsiTheme="minorHAnsi" w:cstheme="minorBidi"/>
            <w:caps w:val="0"/>
            <w:noProof/>
            <w:szCs w:val="22"/>
            <w:lang w:eastAsia="en-GB"/>
          </w:rPr>
          <w:tab/>
        </w:r>
        <w:r w:rsidR="00813EA2" w:rsidRPr="00DA0B23">
          <w:rPr>
            <w:rStyle w:val="Hyperlink"/>
            <w:rFonts w:cs="Arial"/>
            <w:noProof/>
          </w:rPr>
          <w:t>PRICE</w:t>
        </w:r>
        <w:r w:rsidR="00813EA2">
          <w:rPr>
            <w:noProof/>
            <w:webHidden/>
          </w:rPr>
          <w:tab/>
        </w:r>
        <w:r w:rsidR="00813EA2">
          <w:rPr>
            <w:noProof/>
            <w:webHidden/>
          </w:rPr>
          <w:fldChar w:fldCharType="begin"/>
        </w:r>
        <w:r w:rsidR="00813EA2">
          <w:rPr>
            <w:noProof/>
            <w:webHidden/>
          </w:rPr>
          <w:instrText xml:space="preserve"> PAGEREF _Toc531702589 \h </w:instrText>
        </w:r>
        <w:r w:rsidR="00813EA2">
          <w:rPr>
            <w:noProof/>
            <w:webHidden/>
          </w:rPr>
        </w:r>
        <w:r w:rsidR="00813EA2">
          <w:rPr>
            <w:noProof/>
            <w:webHidden/>
          </w:rPr>
          <w:fldChar w:fldCharType="separate"/>
        </w:r>
        <w:r w:rsidR="00813EA2">
          <w:rPr>
            <w:noProof/>
            <w:webHidden/>
          </w:rPr>
          <w:t>14</w:t>
        </w:r>
        <w:r w:rsidR="00813EA2">
          <w:rPr>
            <w:noProof/>
            <w:webHidden/>
          </w:rPr>
          <w:fldChar w:fldCharType="end"/>
        </w:r>
      </w:hyperlink>
    </w:p>
    <w:p w14:paraId="11005AF8" w14:textId="686D9703" w:rsidR="00813EA2" w:rsidRDefault="00CC5926">
      <w:pPr>
        <w:pStyle w:val="TOC1"/>
        <w:rPr>
          <w:rFonts w:asciiTheme="minorHAnsi" w:eastAsiaTheme="minorEastAsia" w:hAnsiTheme="minorHAnsi" w:cstheme="minorBidi"/>
          <w:caps w:val="0"/>
          <w:noProof/>
          <w:szCs w:val="22"/>
          <w:lang w:eastAsia="en-GB"/>
        </w:rPr>
      </w:pPr>
      <w:hyperlink w:anchor="_Toc531702590" w:history="1">
        <w:r w:rsidR="00813EA2" w:rsidRPr="00DA0B23">
          <w:rPr>
            <w:rStyle w:val="Hyperlink"/>
            <w:rFonts w:cs="Arial"/>
            <w:noProof/>
          </w:rPr>
          <w:t>15.</w:t>
        </w:r>
        <w:r w:rsidR="00813EA2">
          <w:rPr>
            <w:rFonts w:asciiTheme="minorHAnsi" w:eastAsiaTheme="minorEastAsia" w:hAnsiTheme="minorHAnsi" w:cstheme="minorBidi"/>
            <w:caps w:val="0"/>
            <w:noProof/>
            <w:szCs w:val="22"/>
            <w:lang w:eastAsia="en-GB"/>
          </w:rPr>
          <w:tab/>
        </w:r>
        <w:r w:rsidR="00813EA2" w:rsidRPr="00DA0B23">
          <w:rPr>
            <w:rStyle w:val="Hyperlink"/>
            <w:rFonts w:cs="Arial"/>
            <w:noProof/>
          </w:rPr>
          <w:t>STAFF AND CUSTOMER SERVICE</w:t>
        </w:r>
        <w:r w:rsidR="00813EA2">
          <w:rPr>
            <w:noProof/>
            <w:webHidden/>
          </w:rPr>
          <w:tab/>
        </w:r>
        <w:r w:rsidR="00813EA2">
          <w:rPr>
            <w:noProof/>
            <w:webHidden/>
          </w:rPr>
          <w:fldChar w:fldCharType="begin"/>
        </w:r>
        <w:r w:rsidR="00813EA2">
          <w:rPr>
            <w:noProof/>
            <w:webHidden/>
          </w:rPr>
          <w:instrText xml:space="preserve"> PAGEREF _Toc531702590 \h </w:instrText>
        </w:r>
        <w:r w:rsidR="00813EA2">
          <w:rPr>
            <w:noProof/>
            <w:webHidden/>
          </w:rPr>
        </w:r>
        <w:r w:rsidR="00813EA2">
          <w:rPr>
            <w:noProof/>
            <w:webHidden/>
          </w:rPr>
          <w:fldChar w:fldCharType="separate"/>
        </w:r>
        <w:r w:rsidR="00813EA2">
          <w:rPr>
            <w:noProof/>
            <w:webHidden/>
          </w:rPr>
          <w:t>14</w:t>
        </w:r>
        <w:r w:rsidR="00813EA2">
          <w:rPr>
            <w:noProof/>
            <w:webHidden/>
          </w:rPr>
          <w:fldChar w:fldCharType="end"/>
        </w:r>
      </w:hyperlink>
    </w:p>
    <w:p w14:paraId="55AE88D3" w14:textId="4F473771" w:rsidR="00813EA2" w:rsidRDefault="00CC5926">
      <w:pPr>
        <w:pStyle w:val="TOC1"/>
        <w:rPr>
          <w:rFonts w:asciiTheme="minorHAnsi" w:eastAsiaTheme="minorEastAsia" w:hAnsiTheme="minorHAnsi" w:cstheme="minorBidi"/>
          <w:caps w:val="0"/>
          <w:noProof/>
          <w:szCs w:val="22"/>
          <w:lang w:eastAsia="en-GB"/>
        </w:rPr>
      </w:pPr>
      <w:hyperlink w:anchor="_Toc531702591" w:history="1">
        <w:r w:rsidR="00813EA2" w:rsidRPr="00DA0B23">
          <w:rPr>
            <w:rStyle w:val="Hyperlink"/>
            <w:rFonts w:cs="Arial"/>
            <w:noProof/>
          </w:rPr>
          <w:t>16.</w:t>
        </w:r>
        <w:r w:rsidR="00813EA2">
          <w:rPr>
            <w:rFonts w:asciiTheme="minorHAnsi" w:eastAsiaTheme="minorEastAsia" w:hAnsiTheme="minorHAnsi" w:cstheme="minorBidi"/>
            <w:caps w:val="0"/>
            <w:noProof/>
            <w:szCs w:val="22"/>
            <w:lang w:eastAsia="en-GB"/>
          </w:rPr>
          <w:tab/>
        </w:r>
        <w:r w:rsidR="00813EA2" w:rsidRPr="00DA0B23">
          <w:rPr>
            <w:rStyle w:val="Hyperlink"/>
            <w:rFonts w:cs="Arial"/>
            <w:noProof/>
          </w:rPr>
          <w:t>SERVICE LEVELS AND PERFORMANCE</w:t>
        </w:r>
        <w:r w:rsidR="00813EA2">
          <w:rPr>
            <w:noProof/>
            <w:webHidden/>
          </w:rPr>
          <w:tab/>
        </w:r>
        <w:r w:rsidR="00813EA2">
          <w:rPr>
            <w:noProof/>
            <w:webHidden/>
          </w:rPr>
          <w:fldChar w:fldCharType="begin"/>
        </w:r>
        <w:r w:rsidR="00813EA2">
          <w:rPr>
            <w:noProof/>
            <w:webHidden/>
          </w:rPr>
          <w:instrText xml:space="preserve"> PAGEREF _Toc531702591 \h </w:instrText>
        </w:r>
        <w:r w:rsidR="00813EA2">
          <w:rPr>
            <w:noProof/>
            <w:webHidden/>
          </w:rPr>
        </w:r>
        <w:r w:rsidR="00813EA2">
          <w:rPr>
            <w:noProof/>
            <w:webHidden/>
          </w:rPr>
          <w:fldChar w:fldCharType="separate"/>
        </w:r>
        <w:r w:rsidR="00813EA2">
          <w:rPr>
            <w:noProof/>
            <w:webHidden/>
          </w:rPr>
          <w:t>14</w:t>
        </w:r>
        <w:r w:rsidR="00813EA2">
          <w:rPr>
            <w:noProof/>
            <w:webHidden/>
          </w:rPr>
          <w:fldChar w:fldCharType="end"/>
        </w:r>
      </w:hyperlink>
    </w:p>
    <w:p w14:paraId="23C3F15A" w14:textId="7A26BABF" w:rsidR="00813EA2" w:rsidRDefault="00CC5926">
      <w:pPr>
        <w:pStyle w:val="TOC1"/>
        <w:rPr>
          <w:rFonts w:asciiTheme="minorHAnsi" w:eastAsiaTheme="minorEastAsia" w:hAnsiTheme="minorHAnsi" w:cstheme="minorBidi"/>
          <w:caps w:val="0"/>
          <w:noProof/>
          <w:szCs w:val="22"/>
          <w:lang w:eastAsia="en-GB"/>
        </w:rPr>
      </w:pPr>
      <w:hyperlink w:anchor="_Toc531702592" w:history="1">
        <w:r w:rsidR="00813EA2" w:rsidRPr="00DA0B23">
          <w:rPr>
            <w:rStyle w:val="Hyperlink"/>
            <w:noProof/>
          </w:rPr>
          <w:t>17.</w:t>
        </w:r>
        <w:r w:rsidR="00813EA2">
          <w:rPr>
            <w:rFonts w:asciiTheme="minorHAnsi" w:eastAsiaTheme="minorEastAsia" w:hAnsiTheme="minorHAnsi" w:cstheme="minorBidi"/>
            <w:caps w:val="0"/>
            <w:noProof/>
            <w:szCs w:val="22"/>
            <w:lang w:eastAsia="en-GB"/>
          </w:rPr>
          <w:tab/>
        </w:r>
        <w:r w:rsidR="00813EA2" w:rsidRPr="00DA0B23">
          <w:rPr>
            <w:rStyle w:val="Hyperlink"/>
            <w:noProof/>
          </w:rPr>
          <w:t>SECURITY REQUIREMENTS</w:t>
        </w:r>
        <w:r w:rsidR="00813EA2">
          <w:rPr>
            <w:noProof/>
            <w:webHidden/>
          </w:rPr>
          <w:tab/>
        </w:r>
        <w:r w:rsidR="00813EA2">
          <w:rPr>
            <w:noProof/>
            <w:webHidden/>
          </w:rPr>
          <w:fldChar w:fldCharType="begin"/>
        </w:r>
        <w:r w:rsidR="00813EA2">
          <w:rPr>
            <w:noProof/>
            <w:webHidden/>
          </w:rPr>
          <w:instrText xml:space="preserve"> PAGEREF _Toc531702592 \h </w:instrText>
        </w:r>
        <w:r w:rsidR="00813EA2">
          <w:rPr>
            <w:noProof/>
            <w:webHidden/>
          </w:rPr>
        </w:r>
        <w:r w:rsidR="00813EA2">
          <w:rPr>
            <w:noProof/>
            <w:webHidden/>
          </w:rPr>
          <w:fldChar w:fldCharType="separate"/>
        </w:r>
        <w:r w:rsidR="00813EA2">
          <w:rPr>
            <w:noProof/>
            <w:webHidden/>
          </w:rPr>
          <w:t>15</w:t>
        </w:r>
        <w:r w:rsidR="00813EA2">
          <w:rPr>
            <w:noProof/>
            <w:webHidden/>
          </w:rPr>
          <w:fldChar w:fldCharType="end"/>
        </w:r>
      </w:hyperlink>
    </w:p>
    <w:p w14:paraId="2F0ED659" w14:textId="3AD72347" w:rsidR="00813EA2" w:rsidRDefault="00CC5926">
      <w:pPr>
        <w:pStyle w:val="TOC1"/>
        <w:rPr>
          <w:rFonts w:asciiTheme="minorHAnsi" w:eastAsiaTheme="minorEastAsia" w:hAnsiTheme="minorHAnsi" w:cstheme="minorBidi"/>
          <w:caps w:val="0"/>
          <w:noProof/>
          <w:szCs w:val="22"/>
          <w:lang w:eastAsia="en-GB"/>
        </w:rPr>
      </w:pPr>
      <w:hyperlink w:anchor="_Toc531702593" w:history="1">
        <w:r w:rsidR="00813EA2" w:rsidRPr="00DA0B23">
          <w:rPr>
            <w:rStyle w:val="Hyperlink"/>
            <w:rFonts w:cs="Arial"/>
            <w:noProof/>
          </w:rPr>
          <w:t>18.</w:t>
        </w:r>
        <w:r w:rsidR="00813EA2">
          <w:rPr>
            <w:rFonts w:asciiTheme="minorHAnsi" w:eastAsiaTheme="minorEastAsia" w:hAnsiTheme="minorHAnsi" w:cstheme="minorBidi"/>
            <w:caps w:val="0"/>
            <w:noProof/>
            <w:szCs w:val="22"/>
            <w:lang w:eastAsia="en-GB"/>
          </w:rPr>
          <w:tab/>
        </w:r>
        <w:r w:rsidR="00813EA2" w:rsidRPr="00DA0B23">
          <w:rPr>
            <w:rStyle w:val="Hyperlink"/>
            <w:rFonts w:cs="Arial"/>
            <w:noProof/>
          </w:rPr>
          <w:t>INTELLECTUAL PROPERTY RIGHTS (IPR)</w:t>
        </w:r>
        <w:r w:rsidR="00813EA2">
          <w:rPr>
            <w:noProof/>
            <w:webHidden/>
          </w:rPr>
          <w:tab/>
        </w:r>
        <w:r w:rsidR="00813EA2">
          <w:rPr>
            <w:noProof/>
            <w:webHidden/>
          </w:rPr>
          <w:fldChar w:fldCharType="begin"/>
        </w:r>
        <w:r w:rsidR="00813EA2">
          <w:rPr>
            <w:noProof/>
            <w:webHidden/>
          </w:rPr>
          <w:instrText xml:space="preserve"> PAGEREF _Toc531702593 \h </w:instrText>
        </w:r>
        <w:r w:rsidR="00813EA2">
          <w:rPr>
            <w:noProof/>
            <w:webHidden/>
          </w:rPr>
        </w:r>
        <w:r w:rsidR="00813EA2">
          <w:rPr>
            <w:noProof/>
            <w:webHidden/>
          </w:rPr>
          <w:fldChar w:fldCharType="separate"/>
        </w:r>
        <w:r w:rsidR="00813EA2">
          <w:rPr>
            <w:noProof/>
            <w:webHidden/>
          </w:rPr>
          <w:t>16</w:t>
        </w:r>
        <w:r w:rsidR="00813EA2">
          <w:rPr>
            <w:noProof/>
            <w:webHidden/>
          </w:rPr>
          <w:fldChar w:fldCharType="end"/>
        </w:r>
      </w:hyperlink>
    </w:p>
    <w:p w14:paraId="6741E733" w14:textId="6A71383A" w:rsidR="00813EA2" w:rsidRDefault="00CC5926">
      <w:pPr>
        <w:pStyle w:val="TOC1"/>
        <w:rPr>
          <w:rFonts w:asciiTheme="minorHAnsi" w:eastAsiaTheme="minorEastAsia" w:hAnsiTheme="minorHAnsi" w:cstheme="minorBidi"/>
          <w:caps w:val="0"/>
          <w:noProof/>
          <w:szCs w:val="22"/>
          <w:lang w:eastAsia="en-GB"/>
        </w:rPr>
      </w:pPr>
      <w:hyperlink w:anchor="_Toc531702594" w:history="1">
        <w:r w:rsidR="00813EA2" w:rsidRPr="00DA0B23">
          <w:rPr>
            <w:rStyle w:val="Hyperlink"/>
            <w:rFonts w:cs="Arial"/>
            <w:noProof/>
          </w:rPr>
          <w:t>19.</w:t>
        </w:r>
        <w:r w:rsidR="00813EA2">
          <w:rPr>
            <w:rFonts w:asciiTheme="minorHAnsi" w:eastAsiaTheme="minorEastAsia" w:hAnsiTheme="minorHAnsi" w:cstheme="minorBidi"/>
            <w:caps w:val="0"/>
            <w:noProof/>
            <w:szCs w:val="22"/>
            <w:lang w:eastAsia="en-GB"/>
          </w:rPr>
          <w:tab/>
        </w:r>
        <w:r w:rsidR="00813EA2" w:rsidRPr="00DA0B23">
          <w:rPr>
            <w:rStyle w:val="Hyperlink"/>
            <w:rFonts w:cs="Arial"/>
            <w:noProof/>
          </w:rPr>
          <w:t>PAYMENT</w:t>
        </w:r>
        <w:r w:rsidR="00813EA2">
          <w:rPr>
            <w:noProof/>
            <w:webHidden/>
          </w:rPr>
          <w:tab/>
        </w:r>
        <w:r w:rsidR="00813EA2">
          <w:rPr>
            <w:noProof/>
            <w:webHidden/>
          </w:rPr>
          <w:fldChar w:fldCharType="begin"/>
        </w:r>
        <w:r w:rsidR="00813EA2">
          <w:rPr>
            <w:noProof/>
            <w:webHidden/>
          </w:rPr>
          <w:instrText xml:space="preserve"> PAGEREF _Toc531702594 \h </w:instrText>
        </w:r>
        <w:r w:rsidR="00813EA2">
          <w:rPr>
            <w:noProof/>
            <w:webHidden/>
          </w:rPr>
        </w:r>
        <w:r w:rsidR="00813EA2">
          <w:rPr>
            <w:noProof/>
            <w:webHidden/>
          </w:rPr>
          <w:fldChar w:fldCharType="separate"/>
        </w:r>
        <w:r w:rsidR="00813EA2">
          <w:rPr>
            <w:noProof/>
            <w:webHidden/>
          </w:rPr>
          <w:t>16</w:t>
        </w:r>
        <w:r w:rsidR="00813EA2">
          <w:rPr>
            <w:noProof/>
            <w:webHidden/>
          </w:rPr>
          <w:fldChar w:fldCharType="end"/>
        </w:r>
      </w:hyperlink>
    </w:p>
    <w:p w14:paraId="664F8BAE" w14:textId="1486F652" w:rsidR="00813EA2" w:rsidRDefault="00CC5926">
      <w:pPr>
        <w:pStyle w:val="TOC1"/>
        <w:rPr>
          <w:rFonts w:asciiTheme="minorHAnsi" w:eastAsiaTheme="minorEastAsia" w:hAnsiTheme="minorHAnsi" w:cstheme="minorBidi"/>
          <w:caps w:val="0"/>
          <w:noProof/>
          <w:szCs w:val="22"/>
          <w:lang w:eastAsia="en-GB"/>
        </w:rPr>
      </w:pPr>
      <w:hyperlink w:anchor="_Toc531702595" w:history="1">
        <w:r w:rsidR="00813EA2" w:rsidRPr="00DA0B23">
          <w:rPr>
            <w:rStyle w:val="Hyperlink"/>
            <w:rFonts w:cs="Arial"/>
            <w:noProof/>
          </w:rPr>
          <w:t>20.</w:t>
        </w:r>
        <w:r w:rsidR="00813EA2">
          <w:rPr>
            <w:rFonts w:asciiTheme="minorHAnsi" w:eastAsiaTheme="minorEastAsia" w:hAnsiTheme="minorHAnsi" w:cstheme="minorBidi"/>
            <w:caps w:val="0"/>
            <w:noProof/>
            <w:szCs w:val="22"/>
            <w:lang w:eastAsia="en-GB"/>
          </w:rPr>
          <w:tab/>
        </w:r>
        <w:r w:rsidR="00813EA2" w:rsidRPr="00DA0B23">
          <w:rPr>
            <w:rStyle w:val="Hyperlink"/>
            <w:rFonts w:cs="Arial"/>
            <w:noProof/>
          </w:rPr>
          <w:t>ADDITIONAL INFORMATION</w:t>
        </w:r>
        <w:r w:rsidR="00813EA2">
          <w:rPr>
            <w:noProof/>
            <w:webHidden/>
          </w:rPr>
          <w:tab/>
        </w:r>
        <w:r w:rsidR="00813EA2">
          <w:rPr>
            <w:noProof/>
            <w:webHidden/>
          </w:rPr>
          <w:fldChar w:fldCharType="begin"/>
        </w:r>
        <w:r w:rsidR="00813EA2">
          <w:rPr>
            <w:noProof/>
            <w:webHidden/>
          </w:rPr>
          <w:instrText xml:space="preserve"> PAGEREF _Toc531702595 \h </w:instrText>
        </w:r>
        <w:r w:rsidR="00813EA2">
          <w:rPr>
            <w:noProof/>
            <w:webHidden/>
          </w:rPr>
        </w:r>
        <w:r w:rsidR="00813EA2">
          <w:rPr>
            <w:noProof/>
            <w:webHidden/>
          </w:rPr>
          <w:fldChar w:fldCharType="separate"/>
        </w:r>
        <w:r w:rsidR="00813EA2">
          <w:rPr>
            <w:noProof/>
            <w:webHidden/>
          </w:rPr>
          <w:t>16</w:t>
        </w:r>
        <w:r w:rsidR="00813EA2">
          <w:rPr>
            <w:noProof/>
            <w:webHidden/>
          </w:rPr>
          <w:fldChar w:fldCharType="end"/>
        </w:r>
      </w:hyperlink>
    </w:p>
    <w:p w14:paraId="14AE9198" w14:textId="18A454D3" w:rsidR="00813EA2" w:rsidRDefault="00CC5926">
      <w:pPr>
        <w:pStyle w:val="TOC1"/>
        <w:rPr>
          <w:rFonts w:asciiTheme="minorHAnsi" w:eastAsiaTheme="minorEastAsia" w:hAnsiTheme="minorHAnsi" w:cstheme="minorBidi"/>
          <w:caps w:val="0"/>
          <w:noProof/>
          <w:szCs w:val="22"/>
          <w:lang w:eastAsia="en-GB"/>
        </w:rPr>
      </w:pPr>
      <w:hyperlink w:anchor="_Toc531702596" w:history="1">
        <w:r w:rsidR="00813EA2" w:rsidRPr="00DA0B23">
          <w:rPr>
            <w:rStyle w:val="Hyperlink"/>
            <w:noProof/>
          </w:rPr>
          <w:t>21.</w:t>
        </w:r>
        <w:r w:rsidR="00813EA2">
          <w:rPr>
            <w:rFonts w:asciiTheme="minorHAnsi" w:eastAsiaTheme="minorEastAsia" w:hAnsiTheme="minorHAnsi" w:cstheme="minorBidi"/>
            <w:caps w:val="0"/>
            <w:noProof/>
            <w:szCs w:val="22"/>
            <w:lang w:eastAsia="en-GB"/>
          </w:rPr>
          <w:tab/>
        </w:r>
        <w:r w:rsidR="00813EA2" w:rsidRPr="00DA0B23">
          <w:rPr>
            <w:rStyle w:val="Hyperlink"/>
            <w:noProof/>
          </w:rPr>
          <w:t>LOCATION</w:t>
        </w:r>
        <w:r w:rsidR="00813EA2">
          <w:rPr>
            <w:noProof/>
            <w:webHidden/>
          </w:rPr>
          <w:tab/>
        </w:r>
        <w:r w:rsidR="00813EA2">
          <w:rPr>
            <w:noProof/>
            <w:webHidden/>
          </w:rPr>
          <w:fldChar w:fldCharType="begin"/>
        </w:r>
        <w:r w:rsidR="00813EA2">
          <w:rPr>
            <w:noProof/>
            <w:webHidden/>
          </w:rPr>
          <w:instrText xml:space="preserve"> PAGEREF _Toc531702596 \h </w:instrText>
        </w:r>
        <w:r w:rsidR="00813EA2">
          <w:rPr>
            <w:noProof/>
            <w:webHidden/>
          </w:rPr>
        </w:r>
        <w:r w:rsidR="00813EA2">
          <w:rPr>
            <w:noProof/>
            <w:webHidden/>
          </w:rPr>
          <w:fldChar w:fldCharType="separate"/>
        </w:r>
        <w:r w:rsidR="00813EA2">
          <w:rPr>
            <w:noProof/>
            <w:webHidden/>
          </w:rPr>
          <w:t>16</w:t>
        </w:r>
        <w:r w:rsidR="00813EA2">
          <w:rPr>
            <w:noProof/>
            <w:webHidden/>
          </w:rPr>
          <w:fldChar w:fldCharType="end"/>
        </w:r>
      </w:hyperlink>
    </w:p>
    <w:p w14:paraId="08141F9B" w14:textId="7356DC7F" w:rsidR="00813EA2" w:rsidRDefault="00CC5926">
      <w:pPr>
        <w:pStyle w:val="TOC1"/>
        <w:rPr>
          <w:rFonts w:asciiTheme="minorHAnsi" w:eastAsiaTheme="minorEastAsia" w:hAnsiTheme="minorHAnsi" w:cstheme="minorBidi"/>
          <w:caps w:val="0"/>
          <w:noProof/>
          <w:szCs w:val="22"/>
          <w:lang w:eastAsia="en-GB"/>
        </w:rPr>
      </w:pPr>
      <w:hyperlink w:anchor="_Toc531702597" w:history="1">
        <w:r w:rsidR="00813EA2" w:rsidRPr="00DA0B23">
          <w:rPr>
            <w:rStyle w:val="Hyperlink"/>
            <w:noProof/>
          </w:rPr>
          <w:t>Annex A</w:t>
        </w:r>
        <w:r w:rsidR="00813EA2">
          <w:rPr>
            <w:noProof/>
            <w:webHidden/>
          </w:rPr>
          <w:tab/>
        </w:r>
        <w:r w:rsidR="00813EA2">
          <w:rPr>
            <w:noProof/>
            <w:webHidden/>
          </w:rPr>
          <w:fldChar w:fldCharType="begin"/>
        </w:r>
        <w:r w:rsidR="00813EA2">
          <w:rPr>
            <w:noProof/>
            <w:webHidden/>
          </w:rPr>
          <w:instrText xml:space="preserve"> PAGEREF _Toc531702597 \h </w:instrText>
        </w:r>
        <w:r w:rsidR="00813EA2">
          <w:rPr>
            <w:noProof/>
            <w:webHidden/>
          </w:rPr>
        </w:r>
        <w:r w:rsidR="00813EA2">
          <w:rPr>
            <w:noProof/>
            <w:webHidden/>
          </w:rPr>
          <w:fldChar w:fldCharType="separate"/>
        </w:r>
        <w:r w:rsidR="00813EA2">
          <w:rPr>
            <w:noProof/>
            <w:webHidden/>
          </w:rPr>
          <w:t>16</w:t>
        </w:r>
        <w:r w:rsidR="00813EA2">
          <w:rPr>
            <w:noProof/>
            <w:webHidden/>
          </w:rPr>
          <w:fldChar w:fldCharType="end"/>
        </w:r>
      </w:hyperlink>
    </w:p>
    <w:p w14:paraId="070D374F" w14:textId="6655D6AA" w:rsidR="00813EA2" w:rsidRDefault="00CC5926">
      <w:pPr>
        <w:pStyle w:val="TOC1"/>
        <w:rPr>
          <w:rFonts w:asciiTheme="minorHAnsi" w:eastAsiaTheme="minorEastAsia" w:hAnsiTheme="minorHAnsi" w:cstheme="minorBidi"/>
          <w:caps w:val="0"/>
          <w:noProof/>
          <w:szCs w:val="22"/>
          <w:lang w:eastAsia="en-GB"/>
        </w:rPr>
      </w:pPr>
      <w:hyperlink w:anchor="_Toc531702598" w:history="1">
        <w:r w:rsidR="00813EA2" w:rsidRPr="00DA0B23">
          <w:rPr>
            <w:rStyle w:val="Hyperlink"/>
            <w:noProof/>
          </w:rPr>
          <w:t>1.</w:t>
        </w:r>
        <w:r w:rsidR="00813EA2">
          <w:rPr>
            <w:rFonts w:asciiTheme="minorHAnsi" w:eastAsiaTheme="minorEastAsia" w:hAnsiTheme="minorHAnsi" w:cstheme="minorBidi"/>
            <w:caps w:val="0"/>
            <w:noProof/>
            <w:szCs w:val="22"/>
            <w:lang w:eastAsia="en-GB"/>
          </w:rPr>
          <w:tab/>
        </w:r>
        <w:r w:rsidR="00813EA2" w:rsidRPr="00DA0B23">
          <w:rPr>
            <w:rStyle w:val="Hyperlink"/>
            <w:noProof/>
          </w:rPr>
          <w:t>AUTHORITY SUPPLY CHAIN CONTRACTS WHICH FALL UNDER THE MANAGEMENT OF THE INTEGRATOR</w:t>
        </w:r>
        <w:r w:rsidR="00813EA2">
          <w:rPr>
            <w:noProof/>
            <w:webHidden/>
          </w:rPr>
          <w:tab/>
        </w:r>
        <w:r w:rsidR="00813EA2">
          <w:rPr>
            <w:noProof/>
            <w:webHidden/>
          </w:rPr>
          <w:fldChar w:fldCharType="begin"/>
        </w:r>
        <w:r w:rsidR="00813EA2">
          <w:rPr>
            <w:noProof/>
            <w:webHidden/>
          </w:rPr>
          <w:instrText xml:space="preserve"> PAGEREF _Toc531702598 \h </w:instrText>
        </w:r>
        <w:r w:rsidR="00813EA2">
          <w:rPr>
            <w:noProof/>
            <w:webHidden/>
          </w:rPr>
        </w:r>
        <w:r w:rsidR="00813EA2">
          <w:rPr>
            <w:noProof/>
            <w:webHidden/>
          </w:rPr>
          <w:fldChar w:fldCharType="separate"/>
        </w:r>
        <w:r w:rsidR="00813EA2">
          <w:rPr>
            <w:noProof/>
            <w:webHidden/>
          </w:rPr>
          <w:t>16</w:t>
        </w:r>
        <w:r w:rsidR="00813EA2">
          <w:rPr>
            <w:noProof/>
            <w:webHidden/>
          </w:rPr>
          <w:fldChar w:fldCharType="end"/>
        </w:r>
      </w:hyperlink>
    </w:p>
    <w:p w14:paraId="3D056CF0" w14:textId="37A247CC" w:rsidR="00540324" w:rsidRDefault="00CC5926" w:rsidP="00540324">
      <w:pPr>
        <w:pStyle w:val="TOC1"/>
        <w:rPr>
          <w:rFonts w:cs="Arial"/>
          <w:caps w:val="0"/>
        </w:rPr>
      </w:pPr>
      <w:hyperlink w:anchor="_Toc531702601" w:history="1">
        <w:r w:rsidR="00813EA2" w:rsidRPr="00DA0B23">
          <w:rPr>
            <w:rStyle w:val="Hyperlink"/>
            <w:rFonts w:eastAsia="Arial" w:cs="Arial"/>
            <w:b/>
            <w:bCs/>
            <w:noProof/>
            <w:u w:color="000000"/>
            <w:lang w:eastAsia="en-GB"/>
          </w:rPr>
          <w:t>o</w:t>
        </w:r>
      </w:hyperlink>
      <w:r w:rsidR="00C40F52" w:rsidRPr="008C5F3B">
        <w:rPr>
          <w:rFonts w:cs="Arial"/>
          <w:caps w:val="0"/>
        </w:rPr>
        <w:fldChar w:fldCharType="end"/>
      </w:r>
      <w:bookmarkStart w:id="1" w:name="_Toc297554772"/>
      <w:bookmarkStart w:id="2" w:name="_Toc368573027"/>
      <w:bookmarkStart w:id="3" w:name="_Toc531702576"/>
    </w:p>
    <w:p w14:paraId="67A92C02" w14:textId="77777777" w:rsidR="00540324" w:rsidRDefault="00540324" w:rsidP="00540324">
      <w:pPr>
        <w:pStyle w:val="TOC1"/>
        <w:rPr>
          <w:rFonts w:cs="Arial"/>
          <w:caps w:val="0"/>
        </w:rPr>
      </w:pPr>
    </w:p>
    <w:p w14:paraId="6FDD3C59" w14:textId="4F34F0C4" w:rsidR="00C40F52" w:rsidRPr="008C5F3B" w:rsidRDefault="00540324" w:rsidP="00540324">
      <w:pPr>
        <w:pStyle w:val="TOC1"/>
        <w:rPr>
          <w:szCs w:val="22"/>
        </w:rPr>
      </w:pPr>
      <w:r>
        <w:rPr>
          <w:rFonts w:cs="Arial"/>
          <w:caps w:val="0"/>
        </w:rPr>
        <w:t>P</w:t>
      </w:r>
      <w:r w:rsidR="00C40F52" w:rsidRPr="008C5F3B">
        <w:rPr>
          <w:szCs w:val="22"/>
        </w:rPr>
        <w:t>URPOSE</w:t>
      </w:r>
      <w:bookmarkEnd w:id="1"/>
      <w:bookmarkEnd w:id="2"/>
      <w:bookmarkEnd w:id="3"/>
    </w:p>
    <w:p w14:paraId="15610E28" w14:textId="77777777" w:rsidR="00C40F52" w:rsidRDefault="00C40F52" w:rsidP="0047277D">
      <w:pPr>
        <w:pStyle w:val="Heading2"/>
        <w:numPr>
          <w:ilvl w:val="1"/>
          <w:numId w:val="42"/>
        </w:numPr>
      </w:pPr>
      <w:bookmarkStart w:id="4" w:name="_Toc296415791"/>
      <w:r w:rsidRPr="008C5F3B">
        <w:t>The Department for Work and Pensions (</w:t>
      </w:r>
      <w:r>
        <w:t>hereafter referred to as ‘the Authority’</w:t>
      </w:r>
      <w:r w:rsidRPr="008C5F3B">
        <w:t xml:space="preserve">) is seeking </w:t>
      </w:r>
      <w:r>
        <w:t xml:space="preserve">to appoint a </w:t>
      </w:r>
      <w:r w:rsidRPr="008C5F3B">
        <w:t xml:space="preserve">commercial legal services </w:t>
      </w:r>
      <w:r>
        <w:t xml:space="preserve">provider </w:t>
      </w:r>
      <w:r w:rsidRPr="008C5F3B">
        <w:t xml:space="preserve">to support </w:t>
      </w:r>
      <w:r>
        <w:rPr>
          <w:lang w:val="en"/>
        </w:rPr>
        <w:t>it</w:t>
      </w:r>
      <w:r w:rsidRPr="008C5F3B">
        <w:rPr>
          <w:lang w:val="en"/>
        </w:rPr>
        <w:t xml:space="preserve"> in </w:t>
      </w:r>
      <w:r>
        <w:rPr>
          <w:lang w:val="en"/>
        </w:rPr>
        <w:t xml:space="preserve">the Contract management of </w:t>
      </w:r>
      <w:r w:rsidRPr="003E083D">
        <w:rPr>
          <w:rFonts w:cs="Arial"/>
          <w:szCs w:val="22"/>
          <w:lang w:val="en"/>
        </w:rPr>
        <w:t xml:space="preserve">a new Estates Target Operating Model (“ETOM” </w:t>
      </w:r>
      <w:r>
        <w:rPr>
          <w:rFonts w:cs="Arial"/>
          <w:szCs w:val="22"/>
          <w:lang w:val="en"/>
        </w:rPr>
        <w:t>also known as the “Integrator Model”</w:t>
      </w:r>
      <w:r w:rsidRPr="003E083D">
        <w:rPr>
          <w:rFonts w:cs="Arial"/>
          <w:szCs w:val="22"/>
          <w:lang w:val="en"/>
        </w:rPr>
        <w:t>)</w:t>
      </w:r>
      <w:r>
        <w:rPr>
          <w:rFonts w:cs="Arial"/>
          <w:szCs w:val="22"/>
          <w:lang w:val="en"/>
        </w:rPr>
        <w:t>. The focus of the commission will be on general commercial legal advice (primarily non-contentious) and advice on procurement and commercial property law.</w:t>
      </w:r>
    </w:p>
    <w:p w14:paraId="4768D6B1" w14:textId="252636F3" w:rsidR="00C40F52" w:rsidRPr="008C5F3B" w:rsidRDefault="00C40F52" w:rsidP="0047277D">
      <w:pPr>
        <w:pStyle w:val="Heading1"/>
        <w:keepNext/>
        <w:numPr>
          <w:ilvl w:val="0"/>
          <w:numId w:val="42"/>
        </w:numPr>
        <w:tabs>
          <w:tab w:val="clear" w:pos="720"/>
        </w:tabs>
        <w:overflowPunct w:val="0"/>
        <w:autoSpaceDE w:val="0"/>
        <w:autoSpaceDN w:val="0"/>
        <w:spacing w:after="120"/>
        <w:textAlignment w:val="baseline"/>
        <w:rPr>
          <w:szCs w:val="22"/>
        </w:rPr>
      </w:pPr>
      <w:bookmarkStart w:id="5" w:name="_Toc368573028"/>
      <w:bookmarkStart w:id="6" w:name="_Toc531702577"/>
      <w:bookmarkStart w:id="7" w:name="_Toc297554773"/>
      <w:bookmarkStart w:id="8" w:name="_Toc296415805"/>
      <w:bookmarkStart w:id="9" w:name="_Toc296415793"/>
      <w:bookmarkEnd w:id="4"/>
      <w:r w:rsidRPr="008C5F3B">
        <w:rPr>
          <w:szCs w:val="22"/>
        </w:rPr>
        <w:t xml:space="preserve">BACKGROUND TO THE </w:t>
      </w:r>
      <w:r>
        <w:rPr>
          <w:szCs w:val="22"/>
        </w:rPr>
        <w:t>CONTRACTING A</w:t>
      </w:r>
      <w:r w:rsidRPr="008C5F3B">
        <w:rPr>
          <w:szCs w:val="22"/>
        </w:rPr>
        <w:t>UTHORITY</w:t>
      </w:r>
      <w:bookmarkEnd w:id="5"/>
      <w:bookmarkEnd w:id="6"/>
    </w:p>
    <w:p w14:paraId="1C012D0E" w14:textId="77777777" w:rsidR="00C40F52" w:rsidRPr="001604C2" w:rsidRDefault="00C40F52" w:rsidP="0047277D">
      <w:pPr>
        <w:pStyle w:val="Heading2"/>
        <w:numPr>
          <w:ilvl w:val="1"/>
          <w:numId w:val="42"/>
        </w:numPr>
        <w:spacing w:after="120"/>
        <w:ind w:left="709" w:hanging="709"/>
        <w:rPr>
          <w:rFonts w:cs="Arial"/>
        </w:rPr>
      </w:pPr>
      <w:r>
        <w:rPr>
          <w:rFonts w:cs="Arial"/>
        </w:rPr>
        <w:t xml:space="preserve">The Authority is responsible for welfare, pensions and child maintenance policy. The Authority </w:t>
      </w:r>
      <w:r w:rsidRPr="00DD2D16">
        <w:rPr>
          <w:rFonts w:cs="Arial"/>
          <w:szCs w:val="22"/>
        </w:rPr>
        <w:t xml:space="preserve">has </w:t>
      </w:r>
      <w:r>
        <w:rPr>
          <w:rFonts w:cs="Arial"/>
          <w:szCs w:val="22"/>
        </w:rPr>
        <w:t xml:space="preserve">a substantial </w:t>
      </w:r>
      <w:r w:rsidRPr="00DD2D16">
        <w:rPr>
          <w:rFonts w:cs="Arial"/>
          <w:szCs w:val="22"/>
        </w:rPr>
        <w:t>Civil S</w:t>
      </w:r>
      <w:r>
        <w:rPr>
          <w:rFonts w:cs="Arial"/>
          <w:szCs w:val="22"/>
        </w:rPr>
        <w:t>ervice estate with over 750 properties equating to around 1.5 M</w:t>
      </w:r>
      <w:r w:rsidRPr="00DD2D16">
        <w:rPr>
          <w:rFonts w:cs="Arial"/>
          <w:szCs w:val="22"/>
        </w:rPr>
        <w:t xml:space="preserve">illion </w:t>
      </w:r>
      <w:r>
        <w:rPr>
          <w:rFonts w:cs="Arial"/>
          <w:szCs w:val="22"/>
        </w:rPr>
        <w:t xml:space="preserve">Meter squared </w:t>
      </w:r>
      <w:r w:rsidRPr="00DD2D16">
        <w:rPr>
          <w:rFonts w:cs="Arial"/>
          <w:szCs w:val="22"/>
        </w:rPr>
        <w:t>spread across England, Scotland and Wales</w:t>
      </w:r>
      <w:r>
        <w:rPr>
          <w:rFonts w:cs="Arial"/>
          <w:szCs w:val="22"/>
        </w:rPr>
        <w:t>, including Job Centres, Medical Assessment Centres and Corporate Centres</w:t>
      </w:r>
      <w:r w:rsidRPr="00DD2D16">
        <w:rPr>
          <w:rFonts w:cs="Arial"/>
          <w:szCs w:val="22"/>
        </w:rPr>
        <w:t xml:space="preserve">. The </w:t>
      </w:r>
      <w:r>
        <w:rPr>
          <w:rFonts w:cs="Arial"/>
          <w:szCs w:val="22"/>
        </w:rPr>
        <w:t>Authority</w:t>
      </w:r>
      <w:r w:rsidRPr="00DD2D16">
        <w:rPr>
          <w:rFonts w:cs="Arial"/>
          <w:szCs w:val="22"/>
        </w:rPr>
        <w:t xml:space="preserve"> Estate was previously managed and maintained </w:t>
      </w:r>
      <w:r>
        <w:rPr>
          <w:rFonts w:cs="Arial"/>
          <w:szCs w:val="22"/>
        </w:rPr>
        <w:t xml:space="preserve">by Telereal Trillium </w:t>
      </w:r>
      <w:r w:rsidRPr="00DD2D16">
        <w:rPr>
          <w:rFonts w:cs="Arial"/>
          <w:szCs w:val="22"/>
        </w:rPr>
        <w:t xml:space="preserve">under a 20-year Private Finance Initiative </w:t>
      </w:r>
      <w:r>
        <w:rPr>
          <w:rFonts w:cs="Arial"/>
          <w:szCs w:val="22"/>
        </w:rPr>
        <w:t>Contract</w:t>
      </w:r>
      <w:r w:rsidRPr="00DD2D16">
        <w:rPr>
          <w:rFonts w:cs="Arial"/>
          <w:szCs w:val="22"/>
        </w:rPr>
        <w:t xml:space="preserve">, called the Extended Private Sector </w:t>
      </w:r>
      <w:r w:rsidRPr="00DD2D16">
        <w:rPr>
          <w:rFonts w:cs="Arial"/>
          <w:szCs w:val="22"/>
        </w:rPr>
        <w:lastRenderedPageBreak/>
        <w:t xml:space="preserve">Resource Initiative for the Management of the Estate </w:t>
      </w:r>
      <w:r>
        <w:rPr>
          <w:rFonts w:cs="Arial"/>
          <w:szCs w:val="22"/>
        </w:rPr>
        <w:t>Contract</w:t>
      </w:r>
      <w:r w:rsidRPr="00DD2D16">
        <w:rPr>
          <w:rFonts w:cs="Arial"/>
          <w:szCs w:val="22"/>
        </w:rPr>
        <w:t xml:space="preserve"> (“PRIME”). PRIME expired on 31 March 2018.</w:t>
      </w:r>
    </w:p>
    <w:p w14:paraId="742A2303" w14:textId="50DBB5C3" w:rsidR="00C40F52" w:rsidRPr="008C5F3B" w:rsidRDefault="00C40F52" w:rsidP="0047277D">
      <w:pPr>
        <w:pStyle w:val="Heading1"/>
        <w:keepNext/>
        <w:numPr>
          <w:ilvl w:val="0"/>
          <w:numId w:val="42"/>
        </w:numPr>
        <w:tabs>
          <w:tab w:val="clear" w:pos="720"/>
        </w:tabs>
        <w:overflowPunct w:val="0"/>
        <w:autoSpaceDE w:val="0"/>
        <w:autoSpaceDN w:val="0"/>
        <w:spacing w:after="120"/>
        <w:textAlignment w:val="baseline"/>
        <w:rPr>
          <w:szCs w:val="22"/>
        </w:rPr>
      </w:pPr>
      <w:bookmarkStart w:id="10" w:name="_Toc368573029"/>
      <w:bookmarkStart w:id="11" w:name="_Toc531702578"/>
      <w:r w:rsidRPr="008C5F3B">
        <w:rPr>
          <w:szCs w:val="22"/>
        </w:rPr>
        <w:t>BACKGROUND TO REQUIREMENT/OVERVIEW</w:t>
      </w:r>
      <w:bookmarkEnd w:id="7"/>
      <w:r w:rsidRPr="008C5F3B">
        <w:rPr>
          <w:szCs w:val="22"/>
        </w:rPr>
        <w:t xml:space="preserve"> OF REQUIREMENT</w:t>
      </w:r>
      <w:bookmarkEnd w:id="10"/>
      <w:bookmarkEnd w:id="11"/>
    </w:p>
    <w:p w14:paraId="0F8E1B62" w14:textId="77777777" w:rsidR="00C40F52" w:rsidRDefault="00C40F52" w:rsidP="0047277D">
      <w:pPr>
        <w:pStyle w:val="Heading2"/>
        <w:numPr>
          <w:ilvl w:val="1"/>
          <w:numId w:val="42"/>
        </w:numPr>
      </w:pPr>
      <w:bookmarkStart w:id="12" w:name="_Toc297554774"/>
      <w:bookmarkEnd w:id="8"/>
      <w:r>
        <w:t xml:space="preserve">To replace PRIME, the Authority developed and implemented the new ETOM which is based around a Service Integration and Management (SIAM) Contracting approach. This new estate management model underpins the Authority’s on-going strategic management of its estate portfolio. It is also intended to support the estate rationalisation programme, delivering a more flexible, efficient and sustainable estate at a reduced financial cost. This ensures that it meets current and future operational requirements. </w:t>
      </w:r>
    </w:p>
    <w:p w14:paraId="59BD4AA7" w14:textId="77777777" w:rsidR="00C40F52" w:rsidRDefault="00C40F52" w:rsidP="0047277D">
      <w:pPr>
        <w:pStyle w:val="Heading2"/>
        <w:numPr>
          <w:ilvl w:val="1"/>
          <w:numId w:val="42"/>
        </w:numPr>
      </w:pPr>
      <w:r>
        <w:t xml:space="preserve">In contrast to PRIME which was a single Contract solution, ETOM consists of a supply chain of several specialist organisations delivering a range of facilities and property management services to the Authority which are necessary to operate the entire estate. These service towers or Authority Supply Chain Contracts are managed by an Integrator or Service Manager which is responsible for their strategic performance management and reports directly to the Authority. </w:t>
      </w:r>
    </w:p>
    <w:p w14:paraId="4DE5D085" w14:textId="77777777" w:rsidR="00C40F52" w:rsidRDefault="00C40F52" w:rsidP="0047277D">
      <w:pPr>
        <w:pStyle w:val="Heading2"/>
        <w:numPr>
          <w:ilvl w:val="1"/>
          <w:numId w:val="42"/>
        </w:numPr>
      </w:pPr>
      <w:r>
        <w:t>The Authority retains responsibility for general strategic management, governance and stewardship of the</w:t>
      </w:r>
      <w:r w:rsidRPr="0053404D">
        <w:t xml:space="preserve"> Authority Supply Chain </w:t>
      </w:r>
      <w:r>
        <w:t>Contracts and under the Integrator Agreement has reserved certain functions.</w:t>
      </w:r>
    </w:p>
    <w:p w14:paraId="047D4EB8" w14:textId="77777777" w:rsidR="00C40F52" w:rsidRDefault="00C40F52" w:rsidP="0047277D">
      <w:pPr>
        <w:pStyle w:val="Heading2"/>
        <w:numPr>
          <w:ilvl w:val="1"/>
          <w:numId w:val="42"/>
        </w:numPr>
      </w:pPr>
      <w:r w:rsidRPr="00EC3876">
        <w:t xml:space="preserve">Following a competitive procurement exercise, </w:t>
      </w:r>
      <w:r w:rsidRPr="00C61C4D">
        <w:rPr>
          <w:b/>
        </w:rPr>
        <w:t>Sodexo UK Limited</w:t>
      </w:r>
      <w:r w:rsidRPr="00EC3876">
        <w:t xml:space="preserve"> was appointed as the Integrator on 13 June 2017 and, following a 9-month implementation period, the Integrator agreement moved into its operational phase on 1 April 2018. The Integrator Agreement will expire on 31 March 2022 with an option to extend for a further two years in 1 year intervals. The value of the </w:t>
      </w:r>
      <w:r>
        <w:t>Contract</w:t>
      </w:r>
      <w:r w:rsidRPr="00EC3876">
        <w:t xml:space="preserve"> is estimated at around £60.4 million.</w:t>
      </w:r>
    </w:p>
    <w:p w14:paraId="5641987F" w14:textId="77777777" w:rsidR="00C40F52" w:rsidRDefault="00C40F52" w:rsidP="0047277D">
      <w:pPr>
        <w:pStyle w:val="Heading2"/>
        <w:numPr>
          <w:ilvl w:val="1"/>
          <w:numId w:val="42"/>
        </w:numPr>
      </w:pPr>
      <w:r>
        <w:t>The Authority Supply Chain Contracts which fall under the management of the Integrator are contained in Annex A.</w:t>
      </w:r>
    </w:p>
    <w:p w14:paraId="2D842E0F" w14:textId="77777777" w:rsidR="00C40F52" w:rsidRDefault="00C40F52" w:rsidP="0047277D">
      <w:pPr>
        <w:pStyle w:val="Heading2"/>
        <w:numPr>
          <w:ilvl w:val="1"/>
          <w:numId w:val="42"/>
        </w:numPr>
      </w:pPr>
      <w:r>
        <w:t>The key elements of the Integrator function include:</w:t>
      </w:r>
    </w:p>
    <w:p w14:paraId="42E7BAD5" w14:textId="77777777" w:rsidR="00C40F52" w:rsidRPr="00B049F3" w:rsidRDefault="00C40F52" w:rsidP="0047277D">
      <w:pPr>
        <w:pStyle w:val="Heading3"/>
        <w:numPr>
          <w:ilvl w:val="2"/>
          <w:numId w:val="42"/>
        </w:numPr>
      </w:pPr>
      <w:r>
        <w:t>Provision of day-to-day operational management, including performance management, of the Authority Supply chain</w:t>
      </w:r>
      <w:r w:rsidRPr="00992035">
        <w:t xml:space="preserve"> </w:t>
      </w:r>
      <w:r>
        <w:t xml:space="preserve">Contracts ensuring that the Authority Estate and the Supply Chain operate safely, efficiently and effectively; and ensuring that </w:t>
      </w:r>
      <w:r w:rsidRPr="00992035">
        <w:rPr>
          <w:rFonts w:eastAsia="Calibri" w:cs="Arial"/>
          <w:szCs w:val="22"/>
          <w:lang w:eastAsia="en-US"/>
        </w:rPr>
        <w:t xml:space="preserve">all </w:t>
      </w:r>
      <w:r>
        <w:rPr>
          <w:rFonts w:eastAsia="Calibri" w:cs="Arial"/>
          <w:szCs w:val="22"/>
          <w:lang w:eastAsia="en-US"/>
        </w:rPr>
        <w:t>Contract</w:t>
      </w:r>
      <w:r w:rsidRPr="00992035">
        <w:rPr>
          <w:rFonts w:eastAsia="Calibri" w:cs="Arial"/>
          <w:szCs w:val="22"/>
          <w:lang w:eastAsia="en-US"/>
        </w:rPr>
        <w:t xml:space="preserve">ual obligations and requirements of the Authority Supply Chain Members are fully </w:t>
      </w:r>
      <w:r>
        <w:rPr>
          <w:rFonts w:eastAsia="Calibri" w:cs="Arial"/>
          <w:szCs w:val="22"/>
          <w:lang w:eastAsia="en-US"/>
        </w:rPr>
        <w:t xml:space="preserve">met and </w:t>
      </w:r>
      <w:r w:rsidRPr="00992035">
        <w:rPr>
          <w:rFonts w:eastAsia="Calibri" w:cs="Arial"/>
          <w:szCs w:val="22"/>
          <w:lang w:eastAsia="en-US"/>
        </w:rPr>
        <w:t>are wel</w:t>
      </w:r>
      <w:r>
        <w:rPr>
          <w:rFonts w:eastAsia="Calibri" w:cs="Arial"/>
          <w:szCs w:val="22"/>
          <w:lang w:eastAsia="en-US"/>
        </w:rPr>
        <w:t>l-managed; achieving</w:t>
      </w:r>
      <w:r w:rsidRPr="00992035">
        <w:rPr>
          <w:rFonts w:eastAsia="Calibri" w:cs="Arial"/>
          <w:szCs w:val="22"/>
          <w:lang w:eastAsia="en-US"/>
        </w:rPr>
        <w:t xml:space="preserve"> the required levels of service quality;</w:t>
      </w:r>
      <w:r>
        <w:rPr>
          <w:rFonts w:eastAsia="Calibri" w:cs="Arial"/>
          <w:szCs w:val="22"/>
          <w:lang w:eastAsia="en-US"/>
        </w:rPr>
        <w:t xml:space="preserve"> and </w:t>
      </w:r>
      <w:r w:rsidRPr="00992035">
        <w:rPr>
          <w:rFonts w:eastAsia="Calibri" w:cs="Arial"/>
          <w:szCs w:val="22"/>
          <w:lang w:eastAsia="en-US"/>
        </w:rPr>
        <w:t>improv</w:t>
      </w:r>
      <w:r>
        <w:rPr>
          <w:rFonts w:eastAsia="Calibri" w:cs="Arial"/>
          <w:szCs w:val="22"/>
          <w:lang w:eastAsia="en-US"/>
        </w:rPr>
        <w:t>ing</w:t>
      </w:r>
      <w:r w:rsidRPr="00992035">
        <w:rPr>
          <w:rFonts w:eastAsia="Calibri" w:cs="Arial"/>
          <w:szCs w:val="22"/>
          <w:lang w:eastAsia="en-US"/>
        </w:rPr>
        <w:t xml:space="preserve"> performance continuously over time;</w:t>
      </w:r>
    </w:p>
    <w:p w14:paraId="4EF75EDC" w14:textId="77777777" w:rsidR="00C40F52" w:rsidRDefault="00C40F52" w:rsidP="0047277D">
      <w:pPr>
        <w:pStyle w:val="Heading3"/>
        <w:numPr>
          <w:ilvl w:val="2"/>
          <w:numId w:val="42"/>
        </w:numPr>
      </w:pPr>
      <w:r>
        <w:t>Provision of a single point of contact for the Authority’s personnel accessing services from the Authority Supply Chain, coordinating responses to service requests;</w:t>
      </w:r>
    </w:p>
    <w:p w14:paraId="02FF03D4" w14:textId="77777777" w:rsidR="00C40F52" w:rsidRPr="00B049F3" w:rsidRDefault="00C40F52" w:rsidP="0047277D">
      <w:pPr>
        <w:pStyle w:val="Heading3"/>
        <w:numPr>
          <w:ilvl w:val="2"/>
          <w:numId w:val="42"/>
        </w:numPr>
      </w:pPr>
      <w:r>
        <w:t xml:space="preserve">Provision of an information system to collect and report information on the Authority’s Estate and on Authority Supply Chain performance from which the Authority obtains reliable and transparent information about the performance of </w:t>
      </w:r>
      <w:r w:rsidRPr="00B049F3">
        <w:rPr>
          <w:rFonts w:eastAsia="Calibri" w:cs="Arial"/>
          <w:szCs w:val="22"/>
          <w:lang w:eastAsia="en-US"/>
        </w:rPr>
        <w:t xml:space="preserve">Authority’s Supply Chain Members including adherence and compliance to statutory and </w:t>
      </w:r>
      <w:r>
        <w:rPr>
          <w:rFonts w:eastAsia="Calibri" w:cs="Arial"/>
          <w:szCs w:val="22"/>
          <w:lang w:eastAsia="en-US"/>
        </w:rPr>
        <w:t>Contract</w:t>
      </w:r>
      <w:r w:rsidRPr="00B049F3">
        <w:rPr>
          <w:rFonts w:eastAsia="Calibri" w:cs="Arial"/>
          <w:szCs w:val="22"/>
          <w:lang w:eastAsia="en-US"/>
        </w:rPr>
        <w:t>ual obligations, operational quality and standards, customer experience/satisfaction and overall cost efficiency;</w:t>
      </w:r>
      <w:r>
        <w:rPr>
          <w:rFonts w:eastAsia="Calibri" w:cs="Arial"/>
          <w:szCs w:val="22"/>
          <w:lang w:eastAsia="en-US"/>
        </w:rPr>
        <w:t xml:space="preserve"> and</w:t>
      </w:r>
    </w:p>
    <w:p w14:paraId="0C4290B2" w14:textId="77777777" w:rsidR="00C40F52" w:rsidRPr="00AB479E" w:rsidRDefault="00C40F52" w:rsidP="0047277D">
      <w:pPr>
        <w:pStyle w:val="Heading3"/>
        <w:numPr>
          <w:ilvl w:val="2"/>
          <w:numId w:val="42"/>
        </w:numPr>
      </w:pPr>
      <w:r w:rsidRPr="00B049F3">
        <w:rPr>
          <w:rFonts w:eastAsia="Calibri" w:cs="Arial"/>
          <w:szCs w:val="22"/>
          <w:lang w:eastAsia="en-US"/>
        </w:rPr>
        <w:lastRenderedPageBreak/>
        <w:t>Provision of an independent, impartial and transparent assessment of the extent and condition of the Authority Estate including the building fabric, utility services, equipment, assets and stock, the need for replacement and repair and lifecycle estimates</w:t>
      </w:r>
      <w:r>
        <w:rPr>
          <w:rFonts w:eastAsia="Calibri" w:cs="Arial"/>
          <w:szCs w:val="22"/>
          <w:lang w:eastAsia="en-US"/>
        </w:rPr>
        <w:t>.</w:t>
      </w:r>
    </w:p>
    <w:p w14:paraId="70B5A460" w14:textId="3ED3C811" w:rsidR="00C40F52" w:rsidRDefault="00C40F52" w:rsidP="0047277D">
      <w:pPr>
        <w:pStyle w:val="Heading2"/>
        <w:numPr>
          <w:ilvl w:val="1"/>
          <w:numId w:val="42"/>
        </w:numPr>
      </w:pPr>
      <w:r>
        <w:t>GLD provides commercial legal services to the Authority under a mixed model of internal GLD lawyers and external firms. In recent years the Authority have engaged external legal services to cover increased legal work arising out of the development of the ETOM and the procurement of the Integrator and the Authority Supply Chain Contracts. The current external legal advisers were appointed in January 2017 following a mini-competition under CCS Legal Service</w:t>
      </w:r>
      <w:r w:rsidR="007D16D9">
        <w:t>s Framework Agreement (RM 919).</w:t>
      </w:r>
    </w:p>
    <w:p w14:paraId="036FF20D" w14:textId="77777777" w:rsidR="00C40F52" w:rsidRDefault="00C40F52" w:rsidP="0047277D">
      <w:pPr>
        <w:pStyle w:val="Heading2"/>
        <w:numPr>
          <w:ilvl w:val="1"/>
          <w:numId w:val="42"/>
        </w:numPr>
      </w:pPr>
      <w:r>
        <w:t>Further external commercial legal services will be required to support the ongoing delivery of the ETOM during its lifetime. This requirement arises partly out of the need for specialist and technical legal advice in respect of the ETOM during the initial transition period and then once it moves into a typical business-as-usual mode. It also arises out of a downscaling of the internal GLD resource available to fully support all aspects of the ETOM.</w:t>
      </w:r>
    </w:p>
    <w:p w14:paraId="78A598BD" w14:textId="2E92319E" w:rsidR="00C40F52" w:rsidRPr="00B049F3" w:rsidRDefault="009553CD" w:rsidP="0047277D">
      <w:pPr>
        <w:pStyle w:val="Heading2"/>
        <w:numPr>
          <w:ilvl w:val="1"/>
          <w:numId w:val="42"/>
        </w:numPr>
      </w:pPr>
      <w:r>
        <w:t>The</w:t>
      </w:r>
      <w:r w:rsidR="00C40F52" w:rsidRPr="00BF3BAA">
        <w:t xml:space="preserve"> </w:t>
      </w:r>
      <w:r w:rsidR="00C40F52">
        <w:t>Contract</w:t>
      </w:r>
      <w:r w:rsidR="00C40F52" w:rsidRPr="00BF3BAA">
        <w:t xml:space="preserve"> will </w:t>
      </w:r>
      <w:r w:rsidR="00C40F52">
        <w:t xml:space="preserve">commence </w:t>
      </w:r>
      <w:r>
        <w:t xml:space="preserve">on </w:t>
      </w:r>
      <w:r>
        <w:rPr>
          <w:b/>
        </w:rPr>
        <w:t>4 March</w:t>
      </w:r>
      <w:r w:rsidR="00C40F52" w:rsidRPr="00BF3BAA">
        <w:rPr>
          <w:b/>
        </w:rPr>
        <w:t xml:space="preserve"> 2019</w:t>
      </w:r>
      <w:r w:rsidR="00C40F52">
        <w:t xml:space="preserve"> </w:t>
      </w:r>
      <w:r>
        <w:t xml:space="preserve">upon which there will be a </w:t>
      </w:r>
      <w:r w:rsidR="00C40F52" w:rsidRPr="00BF3BAA">
        <w:t>short period of mobilisation where ongoing work and paperwor</w:t>
      </w:r>
      <w:r w:rsidR="00C40F52">
        <w:t xml:space="preserve">k will transfer to the new firm. The Contract </w:t>
      </w:r>
      <w:r w:rsidR="00C40F52" w:rsidRPr="00BF3BAA">
        <w:t xml:space="preserve">will expire on </w:t>
      </w:r>
      <w:r w:rsidR="00B32339">
        <w:t>27 February</w:t>
      </w:r>
      <w:r>
        <w:t xml:space="preserve"> 2021</w:t>
      </w:r>
      <w:r w:rsidR="00C40F52" w:rsidRPr="00BF3BAA">
        <w:t xml:space="preserve"> with an option to extend by a further two years in 12 month intervals (i.e. until </w:t>
      </w:r>
      <w:r w:rsidR="00B32339">
        <w:t>27 February</w:t>
      </w:r>
      <w:r w:rsidR="00C40F52">
        <w:t xml:space="preserve"> 2022 or </w:t>
      </w:r>
      <w:r w:rsidR="00B32339">
        <w:t>27 February</w:t>
      </w:r>
      <w:r w:rsidR="00C40F52">
        <w:t xml:space="preserve"> 2023)</w:t>
      </w:r>
      <w:r w:rsidR="00C40F52" w:rsidRPr="00BF3BAA">
        <w:t>, depending on whether the option is exerci</w:t>
      </w:r>
      <w:r>
        <w:t>sed for one year or two years).</w:t>
      </w:r>
    </w:p>
    <w:p w14:paraId="03E17776" w14:textId="74A2275A" w:rsidR="00C40F52" w:rsidRPr="008C5F3B" w:rsidRDefault="00C40F52" w:rsidP="0047277D">
      <w:pPr>
        <w:pStyle w:val="Heading1"/>
        <w:keepNext/>
        <w:numPr>
          <w:ilvl w:val="0"/>
          <w:numId w:val="42"/>
        </w:numPr>
        <w:tabs>
          <w:tab w:val="clear" w:pos="720"/>
        </w:tabs>
        <w:overflowPunct w:val="0"/>
        <w:autoSpaceDE w:val="0"/>
        <w:autoSpaceDN w:val="0"/>
        <w:spacing w:after="120"/>
        <w:textAlignment w:val="baseline"/>
        <w:rPr>
          <w:szCs w:val="22"/>
        </w:rPr>
      </w:pPr>
      <w:bookmarkStart w:id="13" w:name="_Toc531702579"/>
      <w:bookmarkStart w:id="14" w:name="_Toc368573030"/>
      <w:r w:rsidRPr="008C5F3B">
        <w:rPr>
          <w:szCs w:val="22"/>
        </w:rPr>
        <w:t>DEFINITIONS</w:t>
      </w:r>
      <w:bookmarkEnd w:id="13"/>
      <w:r w:rsidRPr="008C5F3B">
        <w:rPr>
          <w:szCs w:val="22"/>
        </w:rPr>
        <w:t xml:space="preserve"> </w:t>
      </w:r>
    </w:p>
    <w:tbl>
      <w:tblPr>
        <w:tblStyle w:val="TableGrid"/>
        <w:tblW w:w="0" w:type="auto"/>
        <w:tblInd w:w="720" w:type="dxa"/>
        <w:tblLook w:val="04A0" w:firstRow="1" w:lastRow="0" w:firstColumn="1" w:lastColumn="0" w:noHBand="0" w:noVBand="1"/>
      </w:tblPr>
      <w:tblGrid>
        <w:gridCol w:w="2110"/>
        <w:gridCol w:w="6189"/>
      </w:tblGrid>
      <w:tr w:rsidR="00C40F52" w:rsidRPr="008C5F3B" w14:paraId="1803758D" w14:textId="77777777" w:rsidTr="00C40F52">
        <w:tc>
          <w:tcPr>
            <w:tcW w:w="2110" w:type="dxa"/>
            <w:shd w:val="clear" w:color="auto" w:fill="C6D9F1" w:themeFill="text2" w:themeFillTint="33"/>
          </w:tcPr>
          <w:p w14:paraId="7BB09373" w14:textId="77777777" w:rsidR="00C40F52" w:rsidRPr="008C5F3B" w:rsidRDefault="00C40F52" w:rsidP="00C40F52">
            <w:pPr>
              <w:pStyle w:val="Heading2"/>
              <w:numPr>
                <w:ilvl w:val="0"/>
                <w:numId w:val="0"/>
              </w:numPr>
              <w:spacing w:after="120"/>
              <w:ind w:left="18" w:hanging="18"/>
              <w:jc w:val="left"/>
              <w:outlineLvl w:val="1"/>
            </w:pPr>
            <w:r w:rsidRPr="008C5F3B">
              <w:t>Expression or Acronym</w:t>
            </w:r>
          </w:p>
        </w:tc>
        <w:tc>
          <w:tcPr>
            <w:tcW w:w="6189" w:type="dxa"/>
            <w:shd w:val="clear" w:color="auto" w:fill="C6D9F1" w:themeFill="text2" w:themeFillTint="33"/>
          </w:tcPr>
          <w:p w14:paraId="40159BB6" w14:textId="77777777" w:rsidR="00C40F52" w:rsidRPr="008C5F3B" w:rsidRDefault="00C40F52" w:rsidP="00C40F52">
            <w:pPr>
              <w:pStyle w:val="Heading2"/>
              <w:numPr>
                <w:ilvl w:val="0"/>
                <w:numId w:val="0"/>
              </w:numPr>
              <w:spacing w:after="120"/>
              <w:ind w:left="720" w:hanging="720"/>
              <w:outlineLvl w:val="1"/>
            </w:pPr>
            <w:r w:rsidRPr="008C5F3B">
              <w:t>Definition</w:t>
            </w:r>
          </w:p>
        </w:tc>
      </w:tr>
      <w:tr w:rsidR="00C40F52" w:rsidRPr="008C5F3B" w14:paraId="35308031" w14:textId="77777777" w:rsidTr="00C40F52">
        <w:tc>
          <w:tcPr>
            <w:tcW w:w="2110" w:type="dxa"/>
          </w:tcPr>
          <w:p w14:paraId="57C1734B" w14:textId="77777777" w:rsidR="00C40F52" w:rsidRDefault="00C40F52" w:rsidP="00C40F52">
            <w:pPr>
              <w:pStyle w:val="Heading2"/>
              <w:numPr>
                <w:ilvl w:val="0"/>
                <w:numId w:val="0"/>
              </w:numPr>
              <w:spacing w:after="120"/>
              <w:ind w:left="720" w:hanging="720"/>
              <w:jc w:val="left"/>
              <w:outlineLvl w:val="1"/>
              <w:rPr>
                <w:rFonts w:cs="Arial"/>
                <w:b/>
              </w:rPr>
            </w:pPr>
            <w:r>
              <w:rPr>
                <w:rFonts w:cs="Arial"/>
                <w:b/>
              </w:rPr>
              <w:t xml:space="preserve">Authority Supply </w:t>
            </w:r>
          </w:p>
          <w:p w14:paraId="3370F29E" w14:textId="77777777" w:rsidR="00C40F52" w:rsidRDefault="00C40F52" w:rsidP="00C40F52">
            <w:pPr>
              <w:pStyle w:val="Heading2"/>
              <w:numPr>
                <w:ilvl w:val="0"/>
                <w:numId w:val="0"/>
              </w:numPr>
              <w:spacing w:after="120"/>
              <w:ind w:left="720" w:hanging="720"/>
              <w:jc w:val="left"/>
              <w:outlineLvl w:val="1"/>
              <w:rPr>
                <w:b/>
              </w:rPr>
            </w:pPr>
            <w:r>
              <w:rPr>
                <w:rFonts w:cs="Arial"/>
                <w:b/>
              </w:rPr>
              <w:t>Chain Contract</w:t>
            </w:r>
          </w:p>
        </w:tc>
        <w:tc>
          <w:tcPr>
            <w:tcW w:w="6189" w:type="dxa"/>
          </w:tcPr>
          <w:p w14:paraId="0F18603B" w14:textId="77777777" w:rsidR="00C40F52" w:rsidRPr="008C5F3B" w:rsidRDefault="00C40F52" w:rsidP="00C40F52">
            <w:pPr>
              <w:pStyle w:val="Heading2"/>
              <w:numPr>
                <w:ilvl w:val="0"/>
                <w:numId w:val="0"/>
              </w:numPr>
              <w:spacing w:after="120"/>
              <w:outlineLvl w:val="1"/>
            </w:pPr>
            <w:r>
              <w:rPr>
                <w:rFonts w:cs="Arial"/>
              </w:rPr>
              <w:t>means the respective supply chain member Contracts as identified in paragraph 3.5 (as may vary from time to time) and Authority Supply Chain members shall be construed accordingly</w:t>
            </w:r>
          </w:p>
        </w:tc>
      </w:tr>
      <w:tr w:rsidR="00C40F52" w:rsidRPr="008C5F3B" w14:paraId="665953BC" w14:textId="77777777" w:rsidTr="00C40F52">
        <w:tc>
          <w:tcPr>
            <w:tcW w:w="2110" w:type="dxa"/>
          </w:tcPr>
          <w:p w14:paraId="20B29997" w14:textId="77777777" w:rsidR="00C40F52" w:rsidRPr="008C5F3B" w:rsidRDefault="00C40F52" w:rsidP="00C40F52">
            <w:pPr>
              <w:pStyle w:val="Heading2"/>
              <w:numPr>
                <w:ilvl w:val="0"/>
                <w:numId w:val="0"/>
              </w:numPr>
              <w:spacing w:after="120"/>
              <w:ind w:left="720" w:hanging="720"/>
              <w:jc w:val="left"/>
              <w:outlineLvl w:val="1"/>
              <w:rPr>
                <w:b/>
              </w:rPr>
            </w:pPr>
            <w:r>
              <w:rPr>
                <w:b/>
              </w:rPr>
              <w:t>DWP or Authority</w:t>
            </w:r>
          </w:p>
        </w:tc>
        <w:tc>
          <w:tcPr>
            <w:tcW w:w="6189" w:type="dxa"/>
          </w:tcPr>
          <w:p w14:paraId="7EBAFBC3" w14:textId="77777777" w:rsidR="00C40F52" w:rsidRPr="008C5F3B" w:rsidRDefault="00C40F52" w:rsidP="00C40F52">
            <w:pPr>
              <w:pStyle w:val="Heading2"/>
              <w:numPr>
                <w:ilvl w:val="0"/>
                <w:numId w:val="0"/>
              </w:numPr>
              <w:spacing w:after="120"/>
              <w:outlineLvl w:val="1"/>
            </w:pPr>
            <w:r w:rsidRPr="008C5F3B">
              <w:t>means the Department for Work and Pensions</w:t>
            </w:r>
            <w:r>
              <w:t xml:space="preserve"> (DWP)</w:t>
            </w:r>
          </w:p>
        </w:tc>
      </w:tr>
      <w:tr w:rsidR="00C40F52" w:rsidRPr="008C5F3B" w14:paraId="767CF4DD" w14:textId="77777777" w:rsidTr="00C40F52">
        <w:tc>
          <w:tcPr>
            <w:tcW w:w="2110" w:type="dxa"/>
          </w:tcPr>
          <w:p w14:paraId="0BEE42B8" w14:textId="77777777" w:rsidR="00C40F52" w:rsidRDefault="00C40F52" w:rsidP="00C40F52">
            <w:pPr>
              <w:pStyle w:val="Heading2"/>
              <w:numPr>
                <w:ilvl w:val="0"/>
                <w:numId w:val="0"/>
              </w:numPr>
              <w:spacing w:after="120"/>
              <w:ind w:left="720" w:hanging="720"/>
              <w:jc w:val="left"/>
              <w:outlineLvl w:val="1"/>
              <w:rPr>
                <w:rFonts w:cs="Arial"/>
                <w:b/>
              </w:rPr>
            </w:pPr>
            <w:r>
              <w:rPr>
                <w:rFonts w:cs="Arial"/>
                <w:b/>
              </w:rPr>
              <w:t>EIR</w:t>
            </w:r>
          </w:p>
        </w:tc>
        <w:tc>
          <w:tcPr>
            <w:tcW w:w="6189" w:type="dxa"/>
          </w:tcPr>
          <w:p w14:paraId="4E824424" w14:textId="77777777" w:rsidR="00C40F52" w:rsidRDefault="00C40F52" w:rsidP="00C40F52">
            <w:pPr>
              <w:pStyle w:val="Heading2"/>
              <w:numPr>
                <w:ilvl w:val="0"/>
                <w:numId w:val="0"/>
              </w:numPr>
              <w:spacing w:after="120"/>
              <w:outlineLvl w:val="1"/>
              <w:rPr>
                <w:rFonts w:cs="Arial"/>
              </w:rPr>
            </w:pPr>
            <w:r>
              <w:t>means Environmental Information Regulation</w:t>
            </w:r>
          </w:p>
        </w:tc>
      </w:tr>
      <w:tr w:rsidR="00C40F52" w:rsidRPr="008C5F3B" w14:paraId="55D6B776" w14:textId="77777777" w:rsidTr="00C40F52">
        <w:tc>
          <w:tcPr>
            <w:tcW w:w="2110" w:type="dxa"/>
          </w:tcPr>
          <w:p w14:paraId="32CAAFAE" w14:textId="77777777" w:rsidR="00C40F52" w:rsidRDefault="00C40F52" w:rsidP="00C40F52">
            <w:pPr>
              <w:pStyle w:val="Heading2"/>
              <w:numPr>
                <w:ilvl w:val="0"/>
                <w:numId w:val="0"/>
              </w:numPr>
              <w:spacing w:after="120"/>
              <w:ind w:left="720" w:hanging="720"/>
              <w:jc w:val="left"/>
              <w:outlineLvl w:val="1"/>
              <w:rPr>
                <w:b/>
              </w:rPr>
            </w:pPr>
            <w:r>
              <w:rPr>
                <w:rFonts w:cs="Arial"/>
                <w:b/>
              </w:rPr>
              <w:t>ETOM</w:t>
            </w:r>
          </w:p>
        </w:tc>
        <w:tc>
          <w:tcPr>
            <w:tcW w:w="6189" w:type="dxa"/>
          </w:tcPr>
          <w:p w14:paraId="24C2878B" w14:textId="77777777" w:rsidR="00C40F52" w:rsidRPr="008C5F3B" w:rsidRDefault="00C40F52" w:rsidP="00C40F52">
            <w:pPr>
              <w:pStyle w:val="Heading2"/>
              <w:numPr>
                <w:ilvl w:val="0"/>
                <w:numId w:val="0"/>
              </w:numPr>
              <w:spacing w:after="120"/>
              <w:outlineLvl w:val="1"/>
            </w:pPr>
            <w:r>
              <w:rPr>
                <w:rFonts w:cs="Arial"/>
              </w:rPr>
              <w:t xml:space="preserve">means the Estates Target Operating Model </w:t>
            </w:r>
          </w:p>
        </w:tc>
      </w:tr>
      <w:tr w:rsidR="00C40F52" w:rsidRPr="008C5F3B" w14:paraId="3B983536" w14:textId="77777777" w:rsidTr="00C40F52">
        <w:tc>
          <w:tcPr>
            <w:tcW w:w="2110" w:type="dxa"/>
          </w:tcPr>
          <w:p w14:paraId="29490D26" w14:textId="77777777" w:rsidR="00C40F52" w:rsidRDefault="00C40F52" w:rsidP="00C40F52">
            <w:pPr>
              <w:pStyle w:val="Heading2"/>
              <w:numPr>
                <w:ilvl w:val="0"/>
                <w:numId w:val="0"/>
              </w:numPr>
              <w:spacing w:after="120"/>
              <w:ind w:left="720" w:hanging="720"/>
              <w:outlineLvl w:val="1"/>
              <w:rPr>
                <w:b/>
              </w:rPr>
            </w:pPr>
            <w:r>
              <w:rPr>
                <w:b/>
              </w:rPr>
              <w:t>FOIA</w:t>
            </w:r>
          </w:p>
        </w:tc>
        <w:tc>
          <w:tcPr>
            <w:tcW w:w="6189" w:type="dxa"/>
          </w:tcPr>
          <w:p w14:paraId="728A3821" w14:textId="77777777" w:rsidR="00C40F52" w:rsidRDefault="00C40F52" w:rsidP="00C40F52">
            <w:pPr>
              <w:pStyle w:val="Heading2"/>
              <w:numPr>
                <w:ilvl w:val="0"/>
                <w:numId w:val="0"/>
              </w:numPr>
              <w:spacing w:after="120"/>
              <w:outlineLvl w:val="1"/>
            </w:pPr>
            <w:r>
              <w:t>means Freedom of Information Act</w:t>
            </w:r>
          </w:p>
        </w:tc>
      </w:tr>
      <w:tr w:rsidR="00C40F52" w:rsidRPr="008C5F3B" w14:paraId="3F4EA7AC" w14:textId="77777777" w:rsidTr="00C40F52">
        <w:tc>
          <w:tcPr>
            <w:tcW w:w="2110" w:type="dxa"/>
          </w:tcPr>
          <w:p w14:paraId="593E2FC2" w14:textId="77777777" w:rsidR="00C40F52" w:rsidRDefault="00C40F52" w:rsidP="00C40F52">
            <w:pPr>
              <w:pStyle w:val="Heading2"/>
              <w:numPr>
                <w:ilvl w:val="0"/>
                <w:numId w:val="0"/>
              </w:numPr>
              <w:spacing w:after="120"/>
              <w:ind w:left="720" w:hanging="720"/>
              <w:outlineLvl w:val="1"/>
              <w:rPr>
                <w:b/>
              </w:rPr>
            </w:pPr>
            <w:r>
              <w:rPr>
                <w:b/>
              </w:rPr>
              <w:t>GDPR</w:t>
            </w:r>
          </w:p>
        </w:tc>
        <w:tc>
          <w:tcPr>
            <w:tcW w:w="6189" w:type="dxa"/>
          </w:tcPr>
          <w:p w14:paraId="41BB08D5" w14:textId="77777777" w:rsidR="00C40F52" w:rsidRDefault="00C40F52" w:rsidP="00C40F52">
            <w:pPr>
              <w:pStyle w:val="Heading2"/>
              <w:numPr>
                <w:ilvl w:val="0"/>
                <w:numId w:val="0"/>
              </w:numPr>
              <w:spacing w:after="120"/>
              <w:outlineLvl w:val="1"/>
            </w:pPr>
            <w:r>
              <w:t>means General Data Protection Regulation</w:t>
            </w:r>
          </w:p>
        </w:tc>
      </w:tr>
      <w:tr w:rsidR="00C40F52" w:rsidRPr="008C5F3B" w14:paraId="7B232EB0" w14:textId="77777777" w:rsidTr="00C40F52">
        <w:tc>
          <w:tcPr>
            <w:tcW w:w="2110" w:type="dxa"/>
          </w:tcPr>
          <w:p w14:paraId="47835896" w14:textId="77777777" w:rsidR="00C40F52" w:rsidRDefault="00C40F52" w:rsidP="00C40F52">
            <w:pPr>
              <w:pStyle w:val="Heading2"/>
              <w:numPr>
                <w:ilvl w:val="0"/>
                <w:numId w:val="0"/>
              </w:numPr>
              <w:spacing w:after="120"/>
              <w:ind w:left="720" w:hanging="720"/>
              <w:outlineLvl w:val="1"/>
              <w:rPr>
                <w:b/>
              </w:rPr>
            </w:pPr>
            <w:r>
              <w:rPr>
                <w:b/>
              </w:rPr>
              <w:t>GLD</w:t>
            </w:r>
          </w:p>
        </w:tc>
        <w:tc>
          <w:tcPr>
            <w:tcW w:w="6189" w:type="dxa"/>
          </w:tcPr>
          <w:p w14:paraId="14EA49F0" w14:textId="77777777" w:rsidR="00C40F52" w:rsidRDefault="00C40F52" w:rsidP="00C40F52">
            <w:pPr>
              <w:pStyle w:val="Heading2"/>
              <w:numPr>
                <w:ilvl w:val="0"/>
                <w:numId w:val="0"/>
              </w:numPr>
              <w:spacing w:after="120"/>
              <w:outlineLvl w:val="1"/>
            </w:pPr>
            <w:r>
              <w:t>means Government Legal Department</w:t>
            </w:r>
          </w:p>
        </w:tc>
      </w:tr>
      <w:tr w:rsidR="00C40F52" w:rsidRPr="008C5F3B" w14:paraId="515AC728" w14:textId="77777777" w:rsidTr="00C40F52">
        <w:tc>
          <w:tcPr>
            <w:tcW w:w="2110" w:type="dxa"/>
          </w:tcPr>
          <w:p w14:paraId="0FC3001D" w14:textId="77777777" w:rsidR="00C40F52" w:rsidRPr="008C5F3B" w:rsidRDefault="00C40F52" w:rsidP="00C40F52">
            <w:pPr>
              <w:pStyle w:val="Heading2"/>
              <w:numPr>
                <w:ilvl w:val="0"/>
                <w:numId w:val="0"/>
              </w:numPr>
              <w:spacing w:after="120"/>
              <w:ind w:left="720" w:hanging="720"/>
              <w:outlineLvl w:val="1"/>
              <w:rPr>
                <w:b/>
              </w:rPr>
            </w:pPr>
            <w:r>
              <w:rPr>
                <w:b/>
              </w:rPr>
              <w:t>IPR</w:t>
            </w:r>
          </w:p>
        </w:tc>
        <w:tc>
          <w:tcPr>
            <w:tcW w:w="6189" w:type="dxa"/>
          </w:tcPr>
          <w:p w14:paraId="46E81AD9" w14:textId="77777777" w:rsidR="00C40F52" w:rsidRPr="008C5F3B" w:rsidRDefault="00C40F52" w:rsidP="00C40F52">
            <w:pPr>
              <w:pStyle w:val="Heading2"/>
              <w:numPr>
                <w:ilvl w:val="0"/>
                <w:numId w:val="0"/>
              </w:numPr>
              <w:spacing w:after="120"/>
              <w:outlineLvl w:val="1"/>
            </w:pPr>
            <w:r>
              <w:t>means Intellectual Property Rights</w:t>
            </w:r>
          </w:p>
        </w:tc>
      </w:tr>
      <w:tr w:rsidR="00C40F52" w:rsidRPr="008C5F3B" w14:paraId="4AE1E535" w14:textId="77777777" w:rsidTr="00C40F52">
        <w:tc>
          <w:tcPr>
            <w:tcW w:w="2110" w:type="dxa"/>
          </w:tcPr>
          <w:p w14:paraId="22971895" w14:textId="77777777" w:rsidR="00C40F52" w:rsidRDefault="00C40F52" w:rsidP="00C40F52">
            <w:pPr>
              <w:pStyle w:val="NoSpacing"/>
              <w:rPr>
                <w:rFonts w:ascii="Arial" w:hAnsi="Arial" w:cs="Arial"/>
                <w:b/>
              </w:rPr>
            </w:pPr>
            <w:r>
              <w:rPr>
                <w:rFonts w:ascii="Arial" w:hAnsi="Arial" w:cs="Arial"/>
                <w:b/>
              </w:rPr>
              <w:t>JCT</w:t>
            </w:r>
          </w:p>
        </w:tc>
        <w:tc>
          <w:tcPr>
            <w:tcW w:w="6189" w:type="dxa"/>
          </w:tcPr>
          <w:p w14:paraId="1996D7CF" w14:textId="77777777" w:rsidR="00C40F52" w:rsidRDefault="00C40F52" w:rsidP="00C40F52">
            <w:pPr>
              <w:pStyle w:val="Heading2"/>
              <w:numPr>
                <w:ilvl w:val="0"/>
                <w:numId w:val="0"/>
              </w:numPr>
              <w:spacing w:after="120"/>
              <w:outlineLvl w:val="1"/>
              <w:rPr>
                <w:rFonts w:cs="Arial"/>
              </w:rPr>
            </w:pPr>
            <w:r>
              <w:rPr>
                <w:rFonts w:cs="Arial"/>
              </w:rPr>
              <w:t>means the Joint Contracts Tribunal suite of Contracts</w:t>
            </w:r>
          </w:p>
        </w:tc>
      </w:tr>
      <w:tr w:rsidR="00C40F52" w:rsidRPr="008C5F3B" w14:paraId="514DD56D" w14:textId="77777777" w:rsidTr="00C40F52">
        <w:tc>
          <w:tcPr>
            <w:tcW w:w="2110" w:type="dxa"/>
          </w:tcPr>
          <w:p w14:paraId="57230742" w14:textId="77777777" w:rsidR="00C40F52" w:rsidRPr="00973120" w:rsidRDefault="00C40F52" w:rsidP="00C40F52">
            <w:pPr>
              <w:pStyle w:val="NoSpacing"/>
              <w:jc w:val="left"/>
              <w:rPr>
                <w:rFonts w:ascii="Arial" w:hAnsi="Arial" w:cs="Arial"/>
                <w:b/>
              </w:rPr>
            </w:pPr>
            <w:r w:rsidRPr="00973120">
              <w:rPr>
                <w:rFonts w:ascii="Arial" w:hAnsi="Arial" w:cs="Arial"/>
                <w:b/>
              </w:rPr>
              <w:t>Lead Legal Contact</w:t>
            </w:r>
            <w:r>
              <w:rPr>
                <w:rFonts w:ascii="Arial" w:hAnsi="Arial" w:cs="Arial"/>
                <w:b/>
              </w:rPr>
              <w:t>s</w:t>
            </w:r>
          </w:p>
        </w:tc>
        <w:tc>
          <w:tcPr>
            <w:tcW w:w="6189" w:type="dxa"/>
          </w:tcPr>
          <w:p w14:paraId="75DA431E" w14:textId="77777777" w:rsidR="00C40F52" w:rsidRPr="00973120" w:rsidRDefault="00C40F52" w:rsidP="00C40F52">
            <w:pPr>
              <w:pStyle w:val="Heading2"/>
              <w:numPr>
                <w:ilvl w:val="0"/>
                <w:numId w:val="0"/>
              </w:numPr>
              <w:spacing w:after="120"/>
              <w:outlineLvl w:val="1"/>
              <w:rPr>
                <w:rFonts w:cs="Arial"/>
              </w:rPr>
            </w:pPr>
            <w:r w:rsidRPr="00973120">
              <w:rPr>
                <w:rFonts w:cs="Arial"/>
              </w:rPr>
              <w:t>means the named contact</w:t>
            </w:r>
            <w:r>
              <w:rPr>
                <w:rFonts w:cs="Arial"/>
              </w:rPr>
              <w:t>s</w:t>
            </w:r>
            <w:r w:rsidRPr="00973120">
              <w:rPr>
                <w:rFonts w:cs="Arial"/>
              </w:rPr>
              <w:t xml:space="preserve"> from the Authority (GLD lawyer) and the </w:t>
            </w:r>
            <w:r>
              <w:rPr>
                <w:rFonts w:cs="Arial"/>
              </w:rPr>
              <w:t>Supplier</w:t>
            </w:r>
            <w:r w:rsidRPr="00973120">
              <w:rPr>
                <w:rFonts w:cs="Arial"/>
              </w:rPr>
              <w:t xml:space="preserve"> respectively who will be the primary liaison persons during the </w:t>
            </w:r>
            <w:r>
              <w:rPr>
                <w:rFonts w:cs="Arial"/>
              </w:rPr>
              <w:t>Contract</w:t>
            </w:r>
            <w:r w:rsidRPr="00973120">
              <w:rPr>
                <w:rFonts w:cs="Arial"/>
              </w:rPr>
              <w:t xml:space="preserve"> term</w:t>
            </w:r>
          </w:p>
        </w:tc>
      </w:tr>
      <w:tr w:rsidR="00C40F52" w:rsidRPr="008C5F3B" w14:paraId="2A42BC11" w14:textId="77777777" w:rsidTr="00C40F52">
        <w:tc>
          <w:tcPr>
            <w:tcW w:w="2110" w:type="dxa"/>
          </w:tcPr>
          <w:p w14:paraId="3201966F" w14:textId="77777777" w:rsidR="00C40F52" w:rsidRDefault="00C40F52" w:rsidP="00C40F52">
            <w:pPr>
              <w:pStyle w:val="NoSpacing"/>
              <w:rPr>
                <w:rFonts w:ascii="Arial" w:hAnsi="Arial" w:cs="Arial"/>
                <w:b/>
              </w:rPr>
            </w:pPr>
            <w:r>
              <w:rPr>
                <w:rFonts w:ascii="Arial" w:hAnsi="Arial" w:cs="Arial"/>
                <w:b/>
              </w:rPr>
              <w:t>NEC</w:t>
            </w:r>
          </w:p>
        </w:tc>
        <w:tc>
          <w:tcPr>
            <w:tcW w:w="6189" w:type="dxa"/>
          </w:tcPr>
          <w:p w14:paraId="01F4E004" w14:textId="77777777" w:rsidR="00C40F52" w:rsidRDefault="00C40F52" w:rsidP="00C40F52">
            <w:pPr>
              <w:pStyle w:val="Heading2"/>
              <w:numPr>
                <w:ilvl w:val="0"/>
                <w:numId w:val="0"/>
              </w:numPr>
              <w:spacing w:after="120"/>
              <w:outlineLvl w:val="1"/>
              <w:rPr>
                <w:rFonts w:cs="Arial"/>
              </w:rPr>
            </w:pPr>
            <w:r>
              <w:rPr>
                <w:rFonts w:cs="Arial"/>
              </w:rPr>
              <w:t>means the New Engineering Contracts suite of Contracts</w:t>
            </w:r>
          </w:p>
        </w:tc>
      </w:tr>
      <w:tr w:rsidR="00C40F52" w:rsidRPr="008C5F3B" w14:paraId="0E684D82" w14:textId="77777777" w:rsidTr="00C40F52">
        <w:tc>
          <w:tcPr>
            <w:tcW w:w="2110" w:type="dxa"/>
          </w:tcPr>
          <w:p w14:paraId="5D359E03" w14:textId="77777777" w:rsidR="00C40F52" w:rsidRDefault="00C40F52" w:rsidP="00C40F52">
            <w:pPr>
              <w:pStyle w:val="NoSpacing"/>
              <w:rPr>
                <w:rFonts w:ascii="Arial" w:hAnsi="Arial" w:cs="Arial"/>
                <w:b/>
              </w:rPr>
            </w:pPr>
            <w:r>
              <w:rPr>
                <w:rFonts w:ascii="Arial" w:hAnsi="Arial" w:cs="Arial"/>
                <w:b/>
              </w:rPr>
              <w:t>PFI</w:t>
            </w:r>
          </w:p>
        </w:tc>
        <w:tc>
          <w:tcPr>
            <w:tcW w:w="6189" w:type="dxa"/>
          </w:tcPr>
          <w:p w14:paraId="6CFBAEA8" w14:textId="77777777" w:rsidR="00C40F52" w:rsidRDefault="00C40F52" w:rsidP="00C40F52">
            <w:pPr>
              <w:pStyle w:val="Heading2"/>
              <w:numPr>
                <w:ilvl w:val="0"/>
                <w:numId w:val="0"/>
              </w:numPr>
              <w:spacing w:after="120"/>
              <w:outlineLvl w:val="1"/>
              <w:rPr>
                <w:rFonts w:cs="Arial"/>
              </w:rPr>
            </w:pPr>
            <w:r>
              <w:rPr>
                <w:rFonts w:cs="Arial"/>
              </w:rPr>
              <w:t xml:space="preserve">means </w:t>
            </w:r>
            <w:r>
              <w:t>Private Finance Initiative</w:t>
            </w:r>
          </w:p>
        </w:tc>
      </w:tr>
      <w:tr w:rsidR="00C40F52" w:rsidRPr="008C5F3B" w14:paraId="78059ADB" w14:textId="77777777" w:rsidTr="00C40F52">
        <w:tc>
          <w:tcPr>
            <w:tcW w:w="2110" w:type="dxa"/>
          </w:tcPr>
          <w:p w14:paraId="52722C0C" w14:textId="77777777" w:rsidR="00C40F52" w:rsidRDefault="00C40F52" w:rsidP="00C40F52">
            <w:pPr>
              <w:pStyle w:val="NoSpacing"/>
              <w:rPr>
                <w:rFonts w:ascii="Arial" w:hAnsi="Arial" w:cs="Arial"/>
                <w:b/>
              </w:rPr>
            </w:pPr>
            <w:r>
              <w:rPr>
                <w:rFonts w:ascii="Arial" w:hAnsi="Arial" w:cs="Arial"/>
                <w:b/>
              </w:rPr>
              <w:lastRenderedPageBreak/>
              <w:t>PRIME</w:t>
            </w:r>
          </w:p>
        </w:tc>
        <w:tc>
          <w:tcPr>
            <w:tcW w:w="6189" w:type="dxa"/>
          </w:tcPr>
          <w:p w14:paraId="0110AE91" w14:textId="77777777" w:rsidR="00C40F52" w:rsidRDefault="00C40F52" w:rsidP="00C40F52">
            <w:pPr>
              <w:pStyle w:val="Heading2"/>
              <w:numPr>
                <w:ilvl w:val="0"/>
                <w:numId w:val="0"/>
              </w:numPr>
              <w:spacing w:after="120"/>
              <w:outlineLvl w:val="1"/>
              <w:rPr>
                <w:rFonts w:cs="Arial"/>
              </w:rPr>
            </w:pPr>
            <w:r>
              <w:rPr>
                <w:rFonts w:cs="Arial"/>
              </w:rPr>
              <w:t xml:space="preserve">means the </w:t>
            </w:r>
            <w:r w:rsidRPr="00803544">
              <w:rPr>
                <w:rFonts w:cs="Arial"/>
              </w:rPr>
              <w:t xml:space="preserve">Extended Private Sector Resource Initiative for the Management of the Estate </w:t>
            </w:r>
            <w:r>
              <w:rPr>
                <w:rFonts w:cs="Arial"/>
              </w:rPr>
              <w:t>Contract between the Secretary of State for Work and Pensions and Telereal Trillium dated 27 March 1998 (and expanded on 15 December 2003)</w:t>
            </w:r>
          </w:p>
        </w:tc>
      </w:tr>
      <w:tr w:rsidR="00C40F52" w:rsidRPr="008C5F3B" w14:paraId="1F70BB4E" w14:textId="77777777" w:rsidTr="00C40F52">
        <w:tc>
          <w:tcPr>
            <w:tcW w:w="2110" w:type="dxa"/>
          </w:tcPr>
          <w:p w14:paraId="0A12CDE2" w14:textId="77777777" w:rsidR="00C40F52" w:rsidRDefault="00C40F52" w:rsidP="00C40F52">
            <w:pPr>
              <w:pStyle w:val="NoSpacing"/>
              <w:rPr>
                <w:rFonts w:ascii="Arial" w:hAnsi="Arial" w:cs="Arial"/>
                <w:b/>
              </w:rPr>
            </w:pPr>
            <w:r>
              <w:rPr>
                <w:rFonts w:ascii="Arial" w:hAnsi="Arial" w:cs="Arial"/>
                <w:b/>
              </w:rPr>
              <w:t>Services</w:t>
            </w:r>
          </w:p>
        </w:tc>
        <w:tc>
          <w:tcPr>
            <w:tcW w:w="6189" w:type="dxa"/>
          </w:tcPr>
          <w:p w14:paraId="0E70FB98" w14:textId="77777777" w:rsidR="00C40F52" w:rsidRDefault="00C40F52" w:rsidP="00C40F52">
            <w:pPr>
              <w:pStyle w:val="Heading2"/>
              <w:numPr>
                <w:ilvl w:val="0"/>
                <w:numId w:val="0"/>
              </w:numPr>
              <w:spacing w:after="120"/>
              <w:outlineLvl w:val="1"/>
              <w:rPr>
                <w:rFonts w:cs="Arial"/>
              </w:rPr>
            </w:pPr>
            <w:r>
              <w:rPr>
                <w:rFonts w:cs="Arial"/>
              </w:rPr>
              <w:t xml:space="preserve">means the services required from the Supplier under this Contract and as detailed in this Statement of Requirements.  </w:t>
            </w:r>
          </w:p>
        </w:tc>
      </w:tr>
      <w:tr w:rsidR="00C40F52" w:rsidRPr="008C5F3B" w14:paraId="34B73BBA" w14:textId="77777777" w:rsidTr="00C40F52">
        <w:tc>
          <w:tcPr>
            <w:tcW w:w="2110" w:type="dxa"/>
          </w:tcPr>
          <w:p w14:paraId="42CE64F2" w14:textId="77777777" w:rsidR="00C40F52" w:rsidRDefault="00C40F52" w:rsidP="00C40F52">
            <w:pPr>
              <w:pStyle w:val="NoSpacing"/>
              <w:rPr>
                <w:rFonts w:ascii="Arial" w:hAnsi="Arial" w:cs="Arial"/>
                <w:b/>
              </w:rPr>
            </w:pPr>
            <w:r>
              <w:rPr>
                <w:rFonts w:ascii="Arial" w:hAnsi="Arial" w:cs="Arial"/>
                <w:b/>
              </w:rPr>
              <w:t>SIAM</w:t>
            </w:r>
          </w:p>
        </w:tc>
        <w:tc>
          <w:tcPr>
            <w:tcW w:w="6189" w:type="dxa"/>
          </w:tcPr>
          <w:p w14:paraId="030367F1" w14:textId="77777777" w:rsidR="00C40F52" w:rsidRDefault="00C40F52" w:rsidP="00C40F52">
            <w:pPr>
              <w:pStyle w:val="Heading2"/>
              <w:numPr>
                <w:ilvl w:val="0"/>
                <w:numId w:val="0"/>
              </w:numPr>
              <w:spacing w:after="120"/>
              <w:outlineLvl w:val="1"/>
              <w:rPr>
                <w:rFonts w:cs="Arial"/>
              </w:rPr>
            </w:pPr>
            <w:r>
              <w:rPr>
                <w:rFonts w:cs="Arial"/>
              </w:rPr>
              <w:t xml:space="preserve">means </w:t>
            </w:r>
            <w:r>
              <w:t>Service Integration and Management</w:t>
            </w:r>
          </w:p>
        </w:tc>
      </w:tr>
      <w:tr w:rsidR="00C40F52" w:rsidRPr="008C5F3B" w14:paraId="48AD1739" w14:textId="77777777" w:rsidTr="00C40F52">
        <w:tc>
          <w:tcPr>
            <w:tcW w:w="2110" w:type="dxa"/>
          </w:tcPr>
          <w:p w14:paraId="747B2ABB" w14:textId="77777777" w:rsidR="00C40F52" w:rsidRPr="00973120" w:rsidRDefault="00C40F52" w:rsidP="00C40F52">
            <w:pPr>
              <w:pStyle w:val="NoSpacing"/>
              <w:rPr>
                <w:rFonts w:ascii="Arial" w:hAnsi="Arial" w:cs="Arial"/>
                <w:b/>
              </w:rPr>
            </w:pPr>
            <w:r>
              <w:rPr>
                <w:rFonts w:ascii="Arial" w:hAnsi="Arial" w:cs="Arial"/>
                <w:b/>
              </w:rPr>
              <w:t>Supplier</w:t>
            </w:r>
          </w:p>
        </w:tc>
        <w:tc>
          <w:tcPr>
            <w:tcW w:w="6189" w:type="dxa"/>
          </w:tcPr>
          <w:p w14:paraId="342348D0" w14:textId="77777777" w:rsidR="00C40F52" w:rsidRPr="00973120" w:rsidRDefault="00C40F52" w:rsidP="00C40F52">
            <w:pPr>
              <w:pStyle w:val="Heading2"/>
              <w:numPr>
                <w:ilvl w:val="0"/>
                <w:numId w:val="0"/>
              </w:numPr>
              <w:spacing w:after="120"/>
              <w:outlineLvl w:val="1"/>
              <w:rPr>
                <w:rFonts w:cs="Arial"/>
              </w:rPr>
            </w:pPr>
            <w:r w:rsidRPr="00973120">
              <w:rPr>
                <w:rFonts w:cs="Arial"/>
              </w:rPr>
              <w:t xml:space="preserve">means the law firm </w:t>
            </w:r>
            <w:r>
              <w:rPr>
                <w:rFonts w:cs="Arial"/>
              </w:rPr>
              <w:t>that is engaged to provide the S</w:t>
            </w:r>
            <w:r w:rsidRPr="00973120">
              <w:rPr>
                <w:rFonts w:cs="Arial"/>
              </w:rPr>
              <w:t xml:space="preserve">ervices required by the Authority. </w:t>
            </w:r>
          </w:p>
        </w:tc>
      </w:tr>
      <w:tr w:rsidR="00C40F52" w:rsidRPr="008C5F3B" w14:paraId="7CAFDA97" w14:textId="77777777" w:rsidTr="00C40F52">
        <w:tc>
          <w:tcPr>
            <w:tcW w:w="2110" w:type="dxa"/>
          </w:tcPr>
          <w:p w14:paraId="3360C05F" w14:textId="77777777" w:rsidR="00C40F52" w:rsidRPr="00973120" w:rsidRDefault="00C40F52" w:rsidP="00C40F52">
            <w:pPr>
              <w:pStyle w:val="Heading2"/>
              <w:numPr>
                <w:ilvl w:val="0"/>
                <w:numId w:val="0"/>
              </w:numPr>
              <w:spacing w:after="120"/>
              <w:ind w:left="720" w:hanging="720"/>
              <w:outlineLvl w:val="1"/>
            </w:pPr>
            <w:r w:rsidRPr="00973120">
              <w:rPr>
                <w:b/>
              </w:rPr>
              <w:t>The Client</w:t>
            </w:r>
          </w:p>
        </w:tc>
        <w:tc>
          <w:tcPr>
            <w:tcW w:w="6189" w:type="dxa"/>
          </w:tcPr>
          <w:p w14:paraId="21C0CE1C" w14:textId="77777777" w:rsidR="00C40F52" w:rsidRPr="00973120" w:rsidRDefault="00C40F52" w:rsidP="00C40F52">
            <w:pPr>
              <w:pStyle w:val="NoSpacing"/>
              <w:rPr>
                <w:rFonts w:ascii="Arial" w:hAnsi="Arial" w:cs="Arial"/>
              </w:rPr>
            </w:pPr>
            <w:r w:rsidRPr="00973120">
              <w:rPr>
                <w:rFonts w:ascii="Arial" w:hAnsi="Arial" w:cs="Arial"/>
              </w:rPr>
              <w:t>means the departmental (DWP) client contact(s) and relevant Government Legal Department (GLD) lawyer; the GLD lawyer may also be referred to as the Lead Legal Contact</w:t>
            </w:r>
          </w:p>
        </w:tc>
      </w:tr>
    </w:tbl>
    <w:p w14:paraId="0161CB92" w14:textId="213959A5" w:rsidR="00C40F52" w:rsidRPr="008C5F3B" w:rsidRDefault="00C40F52" w:rsidP="0047277D">
      <w:pPr>
        <w:pStyle w:val="Heading1"/>
        <w:keepNext/>
        <w:numPr>
          <w:ilvl w:val="0"/>
          <w:numId w:val="42"/>
        </w:numPr>
        <w:tabs>
          <w:tab w:val="clear" w:pos="720"/>
        </w:tabs>
        <w:overflowPunct w:val="0"/>
        <w:autoSpaceDE w:val="0"/>
        <w:autoSpaceDN w:val="0"/>
        <w:spacing w:before="240" w:after="120"/>
        <w:textAlignment w:val="baseline"/>
        <w:rPr>
          <w:szCs w:val="22"/>
        </w:rPr>
      </w:pPr>
      <w:bookmarkStart w:id="15" w:name="_Toc531702580"/>
      <w:r w:rsidRPr="008C5F3B">
        <w:rPr>
          <w:szCs w:val="22"/>
        </w:rPr>
        <w:t>SCOPE OF REQUIREMENT</w:t>
      </w:r>
      <w:bookmarkEnd w:id="12"/>
      <w:bookmarkEnd w:id="14"/>
      <w:bookmarkEnd w:id="15"/>
      <w:r w:rsidRPr="008C5F3B">
        <w:rPr>
          <w:szCs w:val="22"/>
        </w:rPr>
        <w:t xml:space="preserve"> </w:t>
      </w:r>
    </w:p>
    <w:bookmarkEnd w:id="9"/>
    <w:p w14:paraId="1FCB4522" w14:textId="77777777" w:rsidR="00C40F52" w:rsidRPr="008C5F3B" w:rsidRDefault="00C40F52" w:rsidP="0047277D">
      <w:pPr>
        <w:pStyle w:val="Heading2"/>
        <w:numPr>
          <w:ilvl w:val="1"/>
          <w:numId w:val="42"/>
        </w:numPr>
      </w:pPr>
      <w:r w:rsidRPr="008C5F3B">
        <w:t xml:space="preserve">For the purposes of this commission the </w:t>
      </w:r>
      <w:r>
        <w:t>Supplier</w:t>
      </w:r>
      <w:r w:rsidRPr="008C5F3B">
        <w:t xml:space="preserve">’s focus will be providing extensive legal support as necessary on </w:t>
      </w:r>
      <w:r>
        <w:t xml:space="preserve">the Contract management of the Integrator Agreement and </w:t>
      </w:r>
      <w:r w:rsidRPr="00B67CAD">
        <w:rPr>
          <w:rFonts w:cs="Arial"/>
          <w:szCs w:val="22"/>
        </w:rPr>
        <w:t xml:space="preserve">the </w:t>
      </w:r>
      <w:r>
        <w:rPr>
          <w:rFonts w:cs="Arial"/>
          <w:szCs w:val="22"/>
        </w:rPr>
        <w:t>Authority S</w:t>
      </w:r>
      <w:r w:rsidRPr="00B67CAD">
        <w:rPr>
          <w:rFonts w:cs="Arial"/>
          <w:szCs w:val="22"/>
        </w:rPr>
        <w:t xml:space="preserve">upply </w:t>
      </w:r>
      <w:r>
        <w:rPr>
          <w:rFonts w:cs="Arial"/>
          <w:szCs w:val="22"/>
        </w:rPr>
        <w:t>C</w:t>
      </w:r>
      <w:r w:rsidRPr="00B67CAD">
        <w:rPr>
          <w:rFonts w:cs="Arial"/>
          <w:szCs w:val="22"/>
        </w:rPr>
        <w:t xml:space="preserve">hain </w:t>
      </w:r>
      <w:r>
        <w:rPr>
          <w:rFonts w:cs="Arial"/>
          <w:szCs w:val="22"/>
        </w:rPr>
        <w:t xml:space="preserve">Contracts </w:t>
      </w:r>
      <w:r w:rsidRPr="008C5F3B">
        <w:t>and associated issues</w:t>
      </w:r>
      <w:r>
        <w:t xml:space="preserve">. This includes the re-procurement of the Integrator Agreement and the Authority’s Estate supply chain Contracts upon their expiry or termination (if earlier) and the procurement of services required to support the ETOM. It will also include the provision of commercial property law advice at a strategic level in respect of property matters which arise throughout the Authority’s Estate. </w:t>
      </w:r>
    </w:p>
    <w:p w14:paraId="5427D975" w14:textId="5E341FC7" w:rsidR="00C40F52" w:rsidRDefault="00C40F52" w:rsidP="0047277D">
      <w:pPr>
        <w:pStyle w:val="Heading1"/>
        <w:keepNext/>
        <w:numPr>
          <w:ilvl w:val="0"/>
          <w:numId w:val="42"/>
        </w:numPr>
        <w:spacing w:after="120"/>
      </w:pPr>
      <w:bookmarkStart w:id="16" w:name="_Toc368573031"/>
      <w:bookmarkStart w:id="17" w:name="_Toc531702581"/>
      <w:r w:rsidRPr="008C5F3B">
        <w:t>THE REQUIREMENT</w:t>
      </w:r>
      <w:bookmarkEnd w:id="16"/>
      <w:bookmarkEnd w:id="17"/>
    </w:p>
    <w:p w14:paraId="17CE3403" w14:textId="77777777" w:rsidR="00C40F52" w:rsidRDefault="00C40F52" w:rsidP="0047277D">
      <w:pPr>
        <w:pStyle w:val="Heading2"/>
        <w:numPr>
          <w:ilvl w:val="1"/>
          <w:numId w:val="42"/>
        </w:numPr>
      </w:pPr>
      <w:r>
        <w:t>The services required are likely to focus primarily on issues which arise in relation to the Integrator Agreement, although legal advice and support may also be required in respect of the Authority Supply Chain Contracts. It will be important that the Supplier has a sound knowledge of service integration Contracting across sectors including the issues and the risks that may arise in relation to ensuring that all of the service towers function together coherently and in relation to the Integrator.</w:t>
      </w:r>
    </w:p>
    <w:p w14:paraId="5CAE126E" w14:textId="77777777" w:rsidR="00C40F52" w:rsidRDefault="00C40F52" w:rsidP="0047277D">
      <w:pPr>
        <w:pStyle w:val="Heading2"/>
        <w:numPr>
          <w:ilvl w:val="1"/>
          <w:numId w:val="42"/>
        </w:numPr>
      </w:pPr>
      <w:r>
        <w:t>The new legal services provider will be expected to provide a wide range of Contract and commercial legal services to support the ETOM, primarily including but not limited to the following areas:</w:t>
      </w:r>
    </w:p>
    <w:p w14:paraId="1D0600C5" w14:textId="77777777" w:rsidR="00C40F52" w:rsidRDefault="00C40F52" w:rsidP="0047277D">
      <w:pPr>
        <w:pStyle w:val="Heading3"/>
        <w:numPr>
          <w:ilvl w:val="2"/>
          <w:numId w:val="42"/>
        </w:numPr>
      </w:pPr>
      <w:r>
        <w:rPr>
          <w:b/>
        </w:rPr>
        <w:t>Contract</w:t>
      </w:r>
      <w:r w:rsidRPr="001C0D5D">
        <w:rPr>
          <w:b/>
        </w:rPr>
        <w:t xml:space="preserve"> Law:</w:t>
      </w:r>
      <w:r>
        <w:t xml:space="preserve"> To advise on all aspects of Contract law relating to the ETOM along with any other associated commercial arrangements, including but not limited to advising on the Authority’s rights and obligations under the Integrator Agreement and the Authority Supply Chain Contracts.</w:t>
      </w:r>
      <w:r w:rsidRPr="00AE47AC">
        <w:t xml:space="preserve"> </w:t>
      </w:r>
      <w:r>
        <w:t>The Supplier will be required to review and/ or draft Contract notices (such as change requests), and provide additional commercial expertise relating to outsourcing arrangements and the operation of SIAM Contracts, the Model Services Contract, JCT &amp; NEC3 &amp; NEC4 Suite Contracts and CCS framework agreements;</w:t>
      </w:r>
      <w:r w:rsidRPr="003D2ABE">
        <w:t xml:space="preserve"> </w:t>
      </w:r>
      <w:r>
        <w:t>and where requested, participation</w:t>
      </w:r>
      <w:r w:rsidRPr="003D2ABE">
        <w:t xml:space="preserve"> in formal and informal engagement with the current </w:t>
      </w:r>
      <w:r>
        <w:t>Contract</w:t>
      </w:r>
      <w:r w:rsidRPr="003D2ABE">
        <w:t>ors</w:t>
      </w:r>
      <w:r>
        <w:t>, including negotiations.</w:t>
      </w:r>
    </w:p>
    <w:p w14:paraId="0A58543F" w14:textId="77777777" w:rsidR="00C40F52" w:rsidRDefault="00C40F52" w:rsidP="0047277D">
      <w:pPr>
        <w:pStyle w:val="Heading3"/>
        <w:numPr>
          <w:ilvl w:val="2"/>
          <w:numId w:val="42"/>
        </w:numPr>
      </w:pPr>
      <w:r w:rsidRPr="001C0D5D">
        <w:rPr>
          <w:b/>
        </w:rPr>
        <w:t>Public Procurement Law</w:t>
      </w:r>
      <w:r>
        <w:t xml:space="preserve">: To advise and support on all aspects of public procurement law including the application of the Public Contracts Regulations 2015 and EU public procurement law (insofar </w:t>
      </w:r>
      <w:r>
        <w:lastRenderedPageBreak/>
        <w:t>as it will be applicable) and end-to-end support on any procurement exercises relating to ETOM. In addition, the Potential Provider will be expected to identify and advise on other legal and regulatory matters, where relevant, such as state aid concerns.</w:t>
      </w:r>
    </w:p>
    <w:p w14:paraId="79A49DB8" w14:textId="77777777" w:rsidR="00C40F52" w:rsidRDefault="00C40F52" w:rsidP="0047277D">
      <w:pPr>
        <w:pStyle w:val="Heading3"/>
        <w:numPr>
          <w:ilvl w:val="2"/>
          <w:numId w:val="42"/>
        </w:numPr>
      </w:pPr>
      <w:r w:rsidRPr="005B31EE">
        <w:rPr>
          <w:b/>
        </w:rPr>
        <w:t>Strategic Property Advice</w:t>
      </w:r>
      <w:r w:rsidRPr="005B31EE">
        <w:t>:</w:t>
      </w:r>
      <w:r>
        <w:t xml:space="preserve"> Support and advice on commercial property law in respect of wider strategic estate issues arising across GB (i.e. England, Wales and Scotland) (but not BAU advice) as required. For example the majority of leases are for 10 years, with a five year break, the majority occurring at the same time, and therefore the strategy and process to be adopted on exercise of break clauses/renewals, 1954 Act claims may need to be developed. Much of the Authority estate is held under the terms of a model lease, which will probably need to be updated for renewal. Potentially advising on the strategy and process for dealing with dilapidations claims/interim claims for disrepair.  Advising on any strategy/process consequent on any changes in the law which affect the estate (for example environmental issues or any changes in policy in relation to the HMG estate).  It may be necessary to develop a high level awareness of the former Private Finance Initiative (PFI) Contract (PRIME) in the event of any Contractual disputes which may arise in the future with the former supplier in relation to the performance of their obligations under the PRIME Contract.</w:t>
      </w:r>
      <w:r w:rsidRPr="00D47B8C">
        <w:t xml:space="preserve"> </w:t>
      </w:r>
      <w:r>
        <w:t xml:space="preserve">Support and advice may also potentially be required for property litigation disputes of significant value and/ or strategic significance. In the provision of the above strategic property advice, the Supplier will be expected to work closely with the property legal services provider and LLM services provider as mentioned in section 6.5. </w:t>
      </w:r>
    </w:p>
    <w:p w14:paraId="3B439BD2" w14:textId="77777777" w:rsidR="00C40F52" w:rsidRDefault="00C40F52" w:rsidP="0047277D">
      <w:pPr>
        <w:pStyle w:val="Heading2"/>
        <w:numPr>
          <w:ilvl w:val="1"/>
          <w:numId w:val="42"/>
        </w:numPr>
      </w:pPr>
      <w:r>
        <w:t>Other areas where advice may be required are as follows:</w:t>
      </w:r>
    </w:p>
    <w:p w14:paraId="2BBDAA6C" w14:textId="77777777" w:rsidR="00C40F52" w:rsidRDefault="00C40F52" w:rsidP="0047277D">
      <w:pPr>
        <w:pStyle w:val="Heading3"/>
        <w:numPr>
          <w:ilvl w:val="2"/>
          <w:numId w:val="42"/>
        </w:numPr>
      </w:pPr>
      <w:r w:rsidRPr="001C0D5D">
        <w:rPr>
          <w:b/>
        </w:rPr>
        <w:t>Information and data protection law</w:t>
      </w:r>
      <w:r>
        <w:t>: All aspects of law surrounding the use and control of information by public and private bodies, including the application of the General Data Protection Act 2018 (GDPR), Freedom of Information Act (FOIA) and Environmental Information Regulation (EIR);</w:t>
      </w:r>
    </w:p>
    <w:p w14:paraId="263FB0A0" w14:textId="77777777" w:rsidR="00C40F52" w:rsidRDefault="00C40F52" w:rsidP="0047277D">
      <w:pPr>
        <w:pStyle w:val="Heading3"/>
        <w:numPr>
          <w:ilvl w:val="2"/>
          <w:numId w:val="42"/>
        </w:numPr>
      </w:pPr>
      <w:r w:rsidRPr="001C0D5D">
        <w:rPr>
          <w:b/>
        </w:rPr>
        <w:t>Dispute Resolution and Handling</w:t>
      </w:r>
      <w:r>
        <w:t>: Support in relation to the handling of any disputes which arise under the Integrator Agreement or Authority Supply Chain Contracts and potentially also under the former PFI PRIME Contract;</w:t>
      </w:r>
    </w:p>
    <w:p w14:paraId="7467B739" w14:textId="77777777" w:rsidR="00C40F52" w:rsidRDefault="00C40F52" w:rsidP="0047277D">
      <w:pPr>
        <w:pStyle w:val="Heading3"/>
        <w:numPr>
          <w:ilvl w:val="2"/>
          <w:numId w:val="42"/>
        </w:numPr>
      </w:pPr>
      <w:r w:rsidRPr="001C0D5D">
        <w:rPr>
          <w:b/>
        </w:rPr>
        <w:t>Pensions Law</w:t>
      </w:r>
      <w:r>
        <w:t>: Advice and support on any pension related issues including relevant policies and guidance such as Fair Deal and New Fair Deal;</w:t>
      </w:r>
    </w:p>
    <w:p w14:paraId="49ED0263" w14:textId="77777777" w:rsidR="00C40F52" w:rsidRDefault="00C40F52" w:rsidP="0047277D">
      <w:pPr>
        <w:pStyle w:val="Heading3"/>
        <w:numPr>
          <w:ilvl w:val="2"/>
          <w:numId w:val="42"/>
        </w:numPr>
      </w:pPr>
      <w:r w:rsidRPr="001C0D5D">
        <w:rPr>
          <w:b/>
        </w:rPr>
        <w:t>Restructuring/ Insolvency</w:t>
      </w:r>
      <w:r>
        <w:t>: Advice and support on financial distress situations in respect of ETOM suppliers, including insolvency law and restructuring and contingency planning;</w:t>
      </w:r>
    </w:p>
    <w:p w14:paraId="24817366" w14:textId="77777777" w:rsidR="00C40F52" w:rsidRDefault="00C40F52" w:rsidP="0047277D">
      <w:pPr>
        <w:pStyle w:val="Heading3"/>
        <w:numPr>
          <w:ilvl w:val="2"/>
          <w:numId w:val="42"/>
        </w:numPr>
      </w:pPr>
      <w:r w:rsidRPr="001C0D5D">
        <w:rPr>
          <w:b/>
        </w:rPr>
        <w:t>Corporate Law:</w:t>
      </w:r>
      <w:r>
        <w:t xml:space="preserve"> Support on corporate law issues and corporate finance matters relating to the ETOM; and</w:t>
      </w:r>
    </w:p>
    <w:p w14:paraId="1534C4F5" w14:textId="77777777" w:rsidR="00C40F52" w:rsidRDefault="00C40F52" w:rsidP="0047277D">
      <w:pPr>
        <w:pStyle w:val="Heading2"/>
        <w:numPr>
          <w:ilvl w:val="1"/>
          <w:numId w:val="42"/>
        </w:numPr>
      </w:pPr>
      <w:r>
        <w:lastRenderedPageBreak/>
        <w:t>The Supplier will not be expected to provide advice on public law matters, including judicial review challenges, as GLD lawyers will lead on these areas. Likewise, the new firm will not generally be expected to advise on employment law and TUPE related issues which will usually be provided by the GLD employment team.</w:t>
      </w:r>
    </w:p>
    <w:p w14:paraId="2474A79F" w14:textId="77777777" w:rsidR="00C40F52" w:rsidRDefault="00C40F52" w:rsidP="0047277D">
      <w:pPr>
        <w:pStyle w:val="Heading2"/>
        <w:numPr>
          <w:ilvl w:val="1"/>
          <w:numId w:val="42"/>
        </w:numPr>
      </w:pPr>
      <w:r>
        <w:t>As part of the ETOM the Authority has also appointed a firm (</w:t>
      </w:r>
      <w:r w:rsidRPr="00A82184">
        <w:rPr>
          <w:b/>
        </w:rPr>
        <w:t>Dentons LLP</w:t>
      </w:r>
      <w:r>
        <w:t xml:space="preserve">) to provide property legal services, this is largely for business-as-usual work and will not extend to more strategic property law advice referred to in </w:t>
      </w:r>
      <w:r w:rsidRPr="00AB799F">
        <w:t>paragraph 6.2.3 above</w:t>
      </w:r>
      <w:r>
        <w:t xml:space="preserve">. Where appropriate, the Supplier may be required to work with </w:t>
      </w:r>
      <w:r w:rsidRPr="00D70A7C">
        <w:t>Denton’s LLP</w:t>
      </w:r>
      <w:r>
        <w:t xml:space="preserve"> and LLM provider in respect of implementing any Estate-wide strategies developed as part of the Services.</w:t>
      </w:r>
    </w:p>
    <w:p w14:paraId="2A4F5694" w14:textId="77777777" w:rsidR="00C40F52" w:rsidRDefault="00C40F52" w:rsidP="0047277D">
      <w:pPr>
        <w:pStyle w:val="Heading2"/>
        <w:numPr>
          <w:ilvl w:val="1"/>
          <w:numId w:val="42"/>
        </w:numPr>
      </w:pPr>
      <w:r w:rsidRPr="00404823">
        <w:t xml:space="preserve">The </w:t>
      </w:r>
      <w:r>
        <w:t>Supplier</w:t>
      </w:r>
      <w:r w:rsidRPr="00404823">
        <w:t xml:space="preserve"> may be required to provide incidental legal services as are necessary to support </w:t>
      </w:r>
      <w:r>
        <w:t xml:space="preserve">the ETOM </w:t>
      </w:r>
      <w:r w:rsidRPr="00404823">
        <w:t>o</w:t>
      </w:r>
      <w:r>
        <w:t>n the Authority’s instruction.</w:t>
      </w:r>
    </w:p>
    <w:p w14:paraId="40B9411C" w14:textId="77777777" w:rsidR="00C40F52" w:rsidRDefault="00C40F52" w:rsidP="0047277D">
      <w:pPr>
        <w:pStyle w:val="Heading2"/>
        <w:numPr>
          <w:ilvl w:val="1"/>
          <w:numId w:val="42"/>
        </w:numPr>
      </w:pPr>
      <w:r>
        <w:t>The Supplier may be asked to provide the Authority’s clients with training on specific aspects of the ETOM and other areas which fall within the scope of the Services. Such training may involve workshops, presentations and/ or the production of guidance materials.</w:t>
      </w:r>
    </w:p>
    <w:p w14:paraId="1E03A4BE" w14:textId="77777777" w:rsidR="00C40F52" w:rsidRDefault="00C40F52" w:rsidP="0047277D">
      <w:pPr>
        <w:pStyle w:val="Heading2"/>
        <w:numPr>
          <w:ilvl w:val="1"/>
          <w:numId w:val="42"/>
        </w:numPr>
      </w:pPr>
      <w:r>
        <w:t>The supplier will be required to Host</w:t>
      </w:r>
      <w:r w:rsidRPr="00587CAD">
        <w:t>, maintain and manag</w:t>
      </w:r>
      <w:r>
        <w:t>e</w:t>
      </w:r>
      <w:r w:rsidRPr="00587CAD">
        <w:t xml:space="preserve"> a secure Cloud-based filing system which is populated with the ETOM </w:t>
      </w:r>
      <w:r>
        <w:t>Contract</w:t>
      </w:r>
      <w:r w:rsidRPr="00587CAD">
        <w:t xml:space="preserve">s and associated documentation, (such as Deeds of Variation, Change Requests, </w:t>
      </w:r>
      <w:r>
        <w:t>Contract</w:t>
      </w:r>
      <w:r w:rsidRPr="00587CAD">
        <w:t>ual notices and procurement documentation), all substantive legal advice produced by the Supplier, User Guides and property-related documentation. The Cloud-based system will need to be accessible to the Authority and GLD clients and, as such, will need to be compatible with the Authority’s IT systems.</w:t>
      </w:r>
    </w:p>
    <w:p w14:paraId="0CD3D123" w14:textId="62D5726B" w:rsidR="00C40F52" w:rsidRPr="008C5F3B" w:rsidRDefault="00C40F52" w:rsidP="0047277D">
      <w:pPr>
        <w:pStyle w:val="Heading1"/>
        <w:keepNext/>
        <w:numPr>
          <w:ilvl w:val="0"/>
          <w:numId w:val="42"/>
        </w:numPr>
        <w:spacing w:after="120"/>
      </w:pPr>
      <w:bookmarkStart w:id="18" w:name="_Toc368573032"/>
      <w:bookmarkStart w:id="19" w:name="_Toc531702582"/>
      <w:r w:rsidRPr="008C5F3B">
        <w:t>KEY MILESTONES</w:t>
      </w:r>
      <w:bookmarkEnd w:id="18"/>
      <w:bookmarkEnd w:id="19"/>
    </w:p>
    <w:p w14:paraId="350AE376" w14:textId="77777777" w:rsidR="00C40F52" w:rsidRDefault="00C40F52" w:rsidP="0047277D">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szCs w:val="22"/>
        </w:rPr>
      </w:pPr>
      <w:r>
        <w:rPr>
          <w:rFonts w:cs="Arial"/>
          <w:szCs w:val="22"/>
        </w:rPr>
        <w:t xml:space="preserve">The Supplier will be required to have the Cloud-based document filing system as referred to in paragraph 6.8 operational and accessible to GLD lawyers and Authority clients within 3-months from the Contract commencement date. </w:t>
      </w:r>
    </w:p>
    <w:p w14:paraId="7DC50519" w14:textId="3F422221" w:rsidR="00C40F52" w:rsidRDefault="00C40F52" w:rsidP="0047277D">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szCs w:val="22"/>
        </w:rPr>
      </w:pPr>
      <w:r>
        <w:rPr>
          <w:rFonts w:cs="Arial"/>
          <w:szCs w:val="22"/>
        </w:rPr>
        <w:t xml:space="preserve">The Supplier will be required to host an implementation meeting with GLD lawyers and DWP clients </w:t>
      </w:r>
      <w:r w:rsidR="006E2488">
        <w:rPr>
          <w:rFonts w:cs="Arial"/>
          <w:szCs w:val="22"/>
        </w:rPr>
        <w:t>within 1 week of the contract commencement date.</w:t>
      </w:r>
    </w:p>
    <w:p w14:paraId="0A618B1E" w14:textId="77777777" w:rsidR="00C40F52" w:rsidRPr="008C5F3B" w:rsidRDefault="00C40F52" w:rsidP="0047277D">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szCs w:val="22"/>
        </w:rPr>
      </w:pPr>
      <w:r>
        <w:rPr>
          <w:rFonts w:cs="Arial"/>
          <w:szCs w:val="22"/>
        </w:rPr>
        <w:t xml:space="preserve">Subject to the above, there are currently no other key </w:t>
      </w:r>
      <w:r w:rsidRPr="008C5F3B">
        <w:rPr>
          <w:rFonts w:cs="Arial"/>
          <w:szCs w:val="22"/>
        </w:rPr>
        <w:t>milestones</w:t>
      </w:r>
      <w:r>
        <w:rPr>
          <w:rFonts w:cs="Arial"/>
          <w:szCs w:val="22"/>
        </w:rPr>
        <w:t xml:space="preserve"> and advice and support will be requested as and when required and subject to specific deadlines.</w:t>
      </w:r>
    </w:p>
    <w:p w14:paraId="5B22BB43" w14:textId="77777777" w:rsidR="00C40F52" w:rsidRPr="008C5F3B" w:rsidRDefault="00C40F52" w:rsidP="00C40F52">
      <w:pPr>
        <w:pStyle w:val="NoSpacing"/>
      </w:pPr>
      <w:bookmarkStart w:id="20" w:name="_Toc302637211"/>
    </w:p>
    <w:p w14:paraId="5E76F079" w14:textId="41036F2D" w:rsidR="00C40F52" w:rsidRPr="008C5F3B" w:rsidRDefault="00C40F52" w:rsidP="0047277D">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Cs w:val="22"/>
        </w:rPr>
      </w:pPr>
      <w:bookmarkStart w:id="21" w:name="_Toc531702583"/>
      <w:bookmarkStart w:id="22" w:name="_Toc368573033"/>
      <w:r w:rsidRPr="008C5F3B">
        <w:rPr>
          <w:rFonts w:cs="Arial"/>
          <w:szCs w:val="22"/>
        </w:rPr>
        <w:t>AUTHORITY’S RESPONSIBILITIES</w:t>
      </w:r>
      <w:bookmarkEnd w:id="21"/>
    </w:p>
    <w:p w14:paraId="13F44AD2" w14:textId="77777777" w:rsidR="00C40F52" w:rsidRPr="008C5F3B" w:rsidRDefault="00C40F52" w:rsidP="0047277D">
      <w:pPr>
        <w:pStyle w:val="Heading2"/>
        <w:numPr>
          <w:ilvl w:val="1"/>
          <w:numId w:val="42"/>
        </w:numPr>
        <w:tabs>
          <w:tab w:val="clear" w:pos="720"/>
          <w:tab w:val="num" w:pos="1146"/>
        </w:tabs>
      </w:pPr>
      <w:r w:rsidRPr="008C5F3B">
        <w:t xml:space="preserve">The Authority will provide the </w:t>
      </w:r>
      <w:r>
        <w:t>Supplier</w:t>
      </w:r>
      <w:r w:rsidRPr="008C5F3B">
        <w:t xml:space="preserve"> with such information as is necessary to enable deliver</w:t>
      </w:r>
      <w:r>
        <w:t xml:space="preserve">y of the service requirements. </w:t>
      </w:r>
      <w:r w:rsidRPr="008C5F3B">
        <w:t xml:space="preserve">This may include but is not limited to: </w:t>
      </w:r>
    </w:p>
    <w:p w14:paraId="1DE70D3E" w14:textId="77777777" w:rsidR="00C40F52" w:rsidRDefault="00C40F52" w:rsidP="0047277D">
      <w:pPr>
        <w:pStyle w:val="Heading3"/>
        <w:numPr>
          <w:ilvl w:val="2"/>
          <w:numId w:val="42"/>
        </w:numPr>
        <w:tabs>
          <w:tab w:val="num" w:pos="6751"/>
        </w:tabs>
      </w:pPr>
      <w:r>
        <w:t>C</w:t>
      </w:r>
      <w:r w:rsidRPr="008C5F3B">
        <w:t xml:space="preserve">urrent </w:t>
      </w:r>
      <w:r>
        <w:t>Contracts and associated documentation;</w:t>
      </w:r>
    </w:p>
    <w:p w14:paraId="43F3CAC8" w14:textId="77777777" w:rsidR="00C40F52" w:rsidRPr="008C5F3B" w:rsidRDefault="00C40F52" w:rsidP="0047277D">
      <w:pPr>
        <w:pStyle w:val="Heading3"/>
        <w:numPr>
          <w:ilvl w:val="2"/>
          <w:numId w:val="42"/>
        </w:numPr>
        <w:tabs>
          <w:tab w:val="num" w:pos="6751"/>
        </w:tabs>
      </w:pPr>
      <w:r>
        <w:t xml:space="preserve">Property documentation relating to the Authority Estate (such as Deeds), </w:t>
      </w:r>
    </w:p>
    <w:p w14:paraId="7AB72A87" w14:textId="77777777" w:rsidR="00C40F52" w:rsidRPr="008C5F3B" w:rsidRDefault="00C40F52" w:rsidP="0047277D">
      <w:pPr>
        <w:pStyle w:val="Heading3"/>
        <w:numPr>
          <w:ilvl w:val="2"/>
          <w:numId w:val="42"/>
        </w:numPr>
        <w:tabs>
          <w:tab w:val="num" w:pos="6751"/>
        </w:tabs>
      </w:pPr>
      <w:r>
        <w:t>P</w:t>
      </w:r>
      <w:r w:rsidRPr="008C5F3B">
        <w:t xml:space="preserve">olicy concerns or mandatory policy requirements that apply to the Authority. </w:t>
      </w:r>
    </w:p>
    <w:p w14:paraId="5FE76F02" w14:textId="77777777" w:rsidR="00C40F52" w:rsidRPr="008C5F3B" w:rsidRDefault="00C40F52" w:rsidP="00C40F52">
      <w:pPr>
        <w:pStyle w:val="Heading3"/>
        <w:numPr>
          <w:ilvl w:val="0"/>
          <w:numId w:val="0"/>
        </w:numPr>
        <w:ind w:left="709" w:hanging="709"/>
      </w:pPr>
      <w:r>
        <w:t>8.2</w:t>
      </w:r>
      <w:r>
        <w:tab/>
      </w:r>
      <w:r w:rsidRPr="008C5F3B">
        <w:t xml:space="preserve">GLD lawyers may provide the </w:t>
      </w:r>
      <w:r>
        <w:t>Supplier</w:t>
      </w:r>
      <w:r w:rsidRPr="008C5F3B">
        <w:t xml:space="preserve"> with such information, guidance or (on occasion) advi</w:t>
      </w:r>
      <w:r>
        <w:t>c</w:t>
      </w:r>
      <w:r w:rsidRPr="008C5F3B">
        <w:t xml:space="preserve">e in order to ensure that the particularities of Government are reflected appropriately in legal advice to the Authority. </w:t>
      </w:r>
      <w:r>
        <w:t>Where appropriate, advice will be risk-</w:t>
      </w:r>
      <w:r>
        <w:lastRenderedPageBreak/>
        <w:t xml:space="preserve">based in line </w:t>
      </w:r>
      <w:r w:rsidRPr="003446B8">
        <w:t>with GLD’s legal risk guidance (July 2015)</w:t>
      </w:r>
      <w:r>
        <w:t>, a copy of which will be provided.</w:t>
      </w:r>
    </w:p>
    <w:p w14:paraId="4C9A8434" w14:textId="411F2E53" w:rsidR="00C40F52" w:rsidRPr="008C5F3B" w:rsidRDefault="00C40F52" w:rsidP="0047277D">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Cs w:val="22"/>
        </w:rPr>
      </w:pPr>
      <w:bookmarkStart w:id="23" w:name="_Toc531702584"/>
      <w:r w:rsidRPr="008C5F3B">
        <w:rPr>
          <w:rFonts w:cs="Arial"/>
          <w:szCs w:val="22"/>
        </w:rPr>
        <w:t>REPORTING</w:t>
      </w:r>
      <w:bookmarkEnd w:id="22"/>
      <w:bookmarkEnd w:id="23"/>
    </w:p>
    <w:p w14:paraId="5ECEAEFB" w14:textId="77777777" w:rsidR="00C40F52" w:rsidRDefault="00C40F52" w:rsidP="0047277D">
      <w:pPr>
        <w:pStyle w:val="Heading2"/>
        <w:numPr>
          <w:ilvl w:val="1"/>
          <w:numId w:val="42"/>
        </w:numPr>
        <w:tabs>
          <w:tab w:val="clear" w:pos="720"/>
          <w:tab w:val="num" w:pos="1146"/>
        </w:tabs>
      </w:pPr>
      <w:r>
        <w:t>The Supplier</w:t>
      </w:r>
      <w:r w:rsidRPr="008C5F3B">
        <w:t xml:space="preserve"> will comply with such reporting requirements as the Authority (acting through the Lead Legal Contact) may require in relation to matter</w:t>
      </w:r>
      <w:r>
        <w:t>s including but not limited to:</w:t>
      </w:r>
    </w:p>
    <w:p w14:paraId="3A1BC932" w14:textId="77777777" w:rsidR="00C40F52" w:rsidRDefault="00C40F52" w:rsidP="0047277D">
      <w:pPr>
        <w:pStyle w:val="Heading3"/>
        <w:numPr>
          <w:ilvl w:val="2"/>
          <w:numId w:val="42"/>
        </w:numPr>
      </w:pPr>
      <w:r>
        <w:t>Weekly</w:t>
      </w:r>
      <w:r w:rsidRPr="008C5F3B">
        <w:t xml:space="preserve"> and, where appropriate, </w:t>
      </w:r>
      <w:r w:rsidRPr="00C50D90">
        <w:rPr>
          <w:i/>
        </w:rPr>
        <w:t>ad hoc</w:t>
      </w:r>
      <w:r w:rsidRPr="008C5F3B">
        <w:t xml:space="preserve"> </w:t>
      </w:r>
      <w:r>
        <w:t xml:space="preserve">catch-up </w:t>
      </w:r>
      <w:r w:rsidRPr="008C5F3B">
        <w:t xml:space="preserve">meetings for the </w:t>
      </w:r>
      <w:r>
        <w:t xml:space="preserve">commercial policy colleagues </w:t>
      </w:r>
      <w:r w:rsidRPr="008C5F3B">
        <w:t>with</w:t>
      </w:r>
      <w:r>
        <w:t xml:space="preserve"> GLD lawyers</w:t>
      </w:r>
      <w:r w:rsidRPr="008C5F3B">
        <w:t xml:space="preserve">, to </w:t>
      </w:r>
      <w:r>
        <w:t>review and advise on active work streams and progress;</w:t>
      </w:r>
    </w:p>
    <w:p w14:paraId="57026039" w14:textId="77777777" w:rsidR="00C40F52" w:rsidRDefault="00C40F52" w:rsidP="0047277D">
      <w:pPr>
        <w:pStyle w:val="Heading3"/>
        <w:numPr>
          <w:ilvl w:val="2"/>
          <w:numId w:val="42"/>
        </w:numPr>
      </w:pPr>
      <w:r>
        <w:t>Monthly meetings with the Lead Legal Contacts to discuss performance generally, areas of wider concern in respect of ETOM, resourcing, pipeline work and Contract administration issues, such as billing;</w:t>
      </w:r>
    </w:p>
    <w:p w14:paraId="11325B7A" w14:textId="77777777" w:rsidR="00C40F52" w:rsidRDefault="00C40F52" w:rsidP="0047277D">
      <w:pPr>
        <w:pStyle w:val="Heading3"/>
        <w:numPr>
          <w:ilvl w:val="2"/>
          <w:numId w:val="42"/>
        </w:numPr>
      </w:pPr>
      <w:r>
        <w:t xml:space="preserve">Ensuring that the internal GLD lawyers (or main contact only) as specified are copied into </w:t>
      </w:r>
      <w:r w:rsidRPr="00002DD5">
        <w:rPr>
          <w:b/>
          <w:u w:val="single"/>
        </w:rPr>
        <w:t>all</w:t>
      </w:r>
      <w:r w:rsidRPr="00002DD5">
        <w:t xml:space="preserve"> legal advice</w:t>
      </w:r>
      <w:r>
        <w:t xml:space="preserve"> when it is provided by the Supplier;</w:t>
      </w:r>
    </w:p>
    <w:p w14:paraId="53EC18F5" w14:textId="77777777" w:rsidR="00C40F52" w:rsidRDefault="00C40F52" w:rsidP="0047277D">
      <w:pPr>
        <w:pStyle w:val="Heading3"/>
        <w:numPr>
          <w:ilvl w:val="2"/>
          <w:numId w:val="42"/>
        </w:numPr>
      </w:pPr>
      <w:r>
        <w:t>Where requested, and as part of the Authority internal governance approval process, the Supplier will be required to provide letters of assurance to GLD in respect of proposed decisions or actions being presented to the Board for approval, highlighting any legal risks in accordance with GLD’s legal risk guidance (July 2015);</w:t>
      </w:r>
    </w:p>
    <w:p w14:paraId="23864D57" w14:textId="77777777" w:rsidR="00C40F52" w:rsidRDefault="00C40F52" w:rsidP="0047277D">
      <w:pPr>
        <w:pStyle w:val="Heading3"/>
        <w:numPr>
          <w:ilvl w:val="2"/>
          <w:numId w:val="42"/>
        </w:numPr>
      </w:pPr>
      <w:r>
        <w:t>Hosting, maintaining and managing a secure Cloud-based filing system which is populated with the ETOM Contracts and associated documentation, (such as Deeds of Variation, Change Requests, Contractual notices and procurement documentation), all substantive legal advice produced by the Supplier, User Guides and property-related documentation. The Cloud-based system will need to be accessible to the Authority and GLD clients and, as such, will need to be designed in a way which is compatible with the Authority’s IT systems.</w:t>
      </w:r>
    </w:p>
    <w:p w14:paraId="7251D061" w14:textId="77777777" w:rsidR="00C40F52" w:rsidRDefault="00C40F52" w:rsidP="0047277D">
      <w:pPr>
        <w:pStyle w:val="Heading3"/>
        <w:numPr>
          <w:ilvl w:val="2"/>
          <w:numId w:val="42"/>
        </w:numPr>
        <w:tabs>
          <w:tab w:val="num" w:pos="6751"/>
        </w:tabs>
      </w:pPr>
      <w:r w:rsidRPr="00DF498C">
        <w:rPr>
          <w:u w:val="single"/>
        </w:rPr>
        <w:t xml:space="preserve">Financial reporting </w:t>
      </w:r>
      <w:r w:rsidRPr="00DF498C">
        <w:t>in the following manner:</w:t>
      </w:r>
    </w:p>
    <w:p w14:paraId="47B407E8" w14:textId="77777777" w:rsidR="00C40F52" w:rsidRPr="00DF498C" w:rsidRDefault="00C40F52" w:rsidP="0047277D">
      <w:pPr>
        <w:pStyle w:val="Heading4"/>
        <w:numPr>
          <w:ilvl w:val="3"/>
          <w:numId w:val="42"/>
        </w:numPr>
      </w:pPr>
      <w:r>
        <w:t>The Supplier must provide the Authority</w:t>
      </w:r>
      <w:r w:rsidRPr="008C5F3B">
        <w:t xml:space="preserve"> (acting through the specifically designated</w:t>
      </w:r>
      <w:r>
        <w:t xml:space="preserve"> </w:t>
      </w:r>
      <w:r w:rsidRPr="008C5F3B">
        <w:t xml:space="preserve">contact) with </w:t>
      </w:r>
      <w:r>
        <w:t xml:space="preserve">monthly work in progress (WIP) reports which include </w:t>
      </w:r>
      <w:r w:rsidRPr="008C5F3B">
        <w:t>itemised schedules of the charges incurred to date</w:t>
      </w:r>
      <w:r>
        <w:t xml:space="preserve"> that will be billed to the client and at a level of detail as required by the client.</w:t>
      </w:r>
    </w:p>
    <w:p w14:paraId="60A0340F" w14:textId="2A174290" w:rsidR="00C40F52" w:rsidRPr="008C5F3B" w:rsidRDefault="00C40F52" w:rsidP="0047277D">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Cs w:val="22"/>
        </w:rPr>
      </w:pPr>
      <w:bookmarkStart w:id="24" w:name="_Toc368573034"/>
      <w:bookmarkStart w:id="25" w:name="_Toc531702585"/>
      <w:r w:rsidRPr="008C5F3B">
        <w:rPr>
          <w:rFonts w:cs="Arial"/>
          <w:szCs w:val="22"/>
        </w:rPr>
        <w:t>VOLUMES</w:t>
      </w:r>
      <w:bookmarkEnd w:id="24"/>
      <w:bookmarkEnd w:id="25"/>
    </w:p>
    <w:p w14:paraId="7CFA090C" w14:textId="77777777" w:rsidR="00C40F52" w:rsidRDefault="00C40F52" w:rsidP="0047277D">
      <w:pPr>
        <w:pStyle w:val="Heading2"/>
        <w:numPr>
          <w:ilvl w:val="1"/>
          <w:numId w:val="42"/>
        </w:numPr>
      </w:pPr>
      <w:r w:rsidRPr="008C5F3B">
        <w:t xml:space="preserve">This engagement will require timely delivery of </w:t>
      </w:r>
      <w:r>
        <w:t xml:space="preserve">advice and drafting of Contractual/ procurement-related documentation </w:t>
      </w:r>
      <w:r w:rsidRPr="008C5F3B">
        <w:t>to support the Authority’s needs and while it is not possible to provide an indicative amount of</w:t>
      </w:r>
      <w:r>
        <w:t xml:space="preserve"> work</w:t>
      </w:r>
      <w:r w:rsidRPr="008C5F3B">
        <w:t xml:space="preserve">, the </w:t>
      </w:r>
      <w:r>
        <w:t>Supplier</w:t>
      </w:r>
      <w:r w:rsidRPr="008C5F3B">
        <w:t xml:space="preserve"> should demonstrate its ability to scale legal resources appropriately to ensure timely delivery of </w:t>
      </w:r>
      <w:r>
        <w:t>Contract</w:t>
      </w:r>
      <w:r w:rsidRPr="008C5F3B">
        <w:t xml:space="preserve"> requirements while also maintaining an appropriate balance between such scaling and the cost of legal services to the Authority.</w:t>
      </w:r>
      <w:r>
        <w:t xml:space="preserve"> </w:t>
      </w:r>
    </w:p>
    <w:p w14:paraId="1F3A1D41" w14:textId="58A08DFB" w:rsidR="00C40F52" w:rsidRPr="004744C5" w:rsidRDefault="00C40F52" w:rsidP="0047277D">
      <w:pPr>
        <w:pStyle w:val="Heading2"/>
        <w:numPr>
          <w:ilvl w:val="1"/>
          <w:numId w:val="42"/>
        </w:numPr>
        <w:spacing w:after="120"/>
        <w:ind w:left="709" w:hanging="709"/>
      </w:pPr>
      <w:r>
        <w:lastRenderedPageBreak/>
        <w:t>As this is a call-off Contract volumes of work cannot be guaranteed. However, t</w:t>
      </w:r>
      <w:r w:rsidRPr="004744C5">
        <w:t xml:space="preserve">he </w:t>
      </w:r>
      <w:r w:rsidR="00415774">
        <w:t xml:space="preserve">budget for this requirement is </w:t>
      </w:r>
      <w:r w:rsidR="00415774" w:rsidRPr="00415774">
        <w:rPr>
          <w:rFonts w:cs="Arial"/>
          <w:b/>
          <w:szCs w:val="22"/>
        </w:rPr>
        <w:t>[Redacted]</w:t>
      </w:r>
      <w:r w:rsidRPr="004744C5">
        <w:t xml:space="preserve"> (ex VAT) and </w:t>
      </w:r>
      <w:r>
        <w:t xml:space="preserve">this may offer an indication of the expected volumes. </w:t>
      </w:r>
      <w:r w:rsidRPr="004744C5">
        <w:t xml:space="preserve">A breakdown of the budget allocated for each year of the </w:t>
      </w:r>
      <w:r>
        <w:t>Contract</w:t>
      </w:r>
      <w:r w:rsidRPr="004744C5">
        <w:t xml:space="preserve"> assuming that the options to extend (insofar as they are available) are exercised in full is set out below:- </w:t>
      </w:r>
    </w:p>
    <w:p w14:paraId="56BF0DC0" w14:textId="63E6699F" w:rsidR="00C40F52" w:rsidRPr="004744C5" w:rsidRDefault="00415774" w:rsidP="0047277D">
      <w:pPr>
        <w:numPr>
          <w:ilvl w:val="2"/>
          <w:numId w:val="52"/>
        </w:numPr>
        <w:overflowPunct/>
        <w:autoSpaceDE/>
        <w:autoSpaceDN/>
        <w:spacing w:line="240" w:lineRule="auto"/>
        <w:textAlignment w:val="auto"/>
        <w:outlineLvl w:val="2"/>
        <w:rPr>
          <w:rFonts w:eastAsia="STZhongsong"/>
        </w:rPr>
      </w:pPr>
      <w:r w:rsidRPr="00415774">
        <w:rPr>
          <w:rFonts w:cs="Arial"/>
          <w:b/>
          <w:szCs w:val="22"/>
        </w:rPr>
        <w:t>[Redacted]</w:t>
      </w:r>
    </w:p>
    <w:p w14:paraId="5A1FEF37" w14:textId="77777777" w:rsidR="00415774" w:rsidRPr="00415774" w:rsidRDefault="00415774" w:rsidP="0047277D">
      <w:pPr>
        <w:numPr>
          <w:ilvl w:val="2"/>
          <w:numId w:val="52"/>
        </w:numPr>
        <w:overflowPunct/>
        <w:autoSpaceDE/>
        <w:autoSpaceDN/>
        <w:spacing w:line="240" w:lineRule="auto"/>
        <w:textAlignment w:val="auto"/>
        <w:outlineLvl w:val="2"/>
        <w:rPr>
          <w:rFonts w:eastAsia="STZhongsong"/>
        </w:rPr>
      </w:pPr>
      <w:r w:rsidRPr="00415774">
        <w:rPr>
          <w:rFonts w:cs="Arial"/>
          <w:b/>
          <w:szCs w:val="22"/>
        </w:rPr>
        <w:t>[Redacted]</w:t>
      </w:r>
    </w:p>
    <w:p w14:paraId="4B33D546" w14:textId="77777777" w:rsidR="00415774" w:rsidRPr="00415774" w:rsidRDefault="00415774" w:rsidP="0047277D">
      <w:pPr>
        <w:numPr>
          <w:ilvl w:val="2"/>
          <w:numId w:val="52"/>
        </w:numPr>
        <w:overflowPunct/>
        <w:autoSpaceDE/>
        <w:autoSpaceDN/>
        <w:spacing w:line="240" w:lineRule="auto"/>
        <w:textAlignment w:val="auto"/>
        <w:outlineLvl w:val="2"/>
        <w:rPr>
          <w:rFonts w:eastAsia="STZhongsong"/>
        </w:rPr>
      </w:pPr>
      <w:r w:rsidRPr="00415774">
        <w:rPr>
          <w:rFonts w:cs="Arial"/>
          <w:b/>
          <w:szCs w:val="22"/>
        </w:rPr>
        <w:t>[Redacted]</w:t>
      </w:r>
    </w:p>
    <w:p w14:paraId="0FD59418" w14:textId="24B64B30" w:rsidR="00C40F52" w:rsidRPr="005F51E0" w:rsidRDefault="00415774" w:rsidP="0047277D">
      <w:pPr>
        <w:numPr>
          <w:ilvl w:val="2"/>
          <w:numId w:val="52"/>
        </w:numPr>
        <w:overflowPunct/>
        <w:autoSpaceDE/>
        <w:autoSpaceDN/>
        <w:spacing w:line="240" w:lineRule="auto"/>
        <w:textAlignment w:val="auto"/>
        <w:outlineLvl w:val="2"/>
        <w:rPr>
          <w:rFonts w:eastAsia="STZhongsong"/>
        </w:rPr>
      </w:pPr>
      <w:r w:rsidRPr="00415774">
        <w:rPr>
          <w:rFonts w:cs="Arial"/>
          <w:b/>
          <w:szCs w:val="22"/>
        </w:rPr>
        <w:t>[Redacted]</w:t>
      </w:r>
    </w:p>
    <w:p w14:paraId="0F9F1A51" w14:textId="0686ED22" w:rsidR="00C40F52" w:rsidRPr="008C5F3B" w:rsidRDefault="00C40F52" w:rsidP="0047277D">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Cs w:val="22"/>
        </w:rPr>
      </w:pPr>
      <w:bookmarkStart w:id="26" w:name="_Toc368573035"/>
      <w:bookmarkStart w:id="27" w:name="_Toc531702586"/>
      <w:r w:rsidRPr="008C5F3B">
        <w:rPr>
          <w:rFonts w:cs="Arial"/>
          <w:szCs w:val="22"/>
        </w:rPr>
        <w:t>CONTINUOUS IMPROVEMENT</w:t>
      </w:r>
      <w:bookmarkEnd w:id="26"/>
      <w:bookmarkEnd w:id="27"/>
    </w:p>
    <w:p w14:paraId="65C14561" w14:textId="77777777" w:rsidR="00C40F52" w:rsidRPr="008C5F3B" w:rsidRDefault="00C40F52" w:rsidP="0047277D">
      <w:pPr>
        <w:pStyle w:val="Heading2"/>
        <w:numPr>
          <w:ilvl w:val="1"/>
          <w:numId w:val="42"/>
        </w:numPr>
        <w:tabs>
          <w:tab w:val="clear" w:pos="720"/>
          <w:tab w:val="num" w:pos="1146"/>
        </w:tabs>
        <w:spacing w:after="120"/>
        <w:ind w:left="709" w:hanging="709"/>
      </w:pPr>
      <w:r w:rsidRPr="008C5F3B">
        <w:t xml:space="preserve">The </w:t>
      </w:r>
      <w:r>
        <w:t>Supplier</w:t>
      </w:r>
      <w:r w:rsidRPr="008C5F3B">
        <w:t xml:space="preserve"> will be expected to improve continually the way in which the required Services are to be delivered throughout the </w:t>
      </w:r>
      <w:r>
        <w:t>Contract</w:t>
      </w:r>
      <w:r w:rsidRPr="008C5F3B">
        <w:t xml:space="preserve"> duration.</w:t>
      </w:r>
    </w:p>
    <w:p w14:paraId="428F7DAB" w14:textId="77777777" w:rsidR="00C40F52" w:rsidRPr="008C5F3B" w:rsidRDefault="00C40F52" w:rsidP="0047277D">
      <w:pPr>
        <w:pStyle w:val="Heading2"/>
        <w:numPr>
          <w:ilvl w:val="1"/>
          <w:numId w:val="42"/>
        </w:numPr>
        <w:tabs>
          <w:tab w:val="clear" w:pos="720"/>
          <w:tab w:val="num" w:pos="1146"/>
        </w:tabs>
        <w:spacing w:after="120"/>
        <w:ind w:left="709" w:hanging="709"/>
      </w:pPr>
      <w:r w:rsidRPr="008C5F3B">
        <w:t xml:space="preserve">The </w:t>
      </w:r>
      <w:r>
        <w:t>Supplier</w:t>
      </w:r>
      <w:r w:rsidRPr="008C5F3B">
        <w:t xml:space="preserve"> should present new ways of w</w:t>
      </w:r>
      <w:r>
        <w:t>orking to the GLD Lead Legal Contact during the monthly Contract</w:t>
      </w:r>
      <w:r w:rsidRPr="008C5F3B">
        <w:t xml:space="preserve"> review meetings. </w:t>
      </w:r>
    </w:p>
    <w:p w14:paraId="15D4E463" w14:textId="77777777" w:rsidR="00C40F52" w:rsidRPr="00973120" w:rsidRDefault="00C40F52" w:rsidP="0047277D">
      <w:pPr>
        <w:pStyle w:val="Heading2"/>
        <w:numPr>
          <w:ilvl w:val="1"/>
          <w:numId w:val="42"/>
        </w:numPr>
        <w:tabs>
          <w:tab w:val="clear" w:pos="720"/>
          <w:tab w:val="num" w:pos="1146"/>
        </w:tabs>
        <w:spacing w:after="120"/>
        <w:ind w:left="709" w:hanging="709"/>
      </w:pPr>
      <w:r w:rsidRPr="008C5F3B">
        <w:t xml:space="preserve">Changes to the way in which the Services are to be delivered must be brought to the </w:t>
      </w:r>
      <w:r w:rsidRPr="00973120">
        <w:t xml:space="preserve">Authority’s attention and agreed </w:t>
      </w:r>
      <w:r w:rsidRPr="00973120">
        <w:rPr>
          <w:b/>
          <w:u w:val="single"/>
        </w:rPr>
        <w:t>prior to</w:t>
      </w:r>
      <w:r w:rsidRPr="00973120">
        <w:t xml:space="preserve"> any changes being implemented.</w:t>
      </w:r>
    </w:p>
    <w:p w14:paraId="234A6695" w14:textId="22B1A195" w:rsidR="00C40F52" w:rsidRPr="00973120" w:rsidRDefault="00C40F52" w:rsidP="0047277D">
      <w:pPr>
        <w:pStyle w:val="Heading1"/>
        <w:keepNext/>
        <w:numPr>
          <w:ilvl w:val="0"/>
          <w:numId w:val="42"/>
        </w:numPr>
      </w:pPr>
      <w:bookmarkStart w:id="28" w:name="_Toc531702587"/>
      <w:r w:rsidRPr="00973120">
        <w:t>SUSTAINABILITY</w:t>
      </w:r>
      <w:bookmarkEnd w:id="28"/>
    </w:p>
    <w:p w14:paraId="784E39F1" w14:textId="77777777" w:rsidR="00C40F52" w:rsidRPr="00973120" w:rsidRDefault="00C40F52" w:rsidP="0047277D">
      <w:pPr>
        <w:pStyle w:val="Heading2"/>
        <w:numPr>
          <w:ilvl w:val="1"/>
          <w:numId w:val="42"/>
        </w:numPr>
      </w:pPr>
      <w:r w:rsidRPr="00973120">
        <w:t>There are no sustainability considerations for this requirement.</w:t>
      </w:r>
    </w:p>
    <w:p w14:paraId="6C11CE41" w14:textId="2A3EEB5B" w:rsidR="00C40F52" w:rsidRPr="00973120" w:rsidRDefault="00C40F52" w:rsidP="0047277D">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Cs w:val="22"/>
        </w:rPr>
      </w:pPr>
      <w:bookmarkStart w:id="29" w:name="_Toc368573036"/>
      <w:bookmarkStart w:id="30" w:name="_Toc531702588"/>
      <w:r w:rsidRPr="00973120">
        <w:rPr>
          <w:rFonts w:cs="Arial"/>
          <w:szCs w:val="22"/>
        </w:rPr>
        <w:t>QUALITY</w:t>
      </w:r>
      <w:bookmarkEnd w:id="29"/>
      <w:bookmarkEnd w:id="30"/>
    </w:p>
    <w:p w14:paraId="02228FA0" w14:textId="77777777" w:rsidR="00C40F52" w:rsidRPr="00973120" w:rsidRDefault="00C40F52" w:rsidP="0047277D">
      <w:pPr>
        <w:pStyle w:val="Heading2"/>
        <w:numPr>
          <w:ilvl w:val="1"/>
          <w:numId w:val="42"/>
        </w:numPr>
        <w:spacing w:after="120"/>
        <w:ind w:left="709" w:hanging="709"/>
      </w:pPr>
      <w:r>
        <w:t xml:space="preserve">The Supplier is required to implement a robust quality management system, assuring that all Customer requested services are delivered consistently and in compliance with all relevant professional and legal standards. </w:t>
      </w:r>
    </w:p>
    <w:p w14:paraId="02EC91EB" w14:textId="77777777" w:rsidR="00C40F52" w:rsidRDefault="00C40F52" w:rsidP="0047277D">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Cs w:val="22"/>
        </w:rPr>
      </w:pPr>
      <w:bookmarkStart w:id="31" w:name="_Toc368573037"/>
      <w:bookmarkStart w:id="32" w:name="_Toc531702589"/>
      <w:r w:rsidRPr="00973120">
        <w:rPr>
          <w:rFonts w:cs="Arial"/>
          <w:szCs w:val="22"/>
        </w:rPr>
        <w:t>PRIC</w:t>
      </w:r>
      <w:r w:rsidRPr="008C5F3B">
        <w:rPr>
          <w:rFonts w:cs="Arial"/>
          <w:szCs w:val="22"/>
        </w:rPr>
        <w:t>E</w:t>
      </w:r>
      <w:bookmarkEnd w:id="31"/>
      <w:bookmarkEnd w:id="32"/>
    </w:p>
    <w:p w14:paraId="48A69EF8" w14:textId="77777777" w:rsidR="00C40F52" w:rsidRDefault="00C40F52" w:rsidP="0047277D">
      <w:pPr>
        <w:pStyle w:val="Heading2"/>
        <w:numPr>
          <w:ilvl w:val="1"/>
          <w:numId w:val="42"/>
        </w:numPr>
        <w:spacing w:after="120"/>
        <w:ind w:left="709" w:hanging="709"/>
      </w:pPr>
      <w:r>
        <w:t xml:space="preserve">This will be a time and materials Contract, and will be capped by a maximum Contract Value. </w:t>
      </w:r>
    </w:p>
    <w:p w14:paraId="3B2D5C38" w14:textId="77777777" w:rsidR="00C40F52" w:rsidRDefault="00C40F52" w:rsidP="0047277D">
      <w:pPr>
        <w:pStyle w:val="Heading2"/>
        <w:numPr>
          <w:ilvl w:val="1"/>
          <w:numId w:val="42"/>
        </w:numPr>
        <w:spacing w:after="120"/>
        <w:ind w:left="709" w:hanging="709"/>
      </w:pPr>
      <w:r>
        <w:t xml:space="preserve">Potential providers must provide hourly and daily rates for the core team members who would undertake work under this Contract. </w:t>
      </w:r>
    </w:p>
    <w:p w14:paraId="56379128" w14:textId="77777777" w:rsidR="00C40F52" w:rsidRDefault="00C40F52" w:rsidP="0047277D">
      <w:pPr>
        <w:pStyle w:val="Heading2"/>
        <w:numPr>
          <w:ilvl w:val="1"/>
          <w:numId w:val="42"/>
        </w:numPr>
        <w:spacing w:after="120"/>
        <w:ind w:left="709" w:hanging="709"/>
      </w:pPr>
      <w:r>
        <w:t xml:space="preserve">Tendered rates shall be valid for the Contract duration, including any extension options. </w:t>
      </w:r>
    </w:p>
    <w:p w14:paraId="2CC889F1" w14:textId="77777777" w:rsidR="00C40F52" w:rsidRPr="008C5F3B" w:rsidRDefault="00C40F52" w:rsidP="0047277D">
      <w:pPr>
        <w:pStyle w:val="Heading2"/>
        <w:numPr>
          <w:ilvl w:val="1"/>
          <w:numId w:val="42"/>
        </w:numPr>
        <w:spacing w:after="120"/>
        <w:ind w:left="709" w:hanging="709"/>
      </w:pPr>
      <w:r w:rsidRPr="008C5F3B">
        <w:t>Pr</w:t>
      </w:r>
      <w:r>
        <w:t>ices are to be submitted via</w:t>
      </w:r>
      <w:r w:rsidRPr="008C5F3B">
        <w:t xml:space="preserve"> </w:t>
      </w:r>
      <w:r>
        <w:t>Appendix E</w:t>
      </w:r>
      <w:r w:rsidRPr="008C5F3B">
        <w:t xml:space="preserve"> </w:t>
      </w:r>
      <w:r>
        <w:t>(ex</w:t>
      </w:r>
      <w:r w:rsidRPr="008C5F3B">
        <w:t xml:space="preserve"> VAT</w:t>
      </w:r>
      <w:r>
        <w:t>)</w:t>
      </w:r>
      <w:r w:rsidRPr="008C5F3B">
        <w:t>.</w:t>
      </w:r>
    </w:p>
    <w:p w14:paraId="2460B74C" w14:textId="77777777" w:rsidR="00C40F52" w:rsidRPr="008C5F3B" w:rsidRDefault="00C40F52" w:rsidP="0047277D">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Cs w:val="22"/>
        </w:rPr>
      </w:pPr>
      <w:bookmarkStart w:id="33" w:name="_Toc368573038"/>
      <w:bookmarkStart w:id="34" w:name="_Toc531702590"/>
      <w:r w:rsidRPr="008C5F3B">
        <w:rPr>
          <w:rFonts w:cs="Arial"/>
          <w:szCs w:val="22"/>
        </w:rPr>
        <w:t>STAFF AND CUSTOMER SERVICE</w:t>
      </w:r>
      <w:bookmarkEnd w:id="33"/>
      <w:bookmarkEnd w:id="34"/>
    </w:p>
    <w:p w14:paraId="2D64A2CC" w14:textId="77777777" w:rsidR="00C40F52" w:rsidRDefault="00C40F52" w:rsidP="0047277D">
      <w:pPr>
        <w:pStyle w:val="Heading2"/>
        <w:numPr>
          <w:ilvl w:val="1"/>
          <w:numId w:val="42"/>
        </w:numPr>
        <w:tabs>
          <w:tab w:val="clear" w:pos="720"/>
          <w:tab w:val="num" w:pos="1146"/>
        </w:tabs>
        <w:spacing w:after="120"/>
        <w:ind w:left="709" w:hanging="709"/>
      </w:pPr>
      <w:r w:rsidRPr="002E7082">
        <w:t>The</w:t>
      </w:r>
      <w:r>
        <w:t xml:space="preserve"> </w:t>
      </w:r>
      <w:r w:rsidRPr="002E7082">
        <w:t xml:space="preserve">Authority requires the </w:t>
      </w:r>
      <w:r>
        <w:t>Supplier</w:t>
      </w:r>
      <w:r w:rsidRPr="002E7082">
        <w:t xml:space="preserve"> to</w:t>
      </w:r>
      <w:r>
        <w:t xml:space="preserve"> provide a sufficient level of resource throughout the duration of this Contract in supporting the ETOM in order to consistently deliver a quality service to all Parties.</w:t>
      </w:r>
    </w:p>
    <w:p w14:paraId="08C62AD4" w14:textId="77777777" w:rsidR="00C40F52" w:rsidRDefault="00C40F52" w:rsidP="0047277D">
      <w:pPr>
        <w:pStyle w:val="Heading2"/>
        <w:numPr>
          <w:ilvl w:val="1"/>
          <w:numId w:val="42"/>
        </w:numPr>
      </w:pPr>
      <w:r>
        <w:t>Supplier’s staff assigned to the</w:t>
      </w:r>
      <w:r w:rsidRPr="006405F3">
        <w:t xml:space="preserve"> Servic</w:t>
      </w:r>
      <w:r>
        <w:t xml:space="preserve">es in support of Contract extensions for the Authority shall have the </w:t>
      </w:r>
      <w:r w:rsidRPr="002E7082">
        <w:t>relevant qualifications and experience to deliver</w:t>
      </w:r>
      <w:r>
        <w:t xml:space="preserve"> the</w:t>
      </w:r>
      <w:r w:rsidRPr="002E7082">
        <w:t xml:space="preserve"> </w:t>
      </w:r>
      <w:r>
        <w:t>Services</w:t>
      </w:r>
      <w:r w:rsidRPr="002E7082">
        <w:t xml:space="preserve">. </w:t>
      </w:r>
    </w:p>
    <w:p w14:paraId="3565BBC4" w14:textId="77777777" w:rsidR="00C40F52" w:rsidRPr="008C5F3B" w:rsidRDefault="00C40F52" w:rsidP="0047277D">
      <w:pPr>
        <w:pStyle w:val="Heading2"/>
        <w:numPr>
          <w:ilvl w:val="1"/>
          <w:numId w:val="42"/>
        </w:numPr>
        <w:spacing w:after="120"/>
        <w:ind w:left="709" w:hanging="709"/>
      </w:pPr>
      <w:r w:rsidRPr="002E7082">
        <w:t xml:space="preserve">The </w:t>
      </w:r>
      <w:r>
        <w:t>Supplier</w:t>
      </w:r>
      <w:r w:rsidRPr="002E7082">
        <w:t xml:space="preserve">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p>
    <w:p w14:paraId="1AE12340" w14:textId="51DEB90C" w:rsidR="00C40F52" w:rsidRPr="008C5F3B" w:rsidRDefault="00C40F52" w:rsidP="0047277D">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Cs w:val="22"/>
        </w:rPr>
      </w:pPr>
      <w:bookmarkStart w:id="35" w:name="_Toc368573039"/>
      <w:bookmarkStart w:id="36" w:name="_Toc531702591"/>
      <w:r w:rsidRPr="008C5F3B">
        <w:rPr>
          <w:rFonts w:cs="Arial"/>
          <w:szCs w:val="22"/>
        </w:rPr>
        <w:lastRenderedPageBreak/>
        <w:t>SERVICE LEVELS AND PERFORMANCE</w:t>
      </w:r>
      <w:bookmarkEnd w:id="35"/>
      <w:bookmarkEnd w:id="36"/>
    </w:p>
    <w:p w14:paraId="4A1207F2" w14:textId="77777777" w:rsidR="00C40F52" w:rsidRPr="008C5F3B" w:rsidRDefault="00C40F52" w:rsidP="0047277D">
      <w:pPr>
        <w:pStyle w:val="Heading2"/>
        <w:numPr>
          <w:ilvl w:val="1"/>
          <w:numId w:val="42"/>
        </w:numPr>
        <w:tabs>
          <w:tab w:val="clear" w:pos="720"/>
          <w:tab w:val="num" w:pos="132"/>
          <w:tab w:val="num" w:pos="862"/>
        </w:tabs>
        <w:overflowPunct w:val="0"/>
        <w:autoSpaceDE w:val="0"/>
        <w:autoSpaceDN w:val="0"/>
        <w:spacing w:after="120"/>
        <w:ind w:left="709" w:hanging="709"/>
        <w:textAlignment w:val="baseline"/>
      </w:pPr>
      <w:r w:rsidRPr="008C5F3B">
        <w:t xml:space="preserve">The Authority will measure the quality of the </w:t>
      </w:r>
      <w:r>
        <w:t>Supplier’s</w:t>
      </w:r>
      <w:r w:rsidRPr="008C5F3B">
        <w:t xml:space="preserve"> delivery by</w:t>
      </w:r>
      <w:r>
        <w:t xml:space="preserve"> using the key performance indicators specified below at the outset of the Contract. The Authority reserves the right to develop further KPI’s / SLA’s in agreement with the Supplier during Contract review meetings. </w:t>
      </w:r>
    </w:p>
    <w:p w14:paraId="30C7A382" w14:textId="77777777" w:rsidR="00C40F52" w:rsidRPr="008C5F3B" w:rsidRDefault="00C40F52" w:rsidP="00C40F52">
      <w:pPr>
        <w:pStyle w:val="Heading3"/>
        <w:numPr>
          <w:ilvl w:val="0"/>
          <w:numId w:val="0"/>
        </w:numPr>
        <w:spacing w:after="120"/>
      </w:pPr>
    </w:p>
    <w:tbl>
      <w:tblPr>
        <w:tblStyle w:val="TableGrid"/>
        <w:tblW w:w="0" w:type="auto"/>
        <w:tblInd w:w="720" w:type="dxa"/>
        <w:tblLook w:val="04A0" w:firstRow="1" w:lastRow="0" w:firstColumn="1" w:lastColumn="0" w:noHBand="0" w:noVBand="1"/>
      </w:tblPr>
      <w:tblGrid>
        <w:gridCol w:w="1771"/>
        <w:gridCol w:w="3827"/>
        <w:gridCol w:w="1890"/>
      </w:tblGrid>
      <w:tr w:rsidR="00C40F52" w:rsidRPr="008C5F3B" w14:paraId="08E2B74F" w14:textId="77777777" w:rsidTr="00C40F52">
        <w:tc>
          <w:tcPr>
            <w:tcW w:w="1771" w:type="dxa"/>
            <w:shd w:val="clear" w:color="auto" w:fill="DBE5F1" w:themeFill="accent1" w:themeFillTint="33"/>
          </w:tcPr>
          <w:p w14:paraId="75D88ED6" w14:textId="77777777" w:rsidR="00C40F52" w:rsidRPr="008C5F3B" w:rsidRDefault="00C40F52" w:rsidP="00C40F52">
            <w:pPr>
              <w:pStyle w:val="Heading2"/>
              <w:numPr>
                <w:ilvl w:val="0"/>
                <w:numId w:val="0"/>
              </w:numPr>
              <w:jc w:val="center"/>
              <w:outlineLvl w:val="1"/>
            </w:pPr>
            <w:r w:rsidRPr="008C5F3B">
              <w:t>Service Area</w:t>
            </w:r>
          </w:p>
        </w:tc>
        <w:tc>
          <w:tcPr>
            <w:tcW w:w="3827" w:type="dxa"/>
            <w:shd w:val="clear" w:color="auto" w:fill="DBE5F1" w:themeFill="accent1" w:themeFillTint="33"/>
          </w:tcPr>
          <w:p w14:paraId="0FEC9511" w14:textId="77777777" w:rsidR="00C40F52" w:rsidRPr="008C5F3B" w:rsidRDefault="00C40F52" w:rsidP="00C40F52">
            <w:pPr>
              <w:pStyle w:val="Heading2"/>
              <w:numPr>
                <w:ilvl w:val="0"/>
                <w:numId w:val="0"/>
              </w:numPr>
              <w:jc w:val="center"/>
              <w:outlineLvl w:val="1"/>
            </w:pPr>
            <w:r>
              <w:t>KPI/SLA D</w:t>
            </w:r>
            <w:r w:rsidRPr="008C5F3B">
              <w:t>escription</w:t>
            </w:r>
          </w:p>
        </w:tc>
        <w:tc>
          <w:tcPr>
            <w:tcW w:w="1890" w:type="dxa"/>
            <w:shd w:val="clear" w:color="auto" w:fill="DBE5F1" w:themeFill="accent1" w:themeFillTint="33"/>
          </w:tcPr>
          <w:p w14:paraId="021F6141" w14:textId="77777777" w:rsidR="00C40F52" w:rsidRPr="008C5F3B" w:rsidRDefault="00C40F52" w:rsidP="00C40F52">
            <w:pPr>
              <w:pStyle w:val="Heading2"/>
              <w:numPr>
                <w:ilvl w:val="0"/>
                <w:numId w:val="0"/>
              </w:numPr>
              <w:jc w:val="center"/>
              <w:outlineLvl w:val="1"/>
            </w:pPr>
            <w:r w:rsidRPr="008C5F3B">
              <w:t>Target</w:t>
            </w:r>
          </w:p>
        </w:tc>
      </w:tr>
      <w:tr w:rsidR="00C40F52" w:rsidRPr="008C5F3B" w14:paraId="460F5E42" w14:textId="77777777" w:rsidTr="00C40F52">
        <w:tc>
          <w:tcPr>
            <w:tcW w:w="1771" w:type="dxa"/>
            <w:vMerge w:val="restart"/>
          </w:tcPr>
          <w:p w14:paraId="7C9F0A1F" w14:textId="77777777" w:rsidR="00C40F52" w:rsidRDefault="00C40F52" w:rsidP="00C40F52">
            <w:pPr>
              <w:pStyle w:val="Heading2"/>
              <w:numPr>
                <w:ilvl w:val="0"/>
                <w:numId w:val="0"/>
              </w:numPr>
              <w:jc w:val="left"/>
              <w:outlineLvl w:val="1"/>
              <w:rPr>
                <w:b/>
              </w:rPr>
            </w:pPr>
            <w:r>
              <w:rPr>
                <w:b/>
              </w:rPr>
              <w:t>Requests for Services and or/ related information</w:t>
            </w:r>
          </w:p>
        </w:tc>
        <w:tc>
          <w:tcPr>
            <w:tcW w:w="3827" w:type="dxa"/>
          </w:tcPr>
          <w:p w14:paraId="7C542F79" w14:textId="77777777" w:rsidR="00C40F52" w:rsidRDefault="00C40F52" w:rsidP="00C40F52">
            <w:pPr>
              <w:pStyle w:val="Heading2"/>
              <w:numPr>
                <w:ilvl w:val="0"/>
                <w:numId w:val="0"/>
              </w:numPr>
              <w:jc w:val="left"/>
              <w:outlineLvl w:val="1"/>
            </w:pPr>
            <w:r>
              <w:t>Initial response to urgent Service request and / or instructions.</w:t>
            </w:r>
            <w:r w:rsidRPr="003F17D1">
              <w:t xml:space="preserve"> </w:t>
            </w:r>
          </w:p>
          <w:p w14:paraId="44AE3F5A" w14:textId="77777777" w:rsidR="00C40F52" w:rsidRDefault="00C40F52" w:rsidP="00C40F52">
            <w:pPr>
              <w:pStyle w:val="Heading2"/>
              <w:numPr>
                <w:ilvl w:val="0"/>
                <w:numId w:val="0"/>
              </w:numPr>
              <w:jc w:val="left"/>
              <w:outlineLvl w:val="1"/>
              <w:rPr>
                <w:rFonts w:cs="Arial"/>
                <w:sz w:val="20"/>
              </w:rPr>
            </w:pPr>
            <w:r>
              <w:t>Response to be provided on the s</w:t>
            </w:r>
            <w:r w:rsidRPr="003F17D1">
              <w:t>ame working day (or next working day if received after 4pm)</w:t>
            </w:r>
            <w:r>
              <w:t xml:space="preserve"> unless agreed otherwise with the Client.</w:t>
            </w:r>
            <w:r w:rsidRPr="009A128A">
              <w:rPr>
                <w:rFonts w:cs="Arial"/>
                <w:sz w:val="20"/>
              </w:rPr>
              <w:t xml:space="preserve">  </w:t>
            </w:r>
          </w:p>
          <w:p w14:paraId="6BC1260D" w14:textId="77777777" w:rsidR="00C40F52" w:rsidRDefault="00C40F52" w:rsidP="00C40F52">
            <w:pPr>
              <w:pStyle w:val="Heading2"/>
              <w:numPr>
                <w:ilvl w:val="0"/>
                <w:numId w:val="0"/>
              </w:numPr>
              <w:jc w:val="left"/>
              <w:outlineLvl w:val="1"/>
              <w:rPr>
                <w:rFonts w:cs="Arial"/>
                <w:sz w:val="20"/>
              </w:rPr>
            </w:pPr>
          </w:p>
          <w:p w14:paraId="6BDDB010" w14:textId="77777777" w:rsidR="00C40F52" w:rsidRPr="00244E40" w:rsidRDefault="00C40F52" w:rsidP="00C40F52">
            <w:pPr>
              <w:pStyle w:val="Heading2"/>
              <w:numPr>
                <w:ilvl w:val="0"/>
                <w:numId w:val="0"/>
              </w:numPr>
              <w:jc w:val="left"/>
              <w:outlineLvl w:val="1"/>
            </w:pPr>
          </w:p>
        </w:tc>
        <w:tc>
          <w:tcPr>
            <w:tcW w:w="1890" w:type="dxa"/>
          </w:tcPr>
          <w:p w14:paraId="32B85305" w14:textId="77777777" w:rsidR="00C40F52" w:rsidRDefault="00C40F52" w:rsidP="00C40F52">
            <w:pPr>
              <w:pStyle w:val="Heading2"/>
              <w:numPr>
                <w:ilvl w:val="0"/>
                <w:numId w:val="0"/>
              </w:numPr>
              <w:outlineLvl w:val="1"/>
              <w:rPr>
                <w:rFonts w:cs="Arial"/>
                <w:sz w:val="20"/>
              </w:rPr>
            </w:pPr>
          </w:p>
          <w:p w14:paraId="6455AE5F" w14:textId="77777777" w:rsidR="00C40F52" w:rsidRDefault="00C40F52" w:rsidP="00C40F52">
            <w:pPr>
              <w:pStyle w:val="Heading2"/>
              <w:numPr>
                <w:ilvl w:val="0"/>
                <w:numId w:val="0"/>
              </w:numPr>
              <w:outlineLvl w:val="1"/>
            </w:pPr>
            <w:r>
              <w:rPr>
                <w:rFonts w:cs="Arial"/>
                <w:sz w:val="20"/>
              </w:rPr>
              <w:t>100%</w:t>
            </w:r>
          </w:p>
        </w:tc>
      </w:tr>
      <w:tr w:rsidR="00C40F52" w:rsidRPr="008C5F3B" w14:paraId="3C7C01F3" w14:textId="77777777" w:rsidTr="00C40F52">
        <w:tc>
          <w:tcPr>
            <w:tcW w:w="1771" w:type="dxa"/>
            <w:vMerge/>
          </w:tcPr>
          <w:p w14:paraId="569FEB75" w14:textId="77777777" w:rsidR="00C40F52" w:rsidRPr="008C5F3B" w:rsidRDefault="00C40F52" w:rsidP="00C40F52">
            <w:pPr>
              <w:pStyle w:val="Heading2"/>
              <w:numPr>
                <w:ilvl w:val="0"/>
                <w:numId w:val="0"/>
              </w:numPr>
              <w:jc w:val="left"/>
              <w:outlineLvl w:val="1"/>
            </w:pPr>
          </w:p>
        </w:tc>
        <w:tc>
          <w:tcPr>
            <w:tcW w:w="3827" w:type="dxa"/>
          </w:tcPr>
          <w:p w14:paraId="5018CD68" w14:textId="77777777" w:rsidR="00C40F52" w:rsidRDefault="00C40F52" w:rsidP="00C40F52">
            <w:pPr>
              <w:pStyle w:val="Heading2"/>
              <w:numPr>
                <w:ilvl w:val="0"/>
                <w:numId w:val="0"/>
              </w:numPr>
              <w:jc w:val="left"/>
              <w:outlineLvl w:val="1"/>
            </w:pPr>
            <w:r w:rsidRPr="003F17D1">
              <w:t>Initial response to telephone calls and/or e-mails</w:t>
            </w:r>
            <w:r>
              <w:t>.</w:t>
            </w:r>
          </w:p>
          <w:p w14:paraId="628CE9D1" w14:textId="77777777" w:rsidR="00C40F52" w:rsidRPr="008C5F3B" w:rsidRDefault="00C40F52" w:rsidP="00C40F52">
            <w:pPr>
              <w:pStyle w:val="Heading2"/>
              <w:numPr>
                <w:ilvl w:val="0"/>
                <w:numId w:val="0"/>
              </w:numPr>
              <w:jc w:val="left"/>
              <w:outlineLvl w:val="1"/>
            </w:pPr>
            <w:r w:rsidRPr="003F17D1">
              <w:t xml:space="preserve">Substantive reply within </w:t>
            </w:r>
            <w:r w:rsidRPr="003F17D1">
              <w:rPr>
                <w:bCs/>
              </w:rPr>
              <w:t>one working day</w:t>
            </w:r>
            <w:r>
              <w:t xml:space="preserve"> </w:t>
            </w:r>
            <w:r w:rsidRPr="006F37F0">
              <w:rPr>
                <w:bCs/>
              </w:rPr>
              <w:t>unless ag</w:t>
            </w:r>
            <w:r>
              <w:rPr>
                <w:bCs/>
              </w:rPr>
              <w:t>reed otherwise with the Client</w:t>
            </w:r>
          </w:p>
        </w:tc>
        <w:tc>
          <w:tcPr>
            <w:tcW w:w="1890" w:type="dxa"/>
          </w:tcPr>
          <w:p w14:paraId="52F2EB5D" w14:textId="77777777" w:rsidR="00C40F52" w:rsidRDefault="00C40F52" w:rsidP="00C40F52">
            <w:pPr>
              <w:pStyle w:val="Heading2"/>
              <w:numPr>
                <w:ilvl w:val="0"/>
                <w:numId w:val="0"/>
              </w:numPr>
              <w:jc w:val="left"/>
              <w:outlineLvl w:val="1"/>
            </w:pPr>
            <w:r w:rsidRPr="003F17D1">
              <w:t xml:space="preserve">. </w:t>
            </w:r>
          </w:p>
          <w:p w14:paraId="4C3C32F7" w14:textId="77777777" w:rsidR="00C40F52" w:rsidRPr="008C5F3B" w:rsidRDefault="00C40F52" w:rsidP="00C40F52">
            <w:pPr>
              <w:pStyle w:val="Heading2"/>
              <w:numPr>
                <w:ilvl w:val="0"/>
                <w:numId w:val="0"/>
              </w:numPr>
              <w:jc w:val="left"/>
              <w:outlineLvl w:val="1"/>
            </w:pPr>
            <w:r>
              <w:t>95%</w:t>
            </w:r>
          </w:p>
        </w:tc>
      </w:tr>
      <w:tr w:rsidR="00C40F52" w:rsidRPr="008C5F3B" w14:paraId="5BC5EA38" w14:textId="77777777" w:rsidTr="00C40F52">
        <w:tc>
          <w:tcPr>
            <w:tcW w:w="1771" w:type="dxa"/>
            <w:vMerge/>
          </w:tcPr>
          <w:p w14:paraId="7C63A768" w14:textId="77777777" w:rsidR="00C40F52" w:rsidRPr="008C5F3B" w:rsidRDefault="00C40F52" w:rsidP="00C40F52">
            <w:pPr>
              <w:pStyle w:val="Heading2"/>
              <w:numPr>
                <w:ilvl w:val="0"/>
                <w:numId w:val="0"/>
              </w:numPr>
              <w:jc w:val="left"/>
              <w:outlineLvl w:val="1"/>
            </w:pPr>
          </w:p>
        </w:tc>
        <w:tc>
          <w:tcPr>
            <w:tcW w:w="3827" w:type="dxa"/>
          </w:tcPr>
          <w:p w14:paraId="161A42B6" w14:textId="77777777" w:rsidR="00C40F52" w:rsidRDefault="00C40F52" w:rsidP="00C40F52">
            <w:pPr>
              <w:pStyle w:val="Heading2"/>
              <w:numPr>
                <w:ilvl w:val="0"/>
                <w:numId w:val="0"/>
              </w:numPr>
              <w:spacing w:after="0"/>
              <w:ind w:left="720" w:hanging="720"/>
              <w:jc w:val="left"/>
              <w:outlineLvl w:val="1"/>
            </w:pPr>
            <w:r w:rsidRPr="003F17D1">
              <w:t>Initial response to routine letters</w:t>
            </w:r>
            <w:r>
              <w:t xml:space="preserve"> / </w:t>
            </w:r>
          </w:p>
          <w:p w14:paraId="087DF266" w14:textId="77777777" w:rsidR="00C40F52" w:rsidRDefault="00C40F52" w:rsidP="00C40F52">
            <w:pPr>
              <w:pStyle w:val="Heading2"/>
              <w:numPr>
                <w:ilvl w:val="0"/>
                <w:numId w:val="0"/>
              </w:numPr>
              <w:spacing w:after="0"/>
              <w:ind w:left="720" w:hanging="720"/>
              <w:jc w:val="left"/>
              <w:outlineLvl w:val="1"/>
            </w:pPr>
            <w:r>
              <w:t>Instructions</w:t>
            </w:r>
          </w:p>
          <w:p w14:paraId="62C8E1F5" w14:textId="77777777" w:rsidR="00C40F52" w:rsidRDefault="00C40F52" w:rsidP="00C40F52">
            <w:pPr>
              <w:pStyle w:val="Heading2"/>
              <w:numPr>
                <w:ilvl w:val="0"/>
                <w:numId w:val="0"/>
              </w:numPr>
              <w:spacing w:after="0"/>
              <w:ind w:left="720" w:hanging="720"/>
              <w:jc w:val="left"/>
              <w:outlineLvl w:val="1"/>
            </w:pPr>
          </w:p>
          <w:p w14:paraId="4F9168F7" w14:textId="77777777" w:rsidR="00C40F52" w:rsidRPr="003F17D1" w:rsidRDefault="00C40F52" w:rsidP="00C40F52">
            <w:pPr>
              <w:pStyle w:val="Caption"/>
            </w:pPr>
            <w:r w:rsidRPr="003F17D1">
              <w:t>Substantive reply within two working days</w:t>
            </w:r>
            <w:r>
              <w:t xml:space="preserve"> </w:t>
            </w:r>
            <w:r w:rsidRPr="006F37F0">
              <w:t>unless ag</w:t>
            </w:r>
            <w:r>
              <w:t>reed otherwise with the Client</w:t>
            </w:r>
            <w:r w:rsidRPr="003F17D1">
              <w:t xml:space="preserve">.  </w:t>
            </w:r>
          </w:p>
        </w:tc>
        <w:tc>
          <w:tcPr>
            <w:tcW w:w="1890" w:type="dxa"/>
          </w:tcPr>
          <w:p w14:paraId="1874BA54" w14:textId="77777777" w:rsidR="00C40F52" w:rsidRDefault="00C40F52" w:rsidP="00C40F52">
            <w:pPr>
              <w:pStyle w:val="Heading2"/>
              <w:numPr>
                <w:ilvl w:val="0"/>
                <w:numId w:val="0"/>
              </w:numPr>
              <w:jc w:val="left"/>
              <w:outlineLvl w:val="1"/>
            </w:pPr>
          </w:p>
          <w:p w14:paraId="511CDFE3" w14:textId="77777777" w:rsidR="00C40F52" w:rsidRPr="003F17D1" w:rsidRDefault="00C40F52" w:rsidP="00C40F52">
            <w:pPr>
              <w:pStyle w:val="Heading2"/>
              <w:numPr>
                <w:ilvl w:val="0"/>
                <w:numId w:val="0"/>
              </w:numPr>
              <w:jc w:val="left"/>
              <w:outlineLvl w:val="1"/>
            </w:pPr>
            <w:r>
              <w:t>95%</w:t>
            </w:r>
          </w:p>
        </w:tc>
      </w:tr>
      <w:tr w:rsidR="00C40F52" w:rsidRPr="008C5F3B" w14:paraId="2D89B47D" w14:textId="77777777" w:rsidTr="00C40F52">
        <w:tc>
          <w:tcPr>
            <w:tcW w:w="1771" w:type="dxa"/>
            <w:vMerge/>
          </w:tcPr>
          <w:p w14:paraId="52B74F9E" w14:textId="77777777" w:rsidR="00C40F52" w:rsidRPr="008C5F3B" w:rsidRDefault="00C40F52" w:rsidP="00C40F52">
            <w:pPr>
              <w:pStyle w:val="Heading2"/>
              <w:numPr>
                <w:ilvl w:val="0"/>
                <w:numId w:val="0"/>
              </w:numPr>
              <w:jc w:val="left"/>
              <w:outlineLvl w:val="1"/>
            </w:pPr>
          </w:p>
        </w:tc>
        <w:tc>
          <w:tcPr>
            <w:tcW w:w="3827" w:type="dxa"/>
          </w:tcPr>
          <w:p w14:paraId="5D76421A" w14:textId="77777777" w:rsidR="00C40F52" w:rsidRDefault="00C40F52" w:rsidP="00C40F52">
            <w:pPr>
              <w:pStyle w:val="Heading2"/>
              <w:numPr>
                <w:ilvl w:val="0"/>
                <w:numId w:val="0"/>
              </w:numPr>
              <w:spacing w:after="0"/>
              <w:ind w:left="720" w:hanging="720"/>
              <w:jc w:val="left"/>
              <w:outlineLvl w:val="1"/>
            </w:pPr>
            <w:r w:rsidRPr="003F17D1">
              <w:t>Initial</w:t>
            </w:r>
            <w:r>
              <w:t xml:space="preserve"> response to significant and/or</w:t>
            </w:r>
          </w:p>
          <w:p w14:paraId="1CD2DA41" w14:textId="77777777" w:rsidR="00C40F52" w:rsidRDefault="00C40F52" w:rsidP="00C40F52">
            <w:pPr>
              <w:pStyle w:val="Heading2"/>
              <w:numPr>
                <w:ilvl w:val="0"/>
                <w:numId w:val="0"/>
              </w:numPr>
              <w:spacing w:after="0"/>
              <w:ind w:left="720" w:hanging="720"/>
              <w:jc w:val="left"/>
              <w:outlineLvl w:val="1"/>
            </w:pPr>
            <w:r w:rsidRPr="003F17D1">
              <w:t>complex matters</w:t>
            </w:r>
            <w:r>
              <w:t>.</w:t>
            </w:r>
          </w:p>
          <w:p w14:paraId="600BBE49" w14:textId="77777777" w:rsidR="00C40F52" w:rsidRDefault="00C40F52" w:rsidP="00C40F52">
            <w:pPr>
              <w:pStyle w:val="Heading2"/>
              <w:numPr>
                <w:ilvl w:val="0"/>
                <w:numId w:val="0"/>
              </w:numPr>
              <w:spacing w:after="0"/>
              <w:ind w:left="720" w:hanging="720"/>
              <w:jc w:val="left"/>
              <w:outlineLvl w:val="1"/>
            </w:pPr>
          </w:p>
          <w:p w14:paraId="3D8FEC15" w14:textId="77777777" w:rsidR="00C40F52" w:rsidRPr="003F17D1" w:rsidRDefault="00C40F52" w:rsidP="00C40F52">
            <w:pPr>
              <w:pStyle w:val="Caption"/>
            </w:pPr>
            <w:r w:rsidRPr="003F17D1">
              <w:t>Substantive reply within five working days</w:t>
            </w:r>
            <w:r>
              <w:t xml:space="preserve"> </w:t>
            </w:r>
            <w:r w:rsidRPr="006F37F0">
              <w:t>unless a</w:t>
            </w:r>
            <w:r>
              <w:t>greed otherwise with the Client</w:t>
            </w:r>
            <w:r w:rsidRPr="006F37F0">
              <w:t xml:space="preserve">.  </w:t>
            </w:r>
          </w:p>
        </w:tc>
        <w:tc>
          <w:tcPr>
            <w:tcW w:w="1890" w:type="dxa"/>
          </w:tcPr>
          <w:p w14:paraId="5560BB3E" w14:textId="77777777" w:rsidR="00C40F52" w:rsidRDefault="00C40F52" w:rsidP="00C40F52">
            <w:pPr>
              <w:pStyle w:val="Heading2"/>
              <w:numPr>
                <w:ilvl w:val="0"/>
                <w:numId w:val="0"/>
              </w:numPr>
              <w:jc w:val="left"/>
              <w:outlineLvl w:val="1"/>
              <w:rPr>
                <w:bCs/>
              </w:rPr>
            </w:pPr>
          </w:p>
          <w:p w14:paraId="7AFC1CA6" w14:textId="77777777" w:rsidR="00C40F52" w:rsidRDefault="00C40F52" w:rsidP="00C40F52">
            <w:pPr>
              <w:pStyle w:val="Heading2"/>
              <w:numPr>
                <w:ilvl w:val="0"/>
                <w:numId w:val="0"/>
              </w:numPr>
              <w:jc w:val="left"/>
              <w:outlineLvl w:val="1"/>
              <w:rPr>
                <w:bCs/>
              </w:rPr>
            </w:pPr>
          </w:p>
          <w:p w14:paraId="34E4186C" w14:textId="77777777" w:rsidR="00C40F52" w:rsidRPr="003F17D1" w:rsidRDefault="00C40F52" w:rsidP="00C40F52">
            <w:pPr>
              <w:pStyle w:val="Heading2"/>
              <w:numPr>
                <w:ilvl w:val="0"/>
                <w:numId w:val="0"/>
              </w:numPr>
              <w:jc w:val="left"/>
              <w:outlineLvl w:val="1"/>
            </w:pPr>
            <w:r>
              <w:rPr>
                <w:bCs/>
              </w:rPr>
              <w:t>95%</w:t>
            </w:r>
          </w:p>
        </w:tc>
      </w:tr>
      <w:tr w:rsidR="00C40F52" w:rsidRPr="008C5F3B" w14:paraId="01D7B32A" w14:textId="77777777" w:rsidTr="00C40F52">
        <w:tc>
          <w:tcPr>
            <w:tcW w:w="1771" w:type="dxa"/>
            <w:vMerge/>
          </w:tcPr>
          <w:p w14:paraId="16DDDD4E" w14:textId="77777777" w:rsidR="00C40F52" w:rsidRPr="008C5F3B" w:rsidRDefault="00C40F52" w:rsidP="00C40F52">
            <w:pPr>
              <w:pStyle w:val="Heading2"/>
              <w:numPr>
                <w:ilvl w:val="0"/>
                <w:numId w:val="0"/>
              </w:numPr>
              <w:jc w:val="left"/>
              <w:outlineLvl w:val="1"/>
            </w:pPr>
          </w:p>
        </w:tc>
        <w:tc>
          <w:tcPr>
            <w:tcW w:w="3827" w:type="dxa"/>
          </w:tcPr>
          <w:p w14:paraId="587FAE29" w14:textId="77777777" w:rsidR="00C40F52" w:rsidRDefault="00C40F52" w:rsidP="00C40F52">
            <w:pPr>
              <w:pStyle w:val="Heading2"/>
              <w:numPr>
                <w:ilvl w:val="0"/>
                <w:numId w:val="0"/>
              </w:numPr>
              <w:spacing w:after="0"/>
              <w:ind w:left="720" w:hanging="720"/>
              <w:jc w:val="left"/>
              <w:outlineLvl w:val="1"/>
            </w:pPr>
            <w:r w:rsidRPr="003F17D1">
              <w:t>Final</w:t>
            </w:r>
            <w:r>
              <w:t xml:space="preserve"> response to significant and/or</w:t>
            </w:r>
          </w:p>
          <w:p w14:paraId="354936E8" w14:textId="77777777" w:rsidR="00C40F52" w:rsidRDefault="00C40F52" w:rsidP="00C40F52">
            <w:pPr>
              <w:pStyle w:val="Heading2"/>
              <w:numPr>
                <w:ilvl w:val="0"/>
                <w:numId w:val="0"/>
              </w:numPr>
              <w:spacing w:after="0"/>
              <w:ind w:left="720" w:hanging="720"/>
              <w:outlineLvl w:val="1"/>
              <w:rPr>
                <w:bCs/>
              </w:rPr>
            </w:pPr>
            <w:r w:rsidRPr="003F17D1">
              <w:t>complex matters</w:t>
            </w:r>
            <w:r>
              <w:t>.</w:t>
            </w:r>
          </w:p>
          <w:p w14:paraId="54CC3E38" w14:textId="77777777" w:rsidR="00C40F52" w:rsidRDefault="00C40F52" w:rsidP="00C40F52">
            <w:pPr>
              <w:pStyle w:val="Heading2"/>
              <w:numPr>
                <w:ilvl w:val="0"/>
                <w:numId w:val="0"/>
              </w:numPr>
              <w:spacing w:after="0"/>
              <w:ind w:left="720" w:hanging="720"/>
              <w:outlineLvl w:val="1"/>
              <w:rPr>
                <w:bCs/>
              </w:rPr>
            </w:pPr>
          </w:p>
          <w:p w14:paraId="3A7BBF50" w14:textId="77777777" w:rsidR="00C40F52" w:rsidRDefault="00C40F52" w:rsidP="00C40F52">
            <w:pPr>
              <w:pStyle w:val="Heading2"/>
              <w:numPr>
                <w:ilvl w:val="0"/>
                <w:numId w:val="0"/>
              </w:numPr>
              <w:spacing w:after="0"/>
              <w:outlineLvl w:val="1"/>
              <w:rPr>
                <w:bCs/>
              </w:rPr>
            </w:pPr>
            <w:r>
              <w:rPr>
                <w:bCs/>
              </w:rPr>
              <w:t>As agreed with the Client</w:t>
            </w:r>
          </w:p>
          <w:p w14:paraId="38673927" w14:textId="77777777" w:rsidR="00C40F52" w:rsidRDefault="00C40F52" w:rsidP="00C40F52">
            <w:pPr>
              <w:pStyle w:val="Heading2"/>
              <w:numPr>
                <w:ilvl w:val="0"/>
                <w:numId w:val="0"/>
              </w:numPr>
              <w:spacing w:after="0"/>
              <w:ind w:left="720" w:hanging="720"/>
              <w:outlineLvl w:val="1"/>
              <w:rPr>
                <w:bCs/>
              </w:rPr>
            </w:pPr>
          </w:p>
          <w:p w14:paraId="6B0865E1" w14:textId="77777777" w:rsidR="00C40F52" w:rsidRPr="003F17D1" w:rsidRDefault="00C40F52" w:rsidP="00C40F52">
            <w:pPr>
              <w:pStyle w:val="Heading2"/>
              <w:numPr>
                <w:ilvl w:val="0"/>
                <w:numId w:val="0"/>
              </w:numPr>
              <w:spacing w:after="0"/>
              <w:outlineLvl w:val="1"/>
            </w:pPr>
          </w:p>
        </w:tc>
        <w:tc>
          <w:tcPr>
            <w:tcW w:w="1890" w:type="dxa"/>
          </w:tcPr>
          <w:p w14:paraId="3C396B57" w14:textId="77777777" w:rsidR="00C40F52" w:rsidRPr="003F17D1" w:rsidRDefault="00C40F52" w:rsidP="00C40F52">
            <w:pPr>
              <w:pStyle w:val="Heading2"/>
              <w:numPr>
                <w:ilvl w:val="0"/>
                <w:numId w:val="0"/>
              </w:numPr>
              <w:spacing w:after="0"/>
              <w:ind w:left="720" w:hanging="720"/>
              <w:outlineLvl w:val="1"/>
              <w:rPr>
                <w:bCs/>
              </w:rPr>
            </w:pPr>
          </w:p>
        </w:tc>
      </w:tr>
      <w:tr w:rsidR="00C40F52" w:rsidRPr="008C5F3B" w14:paraId="633CC4DD" w14:textId="77777777" w:rsidTr="00C40F52">
        <w:tc>
          <w:tcPr>
            <w:tcW w:w="1771" w:type="dxa"/>
          </w:tcPr>
          <w:p w14:paraId="4B00FB78" w14:textId="77777777" w:rsidR="00C40F52" w:rsidRPr="008C5F3B" w:rsidRDefault="00C40F52" w:rsidP="00C40F52">
            <w:pPr>
              <w:pStyle w:val="Heading2"/>
              <w:numPr>
                <w:ilvl w:val="0"/>
                <w:numId w:val="0"/>
              </w:numPr>
              <w:jc w:val="left"/>
              <w:outlineLvl w:val="1"/>
            </w:pPr>
            <w:r>
              <w:rPr>
                <w:b/>
              </w:rPr>
              <w:t>Service Delivery</w:t>
            </w:r>
          </w:p>
        </w:tc>
        <w:tc>
          <w:tcPr>
            <w:tcW w:w="3827" w:type="dxa"/>
          </w:tcPr>
          <w:p w14:paraId="7FBC00AF" w14:textId="77777777" w:rsidR="00C40F52" w:rsidRPr="008C5F3B" w:rsidRDefault="00C40F52" w:rsidP="00C40F52">
            <w:pPr>
              <w:pStyle w:val="Heading2"/>
              <w:numPr>
                <w:ilvl w:val="0"/>
                <w:numId w:val="0"/>
              </w:numPr>
              <w:jc w:val="left"/>
              <w:outlineLvl w:val="1"/>
            </w:pPr>
            <w:r>
              <w:t xml:space="preserve">Accurate drafting (whether legal or non-legal) which captures Client need, is expressed clearly and </w:t>
            </w:r>
            <w:r>
              <w:lastRenderedPageBreak/>
              <w:t>presented to a consistently high standard within agreed timescales.</w:t>
            </w:r>
          </w:p>
        </w:tc>
        <w:tc>
          <w:tcPr>
            <w:tcW w:w="1890" w:type="dxa"/>
          </w:tcPr>
          <w:p w14:paraId="6A734577" w14:textId="77777777" w:rsidR="00C40F52" w:rsidRPr="008C5F3B" w:rsidRDefault="00C40F52" w:rsidP="00C40F52">
            <w:pPr>
              <w:pStyle w:val="Heading2"/>
              <w:numPr>
                <w:ilvl w:val="0"/>
                <w:numId w:val="0"/>
              </w:numPr>
              <w:outlineLvl w:val="1"/>
            </w:pPr>
            <w:r>
              <w:lastRenderedPageBreak/>
              <w:t xml:space="preserve">98% </w:t>
            </w:r>
          </w:p>
        </w:tc>
      </w:tr>
    </w:tbl>
    <w:p w14:paraId="2D593BEF" w14:textId="77777777" w:rsidR="00C40F52" w:rsidRPr="008C5F3B" w:rsidRDefault="00C40F52" w:rsidP="00C40F52">
      <w:pPr>
        <w:pStyle w:val="Heading2"/>
        <w:numPr>
          <w:ilvl w:val="0"/>
          <w:numId w:val="0"/>
        </w:numPr>
        <w:ind w:left="720"/>
      </w:pPr>
      <w:bookmarkStart w:id="37" w:name="_Toc368573040"/>
    </w:p>
    <w:p w14:paraId="535D1E02" w14:textId="77777777" w:rsidR="00C40F52" w:rsidRPr="00125009" w:rsidRDefault="00C40F52" w:rsidP="0047277D">
      <w:pPr>
        <w:pStyle w:val="Heading2"/>
        <w:numPr>
          <w:ilvl w:val="1"/>
          <w:numId w:val="42"/>
        </w:numPr>
      </w:pPr>
      <w:r w:rsidRPr="00125009">
        <w:t xml:space="preserve">KPI’s and SLA’s will be reviewed </w:t>
      </w:r>
      <w:r w:rsidRPr="002F337D">
        <w:t xml:space="preserve">against targets </w:t>
      </w:r>
      <w:r w:rsidRPr="00125009">
        <w:t xml:space="preserve">at the Monthly Lead Legal Contacts meeting </w:t>
      </w:r>
      <w:r w:rsidRPr="002F337D">
        <w:t xml:space="preserve">in respect of work undertaken over the previous month </w:t>
      </w:r>
      <w:r w:rsidRPr="00125009">
        <w:t xml:space="preserve">and the Supplier will be notified if there are any performance issues. </w:t>
      </w:r>
    </w:p>
    <w:p w14:paraId="365518EE" w14:textId="77777777" w:rsidR="00C40F52" w:rsidRPr="008C5F3B" w:rsidRDefault="00C40F52" w:rsidP="0047277D">
      <w:pPr>
        <w:pStyle w:val="Heading2"/>
        <w:numPr>
          <w:ilvl w:val="1"/>
          <w:numId w:val="42"/>
        </w:numPr>
        <w:tabs>
          <w:tab w:val="clear" w:pos="720"/>
          <w:tab w:val="num" w:pos="1146"/>
        </w:tabs>
      </w:pPr>
      <w:r>
        <w:t>In the event that the Supplier’s performance fails repeatedly to meet the standards required by the Authority and/or to provide adequate remediation and improvement the Authority reserves the right to terminate the Contract with the provider. The Supplier agrees to follow such instructions as the Authority may issue and take such steps as are necessary to enable an orderly exit from the Contract including any transitional arrangements to enable another Provider to take on the services.</w:t>
      </w:r>
    </w:p>
    <w:p w14:paraId="79AA3301" w14:textId="59BB627B" w:rsidR="00C40F52" w:rsidRPr="008C5F3B" w:rsidRDefault="00C40F52" w:rsidP="0047277D">
      <w:pPr>
        <w:pStyle w:val="Heading1"/>
        <w:keepNext/>
        <w:numPr>
          <w:ilvl w:val="0"/>
          <w:numId w:val="42"/>
        </w:numPr>
        <w:spacing w:after="120"/>
      </w:pPr>
      <w:bookmarkStart w:id="38" w:name="_Toc531702592"/>
      <w:r w:rsidRPr="008C5F3B">
        <w:t>SECURITY REQUIREMENTS</w:t>
      </w:r>
      <w:bookmarkEnd w:id="37"/>
      <w:bookmarkEnd w:id="38"/>
    </w:p>
    <w:p w14:paraId="1173B7AF" w14:textId="77777777" w:rsidR="00C40F52" w:rsidRPr="00A940AB" w:rsidRDefault="00C40F52" w:rsidP="0047277D">
      <w:pPr>
        <w:pStyle w:val="Heading2"/>
        <w:numPr>
          <w:ilvl w:val="1"/>
          <w:numId w:val="42"/>
        </w:numPr>
        <w:tabs>
          <w:tab w:val="clear" w:pos="720"/>
          <w:tab w:val="num" w:pos="1146"/>
        </w:tabs>
        <w:spacing w:after="120"/>
        <w:ind w:left="709" w:hanging="709"/>
      </w:pPr>
      <w:r>
        <w:t xml:space="preserve">The Supplier shall comply with any security or staff vetting requirements that the Authority may require.  The Successful  Provider will note that it is important that its staff comply with all security requirements when on Authority’s premises or in other Government buildings and, if issued with passes to access the Authority’s sites shall use these in line with instructions and only in </w:t>
      </w:r>
      <w:r w:rsidRPr="00A940AB">
        <w:t xml:space="preserve">order to deliver the </w:t>
      </w:r>
      <w:r>
        <w:t>Contract</w:t>
      </w:r>
      <w:r w:rsidRPr="00A940AB">
        <w:t xml:space="preserve"> requirement. </w:t>
      </w:r>
    </w:p>
    <w:p w14:paraId="1F5A740A" w14:textId="77777777" w:rsidR="00C40F52" w:rsidRPr="008C5F3B" w:rsidRDefault="00C40F52" w:rsidP="0047277D">
      <w:pPr>
        <w:pStyle w:val="Heading2"/>
        <w:numPr>
          <w:ilvl w:val="1"/>
          <w:numId w:val="42"/>
        </w:numPr>
      </w:pPr>
      <w:r>
        <w:t>In respect of t</w:t>
      </w:r>
      <w:r w:rsidRPr="00A940AB">
        <w:t xml:space="preserve">he Cloud-based filing system as </w:t>
      </w:r>
      <w:r w:rsidRPr="00BF3F14">
        <w:t>per</w:t>
      </w:r>
      <w:r w:rsidRPr="00A940AB">
        <w:t xml:space="preserve"> paragraph 6.8, the</w:t>
      </w:r>
      <w:r>
        <w:t xml:space="preserve"> Supplier will be required to ensure that it is always kept secure and complies with the Standards as defined in the Panel Agreement RM3786 – Part A of Schedule 2.</w:t>
      </w:r>
    </w:p>
    <w:p w14:paraId="6C2277B3" w14:textId="07DDEFDC" w:rsidR="00C40F52" w:rsidRPr="008C5F3B" w:rsidRDefault="00C40F52" w:rsidP="0047277D">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Cs w:val="22"/>
        </w:rPr>
      </w:pPr>
      <w:bookmarkStart w:id="39" w:name="_Toc368573041"/>
      <w:bookmarkStart w:id="40" w:name="_Toc531702593"/>
      <w:r w:rsidRPr="008C5F3B">
        <w:rPr>
          <w:rFonts w:cs="Arial"/>
          <w:szCs w:val="22"/>
        </w:rPr>
        <w:t>INTELLECTUAL PROPERTY RIGHTS (IPR)</w:t>
      </w:r>
      <w:bookmarkEnd w:id="39"/>
      <w:bookmarkEnd w:id="40"/>
    </w:p>
    <w:p w14:paraId="01570697" w14:textId="77777777" w:rsidR="00C40F52" w:rsidRPr="008C5F3B" w:rsidRDefault="00C40F52" w:rsidP="0047277D">
      <w:pPr>
        <w:pStyle w:val="Heading2"/>
        <w:numPr>
          <w:ilvl w:val="1"/>
          <w:numId w:val="42"/>
        </w:numPr>
        <w:rPr>
          <w:rFonts w:cs="Arial"/>
          <w:szCs w:val="22"/>
        </w:rPr>
      </w:pPr>
      <w:r>
        <w:t>There is nothing in the engagement between the Authority and the Supplier which provides permission for either to automatically take on the ownership of either party’s pre-existing or emerging Intellectual Property Rights or any similar rights in relation to third parties</w:t>
      </w:r>
      <w:r w:rsidRPr="008C5F3B">
        <w:t>.</w:t>
      </w:r>
    </w:p>
    <w:p w14:paraId="02A48C60" w14:textId="1816D442" w:rsidR="00C40F52" w:rsidRPr="008C5F3B" w:rsidRDefault="00C40F52" w:rsidP="0047277D">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Cs w:val="22"/>
        </w:rPr>
      </w:pPr>
      <w:bookmarkStart w:id="41" w:name="_Toc531702594"/>
      <w:bookmarkStart w:id="42" w:name="_Toc368573042"/>
      <w:r w:rsidRPr="008C5F3B">
        <w:rPr>
          <w:rFonts w:cs="Arial"/>
          <w:szCs w:val="22"/>
        </w:rPr>
        <w:t>PAYMENT</w:t>
      </w:r>
      <w:bookmarkEnd w:id="41"/>
    </w:p>
    <w:p w14:paraId="7DA9F738" w14:textId="77777777" w:rsidR="00C40F52" w:rsidRPr="00E963FA" w:rsidRDefault="00C40F52" w:rsidP="0047277D">
      <w:pPr>
        <w:pStyle w:val="Heading2"/>
        <w:numPr>
          <w:ilvl w:val="1"/>
          <w:numId w:val="42"/>
        </w:numPr>
        <w:tabs>
          <w:tab w:val="clear" w:pos="720"/>
          <w:tab w:val="num" w:pos="1146"/>
        </w:tabs>
        <w:rPr>
          <w:szCs w:val="22"/>
        </w:rPr>
      </w:pPr>
      <w:r w:rsidRPr="00E963FA">
        <w:rPr>
          <w:rFonts w:cs="Arial"/>
          <w:color w:val="000000"/>
          <w:szCs w:val="22"/>
          <w:shd w:val="clear" w:color="auto" w:fill="FFFFFF"/>
        </w:rPr>
        <w:t>Payment can only be made following satisfactory delivery of pre-agreed certi</w:t>
      </w:r>
      <w:r>
        <w:rPr>
          <w:rFonts w:cs="Arial"/>
          <w:color w:val="000000"/>
          <w:szCs w:val="22"/>
          <w:shd w:val="clear" w:color="auto" w:fill="FFFFFF"/>
        </w:rPr>
        <w:t xml:space="preserve">fied products and deliverables in accordance with the Contract. Further details governing payment process will be included in the Order Form. </w:t>
      </w:r>
    </w:p>
    <w:p w14:paraId="7C7E1B75" w14:textId="77777777" w:rsidR="00C40F52" w:rsidRPr="00C50118" w:rsidRDefault="00C40F52" w:rsidP="0047277D">
      <w:pPr>
        <w:pStyle w:val="Heading2"/>
        <w:numPr>
          <w:ilvl w:val="1"/>
          <w:numId w:val="42"/>
        </w:numPr>
        <w:tabs>
          <w:tab w:val="clear" w:pos="720"/>
          <w:tab w:val="num" w:pos="1146"/>
        </w:tabs>
        <w:rPr>
          <w:szCs w:val="22"/>
        </w:rPr>
      </w:pPr>
      <w:r w:rsidRPr="00E963FA">
        <w:rPr>
          <w:rFonts w:cs="Arial"/>
          <w:color w:val="000000"/>
          <w:szCs w:val="22"/>
          <w:shd w:val="clear" w:color="auto" w:fill="FFFFFF"/>
        </w:rPr>
        <w:t>Before payment can be considered, each invoice must include a detailed elemental breakdown of work comp</w:t>
      </w:r>
      <w:r>
        <w:rPr>
          <w:rFonts w:cs="Arial"/>
          <w:color w:val="000000"/>
          <w:szCs w:val="22"/>
          <w:shd w:val="clear" w:color="auto" w:fill="FFFFFF"/>
        </w:rPr>
        <w:t xml:space="preserve">leted and the associated costs. The Authority may specify further information to be required on invoices. </w:t>
      </w:r>
    </w:p>
    <w:p w14:paraId="0CF04F9E" w14:textId="3A900663" w:rsidR="00C40F52" w:rsidRDefault="00C40F52" w:rsidP="0047277D">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Cs w:val="22"/>
        </w:rPr>
      </w:pPr>
      <w:bookmarkStart w:id="43" w:name="_Toc531702595"/>
      <w:r w:rsidRPr="008C5F3B">
        <w:rPr>
          <w:rFonts w:cs="Arial"/>
          <w:szCs w:val="22"/>
        </w:rPr>
        <w:t>ADDITIONAL INFORMATION</w:t>
      </w:r>
      <w:bookmarkEnd w:id="42"/>
      <w:bookmarkEnd w:id="43"/>
      <w:r w:rsidRPr="008C5F3B">
        <w:rPr>
          <w:rFonts w:cs="Arial"/>
          <w:szCs w:val="22"/>
        </w:rPr>
        <w:t xml:space="preserve"> </w:t>
      </w:r>
    </w:p>
    <w:p w14:paraId="7A2B1A77" w14:textId="77777777" w:rsidR="00C40F52" w:rsidRPr="008C5F3B" w:rsidRDefault="00C40F52" w:rsidP="0047277D">
      <w:pPr>
        <w:pStyle w:val="Heading2"/>
        <w:numPr>
          <w:ilvl w:val="1"/>
          <w:numId w:val="42"/>
        </w:numPr>
      </w:pPr>
      <w:r>
        <w:t xml:space="preserve">No additional information. </w:t>
      </w:r>
    </w:p>
    <w:p w14:paraId="62A33EAA" w14:textId="41046410" w:rsidR="00C40F52" w:rsidRDefault="00C40F52" w:rsidP="0047277D">
      <w:pPr>
        <w:pStyle w:val="Heading1"/>
        <w:keepNext/>
        <w:numPr>
          <w:ilvl w:val="0"/>
          <w:numId w:val="42"/>
        </w:numPr>
        <w:spacing w:after="120"/>
      </w:pPr>
      <w:bookmarkStart w:id="44" w:name="_Toc368573043"/>
      <w:bookmarkStart w:id="45" w:name="_Toc531702596"/>
      <w:bookmarkEnd w:id="20"/>
      <w:r w:rsidRPr="008C5F3B">
        <w:t>LOCATION</w:t>
      </w:r>
      <w:bookmarkEnd w:id="44"/>
      <w:bookmarkEnd w:id="45"/>
      <w:r w:rsidRPr="008C5F3B">
        <w:t xml:space="preserve"> </w:t>
      </w:r>
    </w:p>
    <w:p w14:paraId="2BA7EE47" w14:textId="77777777" w:rsidR="00C40F52" w:rsidRDefault="00C40F52" w:rsidP="0047277D">
      <w:pPr>
        <w:pStyle w:val="Heading2"/>
        <w:numPr>
          <w:ilvl w:val="1"/>
          <w:numId w:val="42"/>
        </w:numPr>
      </w:pPr>
      <w:r>
        <w:t xml:space="preserve">The location of the Services will be carried out at the Potential Provider’s professional address and the Authority’s location at </w:t>
      </w:r>
      <w:r w:rsidRPr="00467EE0">
        <w:rPr>
          <w:iCs/>
          <w:lang w:eastAsia="en-GB"/>
        </w:rPr>
        <w:t>Caxton House, Tothill Street, London SW1H 9NA</w:t>
      </w:r>
      <w:r>
        <w:t xml:space="preserve"> as may be appropriate in order to facilitate delivery of the Contract requirements</w:t>
      </w:r>
      <w:r w:rsidRPr="008C5F3B">
        <w:t>.</w:t>
      </w:r>
    </w:p>
    <w:p w14:paraId="65D57B8D" w14:textId="77777777" w:rsidR="00C40F52" w:rsidRDefault="00C40F52" w:rsidP="00C40F52">
      <w:pPr>
        <w:pStyle w:val="Heading2"/>
        <w:numPr>
          <w:ilvl w:val="0"/>
          <w:numId w:val="0"/>
        </w:numPr>
        <w:ind w:left="720"/>
        <w:jc w:val="center"/>
      </w:pPr>
    </w:p>
    <w:p w14:paraId="49F1B573" w14:textId="77777777" w:rsidR="00C40F52" w:rsidRDefault="00C40F52" w:rsidP="00C40F52">
      <w:pPr>
        <w:pStyle w:val="Heading1"/>
        <w:numPr>
          <w:ilvl w:val="0"/>
          <w:numId w:val="0"/>
        </w:numPr>
        <w:ind w:left="720" w:hanging="720"/>
        <w:jc w:val="center"/>
      </w:pPr>
      <w:bookmarkStart w:id="46" w:name="_Toc531702597"/>
      <w:r w:rsidRPr="00BE495D">
        <w:lastRenderedPageBreak/>
        <w:t>Annex A</w:t>
      </w:r>
      <w:bookmarkEnd w:id="46"/>
    </w:p>
    <w:p w14:paraId="58CAE5D3" w14:textId="322BE2E7" w:rsidR="00C40F52" w:rsidRDefault="00C40F52" w:rsidP="0047277D">
      <w:pPr>
        <w:pStyle w:val="Heading1"/>
        <w:keepNext/>
        <w:numPr>
          <w:ilvl w:val="0"/>
          <w:numId w:val="54"/>
        </w:numPr>
      </w:pPr>
      <w:bookmarkStart w:id="47" w:name="_Toc525816828"/>
      <w:bookmarkStart w:id="48" w:name="_Toc531702598"/>
      <w:r>
        <w:t>AUTHORITY SUPPLY CHAIN CONTRACT</w:t>
      </w:r>
      <w:r w:rsidRPr="005823CA">
        <w:t xml:space="preserve">S </w:t>
      </w:r>
      <w:r>
        <w:t>WHICH F</w:t>
      </w:r>
      <w:r w:rsidRPr="005823CA">
        <w:t xml:space="preserve">ALL </w:t>
      </w:r>
      <w:r>
        <w:t>U</w:t>
      </w:r>
      <w:r w:rsidRPr="005823CA">
        <w:t xml:space="preserve">NDER </w:t>
      </w:r>
      <w:r>
        <w:t>THE M</w:t>
      </w:r>
      <w:r w:rsidRPr="005823CA">
        <w:t xml:space="preserve">ANAGEMENT OF </w:t>
      </w:r>
      <w:r>
        <w:t>T</w:t>
      </w:r>
      <w:r w:rsidRPr="005823CA">
        <w:t>HE INTEGRATOR</w:t>
      </w:r>
      <w:bookmarkEnd w:id="47"/>
      <w:bookmarkEnd w:id="48"/>
    </w:p>
    <w:p w14:paraId="7ADFC2D0" w14:textId="77777777" w:rsidR="00C40F52" w:rsidRDefault="00C40F52" w:rsidP="0047277D">
      <w:pPr>
        <w:pStyle w:val="Heading2"/>
        <w:numPr>
          <w:ilvl w:val="1"/>
          <w:numId w:val="53"/>
        </w:numPr>
      </w:pPr>
      <w:r w:rsidRPr="005823CA">
        <w:rPr>
          <w:u w:val="single"/>
        </w:rPr>
        <w:t xml:space="preserve">Facilities Management </w:t>
      </w:r>
      <w:r>
        <w:rPr>
          <w:u w:val="single"/>
        </w:rPr>
        <w:t>Contract</w:t>
      </w:r>
      <w:r w:rsidRPr="005823CA">
        <w:rPr>
          <w:u w:val="single"/>
        </w:rPr>
        <w:t>:</w:t>
      </w:r>
      <w:r>
        <w:t xml:space="preserve"> This Contract was awarded to </w:t>
      </w:r>
      <w:r w:rsidRPr="005823CA">
        <w:rPr>
          <w:b/>
        </w:rPr>
        <w:t>Interserve FM Limited</w:t>
      </w:r>
      <w:r>
        <w:t xml:space="preserve"> on 29 September 2017 by way of a call-off from CCS FM Services Framework Agreement (RM1056), incorporating the NEC 3 Term Service Contract. The Contract covers the provision of all site-based office and accommodation type services required to run the DWP Estate, including building maintenance, cleaning, catering, waste disposal etc. The Contract is for an initial 5 year period with an option to extend for a maximum of two (2), one (1) yearly extension periods. The Contract is valued in the region of £227 million.</w:t>
      </w:r>
    </w:p>
    <w:p w14:paraId="7541ACBB" w14:textId="77777777" w:rsidR="00C40F52" w:rsidRDefault="00C40F52" w:rsidP="0047277D">
      <w:pPr>
        <w:pStyle w:val="Heading2"/>
        <w:numPr>
          <w:ilvl w:val="1"/>
          <w:numId w:val="42"/>
        </w:numPr>
      </w:pPr>
      <w:r w:rsidRPr="00D32225">
        <w:rPr>
          <w:u w:val="single"/>
        </w:rPr>
        <w:t xml:space="preserve">Security Services </w:t>
      </w:r>
      <w:r>
        <w:rPr>
          <w:u w:val="single"/>
        </w:rPr>
        <w:t>Contract</w:t>
      </w:r>
      <w:r w:rsidRPr="00D32225">
        <w:rPr>
          <w:u w:val="single"/>
        </w:rPr>
        <w:t>:</w:t>
      </w:r>
      <w:r>
        <w:t xml:space="preserve"> This Contract was awarded to </w:t>
      </w:r>
      <w:r w:rsidRPr="000D2123">
        <w:rPr>
          <w:b/>
        </w:rPr>
        <w:t>G4S Secure Solutions (UK) Limited</w:t>
      </w:r>
      <w:r>
        <w:t xml:space="preserve"> in December 2017 following a competitive procurement exercise. The Contract is for an initial period of 5 years with an option to extend for a further 2 years and is valued at around £490 million.</w:t>
      </w:r>
      <w:r w:rsidRPr="002B0464">
        <w:t xml:space="preserve"> </w:t>
      </w:r>
      <w:r>
        <w:t>The Contract covers the provision of security services across the DWP Estate including:</w:t>
      </w:r>
    </w:p>
    <w:p w14:paraId="738C75D8" w14:textId="77777777" w:rsidR="00C40F52" w:rsidRDefault="00C40F52" w:rsidP="0047277D">
      <w:pPr>
        <w:pStyle w:val="Heading3"/>
        <w:numPr>
          <w:ilvl w:val="2"/>
          <w:numId w:val="42"/>
        </w:numPr>
      </w:pPr>
      <w:r>
        <w:t xml:space="preserve">Manned guarding; </w:t>
      </w:r>
    </w:p>
    <w:p w14:paraId="6E91DFAB" w14:textId="77777777" w:rsidR="00C40F52" w:rsidRDefault="00C40F52" w:rsidP="0047277D">
      <w:pPr>
        <w:pStyle w:val="Heading3"/>
        <w:numPr>
          <w:ilvl w:val="2"/>
          <w:numId w:val="42"/>
        </w:numPr>
      </w:pPr>
      <w:r>
        <w:t xml:space="preserve">Security systems (including hardware); </w:t>
      </w:r>
    </w:p>
    <w:p w14:paraId="6D3E9B3B" w14:textId="77777777" w:rsidR="00C40F52" w:rsidRDefault="00C40F52" w:rsidP="0047277D">
      <w:pPr>
        <w:pStyle w:val="Heading3"/>
        <w:numPr>
          <w:ilvl w:val="2"/>
          <w:numId w:val="42"/>
        </w:numPr>
      </w:pPr>
      <w:r>
        <w:t>24/7 systems monitoring;</w:t>
      </w:r>
    </w:p>
    <w:p w14:paraId="15D606DF" w14:textId="77777777" w:rsidR="00C40F52" w:rsidRDefault="00C40F52" w:rsidP="0047277D">
      <w:pPr>
        <w:pStyle w:val="Heading3"/>
        <w:numPr>
          <w:ilvl w:val="2"/>
          <w:numId w:val="42"/>
        </w:numPr>
      </w:pPr>
      <w:r>
        <w:t xml:space="preserve">Control centre; </w:t>
      </w:r>
    </w:p>
    <w:p w14:paraId="4ED243CC" w14:textId="77777777" w:rsidR="00C40F52" w:rsidRDefault="00C40F52" w:rsidP="0047277D">
      <w:pPr>
        <w:pStyle w:val="Heading3"/>
        <w:numPr>
          <w:ilvl w:val="2"/>
          <w:numId w:val="42"/>
        </w:numPr>
      </w:pPr>
      <w:r>
        <w:t>Reactive services/incident response and management; and</w:t>
      </w:r>
    </w:p>
    <w:p w14:paraId="737FB815" w14:textId="77777777" w:rsidR="00C40F52" w:rsidRDefault="00C40F52" w:rsidP="0047277D">
      <w:pPr>
        <w:pStyle w:val="Heading3"/>
        <w:numPr>
          <w:ilvl w:val="2"/>
          <w:numId w:val="42"/>
        </w:numPr>
      </w:pPr>
      <w:r>
        <w:t>All physical security services such as CCTV, Access Control, System and Intruder Detection Systems.</w:t>
      </w:r>
    </w:p>
    <w:p w14:paraId="05C5E8B5" w14:textId="77777777" w:rsidR="00C40F52" w:rsidRDefault="00C40F52" w:rsidP="00C40F52">
      <w:pPr>
        <w:pStyle w:val="Heading4"/>
        <w:numPr>
          <w:ilvl w:val="0"/>
          <w:numId w:val="0"/>
        </w:numPr>
        <w:spacing w:after="0"/>
        <w:ind w:left="2880"/>
      </w:pPr>
    </w:p>
    <w:p w14:paraId="147D0A99" w14:textId="77777777" w:rsidR="00C40F52" w:rsidRDefault="00C40F52" w:rsidP="0047277D">
      <w:pPr>
        <w:pStyle w:val="Heading2"/>
        <w:numPr>
          <w:ilvl w:val="1"/>
          <w:numId w:val="42"/>
        </w:numPr>
      </w:pPr>
      <w:r w:rsidRPr="00F549C9">
        <w:rPr>
          <w:u w:val="single"/>
        </w:rPr>
        <w:t xml:space="preserve">Security Technical Adviser </w:t>
      </w:r>
      <w:r>
        <w:rPr>
          <w:u w:val="single"/>
        </w:rPr>
        <w:t>Contract</w:t>
      </w:r>
      <w:r w:rsidRPr="00F549C9">
        <w:rPr>
          <w:u w:val="single"/>
        </w:rPr>
        <w:t>:</w:t>
      </w:r>
      <w:r>
        <w:t xml:space="preserve"> </w:t>
      </w:r>
      <w:r w:rsidRPr="00F549C9">
        <w:t xml:space="preserve">This </w:t>
      </w:r>
      <w:r>
        <w:t>Contract</w:t>
      </w:r>
      <w:r w:rsidRPr="00F549C9">
        <w:t xml:space="preserve"> was awarded to </w:t>
      </w:r>
      <w:r w:rsidRPr="001D6D47">
        <w:rPr>
          <w:b/>
        </w:rPr>
        <w:t>WSP UK Limited</w:t>
      </w:r>
      <w:r>
        <w:t xml:space="preserve"> </w:t>
      </w:r>
      <w:r w:rsidRPr="00F549C9">
        <w:t xml:space="preserve">on </w:t>
      </w:r>
      <w:r>
        <w:t xml:space="preserve">18 December 2017 </w:t>
      </w:r>
      <w:r w:rsidRPr="00F549C9">
        <w:t xml:space="preserve">by way of a call-off from CCS </w:t>
      </w:r>
      <w:r>
        <w:t>Project Management and Full Design Team Framework (RM3741),</w:t>
      </w:r>
      <w:r w:rsidRPr="00F549C9">
        <w:t xml:space="preserve"> incorporating the NEC 3 </w:t>
      </w:r>
      <w:r>
        <w:t xml:space="preserve">Professional Services Contract </w:t>
      </w:r>
      <w:r w:rsidRPr="00F549C9">
        <w:t xml:space="preserve">Term Service </w:t>
      </w:r>
      <w:r>
        <w:t>Contract</w:t>
      </w:r>
      <w:r w:rsidRPr="00F549C9">
        <w:t>.</w:t>
      </w:r>
      <w:r>
        <w:t xml:space="preserve"> The Contract will expire on 1 April 2020 and there is an option to extend for a further 12 months. The Contract is valued at around £500,000. The role of the Security Technical Advisor includes, but not be limited to:-</w:t>
      </w:r>
    </w:p>
    <w:p w14:paraId="1C0C54D1" w14:textId="77777777" w:rsidR="00C40F52" w:rsidRDefault="00C40F52" w:rsidP="0047277D">
      <w:pPr>
        <w:pStyle w:val="Heading3"/>
        <w:numPr>
          <w:ilvl w:val="2"/>
          <w:numId w:val="42"/>
        </w:numPr>
      </w:pPr>
      <w:r>
        <w:t>Providing technical input and reviewing the detailed solutions (including the Contractor’s specification for access control systems, intruder detection systems, CCTV and fire detection systems);</w:t>
      </w:r>
    </w:p>
    <w:p w14:paraId="201EA979" w14:textId="77777777" w:rsidR="00C40F52" w:rsidRDefault="00C40F52" w:rsidP="0047277D">
      <w:pPr>
        <w:pStyle w:val="Heading3"/>
        <w:numPr>
          <w:ilvl w:val="2"/>
          <w:numId w:val="42"/>
        </w:numPr>
      </w:pPr>
      <w:r>
        <w:t>Signing off test / trial criteria, attending trials representing DWP in a technical capacity;</w:t>
      </w:r>
    </w:p>
    <w:p w14:paraId="53584EBD" w14:textId="77777777" w:rsidR="00C40F52" w:rsidRDefault="00C40F52" w:rsidP="0047277D">
      <w:pPr>
        <w:pStyle w:val="Heading3"/>
        <w:numPr>
          <w:ilvl w:val="2"/>
          <w:numId w:val="42"/>
        </w:numPr>
      </w:pPr>
      <w:r>
        <w:t>Monitoring installation and signing off designs (on a sample site basis);</w:t>
      </w:r>
    </w:p>
    <w:p w14:paraId="7DD182F2" w14:textId="77777777" w:rsidR="00C40F52" w:rsidRDefault="00C40F52" w:rsidP="0047277D">
      <w:pPr>
        <w:pStyle w:val="Heading3"/>
        <w:numPr>
          <w:ilvl w:val="2"/>
          <w:numId w:val="42"/>
        </w:numPr>
      </w:pPr>
      <w:r>
        <w:t>Validating the requirement to replace existing systems (are they really obsolete); and</w:t>
      </w:r>
    </w:p>
    <w:p w14:paraId="69997965" w14:textId="77777777" w:rsidR="00C40F52" w:rsidRDefault="00C40F52" w:rsidP="0047277D">
      <w:pPr>
        <w:pStyle w:val="Heading3"/>
        <w:numPr>
          <w:ilvl w:val="2"/>
          <w:numId w:val="42"/>
        </w:numPr>
      </w:pPr>
      <w:r>
        <w:lastRenderedPageBreak/>
        <w:t>Monitoring the quality of installation and signing off on behalf of DWP, noting that due to the number of sites and geographical spread subContractors will be used extensively resulting in potential inconsistencies.</w:t>
      </w:r>
    </w:p>
    <w:p w14:paraId="3FD2FEB8" w14:textId="77777777" w:rsidR="00C40F52" w:rsidRDefault="00C40F52" w:rsidP="0047277D">
      <w:pPr>
        <w:pStyle w:val="Heading2"/>
        <w:numPr>
          <w:ilvl w:val="1"/>
          <w:numId w:val="42"/>
        </w:numPr>
      </w:pPr>
      <w:r w:rsidRPr="00D32225">
        <w:rPr>
          <w:u w:val="single"/>
        </w:rPr>
        <w:t xml:space="preserve">Lease and Landlord Management (LLM) </w:t>
      </w:r>
      <w:r>
        <w:rPr>
          <w:u w:val="single"/>
        </w:rPr>
        <w:t>Contract</w:t>
      </w:r>
      <w:r>
        <w:t xml:space="preserve">; </w:t>
      </w:r>
      <w:r w:rsidRPr="000D2123">
        <w:t xml:space="preserve">This </w:t>
      </w:r>
      <w:r>
        <w:t xml:space="preserve">Contract </w:t>
      </w:r>
      <w:r w:rsidRPr="000D2123">
        <w:t xml:space="preserve">was awarded to </w:t>
      </w:r>
      <w:r w:rsidRPr="00D32225">
        <w:rPr>
          <w:b/>
        </w:rPr>
        <w:t>Cushman &amp; Wakefield Debenham Tie Leung Limited</w:t>
      </w:r>
      <w:r>
        <w:t xml:space="preserve"> on 25 September 2017 by way of a call-off from CCS Estates Professional Services Framework (RM928). The Contract is for 3 years with an option to extend for a further 2 years. It is valued at around £6.47 million.</w:t>
      </w:r>
    </w:p>
    <w:p w14:paraId="1C82A952" w14:textId="77777777" w:rsidR="00C40F52" w:rsidRDefault="00C40F52" w:rsidP="0047277D">
      <w:pPr>
        <w:pStyle w:val="Heading2"/>
        <w:numPr>
          <w:ilvl w:val="1"/>
          <w:numId w:val="42"/>
        </w:numPr>
      </w:pPr>
      <w:r>
        <w:t>The Contract provides for managing the portfolio of DWP’s leases (including lease renewals, rent reviews, liaison with landlords and general property portfolio administration activities) and intra-Government and wider public sector occupancy agreements. This includes assuring and managing the payment in respect of DWP’s property portfolio of all rents, rates, insurance and service charges and the collection of rents, service charges etc from DWP’s tenants.</w:t>
      </w:r>
    </w:p>
    <w:p w14:paraId="5BA66569" w14:textId="77777777" w:rsidR="00C40F52" w:rsidRPr="00D80D7D" w:rsidRDefault="00C40F52" w:rsidP="0047277D">
      <w:pPr>
        <w:pStyle w:val="Heading2"/>
        <w:numPr>
          <w:ilvl w:val="1"/>
          <w:numId w:val="42"/>
        </w:numPr>
      </w:pPr>
      <w:r w:rsidRPr="00472563">
        <w:rPr>
          <w:u w:val="single"/>
        </w:rPr>
        <w:t>Furniture, Fittings and Equipment (standard and ergonomic</w:t>
      </w:r>
      <w:r>
        <w:rPr>
          <w:u w:val="single"/>
        </w:rPr>
        <w:t xml:space="preserve"> Contracts</w:t>
      </w:r>
      <w:r w:rsidRPr="00472563">
        <w:rPr>
          <w:u w:val="single"/>
        </w:rPr>
        <w:t>);</w:t>
      </w:r>
      <w:r>
        <w:rPr>
          <w:u w:val="single"/>
        </w:rPr>
        <w:t xml:space="preserve"> </w:t>
      </w:r>
      <w:r w:rsidRPr="00B34A16">
        <w:t>Th</w:t>
      </w:r>
      <w:r>
        <w:t>e</w:t>
      </w:r>
      <w:r w:rsidRPr="00B34A16">
        <w:t xml:space="preserve"> </w:t>
      </w:r>
      <w:r>
        <w:t>Standard Furniture Contract</w:t>
      </w:r>
      <w:r w:rsidRPr="00B34A16">
        <w:t xml:space="preserve"> was awarded to </w:t>
      </w:r>
      <w:r w:rsidRPr="00E20DE7">
        <w:rPr>
          <w:b/>
        </w:rPr>
        <w:t>Triumph Furniture Limited</w:t>
      </w:r>
      <w:r w:rsidRPr="00B34A16">
        <w:t xml:space="preserve"> </w:t>
      </w:r>
      <w:r>
        <w:t>on 10 April 2018 by way of a call-off from CCS Furniture Framework (RM3812). It covers the provision and installation of DWP’s f</w:t>
      </w:r>
      <w:r w:rsidRPr="00472563">
        <w:t>urniture requirements, for Standard Furniture Supplies</w:t>
      </w:r>
      <w:r>
        <w:t xml:space="preserve">, </w:t>
      </w:r>
      <w:r>
        <w:rPr>
          <w:rFonts w:cs="Arial"/>
          <w:szCs w:val="22"/>
        </w:rPr>
        <w:t xml:space="preserve">including office desks </w:t>
      </w:r>
      <w:r w:rsidRPr="00472563">
        <w:rPr>
          <w:rFonts w:cs="Arial"/>
          <w:szCs w:val="22"/>
        </w:rPr>
        <w:t>and workstations, office seating, office storage, collaboration/break out furniture, reception furniture, restaurant furniture, chairs, lockers and office accessories</w:t>
      </w:r>
      <w:r>
        <w:t>. The</w:t>
      </w:r>
      <w:r w:rsidRPr="00E20DE7">
        <w:rPr>
          <w:rFonts w:cs="Arial"/>
          <w:szCs w:val="22"/>
        </w:rPr>
        <w:t xml:space="preserve"> </w:t>
      </w:r>
      <w:r>
        <w:rPr>
          <w:rFonts w:cs="Arial"/>
          <w:szCs w:val="22"/>
        </w:rPr>
        <w:t>Contract</w:t>
      </w:r>
      <w:r w:rsidRPr="00472563">
        <w:rPr>
          <w:rFonts w:cs="Arial"/>
          <w:szCs w:val="22"/>
        </w:rPr>
        <w:t xml:space="preserve"> is for an initial two year period with the option for a further two single years.</w:t>
      </w:r>
      <w:r>
        <w:rPr>
          <w:rFonts w:cs="Arial"/>
          <w:szCs w:val="22"/>
        </w:rPr>
        <w:t xml:space="preserve"> The estimated value of the Contract is around £8m for the initial Contract period.              </w:t>
      </w:r>
    </w:p>
    <w:p w14:paraId="198D56F2" w14:textId="77777777" w:rsidR="00C40F52" w:rsidRPr="00D80D7D" w:rsidRDefault="00C40F52" w:rsidP="0047277D">
      <w:pPr>
        <w:pStyle w:val="Heading2"/>
        <w:numPr>
          <w:ilvl w:val="1"/>
          <w:numId w:val="42"/>
        </w:numPr>
      </w:pPr>
      <w:r w:rsidRPr="00D80D7D">
        <w:t>The</w:t>
      </w:r>
      <w:r w:rsidRPr="00D80D7D">
        <w:rPr>
          <w:rFonts w:cs="Arial"/>
        </w:rPr>
        <w:t xml:space="preserve"> Specialist (ergonomic) Furniture </w:t>
      </w:r>
      <w:r>
        <w:rPr>
          <w:rFonts w:cs="Arial"/>
        </w:rPr>
        <w:t>Contract</w:t>
      </w:r>
      <w:r w:rsidRPr="00D80D7D">
        <w:rPr>
          <w:rFonts w:cs="Arial"/>
        </w:rPr>
        <w:t xml:space="preserve"> </w:t>
      </w:r>
      <w:r w:rsidRPr="00D80D7D">
        <w:t xml:space="preserve">was awarded to </w:t>
      </w:r>
      <w:r w:rsidRPr="00D80D7D">
        <w:rPr>
          <w:b/>
        </w:rPr>
        <w:t>Wagstaff Bros.</w:t>
      </w:r>
      <w:r w:rsidRPr="00D80D7D">
        <w:t xml:space="preserve"> </w:t>
      </w:r>
      <w:r w:rsidRPr="00D80D7D">
        <w:rPr>
          <w:b/>
        </w:rPr>
        <w:t>Limited</w:t>
      </w:r>
      <w:r w:rsidRPr="00D80D7D">
        <w:t xml:space="preserve"> on </w:t>
      </w:r>
      <w:r w:rsidRPr="00E45266">
        <w:t>26</w:t>
      </w:r>
      <w:r w:rsidRPr="00E45266">
        <w:rPr>
          <w:vertAlign w:val="superscript"/>
        </w:rPr>
        <w:t>th</w:t>
      </w:r>
      <w:r w:rsidRPr="00E45266">
        <w:t xml:space="preserve"> April 2018</w:t>
      </w:r>
      <w:r w:rsidRPr="00D80D7D">
        <w:t xml:space="preserve"> by way of a call-off from CCS Furniture Framework (RM3812), and covers the provision of </w:t>
      </w:r>
      <w:r w:rsidRPr="00D80D7D">
        <w:rPr>
          <w:rFonts w:cs="Arial"/>
        </w:rPr>
        <w:t xml:space="preserve">a total ergonomic solution service to </w:t>
      </w:r>
      <w:r w:rsidRPr="00D80D7D">
        <w:t>DWP and eight other government departments, covering</w:t>
      </w:r>
      <w:r w:rsidRPr="00D80D7D">
        <w:rPr>
          <w:rFonts w:cs="Arial"/>
        </w:rPr>
        <w:t xml:space="preserve"> initial ergonomic assessment through to the supply and installation, set up and trialling of specialist ergonomic furniture and ongoing after-care service. </w:t>
      </w:r>
      <w:r w:rsidRPr="00D80D7D">
        <w:t>The</w:t>
      </w:r>
      <w:r w:rsidRPr="00D80D7D">
        <w:rPr>
          <w:rFonts w:cs="Arial"/>
        </w:rPr>
        <w:t xml:space="preserve"> </w:t>
      </w:r>
      <w:r>
        <w:rPr>
          <w:rFonts w:cs="Arial"/>
        </w:rPr>
        <w:t>Contract</w:t>
      </w:r>
      <w:r w:rsidRPr="00D80D7D">
        <w:rPr>
          <w:rFonts w:cs="Arial"/>
        </w:rPr>
        <w:t xml:space="preserve"> is for an initial two year period with the option for a further two single years. The estimated annual value of the </w:t>
      </w:r>
      <w:r>
        <w:rPr>
          <w:rFonts w:cs="Arial"/>
        </w:rPr>
        <w:t>Contract</w:t>
      </w:r>
      <w:r w:rsidRPr="00D80D7D">
        <w:rPr>
          <w:rFonts w:cs="Arial"/>
        </w:rPr>
        <w:t xml:space="preserve"> is £500k.</w:t>
      </w:r>
    </w:p>
    <w:p w14:paraId="5E4D47AC" w14:textId="77777777" w:rsidR="00C40F52" w:rsidRDefault="00C40F52" w:rsidP="0047277D">
      <w:pPr>
        <w:pStyle w:val="Heading2"/>
        <w:numPr>
          <w:ilvl w:val="1"/>
          <w:numId w:val="42"/>
        </w:numPr>
      </w:pPr>
      <w:r w:rsidRPr="00535703">
        <w:rPr>
          <w:u w:val="single"/>
        </w:rPr>
        <w:t xml:space="preserve">Projects/ Main </w:t>
      </w:r>
      <w:r>
        <w:rPr>
          <w:u w:val="single"/>
        </w:rPr>
        <w:t>Contract</w:t>
      </w:r>
      <w:r w:rsidRPr="00535703">
        <w:rPr>
          <w:u w:val="single"/>
        </w:rPr>
        <w:t>ors Framework</w:t>
      </w:r>
      <w:r>
        <w:t xml:space="preserve">: The Department has put in place a new Estates Contractor Framework providing Minor Works and Capital Projects to cater for DWP's estate. The </w:t>
      </w:r>
      <w:r w:rsidRPr="007D2AB2">
        <w:t>framework has a total value of £375m</w:t>
      </w:r>
      <w:r>
        <w:t xml:space="preserve"> and went live in June 2018</w:t>
      </w:r>
      <w:r w:rsidRPr="007D2AB2">
        <w:t>. It is divided into three lots according to scale of work to be carried out (works up to £250k; £250k to £2m; and £2m to £8m). Each lot is divided into five regional bands.</w:t>
      </w:r>
      <w:r>
        <w:t xml:space="preserve"> Its duration is 4 years and will also be available to other HMG Departments.</w:t>
      </w:r>
    </w:p>
    <w:p w14:paraId="7DA35D7A" w14:textId="52B8D655" w:rsidR="00C40F52" w:rsidRDefault="00C40F52" w:rsidP="0047277D">
      <w:pPr>
        <w:pStyle w:val="Heading2"/>
        <w:numPr>
          <w:ilvl w:val="1"/>
          <w:numId w:val="42"/>
        </w:numPr>
      </w:pPr>
      <w:r w:rsidRPr="0067038F">
        <w:rPr>
          <w:u w:val="single"/>
        </w:rPr>
        <w:t>Property Legal Services</w:t>
      </w:r>
      <w:r>
        <w:t xml:space="preserve">: This Contract was awarded to </w:t>
      </w:r>
      <w:r w:rsidRPr="0067038F">
        <w:rPr>
          <w:b/>
        </w:rPr>
        <w:t>Dentons LLP</w:t>
      </w:r>
      <w:r>
        <w:t xml:space="preserve"> on 13 June 2017 by way of a call-off from CCS Legal Services Framework (RM3786). The Contract is for 3 years with an option to extend for a further 13 months. The </w:t>
      </w:r>
      <w:r w:rsidRPr="0067038F">
        <w:rPr>
          <w:rFonts w:cs="Arial"/>
          <w:sz w:val="20"/>
        </w:rPr>
        <w:t xml:space="preserve">Property Legal Services Supplier supports the LLM Service provider by providing a range of </w:t>
      </w:r>
      <w:r>
        <w:rPr>
          <w:rFonts w:cs="Arial"/>
          <w:sz w:val="20"/>
        </w:rPr>
        <w:t xml:space="preserve">BAU </w:t>
      </w:r>
      <w:r w:rsidRPr="0067038F">
        <w:rPr>
          <w:rFonts w:cs="Arial"/>
          <w:sz w:val="20"/>
        </w:rPr>
        <w:t xml:space="preserve">property related legal services including but not limited to: </w:t>
      </w:r>
      <w:r w:rsidRPr="0067038F">
        <w:t>Acquisitions and Disposals</w:t>
      </w:r>
      <w:r>
        <w:t xml:space="preserve">; </w:t>
      </w:r>
      <w:r w:rsidRPr="0067038F">
        <w:t>Lease Administration (including Renewals, Rent Reviews, Break Clauses and Notices, Landlord’s Consents, Dilapidations, Service Charges and Insurance Rent)</w:t>
      </w:r>
      <w:r>
        <w:t xml:space="preserve">; </w:t>
      </w:r>
      <w:r w:rsidRPr="0067038F">
        <w:t>General Estate and Property Management</w:t>
      </w:r>
      <w:r>
        <w:t xml:space="preserve">; </w:t>
      </w:r>
      <w:r w:rsidRPr="0067038F">
        <w:t>Development and Planning Issues (including Compulsory Purchase Orders, Party Wall Awards, Wayleaves and Neighbour Issues)</w:t>
      </w:r>
      <w:r>
        <w:t xml:space="preserve">; </w:t>
      </w:r>
      <w:r w:rsidRPr="0067038F">
        <w:t>Property Claims</w:t>
      </w:r>
      <w:r>
        <w:t xml:space="preserve">; </w:t>
      </w:r>
      <w:r w:rsidRPr="0067038F">
        <w:t>Storage of Deeds and Lease Documentation</w:t>
      </w:r>
      <w:r>
        <w:t xml:space="preserve">; </w:t>
      </w:r>
      <w:r w:rsidRPr="0067038F">
        <w:t xml:space="preserve">Migration of Property Legal Services </w:t>
      </w:r>
      <w:r w:rsidRPr="0067038F">
        <w:lastRenderedPageBreak/>
        <w:t>wo</w:t>
      </w:r>
      <w:r>
        <w:t>rk from previous legal supplier; and a</w:t>
      </w:r>
      <w:r w:rsidRPr="0067038F">
        <w:t>greeing an appropriate case management system with the LLM Supplier a</w:t>
      </w:r>
      <w:r>
        <w:t xml:space="preserve">nd buying licences if necessary. </w:t>
      </w:r>
    </w:p>
    <w:p w14:paraId="1803619C" w14:textId="3F80D49B" w:rsidR="00C40F52" w:rsidRDefault="00C40F52" w:rsidP="00C40F52">
      <w:pPr>
        <w:pStyle w:val="Heading1"/>
        <w:numPr>
          <w:ilvl w:val="0"/>
          <w:numId w:val="0"/>
        </w:numPr>
        <w:ind w:left="567" w:hanging="567"/>
      </w:pPr>
    </w:p>
    <w:p w14:paraId="54E0E92F" w14:textId="5B5C44B4" w:rsidR="00C40F52" w:rsidRDefault="00126EC1" w:rsidP="00C40F52">
      <w:pPr>
        <w:pStyle w:val="MarginText"/>
        <w:spacing w:before="120" w:after="120"/>
        <w:rPr>
          <w:rFonts w:cs="Arial"/>
          <w:b/>
          <w:szCs w:val="22"/>
        </w:rPr>
      </w:pPr>
      <w:r>
        <w:rPr>
          <w:rFonts w:cs="Arial"/>
          <w:b/>
          <w:szCs w:val="22"/>
        </w:rPr>
        <w:t>PRICE</w:t>
      </w:r>
    </w:p>
    <w:p w14:paraId="7DC4996F" w14:textId="67B3769C" w:rsidR="00415774" w:rsidRDefault="00415774" w:rsidP="00C40F52">
      <w:pPr>
        <w:pStyle w:val="MarginText"/>
        <w:spacing w:before="120" w:after="120"/>
        <w:rPr>
          <w:rFonts w:cs="Arial"/>
          <w:b/>
          <w:szCs w:val="22"/>
        </w:rPr>
      </w:pPr>
      <w:r w:rsidRPr="00415774">
        <w:rPr>
          <w:rFonts w:cs="Arial"/>
          <w:b/>
          <w:szCs w:val="22"/>
        </w:rPr>
        <w:t>[Redacted]</w:t>
      </w:r>
    </w:p>
    <w:p w14:paraId="61FE5E5A" w14:textId="5F4AA1AC" w:rsidR="00C40F52" w:rsidRDefault="00C40F52" w:rsidP="00C40F52">
      <w:pPr>
        <w:pStyle w:val="Heading1"/>
        <w:numPr>
          <w:ilvl w:val="0"/>
          <w:numId w:val="0"/>
        </w:numPr>
        <w:ind w:left="567" w:hanging="567"/>
      </w:pPr>
    </w:p>
    <w:p w14:paraId="16518D2E" w14:textId="77777777" w:rsidR="00C249EB" w:rsidRDefault="00C249EB" w:rsidP="00C40F52">
      <w:pPr>
        <w:pStyle w:val="Heading1"/>
        <w:numPr>
          <w:ilvl w:val="0"/>
          <w:numId w:val="0"/>
        </w:numPr>
        <w:ind w:left="567" w:hanging="567"/>
      </w:pPr>
    </w:p>
    <w:p w14:paraId="51A1E292" w14:textId="77777777" w:rsidR="00C249EB" w:rsidRDefault="00C249EB" w:rsidP="00C40F52">
      <w:pPr>
        <w:pStyle w:val="Heading1"/>
        <w:numPr>
          <w:ilvl w:val="0"/>
          <w:numId w:val="0"/>
        </w:numPr>
        <w:ind w:left="567" w:hanging="567"/>
      </w:pPr>
    </w:p>
    <w:p w14:paraId="4A7DD21B" w14:textId="77777777" w:rsidR="00C249EB" w:rsidRDefault="00C249EB" w:rsidP="00C40F52">
      <w:pPr>
        <w:pStyle w:val="Heading1"/>
        <w:numPr>
          <w:ilvl w:val="0"/>
          <w:numId w:val="0"/>
        </w:numPr>
        <w:ind w:left="567" w:hanging="567"/>
      </w:pPr>
    </w:p>
    <w:p w14:paraId="57F23232" w14:textId="77777777" w:rsidR="00C249EB" w:rsidRDefault="00C249EB" w:rsidP="00C40F52">
      <w:pPr>
        <w:pStyle w:val="Heading1"/>
        <w:numPr>
          <w:ilvl w:val="0"/>
          <w:numId w:val="0"/>
        </w:numPr>
        <w:ind w:left="567" w:hanging="567"/>
      </w:pPr>
    </w:p>
    <w:p w14:paraId="6B2EE3DF" w14:textId="017C8095" w:rsidR="00126EC1" w:rsidRDefault="00126EC1" w:rsidP="00C249EB">
      <w:pPr>
        <w:pStyle w:val="Heading1"/>
        <w:numPr>
          <w:ilvl w:val="0"/>
          <w:numId w:val="0"/>
        </w:numPr>
        <w:ind w:left="567" w:hanging="567"/>
      </w:pPr>
      <w:bookmarkStart w:id="49" w:name="_Toc531702599"/>
      <w:r>
        <w:t>QUALITY SUBMISSION</w:t>
      </w:r>
      <w:bookmarkEnd w:id="49"/>
      <w:r>
        <w:t xml:space="preserve"> </w:t>
      </w:r>
    </w:p>
    <w:p w14:paraId="5DA00466" w14:textId="27A462D2" w:rsidR="00126EC1" w:rsidRPr="00415774" w:rsidRDefault="00415774" w:rsidP="00C40F52">
      <w:pPr>
        <w:pStyle w:val="Heading1"/>
        <w:numPr>
          <w:ilvl w:val="0"/>
          <w:numId w:val="0"/>
        </w:numPr>
        <w:ind w:left="567" w:hanging="567"/>
        <w:sectPr w:rsidR="00126EC1" w:rsidRPr="00415774" w:rsidSect="005037E1">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440" w:right="1440" w:bottom="1440" w:left="1440" w:header="706" w:footer="706" w:gutter="0"/>
          <w:cols w:space="720"/>
          <w:docGrid w:linePitch="299"/>
        </w:sectPr>
      </w:pPr>
      <w:r w:rsidRPr="00415774">
        <w:rPr>
          <w:rFonts w:cs="Arial"/>
          <w:szCs w:val="22"/>
        </w:rPr>
        <w:t>[Redacted]</w:t>
      </w: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7349FA00" w14:textId="54B44D48" w:rsidR="00C40F52"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31009292" w:history="1">
        <w:r w:rsidR="00C40F52" w:rsidRPr="000E2227">
          <w:rPr>
            <w:rStyle w:val="Hyperlink"/>
            <w:rFonts w:cs="Arial"/>
            <w:noProof/>
          </w:rPr>
          <w:t>1.</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DEFINITIONS AND INTERPRETATION</w:t>
        </w:r>
        <w:r w:rsidR="00C40F52">
          <w:rPr>
            <w:noProof/>
          </w:rPr>
          <w:tab/>
        </w:r>
        <w:r w:rsidR="00C40F52">
          <w:rPr>
            <w:noProof/>
          </w:rPr>
          <w:fldChar w:fldCharType="begin"/>
        </w:r>
        <w:r w:rsidR="00C40F52">
          <w:rPr>
            <w:noProof/>
          </w:rPr>
          <w:instrText xml:space="preserve"> PAGEREF _Toc531009292 \h </w:instrText>
        </w:r>
        <w:r w:rsidR="00C40F52">
          <w:rPr>
            <w:noProof/>
          </w:rPr>
        </w:r>
        <w:r w:rsidR="00C40F52">
          <w:rPr>
            <w:noProof/>
          </w:rPr>
          <w:fldChar w:fldCharType="separate"/>
        </w:r>
        <w:r w:rsidR="00415774">
          <w:rPr>
            <w:noProof/>
          </w:rPr>
          <w:t>21</w:t>
        </w:r>
        <w:r w:rsidR="00C40F52">
          <w:rPr>
            <w:noProof/>
          </w:rPr>
          <w:fldChar w:fldCharType="end"/>
        </w:r>
      </w:hyperlink>
    </w:p>
    <w:p w14:paraId="7808C7A2" w14:textId="6046F6FB" w:rsidR="00C40F52" w:rsidRDefault="00CC5926">
      <w:pPr>
        <w:pStyle w:val="TOC1"/>
        <w:rPr>
          <w:rFonts w:asciiTheme="minorHAnsi" w:eastAsiaTheme="minorEastAsia" w:hAnsiTheme="minorHAnsi" w:cstheme="minorBidi"/>
          <w:caps w:val="0"/>
          <w:noProof/>
          <w:szCs w:val="22"/>
          <w:lang w:eastAsia="en-GB"/>
        </w:rPr>
      </w:pPr>
      <w:hyperlink w:anchor="_Toc531009293" w:history="1">
        <w:r w:rsidR="00C40F52" w:rsidRPr="000E2227">
          <w:rPr>
            <w:rStyle w:val="Hyperlink"/>
            <w:rFonts w:cs="Arial"/>
            <w:noProof/>
          </w:rPr>
          <w:t>2.</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The Ordered Panel Services</w:t>
        </w:r>
        <w:r w:rsidR="00C40F52">
          <w:rPr>
            <w:noProof/>
          </w:rPr>
          <w:tab/>
        </w:r>
        <w:r w:rsidR="00C40F52">
          <w:rPr>
            <w:noProof/>
          </w:rPr>
          <w:fldChar w:fldCharType="begin"/>
        </w:r>
        <w:r w:rsidR="00C40F52">
          <w:rPr>
            <w:noProof/>
          </w:rPr>
          <w:instrText xml:space="preserve"> PAGEREF _Toc531009293 \h </w:instrText>
        </w:r>
        <w:r w:rsidR="00C40F52">
          <w:rPr>
            <w:noProof/>
          </w:rPr>
        </w:r>
        <w:r w:rsidR="00C40F52">
          <w:rPr>
            <w:noProof/>
          </w:rPr>
          <w:fldChar w:fldCharType="separate"/>
        </w:r>
        <w:r w:rsidR="00415774">
          <w:rPr>
            <w:noProof/>
          </w:rPr>
          <w:t>22</w:t>
        </w:r>
        <w:r w:rsidR="00C40F52">
          <w:rPr>
            <w:noProof/>
          </w:rPr>
          <w:fldChar w:fldCharType="end"/>
        </w:r>
      </w:hyperlink>
    </w:p>
    <w:p w14:paraId="03DF98F4" w14:textId="2C228E00" w:rsidR="00C40F52" w:rsidRDefault="00CC5926">
      <w:pPr>
        <w:pStyle w:val="TOC1"/>
        <w:rPr>
          <w:rFonts w:asciiTheme="minorHAnsi" w:eastAsiaTheme="minorEastAsia" w:hAnsiTheme="minorHAnsi" w:cstheme="minorBidi"/>
          <w:caps w:val="0"/>
          <w:noProof/>
          <w:szCs w:val="22"/>
          <w:lang w:eastAsia="en-GB"/>
        </w:rPr>
      </w:pPr>
      <w:hyperlink w:anchor="_Toc531009294" w:history="1">
        <w:r w:rsidR="00C40F52" w:rsidRPr="000E2227">
          <w:rPr>
            <w:rStyle w:val="Hyperlink"/>
            <w:rFonts w:cs="Arial"/>
            <w:noProof/>
          </w:rPr>
          <w:t>3.</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Delivery and management of the Ordered Panel Services</w:t>
        </w:r>
        <w:r w:rsidR="00C40F52">
          <w:rPr>
            <w:noProof/>
          </w:rPr>
          <w:tab/>
        </w:r>
        <w:r w:rsidR="00C40F52">
          <w:rPr>
            <w:noProof/>
          </w:rPr>
          <w:fldChar w:fldCharType="begin"/>
        </w:r>
        <w:r w:rsidR="00C40F52">
          <w:rPr>
            <w:noProof/>
          </w:rPr>
          <w:instrText xml:space="preserve"> PAGEREF _Toc531009294 \h </w:instrText>
        </w:r>
        <w:r w:rsidR="00C40F52">
          <w:rPr>
            <w:noProof/>
          </w:rPr>
        </w:r>
        <w:r w:rsidR="00C40F52">
          <w:rPr>
            <w:noProof/>
          </w:rPr>
          <w:fldChar w:fldCharType="separate"/>
        </w:r>
        <w:r w:rsidR="00415774">
          <w:rPr>
            <w:noProof/>
          </w:rPr>
          <w:t>22</w:t>
        </w:r>
        <w:r w:rsidR="00C40F52">
          <w:rPr>
            <w:noProof/>
          </w:rPr>
          <w:fldChar w:fldCharType="end"/>
        </w:r>
      </w:hyperlink>
    </w:p>
    <w:p w14:paraId="33FB68F0" w14:textId="79003DD6" w:rsidR="00C40F52" w:rsidRDefault="00CC5926">
      <w:pPr>
        <w:pStyle w:val="TOC1"/>
        <w:rPr>
          <w:rFonts w:asciiTheme="minorHAnsi" w:eastAsiaTheme="minorEastAsia" w:hAnsiTheme="minorHAnsi" w:cstheme="minorBidi"/>
          <w:caps w:val="0"/>
          <w:noProof/>
          <w:szCs w:val="22"/>
          <w:lang w:eastAsia="en-GB"/>
        </w:rPr>
      </w:pPr>
      <w:hyperlink w:anchor="_Toc531009295" w:history="1">
        <w:r w:rsidR="00C40F52" w:rsidRPr="000E2227">
          <w:rPr>
            <w:rStyle w:val="Hyperlink"/>
            <w:rFonts w:cs="Arial"/>
            <w:noProof/>
          </w:rPr>
          <w:t>4.</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Variation and Extension</w:t>
        </w:r>
        <w:r w:rsidR="00C40F52">
          <w:rPr>
            <w:noProof/>
          </w:rPr>
          <w:tab/>
        </w:r>
        <w:r w:rsidR="00C40F52">
          <w:rPr>
            <w:noProof/>
          </w:rPr>
          <w:fldChar w:fldCharType="begin"/>
        </w:r>
        <w:r w:rsidR="00C40F52">
          <w:rPr>
            <w:noProof/>
          </w:rPr>
          <w:instrText xml:space="preserve"> PAGEREF _Toc531009295 \h </w:instrText>
        </w:r>
        <w:r w:rsidR="00C40F52">
          <w:rPr>
            <w:noProof/>
          </w:rPr>
        </w:r>
        <w:r w:rsidR="00C40F52">
          <w:rPr>
            <w:noProof/>
          </w:rPr>
          <w:fldChar w:fldCharType="separate"/>
        </w:r>
        <w:r w:rsidR="00415774">
          <w:rPr>
            <w:noProof/>
          </w:rPr>
          <w:t>26</w:t>
        </w:r>
        <w:r w:rsidR="00C40F52">
          <w:rPr>
            <w:noProof/>
          </w:rPr>
          <w:fldChar w:fldCharType="end"/>
        </w:r>
      </w:hyperlink>
    </w:p>
    <w:p w14:paraId="4EF57DAD" w14:textId="57CB91F1" w:rsidR="00C40F52" w:rsidRDefault="00CC5926">
      <w:pPr>
        <w:pStyle w:val="TOC1"/>
        <w:rPr>
          <w:rFonts w:asciiTheme="minorHAnsi" w:eastAsiaTheme="minorEastAsia" w:hAnsiTheme="minorHAnsi" w:cstheme="minorBidi"/>
          <w:caps w:val="0"/>
          <w:noProof/>
          <w:szCs w:val="22"/>
          <w:lang w:eastAsia="en-GB"/>
        </w:rPr>
      </w:pPr>
      <w:hyperlink w:anchor="_Toc531009296" w:history="1">
        <w:r w:rsidR="00C40F52" w:rsidRPr="000E2227">
          <w:rPr>
            <w:rStyle w:val="Hyperlink"/>
            <w:rFonts w:cs="Arial"/>
            <w:noProof/>
          </w:rPr>
          <w:t>5.</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Personnel</w:t>
        </w:r>
        <w:r w:rsidR="00C40F52">
          <w:rPr>
            <w:noProof/>
          </w:rPr>
          <w:tab/>
        </w:r>
        <w:r w:rsidR="00C40F52">
          <w:rPr>
            <w:noProof/>
          </w:rPr>
          <w:fldChar w:fldCharType="begin"/>
        </w:r>
        <w:r w:rsidR="00C40F52">
          <w:rPr>
            <w:noProof/>
          </w:rPr>
          <w:instrText xml:space="preserve"> PAGEREF _Toc531009296 \h </w:instrText>
        </w:r>
        <w:r w:rsidR="00C40F52">
          <w:rPr>
            <w:noProof/>
          </w:rPr>
        </w:r>
        <w:r w:rsidR="00C40F52">
          <w:rPr>
            <w:noProof/>
          </w:rPr>
          <w:fldChar w:fldCharType="separate"/>
        </w:r>
        <w:r w:rsidR="00415774">
          <w:rPr>
            <w:noProof/>
          </w:rPr>
          <w:t>26</w:t>
        </w:r>
        <w:r w:rsidR="00C40F52">
          <w:rPr>
            <w:noProof/>
          </w:rPr>
          <w:fldChar w:fldCharType="end"/>
        </w:r>
      </w:hyperlink>
    </w:p>
    <w:p w14:paraId="3AE3426B" w14:textId="6F89964B" w:rsidR="00C40F52" w:rsidRDefault="00CC5926">
      <w:pPr>
        <w:pStyle w:val="TOC1"/>
        <w:rPr>
          <w:rFonts w:asciiTheme="minorHAnsi" w:eastAsiaTheme="minorEastAsia" w:hAnsiTheme="minorHAnsi" w:cstheme="minorBidi"/>
          <w:caps w:val="0"/>
          <w:noProof/>
          <w:szCs w:val="22"/>
          <w:lang w:eastAsia="en-GB"/>
        </w:rPr>
      </w:pPr>
      <w:hyperlink w:anchor="_Toc531009297" w:history="1">
        <w:r w:rsidR="00C40F52" w:rsidRPr="000E2227">
          <w:rPr>
            <w:rStyle w:val="Hyperlink"/>
            <w:rFonts w:cs="Arial"/>
            <w:noProof/>
          </w:rPr>
          <w:t>6.</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CHARGES AND INVOICING</w:t>
        </w:r>
        <w:r w:rsidR="00C40F52">
          <w:rPr>
            <w:noProof/>
          </w:rPr>
          <w:tab/>
        </w:r>
        <w:r w:rsidR="00C40F52">
          <w:rPr>
            <w:noProof/>
          </w:rPr>
          <w:fldChar w:fldCharType="begin"/>
        </w:r>
        <w:r w:rsidR="00C40F52">
          <w:rPr>
            <w:noProof/>
          </w:rPr>
          <w:instrText xml:space="preserve"> PAGEREF _Toc531009297 \h </w:instrText>
        </w:r>
        <w:r w:rsidR="00C40F52">
          <w:rPr>
            <w:noProof/>
          </w:rPr>
        </w:r>
        <w:r w:rsidR="00C40F52">
          <w:rPr>
            <w:noProof/>
          </w:rPr>
          <w:fldChar w:fldCharType="separate"/>
        </w:r>
        <w:r w:rsidR="00415774">
          <w:rPr>
            <w:noProof/>
          </w:rPr>
          <w:t>33</w:t>
        </w:r>
        <w:r w:rsidR="00C40F52">
          <w:rPr>
            <w:noProof/>
          </w:rPr>
          <w:fldChar w:fldCharType="end"/>
        </w:r>
      </w:hyperlink>
    </w:p>
    <w:p w14:paraId="3B77E447" w14:textId="2B0BF264" w:rsidR="00C40F52" w:rsidRDefault="00CC5926">
      <w:pPr>
        <w:pStyle w:val="TOC1"/>
        <w:rPr>
          <w:rFonts w:asciiTheme="minorHAnsi" w:eastAsiaTheme="minorEastAsia" w:hAnsiTheme="minorHAnsi" w:cstheme="minorBidi"/>
          <w:caps w:val="0"/>
          <w:noProof/>
          <w:szCs w:val="22"/>
          <w:lang w:eastAsia="en-GB"/>
        </w:rPr>
      </w:pPr>
      <w:hyperlink w:anchor="_Toc531009298" w:history="1">
        <w:r w:rsidR="00C40F52" w:rsidRPr="000E2227">
          <w:rPr>
            <w:rStyle w:val="Hyperlink"/>
            <w:rFonts w:cs="Arial"/>
            <w:noProof/>
          </w:rPr>
          <w:t>7.</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LIABILITY AND INSURANCE</w:t>
        </w:r>
        <w:r w:rsidR="00C40F52">
          <w:rPr>
            <w:noProof/>
          </w:rPr>
          <w:tab/>
        </w:r>
        <w:r w:rsidR="00C40F52">
          <w:rPr>
            <w:noProof/>
          </w:rPr>
          <w:fldChar w:fldCharType="begin"/>
        </w:r>
        <w:r w:rsidR="00C40F52">
          <w:rPr>
            <w:noProof/>
          </w:rPr>
          <w:instrText xml:space="preserve"> PAGEREF _Toc531009298 \h </w:instrText>
        </w:r>
        <w:r w:rsidR="00C40F52">
          <w:rPr>
            <w:noProof/>
          </w:rPr>
        </w:r>
        <w:r w:rsidR="00C40F52">
          <w:rPr>
            <w:noProof/>
          </w:rPr>
          <w:fldChar w:fldCharType="separate"/>
        </w:r>
        <w:r w:rsidR="00415774">
          <w:rPr>
            <w:noProof/>
          </w:rPr>
          <w:t>35</w:t>
        </w:r>
        <w:r w:rsidR="00C40F52">
          <w:rPr>
            <w:noProof/>
          </w:rPr>
          <w:fldChar w:fldCharType="end"/>
        </w:r>
      </w:hyperlink>
    </w:p>
    <w:p w14:paraId="017D56BB" w14:textId="2EB73008" w:rsidR="00C40F52" w:rsidRDefault="00CC5926">
      <w:pPr>
        <w:pStyle w:val="TOC1"/>
        <w:rPr>
          <w:rFonts w:asciiTheme="minorHAnsi" w:eastAsiaTheme="minorEastAsia" w:hAnsiTheme="minorHAnsi" w:cstheme="minorBidi"/>
          <w:caps w:val="0"/>
          <w:noProof/>
          <w:szCs w:val="22"/>
          <w:lang w:eastAsia="en-GB"/>
        </w:rPr>
      </w:pPr>
      <w:hyperlink w:anchor="_Toc531009299" w:history="1">
        <w:r w:rsidR="00C40F52" w:rsidRPr="000E2227">
          <w:rPr>
            <w:rStyle w:val="Hyperlink"/>
            <w:rFonts w:cs="Arial"/>
            <w:noProof/>
          </w:rPr>
          <w:t>8.</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INTELLECTUAL PROPERTY RIGHTS</w:t>
        </w:r>
        <w:r w:rsidR="00C40F52">
          <w:rPr>
            <w:noProof/>
          </w:rPr>
          <w:tab/>
        </w:r>
        <w:r w:rsidR="00C40F52">
          <w:rPr>
            <w:noProof/>
          </w:rPr>
          <w:fldChar w:fldCharType="begin"/>
        </w:r>
        <w:r w:rsidR="00C40F52">
          <w:rPr>
            <w:noProof/>
          </w:rPr>
          <w:instrText xml:space="preserve"> PAGEREF _Toc531009299 \h </w:instrText>
        </w:r>
        <w:r w:rsidR="00C40F52">
          <w:rPr>
            <w:noProof/>
          </w:rPr>
        </w:r>
        <w:r w:rsidR="00C40F52">
          <w:rPr>
            <w:noProof/>
          </w:rPr>
          <w:fldChar w:fldCharType="separate"/>
        </w:r>
        <w:r w:rsidR="00415774">
          <w:rPr>
            <w:noProof/>
          </w:rPr>
          <w:t>37</w:t>
        </w:r>
        <w:r w:rsidR="00C40F52">
          <w:rPr>
            <w:noProof/>
          </w:rPr>
          <w:fldChar w:fldCharType="end"/>
        </w:r>
      </w:hyperlink>
    </w:p>
    <w:p w14:paraId="4074FCBB" w14:textId="6760C8D2" w:rsidR="00C40F52" w:rsidRDefault="00CC5926">
      <w:pPr>
        <w:pStyle w:val="TOC1"/>
        <w:rPr>
          <w:rFonts w:asciiTheme="minorHAnsi" w:eastAsiaTheme="minorEastAsia" w:hAnsiTheme="minorHAnsi" w:cstheme="minorBidi"/>
          <w:caps w:val="0"/>
          <w:noProof/>
          <w:szCs w:val="22"/>
          <w:lang w:eastAsia="en-GB"/>
        </w:rPr>
      </w:pPr>
      <w:hyperlink w:anchor="_Toc531009300" w:history="1">
        <w:r w:rsidR="00C40F52" w:rsidRPr="000E2227">
          <w:rPr>
            <w:rStyle w:val="Hyperlink"/>
            <w:rFonts w:cs="Arial"/>
            <w:noProof/>
          </w:rPr>
          <w:t>9.</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PROTECTION OF INFORMATION</w:t>
        </w:r>
        <w:r w:rsidR="00C40F52">
          <w:rPr>
            <w:noProof/>
          </w:rPr>
          <w:tab/>
        </w:r>
        <w:r w:rsidR="00C40F52">
          <w:rPr>
            <w:noProof/>
          </w:rPr>
          <w:fldChar w:fldCharType="begin"/>
        </w:r>
        <w:r w:rsidR="00C40F52">
          <w:rPr>
            <w:noProof/>
          </w:rPr>
          <w:instrText xml:space="preserve"> PAGEREF _Toc531009300 \h </w:instrText>
        </w:r>
        <w:r w:rsidR="00C40F52">
          <w:rPr>
            <w:noProof/>
          </w:rPr>
        </w:r>
        <w:r w:rsidR="00C40F52">
          <w:rPr>
            <w:noProof/>
          </w:rPr>
          <w:fldChar w:fldCharType="separate"/>
        </w:r>
        <w:r w:rsidR="00415774">
          <w:rPr>
            <w:noProof/>
          </w:rPr>
          <w:t>37</w:t>
        </w:r>
        <w:r w:rsidR="00C40F52">
          <w:rPr>
            <w:noProof/>
          </w:rPr>
          <w:fldChar w:fldCharType="end"/>
        </w:r>
      </w:hyperlink>
    </w:p>
    <w:p w14:paraId="63105FA2" w14:textId="2ED75BAC" w:rsidR="00C40F52" w:rsidRDefault="00CC5926">
      <w:pPr>
        <w:pStyle w:val="TOC1"/>
        <w:rPr>
          <w:rFonts w:asciiTheme="minorHAnsi" w:eastAsiaTheme="minorEastAsia" w:hAnsiTheme="minorHAnsi" w:cstheme="minorBidi"/>
          <w:caps w:val="0"/>
          <w:noProof/>
          <w:szCs w:val="22"/>
          <w:lang w:eastAsia="en-GB"/>
        </w:rPr>
      </w:pPr>
      <w:hyperlink w:anchor="_Toc531009301" w:history="1">
        <w:r w:rsidR="00C40F52" w:rsidRPr="000E2227">
          <w:rPr>
            <w:rStyle w:val="Hyperlink"/>
            <w:rFonts w:cs="Arial"/>
            <w:noProof/>
          </w:rPr>
          <w:t>10.</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WARRANTIES, REPRESENTATIONS AND UNDERTAKINGS</w:t>
        </w:r>
        <w:r w:rsidR="00C40F52">
          <w:rPr>
            <w:noProof/>
          </w:rPr>
          <w:tab/>
        </w:r>
        <w:r w:rsidR="00C40F52">
          <w:rPr>
            <w:noProof/>
          </w:rPr>
          <w:fldChar w:fldCharType="begin"/>
        </w:r>
        <w:r w:rsidR="00C40F52">
          <w:rPr>
            <w:noProof/>
          </w:rPr>
          <w:instrText xml:space="preserve"> PAGEREF _Toc531009301 \h </w:instrText>
        </w:r>
        <w:r w:rsidR="00C40F52">
          <w:rPr>
            <w:noProof/>
          </w:rPr>
        </w:r>
        <w:r w:rsidR="00C40F52">
          <w:rPr>
            <w:noProof/>
          </w:rPr>
          <w:fldChar w:fldCharType="separate"/>
        </w:r>
        <w:r w:rsidR="00415774">
          <w:rPr>
            <w:noProof/>
          </w:rPr>
          <w:t>42</w:t>
        </w:r>
        <w:r w:rsidR="00C40F52">
          <w:rPr>
            <w:noProof/>
          </w:rPr>
          <w:fldChar w:fldCharType="end"/>
        </w:r>
      </w:hyperlink>
    </w:p>
    <w:p w14:paraId="0631BD05" w14:textId="24B74C5E" w:rsidR="00C40F52" w:rsidRDefault="00CC5926">
      <w:pPr>
        <w:pStyle w:val="TOC1"/>
        <w:rPr>
          <w:rFonts w:asciiTheme="minorHAnsi" w:eastAsiaTheme="minorEastAsia" w:hAnsiTheme="minorHAnsi" w:cstheme="minorBidi"/>
          <w:caps w:val="0"/>
          <w:noProof/>
          <w:szCs w:val="22"/>
          <w:lang w:eastAsia="en-GB"/>
        </w:rPr>
      </w:pPr>
      <w:hyperlink w:anchor="_Toc531009302" w:history="1">
        <w:r w:rsidR="00C40F52" w:rsidRPr="000E2227">
          <w:rPr>
            <w:rStyle w:val="Hyperlink"/>
            <w:rFonts w:cs="Arial"/>
            <w:noProof/>
          </w:rPr>
          <w:t>11.</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TERMINATION</w:t>
        </w:r>
        <w:r w:rsidR="00C40F52">
          <w:rPr>
            <w:noProof/>
          </w:rPr>
          <w:tab/>
        </w:r>
        <w:r w:rsidR="00C40F52">
          <w:rPr>
            <w:noProof/>
          </w:rPr>
          <w:fldChar w:fldCharType="begin"/>
        </w:r>
        <w:r w:rsidR="00C40F52">
          <w:rPr>
            <w:noProof/>
          </w:rPr>
          <w:instrText xml:space="preserve"> PAGEREF _Toc531009302 \h </w:instrText>
        </w:r>
        <w:r w:rsidR="00C40F52">
          <w:rPr>
            <w:noProof/>
          </w:rPr>
        </w:r>
        <w:r w:rsidR="00C40F52">
          <w:rPr>
            <w:noProof/>
          </w:rPr>
          <w:fldChar w:fldCharType="separate"/>
        </w:r>
        <w:r w:rsidR="00415774">
          <w:rPr>
            <w:noProof/>
          </w:rPr>
          <w:t>44</w:t>
        </w:r>
        <w:r w:rsidR="00C40F52">
          <w:rPr>
            <w:noProof/>
          </w:rPr>
          <w:fldChar w:fldCharType="end"/>
        </w:r>
      </w:hyperlink>
    </w:p>
    <w:p w14:paraId="3D2D2343" w14:textId="30E8FC1A" w:rsidR="00C40F52" w:rsidRDefault="00CC5926">
      <w:pPr>
        <w:pStyle w:val="TOC1"/>
        <w:rPr>
          <w:rFonts w:asciiTheme="minorHAnsi" w:eastAsiaTheme="minorEastAsia" w:hAnsiTheme="minorHAnsi" w:cstheme="minorBidi"/>
          <w:caps w:val="0"/>
          <w:noProof/>
          <w:szCs w:val="22"/>
          <w:lang w:eastAsia="en-GB"/>
        </w:rPr>
      </w:pPr>
      <w:hyperlink w:anchor="_Toc531009303" w:history="1">
        <w:r w:rsidR="00C40F52" w:rsidRPr="000E2227">
          <w:rPr>
            <w:rStyle w:val="Hyperlink"/>
            <w:rFonts w:cs="Arial"/>
            <w:noProof/>
          </w:rPr>
          <w:t>12.</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CONSEQUENCES OF EXPIRY OR TERMINATION</w:t>
        </w:r>
        <w:r w:rsidR="00C40F52">
          <w:rPr>
            <w:noProof/>
          </w:rPr>
          <w:tab/>
        </w:r>
        <w:r w:rsidR="00C40F52">
          <w:rPr>
            <w:noProof/>
          </w:rPr>
          <w:fldChar w:fldCharType="begin"/>
        </w:r>
        <w:r w:rsidR="00C40F52">
          <w:rPr>
            <w:noProof/>
          </w:rPr>
          <w:instrText xml:space="preserve"> PAGEREF _Toc531009303 \h </w:instrText>
        </w:r>
        <w:r w:rsidR="00C40F52">
          <w:rPr>
            <w:noProof/>
          </w:rPr>
        </w:r>
        <w:r w:rsidR="00C40F52">
          <w:rPr>
            <w:noProof/>
          </w:rPr>
          <w:fldChar w:fldCharType="separate"/>
        </w:r>
        <w:r w:rsidR="00415774">
          <w:rPr>
            <w:noProof/>
          </w:rPr>
          <w:t>47</w:t>
        </w:r>
        <w:r w:rsidR="00C40F52">
          <w:rPr>
            <w:noProof/>
          </w:rPr>
          <w:fldChar w:fldCharType="end"/>
        </w:r>
      </w:hyperlink>
    </w:p>
    <w:p w14:paraId="07AE8EE5" w14:textId="511C782F" w:rsidR="00C40F52" w:rsidRDefault="00CC5926">
      <w:pPr>
        <w:pStyle w:val="TOC1"/>
        <w:rPr>
          <w:rFonts w:asciiTheme="minorHAnsi" w:eastAsiaTheme="minorEastAsia" w:hAnsiTheme="minorHAnsi" w:cstheme="minorBidi"/>
          <w:caps w:val="0"/>
          <w:noProof/>
          <w:szCs w:val="22"/>
          <w:lang w:eastAsia="en-GB"/>
        </w:rPr>
      </w:pPr>
      <w:hyperlink w:anchor="_Toc531009304" w:history="1">
        <w:r w:rsidR="00C40F52" w:rsidRPr="000E2227">
          <w:rPr>
            <w:rStyle w:val="Hyperlink"/>
            <w:rFonts w:cs="Arial"/>
            <w:noProof/>
          </w:rPr>
          <w:t>13.</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PUBLICITY, MEDIA AND OFFICIAL ENQUIRIES</w:t>
        </w:r>
        <w:r w:rsidR="00C40F52">
          <w:rPr>
            <w:noProof/>
          </w:rPr>
          <w:tab/>
        </w:r>
        <w:r w:rsidR="00C40F52">
          <w:rPr>
            <w:noProof/>
          </w:rPr>
          <w:fldChar w:fldCharType="begin"/>
        </w:r>
        <w:r w:rsidR="00C40F52">
          <w:rPr>
            <w:noProof/>
          </w:rPr>
          <w:instrText xml:space="preserve"> PAGEREF _Toc531009304 \h </w:instrText>
        </w:r>
        <w:r w:rsidR="00C40F52">
          <w:rPr>
            <w:noProof/>
          </w:rPr>
        </w:r>
        <w:r w:rsidR="00C40F52">
          <w:rPr>
            <w:noProof/>
          </w:rPr>
          <w:fldChar w:fldCharType="separate"/>
        </w:r>
        <w:r w:rsidR="00415774">
          <w:rPr>
            <w:noProof/>
          </w:rPr>
          <w:t>49</w:t>
        </w:r>
        <w:r w:rsidR="00C40F52">
          <w:rPr>
            <w:noProof/>
          </w:rPr>
          <w:fldChar w:fldCharType="end"/>
        </w:r>
      </w:hyperlink>
    </w:p>
    <w:p w14:paraId="4EAC9A97" w14:textId="743716FC" w:rsidR="00C40F52" w:rsidRDefault="00CC5926">
      <w:pPr>
        <w:pStyle w:val="TOC1"/>
        <w:rPr>
          <w:rFonts w:asciiTheme="minorHAnsi" w:eastAsiaTheme="minorEastAsia" w:hAnsiTheme="minorHAnsi" w:cstheme="minorBidi"/>
          <w:caps w:val="0"/>
          <w:noProof/>
          <w:szCs w:val="22"/>
          <w:lang w:eastAsia="en-GB"/>
        </w:rPr>
      </w:pPr>
      <w:hyperlink w:anchor="_Toc531009305" w:history="1">
        <w:r w:rsidR="00C40F52" w:rsidRPr="000E2227">
          <w:rPr>
            <w:rStyle w:val="Hyperlink"/>
            <w:rFonts w:cs="Arial"/>
            <w:noProof/>
          </w:rPr>
          <w:t>14.</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PREVENTION OF FRAUD AND BRIBERY</w:t>
        </w:r>
        <w:r w:rsidR="00C40F52">
          <w:rPr>
            <w:noProof/>
          </w:rPr>
          <w:tab/>
        </w:r>
        <w:r w:rsidR="00C40F52">
          <w:rPr>
            <w:noProof/>
          </w:rPr>
          <w:fldChar w:fldCharType="begin"/>
        </w:r>
        <w:r w:rsidR="00C40F52">
          <w:rPr>
            <w:noProof/>
          </w:rPr>
          <w:instrText xml:space="preserve"> PAGEREF _Toc531009305 \h </w:instrText>
        </w:r>
        <w:r w:rsidR="00C40F52">
          <w:rPr>
            <w:noProof/>
          </w:rPr>
        </w:r>
        <w:r w:rsidR="00C40F52">
          <w:rPr>
            <w:noProof/>
          </w:rPr>
          <w:fldChar w:fldCharType="separate"/>
        </w:r>
        <w:r w:rsidR="00415774">
          <w:rPr>
            <w:noProof/>
          </w:rPr>
          <w:t>49</w:t>
        </w:r>
        <w:r w:rsidR="00C40F52">
          <w:rPr>
            <w:noProof/>
          </w:rPr>
          <w:fldChar w:fldCharType="end"/>
        </w:r>
      </w:hyperlink>
    </w:p>
    <w:p w14:paraId="4EB383EC" w14:textId="13467D67" w:rsidR="00C40F52" w:rsidRDefault="00CC5926">
      <w:pPr>
        <w:pStyle w:val="TOC1"/>
        <w:rPr>
          <w:rFonts w:asciiTheme="minorHAnsi" w:eastAsiaTheme="minorEastAsia" w:hAnsiTheme="minorHAnsi" w:cstheme="minorBidi"/>
          <w:caps w:val="0"/>
          <w:noProof/>
          <w:szCs w:val="22"/>
          <w:lang w:eastAsia="en-GB"/>
        </w:rPr>
      </w:pPr>
      <w:hyperlink w:anchor="_Toc531009306" w:history="1">
        <w:r w:rsidR="00C40F52" w:rsidRPr="000E2227">
          <w:rPr>
            <w:rStyle w:val="Hyperlink"/>
            <w:rFonts w:cs="Arial"/>
            <w:noProof/>
          </w:rPr>
          <w:t>15.</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NON-DISCRIMINATION</w:t>
        </w:r>
        <w:r w:rsidR="00C40F52">
          <w:rPr>
            <w:noProof/>
          </w:rPr>
          <w:tab/>
        </w:r>
        <w:r w:rsidR="00C40F52">
          <w:rPr>
            <w:noProof/>
          </w:rPr>
          <w:fldChar w:fldCharType="begin"/>
        </w:r>
        <w:r w:rsidR="00C40F52">
          <w:rPr>
            <w:noProof/>
          </w:rPr>
          <w:instrText xml:space="preserve"> PAGEREF _Toc531009306 \h </w:instrText>
        </w:r>
        <w:r w:rsidR="00C40F52">
          <w:rPr>
            <w:noProof/>
          </w:rPr>
        </w:r>
        <w:r w:rsidR="00C40F52">
          <w:rPr>
            <w:noProof/>
          </w:rPr>
          <w:fldChar w:fldCharType="separate"/>
        </w:r>
        <w:r w:rsidR="00415774">
          <w:rPr>
            <w:noProof/>
          </w:rPr>
          <w:t>50</w:t>
        </w:r>
        <w:r w:rsidR="00C40F52">
          <w:rPr>
            <w:noProof/>
          </w:rPr>
          <w:fldChar w:fldCharType="end"/>
        </w:r>
      </w:hyperlink>
    </w:p>
    <w:p w14:paraId="57D8D23E" w14:textId="38709D70" w:rsidR="00C40F52" w:rsidRDefault="00CC5926">
      <w:pPr>
        <w:pStyle w:val="TOC1"/>
        <w:rPr>
          <w:rFonts w:asciiTheme="minorHAnsi" w:eastAsiaTheme="minorEastAsia" w:hAnsiTheme="minorHAnsi" w:cstheme="minorBidi"/>
          <w:caps w:val="0"/>
          <w:noProof/>
          <w:szCs w:val="22"/>
          <w:lang w:eastAsia="en-GB"/>
        </w:rPr>
      </w:pPr>
      <w:hyperlink w:anchor="_Toc531009307" w:history="1">
        <w:r w:rsidR="00C40F52" w:rsidRPr="000E2227">
          <w:rPr>
            <w:rStyle w:val="Hyperlink"/>
            <w:rFonts w:cs="Arial"/>
            <w:noProof/>
          </w:rPr>
          <w:t>16.</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ASSIGNMENT AND NOVATION</w:t>
        </w:r>
        <w:r w:rsidR="00C40F52">
          <w:rPr>
            <w:noProof/>
          </w:rPr>
          <w:tab/>
        </w:r>
        <w:r w:rsidR="00C40F52">
          <w:rPr>
            <w:noProof/>
          </w:rPr>
          <w:fldChar w:fldCharType="begin"/>
        </w:r>
        <w:r w:rsidR="00C40F52">
          <w:rPr>
            <w:noProof/>
          </w:rPr>
          <w:instrText xml:space="preserve"> PAGEREF _Toc531009307 \h </w:instrText>
        </w:r>
        <w:r w:rsidR="00C40F52">
          <w:rPr>
            <w:noProof/>
          </w:rPr>
        </w:r>
        <w:r w:rsidR="00C40F52">
          <w:rPr>
            <w:noProof/>
          </w:rPr>
          <w:fldChar w:fldCharType="separate"/>
        </w:r>
        <w:r w:rsidR="00415774">
          <w:rPr>
            <w:noProof/>
          </w:rPr>
          <w:t>51</w:t>
        </w:r>
        <w:r w:rsidR="00C40F52">
          <w:rPr>
            <w:noProof/>
          </w:rPr>
          <w:fldChar w:fldCharType="end"/>
        </w:r>
      </w:hyperlink>
    </w:p>
    <w:p w14:paraId="340688BD" w14:textId="67335BA3" w:rsidR="00C40F52" w:rsidRDefault="00CC5926">
      <w:pPr>
        <w:pStyle w:val="TOC1"/>
        <w:rPr>
          <w:rFonts w:asciiTheme="minorHAnsi" w:eastAsiaTheme="minorEastAsia" w:hAnsiTheme="minorHAnsi" w:cstheme="minorBidi"/>
          <w:caps w:val="0"/>
          <w:noProof/>
          <w:szCs w:val="22"/>
          <w:lang w:eastAsia="en-GB"/>
        </w:rPr>
      </w:pPr>
      <w:hyperlink w:anchor="_Toc531009308" w:history="1">
        <w:r w:rsidR="00C40F52" w:rsidRPr="000E2227">
          <w:rPr>
            <w:rStyle w:val="Hyperlink"/>
            <w:rFonts w:cs="Arial"/>
            <w:noProof/>
          </w:rPr>
          <w:t>17.</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WAIVER AND CUMULATIVE REMEDIES</w:t>
        </w:r>
        <w:r w:rsidR="00C40F52">
          <w:rPr>
            <w:noProof/>
          </w:rPr>
          <w:tab/>
        </w:r>
        <w:r w:rsidR="00C40F52">
          <w:rPr>
            <w:noProof/>
          </w:rPr>
          <w:fldChar w:fldCharType="begin"/>
        </w:r>
        <w:r w:rsidR="00C40F52">
          <w:rPr>
            <w:noProof/>
          </w:rPr>
          <w:instrText xml:space="preserve"> PAGEREF _Toc531009308 \h </w:instrText>
        </w:r>
        <w:r w:rsidR="00C40F52">
          <w:rPr>
            <w:noProof/>
          </w:rPr>
        </w:r>
        <w:r w:rsidR="00C40F52">
          <w:rPr>
            <w:noProof/>
          </w:rPr>
          <w:fldChar w:fldCharType="separate"/>
        </w:r>
        <w:r w:rsidR="00415774">
          <w:rPr>
            <w:noProof/>
          </w:rPr>
          <w:t>52</w:t>
        </w:r>
        <w:r w:rsidR="00C40F52">
          <w:rPr>
            <w:noProof/>
          </w:rPr>
          <w:fldChar w:fldCharType="end"/>
        </w:r>
      </w:hyperlink>
    </w:p>
    <w:p w14:paraId="79B889EE" w14:textId="0CB732A2" w:rsidR="00C40F52" w:rsidRDefault="00CC5926">
      <w:pPr>
        <w:pStyle w:val="TOC1"/>
        <w:rPr>
          <w:rFonts w:asciiTheme="minorHAnsi" w:eastAsiaTheme="minorEastAsia" w:hAnsiTheme="minorHAnsi" w:cstheme="minorBidi"/>
          <w:caps w:val="0"/>
          <w:noProof/>
          <w:szCs w:val="22"/>
          <w:lang w:eastAsia="en-GB"/>
        </w:rPr>
      </w:pPr>
      <w:hyperlink w:anchor="_Toc531009309" w:history="1">
        <w:r w:rsidR="00C40F52" w:rsidRPr="000E2227">
          <w:rPr>
            <w:rStyle w:val="Hyperlink"/>
            <w:rFonts w:cs="Arial"/>
            <w:noProof/>
          </w:rPr>
          <w:t>18.</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FURTHER ASSURANCES</w:t>
        </w:r>
        <w:r w:rsidR="00C40F52">
          <w:rPr>
            <w:noProof/>
          </w:rPr>
          <w:tab/>
        </w:r>
        <w:r w:rsidR="00C40F52">
          <w:rPr>
            <w:noProof/>
          </w:rPr>
          <w:fldChar w:fldCharType="begin"/>
        </w:r>
        <w:r w:rsidR="00C40F52">
          <w:rPr>
            <w:noProof/>
          </w:rPr>
          <w:instrText xml:space="preserve"> PAGEREF _Toc531009309 \h </w:instrText>
        </w:r>
        <w:r w:rsidR="00C40F52">
          <w:rPr>
            <w:noProof/>
          </w:rPr>
        </w:r>
        <w:r w:rsidR="00C40F52">
          <w:rPr>
            <w:noProof/>
          </w:rPr>
          <w:fldChar w:fldCharType="separate"/>
        </w:r>
        <w:r w:rsidR="00415774">
          <w:rPr>
            <w:noProof/>
          </w:rPr>
          <w:t>52</w:t>
        </w:r>
        <w:r w:rsidR="00C40F52">
          <w:rPr>
            <w:noProof/>
          </w:rPr>
          <w:fldChar w:fldCharType="end"/>
        </w:r>
      </w:hyperlink>
    </w:p>
    <w:p w14:paraId="37907668" w14:textId="46F45B99" w:rsidR="00C40F52" w:rsidRDefault="00CC5926">
      <w:pPr>
        <w:pStyle w:val="TOC1"/>
        <w:rPr>
          <w:rFonts w:asciiTheme="minorHAnsi" w:eastAsiaTheme="minorEastAsia" w:hAnsiTheme="minorHAnsi" w:cstheme="minorBidi"/>
          <w:caps w:val="0"/>
          <w:noProof/>
          <w:szCs w:val="22"/>
          <w:lang w:eastAsia="en-GB"/>
        </w:rPr>
      </w:pPr>
      <w:hyperlink w:anchor="_Toc531009310" w:history="1">
        <w:r w:rsidR="00C40F52" w:rsidRPr="000E2227">
          <w:rPr>
            <w:rStyle w:val="Hyperlink"/>
            <w:rFonts w:cs="Arial"/>
            <w:noProof/>
          </w:rPr>
          <w:t>19.</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SEVERABILITY</w:t>
        </w:r>
        <w:r w:rsidR="00C40F52">
          <w:rPr>
            <w:noProof/>
          </w:rPr>
          <w:tab/>
        </w:r>
        <w:r w:rsidR="00C40F52">
          <w:rPr>
            <w:noProof/>
          </w:rPr>
          <w:fldChar w:fldCharType="begin"/>
        </w:r>
        <w:r w:rsidR="00C40F52">
          <w:rPr>
            <w:noProof/>
          </w:rPr>
          <w:instrText xml:space="preserve"> PAGEREF _Toc531009310 \h </w:instrText>
        </w:r>
        <w:r w:rsidR="00C40F52">
          <w:rPr>
            <w:noProof/>
          </w:rPr>
        </w:r>
        <w:r w:rsidR="00C40F52">
          <w:rPr>
            <w:noProof/>
          </w:rPr>
          <w:fldChar w:fldCharType="separate"/>
        </w:r>
        <w:r w:rsidR="00415774">
          <w:rPr>
            <w:noProof/>
          </w:rPr>
          <w:t>52</w:t>
        </w:r>
        <w:r w:rsidR="00C40F52">
          <w:rPr>
            <w:noProof/>
          </w:rPr>
          <w:fldChar w:fldCharType="end"/>
        </w:r>
      </w:hyperlink>
    </w:p>
    <w:p w14:paraId="3C1B52DE" w14:textId="454D4FDD" w:rsidR="00C40F52" w:rsidRDefault="00CC5926">
      <w:pPr>
        <w:pStyle w:val="TOC1"/>
        <w:rPr>
          <w:rFonts w:asciiTheme="minorHAnsi" w:eastAsiaTheme="minorEastAsia" w:hAnsiTheme="minorHAnsi" w:cstheme="minorBidi"/>
          <w:caps w:val="0"/>
          <w:noProof/>
          <w:szCs w:val="22"/>
          <w:lang w:eastAsia="en-GB"/>
        </w:rPr>
      </w:pPr>
      <w:hyperlink w:anchor="_Toc531009311" w:history="1">
        <w:r w:rsidR="00C40F52" w:rsidRPr="000E2227">
          <w:rPr>
            <w:rStyle w:val="Hyperlink"/>
            <w:rFonts w:cs="Arial"/>
            <w:noProof/>
          </w:rPr>
          <w:t>20.</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RELATIONSHIP OF THE PARTIES</w:t>
        </w:r>
        <w:r w:rsidR="00C40F52">
          <w:rPr>
            <w:noProof/>
          </w:rPr>
          <w:tab/>
        </w:r>
        <w:r w:rsidR="00C40F52">
          <w:rPr>
            <w:noProof/>
          </w:rPr>
          <w:fldChar w:fldCharType="begin"/>
        </w:r>
        <w:r w:rsidR="00C40F52">
          <w:rPr>
            <w:noProof/>
          </w:rPr>
          <w:instrText xml:space="preserve"> PAGEREF _Toc531009311 \h </w:instrText>
        </w:r>
        <w:r w:rsidR="00C40F52">
          <w:rPr>
            <w:noProof/>
          </w:rPr>
        </w:r>
        <w:r w:rsidR="00C40F52">
          <w:rPr>
            <w:noProof/>
          </w:rPr>
          <w:fldChar w:fldCharType="separate"/>
        </w:r>
        <w:r w:rsidR="00415774">
          <w:rPr>
            <w:noProof/>
          </w:rPr>
          <w:t>52</w:t>
        </w:r>
        <w:r w:rsidR="00C40F52">
          <w:rPr>
            <w:noProof/>
          </w:rPr>
          <w:fldChar w:fldCharType="end"/>
        </w:r>
      </w:hyperlink>
    </w:p>
    <w:p w14:paraId="7F46D561" w14:textId="054800E3" w:rsidR="00C40F52" w:rsidRDefault="00CC5926">
      <w:pPr>
        <w:pStyle w:val="TOC1"/>
        <w:rPr>
          <w:rFonts w:asciiTheme="minorHAnsi" w:eastAsiaTheme="minorEastAsia" w:hAnsiTheme="minorHAnsi" w:cstheme="minorBidi"/>
          <w:caps w:val="0"/>
          <w:noProof/>
          <w:szCs w:val="22"/>
          <w:lang w:eastAsia="en-GB"/>
        </w:rPr>
      </w:pPr>
      <w:hyperlink w:anchor="_Toc531009312" w:history="1">
        <w:r w:rsidR="00C40F52" w:rsidRPr="000E2227">
          <w:rPr>
            <w:rStyle w:val="Hyperlink"/>
            <w:rFonts w:cs="Arial"/>
            <w:noProof/>
          </w:rPr>
          <w:t>21.</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ENTIRE AGREEMENT</w:t>
        </w:r>
        <w:r w:rsidR="00C40F52">
          <w:rPr>
            <w:noProof/>
          </w:rPr>
          <w:tab/>
        </w:r>
        <w:r w:rsidR="00C40F52">
          <w:rPr>
            <w:noProof/>
          </w:rPr>
          <w:fldChar w:fldCharType="begin"/>
        </w:r>
        <w:r w:rsidR="00C40F52">
          <w:rPr>
            <w:noProof/>
          </w:rPr>
          <w:instrText xml:space="preserve"> PAGEREF _Toc531009312 \h </w:instrText>
        </w:r>
        <w:r w:rsidR="00C40F52">
          <w:rPr>
            <w:noProof/>
          </w:rPr>
        </w:r>
        <w:r w:rsidR="00C40F52">
          <w:rPr>
            <w:noProof/>
          </w:rPr>
          <w:fldChar w:fldCharType="separate"/>
        </w:r>
        <w:r w:rsidR="00415774">
          <w:rPr>
            <w:noProof/>
          </w:rPr>
          <w:t>53</w:t>
        </w:r>
        <w:r w:rsidR="00C40F52">
          <w:rPr>
            <w:noProof/>
          </w:rPr>
          <w:fldChar w:fldCharType="end"/>
        </w:r>
      </w:hyperlink>
    </w:p>
    <w:p w14:paraId="5B74D60F" w14:textId="43E3B083" w:rsidR="00C40F52" w:rsidRDefault="00CC5926">
      <w:pPr>
        <w:pStyle w:val="TOC1"/>
        <w:rPr>
          <w:rFonts w:asciiTheme="minorHAnsi" w:eastAsiaTheme="minorEastAsia" w:hAnsiTheme="minorHAnsi" w:cstheme="minorBidi"/>
          <w:caps w:val="0"/>
          <w:noProof/>
          <w:szCs w:val="22"/>
          <w:lang w:eastAsia="en-GB"/>
        </w:rPr>
      </w:pPr>
      <w:hyperlink w:anchor="_Toc531009313" w:history="1">
        <w:r w:rsidR="00C40F52" w:rsidRPr="000E2227">
          <w:rPr>
            <w:rStyle w:val="Hyperlink"/>
            <w:rFonts w:cs="Arial"/>
            <w:noProof/>
          </w:rPr>
          <w:t>22.</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CONTRACTS (RIGHTS OF THIRD PARTIES) ACT</w:t>
        </w:r>
        <w:r w:rsidR="00C40F52">
          <w:rPr>
            <w:noProof/>
          </w:rPr>
          <w:tab/>
        </w:r>
        <w:r w:rsidR="00C40F52">
          <w:rPr>
            <w:noProof/>
          </w:rPr>
          <w:fldChar w:fldCharType="begin"/>
        </w:r>
        <w:r w:rsidR="00C40F52">
          <w:rPr>
            <w:noProof/>
          </w:rPr>
          <w:instrText xml:space="preserve"> PAGEREF _Toc531009313 \h </w:instrText>
        </w:r>
        <w:r w:rsidR="00C40F52">
          <w:rPr>
            <w:noProof/>
          </w:rPr>
        </w:r>
        <w:r w:rsidR="00C40F52">
          <w:rPr>
            <w:noProof/>
          </w:rPr>
          <w:fldChar w:fldCharType="separate"/>
        </w:r>
        <w:r w:rsidR="00415774">
          <w:rPr>
            <w:noProof/>
          </w:rPr>
          <w:t>53</w:t>
        </w:r>
        <w:r w:rsidR="00C40F52">
          <w:rPr>
            <w:noProof/>
          </w:rPr>
          <w:fldChar w:fldCharType="end"/>
        </w:r>
      </w:hyperlink>
    </w:p>
    <w:p w14:paraId="2C44E5FA" w14:textId="3F00633A" w:rsidR="00C40F52" w:rsidRDefault="00CC5926">
      <w:pPr>
        <w:pStyle w:val="TOC1"/>
        <w:rPr>
          <w:rFonts w:asciiTheme="minorHAnsi" w:eastAsiaTheme="minorEastAsia" w:hAnsiTheme="minorHAnsi" w:cstheme="minorBidi"/>
          <w:caps w:val="0"/>
          <w:noProof/>
          <w:szCs w:val="22"/>
          <w:lang w:eastAsia="en-GB"/>
        </w:rPr>
      </w:pPr>
      <w:hyperlink w:anchor="_Toc531009314" w:history="1">
        <w:r w:rsidR="00C40F52" w:rsidRPr="000E2227">
          <w:rPr>
            <w:rStyle w:val="Hyperlink"/>
            <w:rFonts w:cs="Arial"/>
            <w:noProof/>
          </w:rPr>
          <w:t>23.</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NOTICES</w:t>
        </w:r>
        <w:r w:rsidR="00C40F52">
          <w:rPr>
            <w:noProof/>
          </w:rPr>
          <w:tab/>
        </w:r>
        <w:r w:rsidR="00C40F52">
          <w:rPr>
            <w:noProof/>
          </w:rPr>
          <w:fldChar w:fldCharType="begin"/>
        </w:r>
        <w:r w:rsidR="00C40F52">
          <w:rPr>
            <w:noProof/>
          </w:rPr>
          <w:instrText xml:space="preserve"> PAGEREF _Toc531009314 \h </w:instrText>
        </w:r>
        <w:r w:rsidR="00C40F52">
          <w:rPr>
            <w:noProof/>
          </w:rPr>
        </w:r>
        <w:r w:rsidR="00C40F52">
          <w:rPr>
            <w:noProof/>
          </w:rPr>
          <w:fldChar w:fldCharType="separate"/>
        </w:r>
        <w:r w:rsidR="00415774">
          <w:rPr>
            <w:noProof/>
          </w:rPr>
          <w:t>53</w:t>
        </w:r>
        <w:r w:rsidR="00C40F52">
          <w:rPr>
            <w:noProof/>
          </w:rPr>
          <w:fldChar w:fldCharType="end"/>
        </w:r>
      </w:hyperlink>
    </w:p>
    <w:p w14:paraId="6A376A34" w14:textId="2C7AD7AF" w:rsidR="00C40F52" w:rsidRDefault="00CC5926">
      <w:pPr>
        <w:pStyle w:val="TOC1"/>
        <w:rPr>
          <w:rFonts w:asciiTheme="minorHAnsi" w:eastAsiaTheme="minorEastAsia" w:hAnsiTheme="minorHAnsi" w:cstheme="minorBidi"/>
          <w:caps w:val="0"/>
          <w:noProof/>
          <w:szCs w:val="22"/>
          <w:lang w:eastAsia="en-GB"/>
        </w:rPr>
      </w:pPr>
      <w:hyperlink w:anchor="_Toc531009315" w:history="1">
        <w:r w:rsidR="00C40F52" w:rsidRPr="000E2227">
          <w:rPr>
            <w:rStyle w:val="Hyperlink"/>
            <w:rFonts w:cs="Arial"/>
            <w:noProof/>
          </w:rPr>
          <w:t>24.</w:t>
        </w:r>
        <w:r w:rsidR="00C40F52">
          <w:rPr>
            <w:rFonts w:asciiTheme="minorHAnsi" w:eastAsiaTheme="minorEastAsia" w:hAnsiTheme="minorHAnsi" w:cstheme="minorBidi"/>
            <w:caps w:val="0"/>
            <w:noProof/>
            <w:szCs w:val="22"/>
            <w:lang w:eastAsia="en-GB"/>
          </w:rPr>
          <w:tab/>
        </w:r>
        <w:r w:rsidR="00C40F52" w:rsidRPr="000E2227">
          <w:rPr>
            <w:rStyle w:val="Hyperlink"/>
            <w:rFonts w:cs="Arial"/>
            <w:noProof/>
          </w:rPr>
          <w:t>DISPUTES AND LAW</w:t>
        </w:r>
        <w:r w:rsidR="00C40F52">
          <w:rPr>
            <w:noProof/>
          </w:rPr>
          <w:tab/>
        </w:r>
        <w:r w:rsidR="00C40F52">
          <w:rPr>
            <w:noProof/>
          </w:rPr>
          <w:fldChar w:fldCharType="begin"/>
        </w:r>
        <w:r w:rsidR="00C40F52">
          <w:rPr>
            <w:noProof/>
          </w:rPr>
          <w:instrText xml:space="preserve"> PAGEREF _Toc531009315 \h </w:instrText>
        </w:r>
        <w:r w:rsidR="00C40F52">
          <w:rPr>
            <w:noProof/>
          </w:rPr>
        </w:r>
        <w:r w:rsidR="00C40F52">
          <w:rPr>
            <w:noProof/>
          </w:rPr>
          <w:fldChar w:fldCharType="separate"/>
        </w:r>
        <w:r w:rsidR="00415774">
          <w:rPr>
            <w:noProof/>
          </w:rPr>
          <w:t>54</w:t>
        </w:r>
        <w:r w:rsidR="00C40F52">
          <w:rPr>
            <w:noProof/>
          </w:rPr>
          <w:fldChar w:fldCharType="end"/>
        </w:r>
      </w:hyperlink>
    </w:p>
    <w:p w14:paraId="6AF24A8B" w14:textId="2C441080" w:rsidR="00C40F52" w:rsidRDefault="00CC5926">
      <w:pPr>
        <w:pStyle w:val="TOC1"/>
        <w:rPr>
          <w:rFonts w:asciiTheme="minorHAnsi" w:eastAsiaTheme="minorEastAsia" w:hAnsiTheme="minorHAnsi" w:cstheme="minorBidi"/>
          <w:caps w:val="0"/>
          <w:noProof/>
          <w:szCs w:val="22"/>
          <w:lang w:eastAsia="en-GB"/>
        </w:rPr>
      </w:pPr>
      <w:hyperlink w:anchor="_Toc531009316" w:history="1">
        <w:r w:rsidR="00C40F52" w:rsidRPr="000E2227">
          <w:rPr>
            <w:rStyle w:val="Hyperlink"/>
            <w:rFonts w:cs="Arial"/>
            <w:noProof/>
          </w:rPr>
          <w:t>CONTRACT SCHEDULE 1: DEFINITIONS</w:t>
        </w:r>
        <w:r w:rsidR="00C40F52">
          <w:rPr>
            <w:noProof/>
          </w:rPr>
          <w:tab/>
        </w:r>
        <w:r w:rsidR="00C40F52">
          <w:rPr>
            <w:noProof/>
          </w:rPr>
          <w:fldChar w:fldCharType="begin"/>
        </w:r>
        <w:r w:rsidR="00C40F52">
          <w:rPr>
            <w:noProof/>
          </w:rPr>
          <w:instrText xml:space="preserve"> PAGEREF _Toc531009316 \h </w:instrText>
        </w:r>
        <w:r w:rsidR="00C40F52">
          <w:rPr>
            <w:noProof/>
          </w:rPr>
        </w:r>
        <w:r w:rsidR="00C40F52">
          <w:rPr>
            <w:noProof/>
          </w:rPr>
          <w:fldChar w:fldCharType="separate"/>
        </w:r>
        <w:r w:rsidR="00415774">
          <w:rPr>
            <w:noProof/>
          </w:rPr>
          <w:t>56</w:t>
        </w:r>
        <w:r w:rsidR="00C40F52">
          <w:rPr>
            <w:noProof/>
          </w:rPr>
          <w:fldChar w:fldCharType="end"/>
        </w:r>
      </w:hyperlink>
    </w:p>
    <w:p w14:paraId="6C22A7C9" w14:textId="1F7DD899" w:rsidR="00C40F52" w:rsidRDefault="00CC5926">
      <w:pPr>
        <w:pStyle w:val="TOC1"/>
        <w:rPr>
          <w:rFonts w:asciiTheme="minorHAnsi" w:eastAsiaTheme="minorEastAsia" w:hAnsiTheme="minorHAnsi" w:cstheme="minorBidi"/>
          <w:caps w:val="0"/>
          <w:noProof/>
          <w:szCs w:val="22"/>
          <w:lang w:eastAsia="en-GB"/>
        </w:rPr>
      </w:pPr>
      <w:hyperlink w:anchor="_Toc531009317" w:history="1">
        <w:r w:rsidR="00C40F52" w:rsidRPr="000E2227">
          <w:rPr>
            <w:rStyle w:val="Hyperlink"/>
            <w:rFonts w:cs="Arial"/>
            <w:noProof/>
          </w:rPr>
          <w:t>CONTRACT SCHEDULE 2: EXIT MANAGEMENT</w:t>
        </w:r>
        <w:r w:rsidR="00C40F52">
          <w:rPr>
            <w:noProof/>
          </w:rPr>
          <w:tab/>
        </w:r>
        <w:r w:rsidR="00C40F52">
          <w:rPr>
            <w:noProof/>
          </w:rPr>
          <w:fldChar w:fldCharType="begin"/>
        </w:r>
        <w:r w:rsidR="00C40F52">
          <w:rPr>
            <w:noProof/>
          </w:rPr>
          <w:instrText xml:space="preserve"> PAGEREF _Toc531009317 \h </w:instrText>
        </w:r>
        <w:r w:rsidR="00C40F52">
          <w:rPr>
            <w:noProof/>
          </w:rPr>
        </w:r>
        <w:r w:rsidR="00C40F52">
          <w:rPr>
            <w:noProof/>
          </w:rPr>
          <w:fldChar w:fldCharType="separate"/>
        </w:r>
        <w:r w:rsidR="00415774">
          <w:rPr>
            <w:noProof/>
          </w:rPr>
          <w:t>67</w:t>
        </w:r>
        <w:r w:rsidR="00C40F52">
          <w:rPr>
            <w:noProof/>
          </w:rPr>
          <w:fldChar w:fldCharType="end"/>
        </w:r>
      </w:hyperlink>
    </w:p>
    <w:p w14:paraId="088BBC70" w14:textId="38078DBA" w:rsidR="00C40F52" w:rsidRDefault="00CC5926">
      <w:pPr>
        <w:pStyle w:val="TOC1"/>
        <w:rPr>
          <w:rFonts w:asciiTheme="minorHAnsi" w:eastAsiaTheme="minorEastAsia" w:hAnsiTheme="minorHAnsi" w:cstheme="minorBidi"/>
          <w:caps w:val="0"/>
          <w:noProof/>
          <w:szCs w:val="22"/>
          <w:lang w:eastAsia="en-GB"/>
        </w:rPr>
      </w:pPr>
      <w:hyperlink w:anchor="_Toc531009318" w:history="1">
        <w:r w:rsidR="00C40F52" w:rsidRPr="000E2227">
          <w:rPr>
            <w:rStyle w:val="Hyperlink"/>
            <w:rFonts w:cs="Arial"/>
            <w:noProof/>
          </w:rPr>
          <w:t>CONTRACT SCHEDULE 3: STAFF TRANSFER</w:t>
        </w:r>
        <w:r w:rsidR="00C40F52">
          <w:rPr>
            <w:noProof/>
          </w:rPr>
          <w:tab/>
        </w:r>
        <w:r w:rsidR="00C40F52">
          <w:rPr>
            <w:noProof/>
          </w:rPr>
          <w:fldChar w:fldCharType="begin"/>
        </w:r>
        <w:r w:rsidR="00C40F52">
          <w:rPr>
            <w:noProof/>
          </w:rPr>
          <w:instrText xml:space="preserve"> PAGEREF _Toc531009318 \h </w:instrText>
        </w:r>
        <w:r w:rsidR="00C40F52">
          <w:rPr>
            <w:noProof/>
          </w:rPr>
        </w:r>
        <w:r w:rsidR="00C40F52">
          <w:rPr>
            <w:noProof/>
          </w:rPr>
          <w:fldChar w:fldCharType="separate"/>
        </w:r>
        <w:r w:rsidR="00415774">
          <w:rPr>
            <w:noProof/>
          </w:rPr>
          <w:t>78</w:t>
        </w:r>
        <w:r w:rsidR="00C40F52">
          <w:rPr>
            <w:noProof/>
          </w:rPr>
          <w:fldChar w:fldCharType="end"/>
        </w:r>
      </w:hyperlink>
    </w:p>
    <w:p w14:paraId="73C8D63F" w14:textId="27D03696" w:rsidR="00C40F52" w:rsidRDefault="00CC5926">
      <w:pPr>
        <w:pStyle w:val="TOC1"/>
        <w:rPr>
          <w:rFonts w:asciiTheme="minorHAnsi" w:eastAsiaTheme="minorEastAsia" w:hAnsiTheme="minorHAnsi" w:cstheme="minorBidi"/>
          <w:caps w:val="0"/>
          <w:noProof/>
          <w:szCs w:val="22"/>
          <w:lang w:eastAsia="en-GB"/>
        </w:rPr>
      </w:pPr>
      <w:hyperlink w:anchor="_Toc531009319" w:history="1">
        <w:r w:rsidR="00C40F52" w:rsidRPr="000E2227">
          <w:rPr>
            <w:rStyle w:val="Hyperlink"/>
            <w:rFonts w:cs="Arial"/>
            <w:noProof/>
          </w:rPr>
          <w:t>CONTRACT SCHEDULE 4: TRANSPARENCY REPORTS</w:t>
        </w:r>
        <w:r w:rsidR="00C40F52">
          <w:rPr>
            <w:noProof/>
          </w:rPr>
          <w:tab/>
        </w:r>
        <w:r w:rsidR="00C40F52">
          <w:rPr>
            <w:noProof/>
          </w:rPr>
          <w:fldChar w:fldCharType="begin"/>
        </w:r>
        <w:r w:rsidR="00C40F52">
          <w:rPr>
            <w:noProof/>
          </w:rPr>
          <w:instrText xml:space="preserve"> PAGEREF _Toc531009319 \h </w:instrText>
        </w:r>
        <w:r w:rsidR="00C40F52">
          <w:rPr>
            <w:noProof/>
          </w:rPr>
        </w:r>
        <w:r w:rsidR="00C40F52">
          <w:rPr>
            <w:noProof/>
          </w:rPr>
          <w:fldChar w:fldCharType="separate"/>
        </w:r>
        <w:r w:rsidR="00415774">
          <w:rPr>
            <w:noProof/>
          </w:rPr>
          <w:t>111</w:t>
        </w:r>
        <w:r w:rsidR="00C40F52">
          <w:rPr>
            <w:noProof/>
          </w:rPr>
          <w:fldChar w:fldCharType="end"/>
        </w:r>
      </w:hyperlink>
    </w:p>
    <w:p w14:paraId="67EEF8C6" w14:textId="1F56F3B6" w:rsidR="009D7EB8" w:rsidRPr="00C249EB" w:rsidRDefault="00AD21DC" w:rsidP="00C249EB">
      <w:pPr>
        <w:pStyle w:val="TOC8"/>
        <w:spacing w:before="120"/>
        <w:rPr>
          <w:rFonts w:ascii="Arial" w:hAnsi="Arial" w:cs="Arial"/>
          <w:szCs w:val="22"/>
        </w:rPr>
      </w:pPr>
      <w:r w:rsidRPr="00C3320D">
        <w:rPr>
          <w:rFonts w:ascii="Arial" w:hAnsi="Arial" w:cs="Arial"/>
          <w:szCs w:val="22"/>
        </w:rPr>
        <w:fldChar w:fldCharType="end"/>
      </w:r>
    </w:p>
    <w:p w14:paraId="16764FD3" w14:textId="77777777" w:rsidR="00C249EB" w:rsidRDefault="00C249EB" w:rsidP="00D40F55">
      <w:pPr>
        <w:spacing w:before="120" w:after="120" w:line="240" w:lineRule="auto"/>
        <w:rPr>
          <w:rFonts w:cs="Arial"/>
          <w:b/>
          <w:szCs w:val="22"/>
        </w:rPr>
      </w:pPr>
      <w:bookmarkStart w:id="50" w:name="TOCField"/>
      <w:bookmarkEnd w:id="50"/>
    </w:p>
    <w:p w14:paraId="53E1172F" w14:textId="77777777" w:rsidR="00C249EB" w:rsidRDefault="00C249EB" w:rsidP="00D40F55">
      <w:pPr>
        <w:spacing w:before="120" w:after="120" w:line="240" w:lineRule="auto"/>
        <w:rPr>
          <w:rFonts w:cs="Arial"/>
          <w:b/>
          <w:szCs w:val="22"/>
        </w:rPr>
      </w:pPr>
    </w:p>
    <w:p w14:paraId="7D43557D" w14:textId="77777777" w:rsidR="00C249EB" w:rsidRDefault="00C249EB" w:rsidP="00D40F55">
      <w:pPr>
        <w:spacing w:before="120" w:after="120" w:line="240" w:lineRule="auto"/>
        <w:rPr>
          <w:rFonts w:cs="Arial"/>
          <w:b/>
          <w:szCs w:val="22"/>
        </w:rPr>
      </w:pPr>
    </w:p>
    <w:p w14:paraId="1B33A070" w14:textId="77777777" w:rsidR="00C249EB" w:rsidRDefault="00C249EB" w:rsidP="00D40F55">
      <w:pPr>
        <w:spacing w:before="120" w:after="120" w:line="240" w:lineRule="auto"/>
        <w:rPr>
          <w:rFonts w:cs="Arial"/>
          <w:b/>
          <w:szCs w:val="22"/>
        </w:rPr>
      </w:pPr>
    </w:p>
    <w:p w14:paraId="55CAA855" w14:textId="77777777" w:rsidR="00415BB5" w:rsidRPr="00C3320D" w:rsidRDefault="00415BB5" w:rsidP="00D40F55">
      <w:pPr>
        <w:spacing w:before="120" w:after="120" w:line="240" w:lineRule="auto"/>
        <w:rPr>
          <w:rFonts w:cs="Arial"/>
          <w:b/>
          <w:szCs w:val="22"/>
        </w:rPr>
      </w:pPr>
      <w:r w:rsidRPr="00C3320D">
        <w:rPr>
          <w:rFonts w:cs="Arial"/>
          <w:b/>
          <w:szCs w:val="22"/>
        </w:rPr>
        <w:lastRenderedPageBreak/>
        <w:t>RECITALS</w:t>
      </w:r>
    </w:p>
    <w:p w14:paraId="14283023" w14:textId="4BDEE6BD" w:rsidR="00415BB5" w:rsidRPr="00C3320D" w:rsidRDefault="00A65273" w:rsidP="0047277D">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51" w:name="_Toc303802818"/>
      <w:bookmarkStart w:id="52" w:name="_Toc430879909"/>
      <w:bookmarkStart w:id="53" w:name="_Toc430880107"/>
      <w:bookmarkStart w:id="54" w:name="_Toc430880393"/>
      <w:bookmarkStart w:id="55" w:name="_Toc430880538"/>
      <w:bookmarkStart w:id="56" w:name="_Toc430880794"/>
      <w:bookmarkStart w:id="57" w:name="_Toc430941298"/>
      <w:bookmarkStart w:id="58" w:name="_Toc431551111"/>
      <w:bookmarkStart w:id="59" w:name="_Toc303802819"/>
      <w:bookmarkStart w:id="60" w:name="_Toc430879910"/>
      <w:bookmarkStart w:id="61" w:name="_Toc430880108"/>
      <w:bookmarkStart w:id="62" w:name="_Toc430880394"/>
      <w:bookmarkStart w:id="63" w:name="_Toc430880539"/>
      <w:bookmarkStart w:id="64" w:name="_Toc430880795"/>
      <w:bookmarkStart w:id="65" w:name="_Toc430941299"/>
      <w:bookmarkStart w:id="66" w:name="_Toc431551112"/>
      <w:r w:rsidRPr="00C3320D">
        <w:rPr>
          <w:rFonts w:cs="Arial"/>
          <w:b w:val="0"/>
          <w:caps w:val="0"/>
          <w:color w:val="auto"/>
          <w:u w:val="none"/>
        </w:rPr>
        <w:t xml:space="preserve"> </w:t>
      </w:r>
      <w:bookmarkStart w:id="67" w:name="_Toc531702602"/>
      <w:r w:rsidR="008B0862"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008B0862" w:rsidRPr="00C3320D">
        <w:rPr>
          <w:rFonts w:cs="Arial"/>
          <w:b w:val="0"/>
          <w:caps w:val="0"/>
          <w:color w:val="auto"/>
          <w:u w:val="none"/>
        </w:rPr>
        <w:t xml:space="preserve">Panel </w:t>
      </w:r>
      <w:r w:rsidR="00415BB5" w:rsidRPr="00C3320D">
        <w:rPr>
          <w:rFonts w:cs="Arial"/>
          <w:b w:val="0"/>
          <w:caps w:val="0"/>
          <w:color w:val="auto"/>
          <w:u w:val="none"/>
        </w:rPr>
        <w:t>Schedule 5 (</w:t>
      </w:r>
      <w:r w:rsidR="008B0862"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008B0862"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008B0862" w:rsidRPr="00C3320D">
        <w:rPr>
          <w:rFonts w:cs="Arial"/>
          <w:b w:val="0"/>
          <w:caps w:val="0"/>
          <w:color w:val="auto"/>
          <w:u w:val="none"/>
        </w:rPr>
        <w:t>a Further Competition Procedure</w:t>
      </w:r>
      <w:r w:rsidR="00415BB5" w:rsidRPr="00C3320D">
        <w:rPr>
          <w:rFonts w:cs="Arial"/>
          <w:b w:val="0"/>
          <w:caps w:val="0"/>
          <w:color w:val="auto"/>
          <w:u w:val="none"/>
        </w:rPr>
        <w:t>.</w:t>
      </w:r>
      <w:bookmarkEnd w:id="51"/>
      <w:bookmarkEnd w:id="52"/>
      <w:bookmarkEnd w:id="53"/>
      <w:bookmarkEnd w:id="54"/>
      <w:bookmarkEnd w:id="55"/>
      <w:bookmarkEnd w:id="56"/>
      <w:bookmarkEnd w:id="57"/>
      <w:bookmarkEnd w:id="58"/>
      <w:bookmarkEnd w:id="67"/>
    </w:p>
    <w:p w14:paraId="64CB6509" w14:textId="2780E0EE" w:rsidR="00415BB5" w:rsidRPr="00C3320D" w:rsidRDefault="00415BB5" w:rsidP="0047277D">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8" w:name="_Toc531702603"/>
      <w:r w:rsidRPr="00C3320D">
        <w:rPr>
          <w:rFonts w:cs="Arial"/>
          <w:b w:val="0"/>
          <w:caps w:val="0"/>
          <w:color w:val="auto"/>
          <w:u w:val="none"/>
        </w:rPr>
        <w:t>The Customer issued its Statement of Requirements for the provision of the Ordered</w:t>
      </w:r>
      <w:r w:rsidR="00A65273">
        <w:rPr>
          <w:rFonts w:cs="Arial"/>
          <w:b w:val="0"/>
          <w:caps w:val="0"/>
          <w:color w:val="auto"/>
          <w:u w:val="none"/>
        </w:rPr>
        <w:t xml:space="preserve"> Panel Services on 1</w:t>
      </w:r>
      <w:r w:rsidR="00A65273" w:rsidRPr="00A65273">
        <w:rPr>
          <w:rFonts w:cs="Arial"/>
          <w:b w:val="0"/>
          <w:caps w:val="0"/>
          <w:color w:val="auto"/>
          <w:u w:val="none"/>
          <w:vertAlign w:val="superscript"/>
        </w:rPr>
        <w:t>st</w:t>
      </w:r>
      <w:r w:rsidR="00A65273">
        <w:rPr>
          <w:rFonts w:cs="Arial"/>
          <w:b w:val="0"/>
          <w:caps w:val="0"/>
          <w:color w:val="auto"/>
          <w:u w:val="none"/>
        </w:rPr>
        <w:t xml:space="preserve"> October 2018</w:t>
      </w:r>
      <w:r w:rsidRPr="00C3320D">
        <w:rPr>
          <w:rFonts w:cs="Arial"/>
          <w:b w:val="0"/>
          <w:i/>
          <w:caps w:val="0"/>
          <w:color w:val="auto"/>
          <w:u w:val="none"/>
        </w:rPr>
        <w:t>.</w:t>
      </w:r>
      <w:bookmarkEnd w:id="59"/>
      <w:bookmarkEnd w:id="60"/>
      <w:bookmarkEnd w:id="61"/>
      <w:bookmarkEnd w:id="62"/>
      <w:bookmarkEnd w:id="63"/>
      <w:bookmarkEnd w:id="64"/>
      <w:bookmarkEnd w:id="65"/>
      <w:bookmarkEnd w:id="66"/>
      <w:bookmarkEnd w:id="68"/>
    </w:p>
    <w:p w14:paraId="69EFFE8E" w14:textId="4F7D8B91" w:rsidR="00415BB5" w:rsidRPr="00C3320D" w:rsidRDefault="00415BB5" w:rsidP="0047277D">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9" w:name="_Toc303802820"/>
      <w:bookmarkStart w:id="70" w:name="_Toc430879911"/>
      <w:bookmarkStart w:id="71" w:name="_Toc430880109"/>
      <w:bookmarkStart w:id="72" w:name="_Toc430880395"/>
      <w:bookmarkStart w:id="73" w:name="_Toc430880540"/>
      <w:bookmarkStart w:id="74" w:name="_Toc430880796"/>
      <w:bookmarkStart w:id="75" w:name="_Toc430941300"/>
      <w:bookmarkStart w:id="76" w:name="_Toc431551113"/>
      <w:bookmarkStart w:id="77" w:name="_Toc531702604"/>
      <w:r w:rsidRPr="00C3320D">
        <w:rPr>
          <w:rFonts w:cs="Arial"/>
          <w:b w:val="0"/>
          <w:caps w:val="0"/>
          <w:color w:val="auto"/>
          <w:u w:val="none"/>
        </w:rPr>
        <w:t>In response to the Statement of Requirements the Supplier submitted a Tender to t</w:t>
      </w:r>
      <w:r w:rsidR="00A65273">
        <w:rPr>
          <w:rFonts w:cs="Arial"/>
          <w:b w:val="0"/>
          <w:caps w:val="0"/>
          <w:color w:val="auto"/>
          <w:u w:val="none"/>
        </w:rPr>
        <w:t>he Customer on the 12</w:t>
      </w:r>
      <w:r w:rsidR="00A65273" w:rsidRPr="00A65273">
        <w:rPr>
          <w:rFonts w:cs="Arial"/>
          <w:b w:val="0"/>
          <w:caps w:val="0"/>
          <w:color w:val="auto"/>
          <w:u w:val="none"/>
          <w:vertAlign w:val="superscript"/>
        </w:rPr>
        <w:t>th</w:t>
      </w:r>
      <w:r w:rsidR="00A65273">
        <w:rPr>
          <w:rFonts w:cs="Arial"/>
          <w:b w:val="0"/>
          <w:caps w:val="0"/>
          <w:color w:val="auto"/>
          <w:u w:val="none"/>
        </w:rPr>
        <w:t xml:space="preserve"> October 2018</w:t>
      </w:r>
      <w:r w:rsidRPr="00C3320D">
        <w:rPr>
          <w:rFonts w:cs="Arial"/>
          <w:b w:val="0"/>
          <w:caps w:val="0"/>
          <w:color w:val="auto"/>
          <w:u w:val="none"/>
        </w:rPr>
        <w:t xml:space="preserve"> through which it provided to the Customer its solution for providing the Ordered Panel Services.</w:t>
      </w:r>
      <w:bookmarkEnd w:id="69"/>
      <w:bookmarkEnd w:id="70"/>
      <w:bookmarkEnd w:id="71"/>
      <w:bookmarkEnd w:id="72"/>
      <w:bookmarkEnd w:id="73"/>
      <w:bookmarkEnd w:id="74"/>
      <w:bookmarkEnd w:id="75"/>
      <w:bookmarkEnd w:id="76"/>
      <w:bookmarkEnd w:id="77"/>
    </w:p>
    <w:p w14:paraId="37058A31" w14:textId="4146C0B8" w:rsidR="00415BB5" w:rsidRPr="00C3320D" w:rsidRDefault="00415BB5" w:rsidP="0047277D">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78" w:name="_Toc303802821"/>
      <w:bookmarkStart w:id="79" w:name="_Toc430879912"/>
      <w:bookmarkStart w:id="80" w:name="_Toc430880110"/>
      <w:bookmarkStart w:id="81" w:name="_Toc430880396"/>
      <w:bookmarkStart w:id="82" w:name="_Toc430880541"/>
      <w:bookmarkStart w:id="83" w:name="_Toc430880797"/>
      <w:bookmarkStart w:id="84" w:name="_Toc430941301"/>
      <w:bookmarkStart w:id="85" w:name="_Toc431551114"/>
      <w:bookmarkStart w:id="86" w:name="_Toc531702605"/>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78"/>
      <w:bookmarkEnd w:id="79"/>
      <w:bookmarkEnd w:id="80"/>
      <w:bookmarkEnd w:id="81"/>
      <w:bookmarkEnd w:id="82"/>
      <w:bookmarkEnd w:id="83"/>
      <w:bookmarkEnd w:id="84"/>
      <w:bookmarkEnd w:id="85"/>
      <w:bookmarkEnd w:id="86"/>
    </w:p>
    <w:p w14:paraId="316127BA" w14:textId="77777777" w:rsidR="00415BB5" w:rsidRPr="00C3320D" w:rsidRDefault="00415BB5" w:rsidP="00A65273">
      <w:pPr>
        <w:pStyle w:val="Heading1"/>
        <w:numPr>
          <w:ilvl w:val="0"/>
          <w:numId w:val="0"/>
        </w:numPr>
        <w:spacing w:before="120" w:after="120"/>
        <w:rPr>
          <w:rFonts w:cs="Arial"/>
          <w:szCs w:val="22"/>
        </w:rPr>
      </w:pPr>
    </w:p>
    <w:p w14:paraId="773DC6CF" w14:textId="77777777" w:rsidR="00F807DC" w:rsidRPr="00C3320D" w:rsidRDefault="005C28AA" w:rsidP="00D40F55">
      <w:pPr>
        <w:pStyle w:val="Heading1"/>
        <w:spacing w:before="120" w:after="120"/>
        <w:rPr>
          <w:rFonts w:cs="Arial"/>
          <w:szCs w:val="22"/>
        </w:rPr>
      </w:pPr>
      <w:bookmarkStart w:id="87" w:name="_Toc531009292"/>
      <w:bookmarkStart w:id="88" w:name="_Toc531702606"/>
      <w:r w:rsidRPr="00C3320D">
        <w:rPr>
          <w:rFonts w:cs="Arial"/>
          <w:szCs w:val="22"/>
        </w:rPr>
        <w:t>DEFINITIONS AND INTERPRETATION</w:t>
      </w:r>
      <w:bookmarkEnd w:id="87"/>
      <w:bookmarkEnd w:id="88"/>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89"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89"/>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90" w:name="_Toc531009293"/>
      <w:bookmarkStart w:id="91" w:name="_Toc531702607"/>
      <w:r w:rsidRPr="00C3320D">
        <w:rPr>
          <w:rFonts w:cs="Arial"/>
          <w:szCs w:val="22"/>
        </w:rPr>
        <w:t>The Ordered Panel Services</w:t>
      </w:r>
      <w:bookmarkEnd w:id="90"/>
      <w:bookmarkEnd w:id="9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92" w:name="_Toc531009294"/>
      <w:bookmarkStart w:id="93" w:name="_Toc531702608"/>
      <w:r w:rsidRPr="00C3320D">
        <w:rPr>
          <w:rFonts w:cs="Arial"/>
          <w:szCs w:val="22"/>
        </w:rPr>
        <w:t xml:space="preserve">Delivery and management of </w:t>
      </w:r>
      <w:r w:rsidR="00F60EC1" w:rsidRPr="00C3320D">
        <w:rPr>
          <w:rFonts w:cs="Arial"/>
          <w:szCs w:val="22"/>
        </w:rPr>
        <w:t>the Ordered Panel Services</w:t>
      </w:r>
      <w:bookmarkEnd w:id="92"/>
      <w:bookmarkEnd w:id="93"/>
    </w:p>
    <w:p w14:paraId="7FE39441" w14:textId="0840873F" w:rsidR="00E17C21" w:rsidRPr="00C3320D" w:rsidRDefault="00E17C21" w:rsidP="00D40F55">
      <w:pPr>
        <w:pStyle w:val="Heading2"/>
        <w:spacing w:before="120" w:after="120"/>
        <w:rPr>
          <w:rFonts w:cs="Arial"/>
          <w:szCs w:val="22"/>
        </w:rPr>
      </w:pPr>
      <w:bookmarkStart w:id="94" w:name="_GoBack"/>
      <w:bookmarkEnd w:id="94"/>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95"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95"/>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D24CCE">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D24CCE">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D24CCE">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96"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96"/>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97"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97"/>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98"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98"/>
    </w:p>
    <w:p w14:paraId="6F7B83E1" w14:textId="77777777" w:rsidR="00C901FE" w:rsidRPr="00C3320D" w:rsidRDefault="00C901FE" w:rsidP="00D40F55">
      <w:pPr>
        <w:pStyle w:val="Heading1"/>
        <w:spacing w:before="120" w:after="120"/>
        <w:rPr>
          <w:rFonts w:cs="Arial"/>
          <w:szCs w:val="22"/>
        </w:rPr>
      </w:pPr>
      <w:bookmarkStart w:id="99" w:name="_Toc461109632"/>
      <w:bookmarkStart w:id="100" w:name="_Toc461109633"/>
      <w:bookmarkStart w:id="101" w:name="_Toc531009295"/>
      <w:bookmarkStart w:id="102" w:name="_Toc531702609"/>
      <w:bookmarkEnd w:id="99"/>
      <w:bookmarkEnd w:id="100"/>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101"/>
      <w:bookmarkEnd w:id="102"/>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103"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103"/>
    </w:p>
    <w:p w14:paraId="344FC365" w14:textId="77777777" w:rsidR="00F6759D" w:rsidRPr="00C3320D" w:rsidRDefault="00F6759D" w:rsidP="00D40F55">
      <w:pPr>
        <w:pStyle w:val="Heading1"/>
        <w:spacing w:before="120" w:after="120"/>
        <w:rPr>
          <w:rFonts w:cs="Arial"/>
          <w:szCs w:val="22"/>
        </w:rPr>
      </w:pPr>
      <w:bookmarkStart w:id="104" w:name="_Toc531009296"/>
      <w:bookmarkStart w:id="105" w:name="_Toc531702610"/>
      <w:r w:rsidRPr="00C3320D">
        <w:rPr>
          <w:rFonts w:cs="Arial"/>
          <w:szCs w:val="22"/>
        </w:rPr>
        <w:t>Personnel</w:t>
      </w:r>
      <w:bookmarkEnd w:id="104"/>
      <w:bookmarkEnd w:id="105"/>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106" w:name="_Ref363736216"/>
      <w:r w:rsidRPr="00C3320D">
        <w:rPr>
          <w:rFonts w:cs="Arial"/>
          <w:szCs w:val="22"/>
        </w:rPr>
        <w:t>The Supplier shall:</w:t>
      </w:r>
      <w:bookmarkEnd w:id="106"/>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107" w:name="_Ref358297649"/>
      <w:r w:rsidRPr="00C3320D">
        <w:rPr>
          <w:rFonts w:cs="Arial"/>
          <w:szCs w:val="22"/>
        </w:rPr>
        <w:t>The Parties agree that</w:t>
      </w:r>
      <w:r w:rsidR="00FA30C4" w:rsidRPr="00C3320D">
        <w:rPr>
          <w:rFonts w:cs="Arial"/>
          <w:szCs w:val="22"/>
        </w:rPr>
        <w:t>:</w:t>
      </w:r>
      <w:bookmarkEnd w:id="107"/>
    </w:p>
    <w:p w14:paraId="513D7722" w14:textId="14E84AA8" w:rsidR="00FA30C4" w:rsidRPr="00C3320D" w:rsidRDefault="00FA30C4" w:rsidP="00D40F55">
      <w:pPr>
        <w:pStyle w:val="Heading3"/>
        <w:spacing w:before="120" w:after="120"/>
        <w:rPr>
          <w:rFonts w:cs="Arial"/>
          <w:szCs w:val="22"/>
        </w:rPr>
      </w:pPr>
      <w:bookmarkStart w:id="108"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109" w:name="_Ref358300369"/>
      <w:bookmarkEnd w:id="108"/>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109"/>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110" w:name="_Ref359425071"/>
      <w:r w:rsidRPr="00C3320D">
        <w:rPr>
          <w:rFonts w:cs="Arial"/>
          <w:szCs w:val="22"/>
        </w:rPr>
        <w:lastRenderedPageBreak/>
        <w:t>Prior to sub-contacting any of its obligations under this Legal Services Contract, the Supplier shall notify the Customer and provide the Customer with:</w:t>
      </w:r>
      <w:bookmarkEnd w:id="110"/>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111"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111"/>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D24CCE">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47277D">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D24CCE">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47277D">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D24CCE">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47277D">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47277D">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47277D">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47277D">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47277D">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112"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112"/>
    </w:p>
    <w:p w14:paraId="01A870A0" w14:textId="77777777" w:rsidR="00A904F4" w:rsidRPr="00C3320D" w:rsidRDefault="00A904F4" w:rsidP="00D40F55">
      <w:pPr>
        <w:pStyle w:val="Heading3"/>
        <w:spacing w:before="120" w:after="120"/>
        <w:rPr>
          <w:rFonts w:cs="Arial"/>
          <w:szCs w:val="22"/>
        </w:rPr>
      </w:pPr>
      <w:bookmarkStart w:id="113"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113"/>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D24CCE">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D24CCE">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114" w:name="_Ref359339111"/>
      <w:r w:rsidRPr="00C3320D">
        <w:rPr>
          <w:rFonts w:cs="Arial"/>
          <w:szCs w:val="22"/>
        </w:rPr>
        <w:t>The Supplier shall</w:t>
      </w:r>
      <w:bookmarkEnd w:id="114"/>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115" w:name="_Ref379548295"/>
      <w:r w:rsidRPr="00C3320D">
        <w:rPr>
          <w:rFonts w:cs="Arial"/>
          <w:szCs w:val="22"/>
        </w:rPr>
        <w:t>The Customer may require the Supplier to terminate:</w:t>
      </w:r>
      <w:bookmarkEnd w:id="115"/>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47277D">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47277D">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47277D">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47277D">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116"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116"/>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D24CCE">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117" w:name="_Toc531009297"/>
      <w:bookmarkStart w:id="118" w:name="_Toc531702611"/>
      <w:r w:rsidRPr="00C3320D">
        <w:rPr>
          <w:rFonts w:cs="Arial"/>
          <w:szCs w:val="22"/>
        </w:rPr>
        <w:t>CHARGES</w:t>
      </w:r>
      <w:r w:rsidR="00A34A70" w:rsidRPr="00C3320D">
        <w:rPr>
          <w:rFonts w:cs="Arial"/>
          <w:szCs w:val="22"/>
        </w:rPr>
        <w:t xml:space="preserve"> AND INVOICING</w:t>
      </w:r>
      <w:bookmarkEnd w:id="117"/>
      <w:bookmarkEnd w:id="118"/>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1026B0A3" w:rsidR="00E56DC7" w:rsidRPr="00A65273" w:rsidRDefault="007562F7" w:rsidP="00D40F55">
      <w:pPr>
        <w:pStyle w:val="Heading3"/>
        <w:spacing w:before="120" w:after="120"/>
        <w:rPr>
          <w:rFonts w:cs="Arial"/>
          <w:szCs w:val="22"/>
        </w:rPr>
      </w:pPr>
      <w:r w:rsidRPr="00A65273">
        <w:rPr>
          <w:rFonts w:cs="Arial"/>
          <w:szCs w:val="22"/>
        </w:rPr>
        <w:t xml:space="preserve">In consideration of the </w:t>
      </w:r>
      <w:r w:rsidR="00151B56" w:rsidRPr="00A65273">
        <w:rPr>
          <w:rFonts w:cs="Arial"/>
          <w:szCs w:val="22"/>
        </w:rPr>
        <w:t>Supplier</w:t>
      </w:r>
      <w:r w:rsidRPr="00A65273">
        <w:rPr>
          <w:rFonts w:cs="Arial"/>
          <w:szCs w:val="22"/>
        </w:rPr>
        <w:t xml:space="preserve">'s performance of its obligations under </w:t>
      </w:r>
      <w:r w:rsidR="002479FD" w:rsidRPr="00A65273">
        <w:rPr>
          <w:rFonts w:cs="Arial"/>
          <w:szCs w:val="22"/>
        </w:rPr>
        <w:t>this</w:t>
      </w:r>
      <w:r w:rsidR="00A34A70" w:rsidRPr="00A65273">
        <w:rPr>
          <w:rFonts w:cs="Arial"/>
          <w:szCs w:val="22"/>
        </w:rPr>
        <w:t xml:space="preserve"> </w:t>
      </w:r>
      <w:r w:rsidR="008C689D" w:rsidRPr="00A65273">
        <w:rPr>
          <w:rFonts w:cs="Arial"/>
          <w:szCs w:val="22"/>
        </w:rPr>
        <w:t>Legal Services Contract</w:t>
      </w:r>
      <w:r w:rsidRPr="00A65273">
        <w:rPr>
          <w:rFonts w:cs="Arial"/>
          <w:szCs w:val="22"/>
        </w:rPr>
        <w:t xml:space="preserve">, the </w:t>
      </w:r>
      <w:r w:rsidR="00C158E8" w:rsidRPr="00A65273">
        <w:rPr>
          <w:rFonts w:cs="Arial"/>
          <w:szCs w:val="22"/>
        </w:rPr>
        <w:t>Customer</w:t>
      </w:r>
      <w:r w:rsidRPr="00A65273">
        <w:rPr>
          <w:rFonts w:cs="Arial"/>
          <w:szCs w:val="22"/>
        </w:rPr>
        <w:t xml:space="preserve"> shall pay the</w:t>
      </w:r>
      <w:r w:rsidR="00A34A70" w:rsidRPr="00A65273">
        <w:rPr>
          <w:rFonts w:cs="Arial"/>
          <w:szCs w:val="22"/>
        </w:rPr>
        <w:t xml:space="preserve"> undisputed</w:t>
      </w:r>
      <w:r w:rsidRPr="00A65273">
        <w:rPr>
          <w:rFonts w:cs="Arial"/>
          <w:szCs w:val="22"/>
        </w:rPr>
        <w:t xml:space="preserve"> </w:t>
      </w:r>
      <w:r w:rsidR="00AB51E9" w:rsidRPr="00A65273">
        <w:rPr>
          <w:rFonts w:cs="Arial"/>
          <w:szCs w:val="22"/>
        </w:rPr>
        <w:t>Charges</w:t>
      </w:r>
      <w:r w:rsidRPr="00A65273">
        <w:rPr>
          <w:rFonts w:cs="Arial"/>
          <w:szCs w:val="22"/>
        </w:rPr>
        <w:t xml:space="preserve"> in accordance with </w:t>
      </w:r>
      <w:r w:rsidR="00304EEF" w:rsidRPr="00A65273">
        <w:rPr>
          <w:rFonts w:cs="Arial"/>
          <w:szCs w:val="22"/>
        </w:rPr>
        <w:t xml:space="preserve">this </w:t>
      </w:r>
      <w:r w:rsidR="00E6002D" w:rsidRPr="00A65273">
        <w:rPr>
          <w:rFonts w:cs="Arial"/>
          <w:szCs w:val="22"/>
        </w:rPr>
        <w:t>Clause </w:t>
      </w:r>
      <w:r w:rsidR="00304EEF" w:rsidRPr="00A65273">
        <w:rPr>
          <w:rFonts w:cs="Arial"/>
          <w:szCs w:val="22"/>
        </w:rPr>
        <w:t>6</w:t>
      </w:r>
      <w:r w:rsidR="00AC4EAD" w:rsidRPr="00A65273">
        <w:rPr>
          <w:rFonts w:cs="Arial"/>
          <w:szCs w:val="22"/>
        </w:rPr>
        <w:t xml:space="preserve"> </w:t>
      </w:r>
      <w:r w:rsidRPr="00A65273">
        <w:rPr>
          <w:rFonts w:cs="Arial"/>
          <w:szCs w:val="22"/>
        </w:rPr>
        <w:t>(</w:t>
      </w:r>
      <w:r w:rsidR="00A34A70" w:rsidRPr="00A65273">
        <w:rPr>
          <w:rFonts w:cs="Arial"/>
          <w:szCs w:val="22"/>
        </w:rPr>
        <w:t>Charges and Invoicing)</w:t>
      </w:r>
      <w:r w:rsidRPr="00A65273">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119"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119"/>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20"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20"/>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21"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21"/>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22" w:name="_Ref313370178"/>
      <w:r w:rsidRPr="00C3320D">
        <w:rPr>
          <w:rFonts w:cs="Arial"/>
          <w:b/>
          <w:szCs w:val="22"/>
        </w:rPr>
        <w:t>Recovery of Sums Due</w:t>
      </w:r>
      <w:bookmarkEnd w:id="122"/>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23" w:name="_Toc531009298"/>
      <w:bookmarkStart w:id="124" w:name="_Toc531702612"/>
      <w:bookmarkStart w:id="125" w:name="_Ref313371594"/>
      <w:r w:rsidRPr="00C3320D">
        <w:rPr>
          <w:rFonts w:cs="Arial"/>
          <w:szCs w:val="22"/>
        </w:rPr>
        <w:lastRenderedPageBreak/>
        <w:t>LIABILITY</w:t>
      </w:r>
      <w:r w:rsidR="003C6C6B" w:rsidRPr="00C3320D">
        <w:rPr>
          <w:rFonts w:cs="Arial"/>
          <w:szCs w:val="22"/>
        </w:rPr>
        <w:t xml:space="preserve"> AND INSURANCE</w:t>
      </w:r>
      <w:bookmarkEnd w:id="123"/>
      <w:bookmarkEnd w:id="124"/>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26" w:name="_Ref311654936"/>
      <w:r w:rsidRPr="00C3320D">
        <w:rPr>
          <w:rFonts w:cs="Arial"/>
          <w:szCs w:val="22"/>
        </w:rPr>
        <w:t>Neither Party excludes or limits its liability for:</w:t>
      </w:r>
      <w:bookmarkEnd w:id="126"/>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626B996F"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A65273">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27"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27"/>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0F2B8384" w:rsidR="00CB2406" w:rsidRPr="00C3320D" w:rsidRDefault="00CB2406" w:rsidP="00D40F55">
      <w:pPr>
        <w:pStyle w:val="Heading4"/>
        <w:spacing w:before="120" w:after="120"/>
        <w:rPr>
          <w:rFonts w:cs="Arial"/>
          <w:szCs w:val="22"/>
        </w:rPr>
      </w:pPr>
      <w:r w:rsidRPr="00C3320D">
        <w:rPr>
          <w:rFonts w:cs="Arial"/>
          <w:szCs w:val="22"/>
        </w:rPr>
        <w:t xml:space="preserve">loss of;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28" w:name="_Ref313366946"/>
      <w:bookmarkStart w:id="129" w:name="_Toc531009299"/>
      <w:bookmarkStart w:id="130" w:name="_Toc531702613"/>
      <w:bookmarkEnd w:id="125"/>
      <w:r w:rsidRPr="00C3320D">
        <w:rPr>
          <w:rFonts w:cs="Arial"/>
          <w:szCs w:val="22"/>
        </w:rPr>
        <w:t>INTELLECTUAL PROPERTY RIGHTS</w:t>
      </w:r>
      <w:bookmarkEnd w:id="128"/>
      <w:bookmarkEnd w:id="129"/>
      <w:bookmarkEnd w:id="130"/>
    </w:p>
    <w:p w14:paraId="2AEA58D8" w14:textId="340AD279" w:rsidR="00F14CCD" w:rsidRPr="00C3320D" w:rsidRDefault="0025590B" w:rsidP="00D40F55">
      <w:pPr>
        <w:pStyle w:val="Heading2"/>
        <w:tabs>
          <w:tab w:val="num" w:pos="720"/>
        </w:tabs>
        <w:spacing w:before="120" w:after="120"/>
        <w:ind w:left="720"/>
        <w:rPr>
          <w:rFonts w:cs="Arial"/>
          <w:szCs w:val="22"/>
        </w:rPr>
      </w:pPr>
      <w:bookmarkStart w:id="131"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31"/>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32"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32"/>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33" w:name="_Ref313367870"/>
      <w:bookmarkStart w:id="134" w:name="_Toc531009300"/>
      <w:bookmarkStart w:id="135" w:name="_Toc531702614"/>
      <w:r w:rsidRPr="00C3320D">
        <w:rPr>
          <w:rFonts w:cs="Arial"/>
          <w:szCs w:val="22"/>
        </w:rPr>
        <w:t>PROTECTION OF INFORMATION</w:t>
      </w:r>
      <w:bookmarkEnd w:id="133"/>
      <w:bookmarkEnd w:id="134"/>
      <w:bookmarkEnd w:id="135"/>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36" w:name="_Ref313367297"/>
      <w:r w:rsidRPr="00C3320D">
        <w:rPr>
          <w:rFonts w:cs="Arial"/>
          <w:b/>
          <w:szCs w:val="22"/>
        </w:rPr>
        <w:t>Protection of Personal Data</w:t>
      </w:r>
      <w:bookmarkEnd w:id="136"/>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37" w:name="_Ref313367753"/>
      <w:r w:rsidRPr="00C3320D">
        <w:rPr>
          <w:rFonts w:cs="Arial"/>
          <w:b/>
          <w:szCs w:val="22"/>
        </w:rPr>
        <w:t>Confidentiality</w:t>
      </w:r>
      <w:bookmarkEnd w:id="137"/>
    </w:p>
    <w:p w14:paraId="1EED7F04" w14:textId="77777777" w:rsidR="00F807DC" w:rsidRPr="00C3320D" w:rsidRDefault="007562F7" w:rsidP="00D40F55">
      <w:pPr>
        <w:pStyle w:val="Heading3"/>
        <w:keepNext/>
        <w:spacing w:before="120" w:after="120"/>
        <w:rPr>
          <w:rFonts w:cs="Arial"/>
          <w:szCs w:val="22"/>
        </w:rPr>
      </w:pPr>
      <w:bookmarkStart w:id="138"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38"/>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39"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39"/>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40"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40"/>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41"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41"/>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42" w:name="_Ref313369975"/>
      <w:r w:rsidRPr="00C3320D">
        <w:rPr>
          <w:rFonts w:cs="Arial"/>
          <w:b/>
          <w:szCs w:val="22"/>
        </w:rPr>
        <w:t>Freedom of Information</w:t>
      </w:r>
      <w:bookmarkEnd w:id="142"/>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43"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43"/>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6"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44" w:name="_Ref313372170"/>
      <w:bookmarkStart w:id="145" w:name="_Toc531009301"/>
      <w:bookmarkStart w:id="146" w:name="_Toc531702615"/>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44"/>
      <w:r w:rsidR="00A14D96" w:rsidRPr="00C3320D">
        <w:rPr>
          <w:rFonts w:cs="Arial"/>
          <w:szCs w:val="22"/>
        </w:rPr>
        <w:t xml:space="preserve"> AND UNDERTAKINGS</w:t>
      </w:r>
      <w:bookmarkEnd w:id="145"/>
      <w:bookmarkEnd w:id="146"/>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47"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47"/>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48"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8"/>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D24CCE">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49" w:name="_Ref313373896"/>
      <w:bookmarkStart w:id="150" w:name="_Toc531009302"/>
      <w:bookmarkStart w:id="151" w:name="_Toc531702616"/>
      <w:r w:rsidRPr="00C3320D">
        <w:rPr>
          <w:rFonts w:cs="Arial"/>
          <w:szCs w:val="22"/>
        </w:rPr>
        <w:t>TERMINATION</w:t>
      </w:r>
      <w:bookmarkEnd w:id="149"/>
      <w:bookmarkEnd w:id="150"/>
      <w:bookmarkEnd w:id="15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52" w:name="_Ref313371016"/>
      <w:r w:rsidRPr="00C3320D">
        <w:rPr>
          <w:rFonts w:cs="Arial"/>
          <w:b/>
          <w:szCs w:val="22"/>
        </w:rPr>
        <w:t>Termination on Insolvency</w:t>
      </w:r>
      <w:bookmarkEnd w:id="15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53" w:name="_Ref313369326"/>
      <w:r w:rsidRPr="00C3320D">
        <w:rPr>
          <w:rFonts w:cs="Arial"/>
          <w:b/>
          <w:szCs w:val="22"/>
        </w:rPr>
        <w:t xml:space="preserve">Termination on </w:t>
      </w:r>
      <w:bookmarkEnd w:id="15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5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5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55" w:name="_Ref313371033"/>
      <w:bookmarkStart w:id="156" w:name="_Ref313369604"/>
      <w:r w:rsidRPr="00C3320D">
        <w:rPr>
          <w:rFonts w:cs="Arial"/>
          <w:b/>
          <w:szCs w:val="22"/>
        </w:rPr>
        <w:t>Termination on Change of Control</w:t>
      </w:r>
      <w:bookmarkEnd w:id="155"/>
    </w:p>
    <w:p w14:paraId="383040C0" w14:textId="77777777" w:rsidR="00BB527F" w:rsidRPr="00C3320D" w:rsidRDefault="00BB527F" w:rsidP="00D40F55">
      <w:pPr>
        <w:pStyle w:val="Heading3"/>
        <w:spacing w:before="120" w:after="120"/>
        <w:rPr>
          <w:rFonts w:cs="Arial"/>
          <w:szCs w:val="22"/>
        </w:rPr>
      </w:pPr>
      <w:bookmarkStart w:id="15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57"/>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5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D24CCE">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D24CCE">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58" w:name="_Ref313370007"/>
      <w:bookmarkStart w:id="159" w:name="_Toc531009303"/>
      <w:bookmarkStart w:id="160" w:name="_Toc531702617"/>
      <w:r w:rsidRPr="00C3320D">
        <w:rPr>
          <w:rFonts w:cs="Arial"/>
          <w:szCs w:val="22"/>
        </w:rPr>
        <w:t>CONSEQUENCES OF EXPIRY OR TERMINATION</w:t>
      </w:r>
      <w:bookmarkEnd w:id="158"/>
      <w:bookmarkEnd w:id="159"/>
      <w:bookmarkEnd w:id="160"/>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61"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61"/>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62"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62"/>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63"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63"/>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64" w:name="_Ref313373915"/>
      <w:bookmarkStart w:id="165" w:name="_Toc531009304"/>
      <w:bookmarkStart w:id="166" w:name="_Toc531702618"/>
      <w:r w:rsidRPr="00C3320D">
        <w:rPr>
          <w:rFonts w:cs="Arial"/>
          <w:szCs w:val="22"/>
        </w:rPr>
        <w:t>PUBLICITY, MEDIA AND OFFICIAL ENQUIRIES</w:t>
      </w:r>
      <w:bookmarkEnd w:id="164"/>
      <w:bookmarkEnd w:id="165"/>
      <w:bookmarkEnd w:id="166"/>
    </w:p>
    <w:p w14:paraId="7B2B5338" w14:textId="77777777" w:rsidR="00F807DC" w:rsidRPr="00C3320D" w:rsidRDefault="007562F7" w:rsidP="00D40F55">
      <w:pPr>
        <w:pStyle w:val="Heading2"/>
        <w:tabs>
          <w:tab w:val="num" w:pos="720"/>
        </w:tabs>
        <w:spacing w:before="120" w:after="120"/>
        <w:ind w:left="720"/>
        <w:rPr>
          <w:rFonts w:cs="Arial"/>
          <w:szCs w:val="22"/>
        </w:rPr>
      </w:pPr>
      <w:bookmarkStart w:id="167"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67"/>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68" w:name="_Ref313370019"/>
      <w:bookmarkStart w:id="169" w:name="_Toc531009305"/>
      <w:bookmarkStart w:id="170" w:name="_Toc531702619"/>
      <w:r w:rsidRPr="00C3320D">
        <w:rPr>
          <w:rFonts w:cs="Arial"/>
          <w:szCs w:val="22"/>
        </w:rPr>
        <w:t xml:space="preserve">PREVENTION OF </w:t>
      </w:r>
      <w:bookmarkEnd w:id="168"/>
      <w:r w:rsidR="00325324" w:rsidRPr="00C3320D">
        <w:rPr>
          <w:rFonts w:cs="Arial"/>
          <w:szCs w:val="22"/>
        </w:rPr>
        <w:t>FRAUD AND BRIBERY</w:t>
      </w:r>
      <w:bookmarkEnd w:id="169"/>
      <w:bookmarkEnd w:id="170"/>
    </w:p>
    <w:p w14:paraId="1F2281DA" w14:textId="77777777" w:rsidR="00DC5B63" w:rsidRPr="00C3320D" w:rsidRDefault="00DC5B63" w:rsidP="00D40F55">
      <w:pPr>
        <w:pStyle w:val="Heading2"/>
        <w:tabs>
          <w:tab w:val="num" w:pos="720"/>
        </w:tabs>
        <w:spacing w:before="120" w:after="120"/>
        <w:ind w:left="720"/>
        <w:rPr>
          <w:rFonts w:cs="Arial"/>
          <w:szCs w:val="22"/>
        </w:rPr>
      </w:pPr>
      <w:bookmarkStart w:id="171" w:name="_Ref360700144"/>
      <w:r w:rsidRPr="00C3320D">
        <w:rPr>
          <w:rFonts w:cs="Arial"/>
          <w:szCs w:val="22"/>
        </w:rPr>
        <w:t>The Supplier represents and warrants that neither it, nor to the best of its knowledge any Supplier Personnel, have at any time prior to the Commencement Date:</w:t>
      </w:r>
      <w:bookmarkEnd w:id="171"/>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72"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72"/>
    </w:p>
    <w:p w14:paraId="42343349" w14:textId="77777777" w:rsidR="00DC5B63" w:rsidRPr="00C3320D" w:rsidRDefault="00DC5B63" w:rsidP="00D40F55">
      <w:pPr>
        <w:pStyle w:val="Heading3"/>
        <w:spacing w:before="120" w:after="120"/>
        <w:rPr>
          <w:rFonts w:cs="Arial"/>
          <w:szCs w:val="22"/>
        </w:rPr>
      </w:pPr>
      <w:bookmarkStart w:id="173"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73"/>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D24CCE">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74"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D24CCE">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74"/>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D24CCE">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D24CCE">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75"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75"/>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D24CCE">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76" w:name="_Toc531009306"/>
      <w:bookmarkStart w:id="177" w:name="_Toc531702620"/>
      <w:r w:rsidRPr="00C3320D">
        <w:rPr>
          <w:rFonts w:cs="Arial"/>
          <w:szCs w:val="22"/>
        </w:rPr>
        <w:t>NON-DISCRIMINATION</w:t>
      </w:r>
      <w:bookmarkEnd w:id="176"/>
      <w:bookmarkEnd w:id="177"/>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78"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79" w:name="_Toc461102337"/>
      <w:bookmarkStart w:id="180" w:name="_Toc461102400"/>
      <w:bookmarkStart w:id="181" w:name="_Toc461102479"/>
      <w:bookmarkStart w:id="182" w:name="_Toc461109646"/>
      <w:bookmarkStart w:id="183" w:name="_Toc461102338"/>
      <w:bookmarkStart w:id="184" w:name="_Toc461102401"/>
      <w:bookmarkStart w:id="185" w:name="_Toc461102480"/>
      <w:bookmarkStart w:id="186" w:name="_Toc461109647"/>
      <w:bookmarkStart w:id="187" w:name="_Toc461102339"/>
      <w:bookmarkStart w:id="188" w:name="_Toc461102402"/>
      <w:bookmarkStart w:id="189" w:name="_Toc461102481"/>
      <w:bookmarkStart w:id="190" w:name="_Toc461109648"/>
      <w:bookmarkStart w:id="191" w:name="_Toc461102340"/>
      <w:bookmarkStart w:id="192" w:name="_Toc461102403"/>
      <w:bookmarkStart w:id="193" w:name="_Toc461102482"/>
      <w:bookmarkStart w:id="194" w:name="_Toc461109649"/>
      <w:bookmarkStart w:id="195" w:name="_Toc461102341"/>
      <w:bookmarkStart w:id="196" w:name="_Toc461102404"/>
      <w:bookmarkStart w:id="197" w:name="_Toc461102483"/>
      <w:bookmarkStart w:id="198" w:name="_Toc461109650"/>
      <w:bookmarkStart w:id="199" w:name="_Toc461102342"/>
      <w:bookmarkStart w:id="200" w:name="_Toc461102405"/>
      <w:bookmarkStart w:id="201" w:name="_Toc461102484"/>
      <w:bookmarkStart w:id="202" w:name="_Toc461109651"/>
      <w:bookmarkStart w:id="203" w:name="_Toc461102343"/>
      <w:bookmarkStart w:id="204" w:name="_Toc461102406"/>
      <w:bookmarkStart w:id="205" w:name="_Toc461102485"/>
      <w:bookmarkStart w:id="206" w:name="_Toc461109652"/>
      <w:bookmarkStart w:id="207" w:name="_Toc461102344"/>
      <w:bookmarkStart w:id="208" w:name="_Toc461102407"/>
      <w:bookmarkStart w:id="209" w:name="_Toc461102486"/>
      <w:bookmarkStart w:id="210" w:name="_Toc461109653"/>
      <w:bookmarkStart w:id="211" w:name="_Toc461102345"/>
      <w:bookmarkStart w:id="212" w:name="_Toc461102408"/>
      <w:bookmarkStart w:id="213" w:name="_Toc461102487"/>
      <w:bookmarkStart w:id="214" w:name="_Toc461109654"/>
      <w:bookmarkStart w:id="215" w:name="_Toc461102346"/>
      <w:bookmarkStart w:id="216" w:name="_Toc461102409"/>
      <w:bookmarkStart w:id="217" w:name="_Toc461102488"/>
      <w:bookmarkStart w:id="218" w:name="_Toc461109655"/>
      <w:bookmarkStart w:id="219" w:name="_Toc461102347"/>
      <w:bookmarkStart w:id="220" w:name="_Toc461102410"/>
      <w:bookmarkStart w:id="221" w:name="_Toc461102489"/>
      <w:bookmarkStart w:id="222" w:name="_Toc461109656"/>
      <w:bookmarkStart w:id="223" w:name="_Toc461102348"/>
      <w:bookmarkStart w:id="224" w:name="_Toc461102411"/>
      <w:bookmarkStart w:id="225" w:name="_Toc461102490"/>
      <w:bookmarkStart w:id="226" w:name="_Toc461109657"/>
      <w:bookmarkStart w:id="227" w:name="_Toc461102349"/>
      <w:bookmarkStart w:id="228" w:name="_Toc461102412"/>
      <w:bookmarkStart w:id="229" w:name="_Toc461102491"/>
      <w:bookmarkStart w:id="230" w:name="_Toc461109658"/>
      <w:bookmarkStart w:id="231" w:name="_Toc531009307"/>
      <w:bookmarkStart w:id="232" w:name="_Toc531702621"/>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C3320D">
        <w:rPr>
          <w:rFonts w:cs="Arial"/>
          <w:szCs w:val="22"/>
        </w:rPr>
        <w:t>ASSIGNMENT AND NOVATION</w:t>
      </w:r>
      <w:bookmarkEnd w:id="231"/>
      <w:bookmarkEnd w:id="232"/>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33"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33"/>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34"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34"/>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35" w:name="_Toc531009308"/>
      <w:bookmarkStart w:id="236" w:name="_Toc531702622"/>
      <w:r w:rsidRPr="00C3320D">
        <w:rPr>
          <w:rFonts w:cs="Arial"/>
          <w:szCs w:val="22"/>
        </w:rPr>
        <w:t>WAIVER</w:t>
      </w:r>
      <w:r w:rsidR="00312EB4" w:rsidRPr="00C3320D">
        <w:rPr>
          <w:rFonts w:cs="Arial"/>
          <w:szCs w:val="22"/>
        </w:rPr>
        <w:t xml:space="preserve"> AND CUMULATIVE REMEDIES</w:t>
      </w:r>
      <w:bookmarkEnd w:id="235"/>
      <w:bookmarkEnd w:id="236"/>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37" w:name="_Toc461102352"/>
      <w:bookmarkStart w:id="238" w:name="_Toc461102415"/>
      <w:bookmarkStart w:id="239" w:name="_Toc461102494"/>
      <w:bookmarkStart w:id="240" w:name="_Toc461109661"/>
      <w:bookmarkStart w:id="241" w:name="_Toc461102353"/>
      <w:bookmarkStart w:id="242" w:name="_Toc461102416"/>
      <w:bookmarkStart w:id="243" w:name="_Toc461102495"/>
      <w:bookmarkStart w:id="244" w:name="_Toc461109662"/>
      <w:bookmarkStart w:id="245" w:name="_Toc461102354"/>
      <w:bookmarkStart w:id="246" w:name="_Toc461102417"/>
      <w:bookmarkStart w:id="247" w:name="_Toc461102496"/>
      <w:bookmarkStart w:id="248" w:name="_Toc461109663"/>
      <w:bookmarkStart w:id="249" w:name="_Toc461102355"/>
      <w:bookmarkStart w:id="250" w:name="_Toc461102418"/>
      <w:bookmarkStart w:id="251" w:name="_Toc461102497"/>
      <w:bookmarkStart w:id="252" w:name="_Toc461109664"/>
      <w:bookmarkStart w:id="253" w:name="_Toc461102356"/>
      <w:bookmarkStart w:id="254" w:name="_Toc461102419"/>
      <w:bookmarkStart w:id="255" w:name="_Toc461102498"/>
      <w:bookmarkStart w:id="256" w:name="_Toc461109665"/>
      <w:bookmarkStart w:id="257" w:name="_Toc531009309"/>
      <w:bookmarkStart w:id="258" w:name="_Toc531702623"/>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C3320D">
        <w:rPr>
          <w:rFonts w:cs="Arial"/>
          <w:szCs w:val="22"/>
        </w:rPr>
        <w:t>FURTHER ASSURANCES</w:t>
      </w:r>
      <w:bookmarkEnd w:id="257"/>
      <w:bookmarkEnd w:id="258"/>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59" w:name="_Toc531009310"/>
      <w:bookmarkStart w:id="260" w:name="_Toc531702624"/>
      <w:r w:rsidRPr="00C3320D">
        <w:rPr>
          <w:rFonts w:cs="Arial"/>
          <w:szCs w:val="22"/>
        </w:rPr>
        <w:t>SEVERABILITY</w:t>
      </w:r>
      <w:bookmarkEnd w:id="259"/>
      <w:bookmarkEnd w:id="260"/>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61" w:name="_Toc531009311"/>
      <w:bookmarkStart w:id="262" w:name="_Toc531702625"/>
      <w:r w:rsidRPr="00C3320D">
        <w:rPr>
          <w:rFonts w:cs="Arial"/>
          <w:szCs w:val="22"/>
        </w:rPr>
        <w:t>RELATIONSHIP OF THE PARTIES</w:t>
      </w:r>
      <w:bookmarkEnd w:id="261"/>
      <w:bookmarkEnd w:id="262"/>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63" w:name="_Toc531009312"/>
      <w:bookmarkStart w:id="264" w:name="_Toc531702626"/>
      <w:r w:rsidRPr="00C3320D">
        <w:rPr>
          <w:rFonts w:cs="Arial"/>
          <w:szCs w:val="22"/>
        </w:rPr>
        <w:lastRenderedPageBreak/>
        <w:t>ENTIRE AGREEMENT</w:t>
      </w:r>
      <w:bookmarkEnd w:id="263"/>
      <w:bookmarkEnd w:id="264"/>
    </w:p>
    <w:p w14:paraId="1B57DF5A" w14:textId="77777777" w:rsidR="00F807DC" w:rsidRPr="00C3320D" w:rsidRDefault="00837B0E" w:rsidP="00D40F55">
      <w:pPr>
        <w:pStyle w:val="Heading2"/>
        <w:spacing w:before="120" w:after="120"/>
        <w:rPr>
          <w:rFonts w:cs="Arial"/>
          <w:szCs w:val="22"/>
        </w:rPr>
      </w:pPr>
      <w:bookmarkStart w:id="26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65"/>
    </w:p>
    <w:p w14:paraId="15204E5F" w14:textId="77777777" w:rsidR="00F807DC" w:rsidRPr="00C3320D" w:rsidRDefault="007562F7" w:rsidP="00D40F55">
      <w:pPr>
        <w:pStyle w:val="Heading2"/>
        <w:spacing w:before="120" w:after="120"/>
        <w:rPr>
          <w:rFonts w:cs="Arial"/>
          <w:szCs w:val="22"/>
        </w:rPr>
      </w:pPr>
      <w:bookmarkStart w:id="26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6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67" w:name="_Toc461102361"/>
      <w:bookmarkStart w:id="268" w:name="_Toc461102424"/>
      <w:bookmarkStart w:id="269" w:name="_Toc461102503"/>
      <w:bookmarkStart w:id="270" w:name="_Toc461109670"/>
      <w:bookmarkStart w:id="271" w:name="_Toc461102362"/>
      <w:bookmarkStart w:id="272" w:name="_Toc461102425"/>
      <w:bookmarkStart w:id="273" w:name="_Toc461102504"/>
      <w:bookmarkStart w:id="274" w:name="_Toc461109671"/>
      <w:bookmarkStart w:id="275" w:name="_Ref313370095"/>
      <w:bookmarkStart w:id="276" w:name="_Toc531009313"/>
      <w:bookmarkStart w:id="277" w:name="_Toc531702627"/>
      <w:bookmarkEnd w:id="267"/>
      <w:bookmarkEnd w:id="268"/>
      <w:bookmarkEnd w:id="269"/>
      <w:bookmarkEnd w:id="270"/>
      <w:bookmarkEnd w:id="271"/>
      <w:bookmarkEnd w:id="272"/>
      <w:bookmarkEnd w:id="273"/>
      <w:bookmarkEnd w:id="274"/>
      <w:r w:rsidRPr="00C3320D">
        <w:rPr>
          <w:rFonts w:cs="Arial"/>
          <w:szCs w:val="22"/>
        </w:rPr>
        <w:t>CONTRACTS (RIGHTS OF THIRD PARTIES) ACT</w:t>
      </w:r>
      <w:bookmarkEnd w:id="275"/>
      <w:bookmarkEnd w:id="276"/>
      <w:bookmarkEnd w:id="277"/>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78"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79" w:name="_Toc531009314"/>
      <w:bookmarkStart w:id="280" w:name="_Toc531702628"/>
      <w:r w:rsidRPr="00C3320D">
        <w:rPr>
          <w:rFonts w:cs="Arial"/>
          <w:szCs w:val="22"/>
        </w:rPr>
        <w:t>NOTICES</w:t>
      </w:r>
      <w:bookmarkEnd w:id="278"/>
      <w:bookmarkEnd w:id="279"/>
      <w:bookmarkEnd w:id="280"/>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81"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81"/>
    </w:p>
    <w:p w14:paraId="28A053EE" w14:textId="77777777" w:rsidR="00F807DC" w:rsidRPr="00C3320D" w:rsidRDefault="007562F7" w:rsidP="00D40F55">
      <w:pPr>
        <w:pStyle w:val="Heading2"/>
        <w:spacing w:before="120" w:after="120"/>
        <w:rPr>
          <w:rFonts w:cs="Arial"/>
          <w:szCs w:val="22"/>
        </w:rPr>
      </w:pPr>
      <w:bookmarkStart w:id="282"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82"/>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83" w:name="_Toc461102365"/>
      <w:bookmarkStart w:id="284" w:name="_Toc461102428"/>
      <w:bookmarkStart w:id="285" w:name="_Toc461102507"/>
      <w:bookmarkStart w:id="286" w:name="_Toc461109674"/>
      <w:bookmarkStart w:id="287" w:name="_Toc314810842"/>
      <w:bookmarkStart w:id="288" w:name="_Toc531009315"/>
      <w:bookmarkStart w:id="289" w:name="_Toc531702629"/>
      <w:bookmarkEnd w:id="283"/>
      <w:bookmarkEnd w:id="284"/>
      <w:bookmarkEnd w:id="285"/>
      <w:bookmarkEnd w:id="286"/>
      <w:r w:rsidRPr="00C3320D">
        <w:rPr>
          <w:rFonts w:cs="Arial"/>
          <w:szCs w:val="22"/>
        </w:rPr>
        <w:t>DISPUTES AND LAW</w:t>
      </w:r>
      <w:bookmarkEnd w:id="287"/>
      <w:bookmarkEnd w:id="288"/>
      <w:bookmarkEnd w:id="289"/>
    </w:p>
    <w:p w14:paraId="5958DD30" w14:textId="77777777" w:rsidR="00185555" w:rsidRPr="00C3320D" w:rsidRDefault="00185555" w:rsidP="00D40F55">
      <w:pPr>
        <w:pStyle w:val="Heading2"/>
        <w:keepNext/>
        <w:spacing w:before="120" w:after="120"/>
        <w:rPr>
          <w:rFonts w:cs="Arial"/>
          <w:szCs w:val="22"/>
        </w:rPr>
      </w:pPr>
      <w:bookmarkStart w:id="290" w:name="_Ref313370109"/>
      <w:r w:rsidRPr="00C3320D">
        <w:rPr>
          <w:rFonts w:cs="Arial"/>
          <w:szCs w:val="22"/>
        </w:rPr>
        <w:t>Governing Law and Jurisdiction</w:t>
      </w:r>
      <w:bookmarkEnd w:id="290"/>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91" w:name="_Ref313372098"/>
      <w:r w:rsidRPr="00C3320D">
        <w:rPr>
          <w:rFonts w:cs="Arial"/>
          <w:szCs w:val="22"/>
        </w:rPr>
        <w:t>Dispute Resolution</w:t>
      </w:r>
      <w:bookmarkEnd w:id="291"/>
    </w:p>
    <w:p w14:paraId="2F12A5E2" w14:textId="77777777" w:rsidR="00185555" w:rsidRPr="00C3320D" w:rsidRDefault="00185555" w:rsidP="00D40F55">
      <w:pPr>
        <w:pStyle w:val="Heading3"/>
        <w:spacing w:before="120" w:after="120"/>
        <w:rPr>
          <w:rFonts w:cs="Arial"/>
          <w:szCs w:val="22"/>
        </w:rPr>
      </w:pPr>
      <w:bookmarkStart w:id="292"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92"/>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93" w:name="_Ref313371432"/>
      <w:r w:rsidRPr="00C3320D">
        <w:rPr>
          <w:rFonts w:cs="Arial"/>
          <w:szCs w:val="22"/>
        </w:rPr>
        <w:t>The procedure for mediation is as follows:</w:t>
      </w:r>
      <w:bookmarkEnd w:id="293"/>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94"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94"/>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95" w:name="_Toc127759065"/>
      <w:bookmarkStart w:id="296" w:name="_Toc139080105"/>
      <w:bookmarkStart w:id="297" w:name="_Toc296514644"/>
      <w:bookmarkStart w:id="298" w:name="_Toc297577110"/>
      <w:bookmarkStart w:id="299" w:name="_Toc297577509"/>
      <w:bookmarkStart w:id="300" w:name="_Toc297624436"/>
    </w:p>
    <w:bookmarkEnd w:id="295"/>
    <w:bookmarkEnd w:id="296"/>
    <w:bookmarkEnd w:id="297"/>
    <w:bookmarkEnd w:id="298"/>
    <w:bookmarkEnd w:id="299"/>
    <w:bookmarkEnd w:id="300"/>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301" w:name="_Toc431551184"/>
      <w:bookmarkStart w:id="302" w:name="_Toc531009316"/>
      <w:bookmarkStart w:id="303" w:name="_Toc531702630"/>
      <w:bookmarkStart w:id="304" w:name="bmCompoundReference"/>
      <w:r w:rsidRPr="00C3320D">
        <w:rPr>
          <w:rFonts w:cs="Arial"/>
          <w:szCs w:val="22"/>
        </w:rPr>
        <w:lastRenderedPageBreak/>
        <w:t xml:space="preserve">CONTRACT </w:t>
      </w:r>
      <w:r w:rsidR="00D02ECD" w:rsidRPr="00C3320D">
        <w:rPr>
          <w:rFonts w:cs="Arial"/>
          <w:szCs w:val="22"/>
        </w:rPr>
        <w:t>SCHEDULE 1: DEFINITIONS</w:t>
      </w:r>
      <w:bookmarkEnd w:id="301"/>
      <w:bookmarkEnd w:id="302"/>
      <w:bookmarkEnd w:id="303"/>
    </w:p>
    <w:p w14:paraId="0A0481F9" w14:textId="77777777" w:rsidR="005C28AA" w:rsidRPr="00C3320D" w:rsidRDefault="00D02ECD" w:rsidP="0047277D">
      <w:pPr>
        <w:pStyle w:val="ScheduleL1"/>
        <w:numPr>
          <w:ilvl w:val="0"/>
          <w:numId w:val="26"/>
        </w:numPr>
        <w:tabs>
          <w:tab w:val="left" w:pos="3660"/>
        </w:tabs>
        <w:adjustRightInd/>
        <w:spacing w:before="120" w:after="120"/>
        <w:jc w:val="left"/>
        <w:rPr>
          <w:rFonts w:cs="Arial"/>
          <w:szCs w:val="22"/>
        </w:rPr>
      </w:pPr>
      <w:bookmarkStart w:id="305" w:name="_Toc531702631"/>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bookmarkEnd w:id="305"/>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D24CCE">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676D8E">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676D8E">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676D8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676D8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676D8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676D8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676D8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676D8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676D8E">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337442C5" w:rsidR="00A72942" w:rsidRPr="00C3320D" w:rsidRDefault="00A72942" w:rsidP="00A6527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w:t>
            </w:r>
            <w:r w:rsidRPr="00A65273">
              <w:rPr>
                <w:rFonts w:cs="Arial"/>
                <w:color w:val="000000" w:themeColor="text1"/>
                <w:szCs w:val="22"/>
              </w:rPr>
              <w:t xml:space="preserve">agreement between the Authority and the Supplier dated </w:t>
            </w:r>
            <w:r w:rsidR="00A65273" w:rsidRPr="00A65273">
              <w:rPr>
                <w:rFonts w:cs="Arial"/>
                <w:color w:val="000000" w:themeColor="text1"/>
                <w:szCs w:val="22"/>
              </w:rPr>
              <w:t xml:space="preserve">28/02/2017 </w:t>
            </w:r>
            <w:r w:rsidRPr="00A65273">
              <w:rPr>
                <w:rFonts w:cs="Arial"/>
                <w:szCs w:val="22"/>
              </w:rPr>
              <w:t>and</w:t>
            </w:r>
            <w:r w:rsidRPr="00C3320D">
              <w:rPr>
                <w:rFonts w:cs="Arial"/>
                <w:szCs w:val="22"/>
              </w:rPr>
              <w:t xml:space="preserve">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306" w:author="Tayyar Raith PROFESSIONAL SERVICES CAXTON HOUSE" w:date="2018-09-27T14:46: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47277D">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47277D">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47277D">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47277D">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7"/>
          <w:headerReference w:type="default" r:id="rId18"/>
          <w:footerReference w:type="even" r:id="rId19"/>
          <w:headerReference w:type="first" r:id="rId20"/>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307" w:name="_Ref313382840"/>
      <w:bookmarkStart w:id="308" w:name="_Toc314810852"/>
      <w:bookmarkStart w:id="309" w:name="_Ref349134118"/>
      <w:bookmarkStart w:id="310" w:name="_Toc350503094"/>
      <w:bookmarkStart w:id="311" w:name="_Toc350504084"/>
      <w:bookmarkStart w:id="312" w:name="_Toc351710926"/>
      <w:bookmarkStart w:id="313" w:name="_Toc358671836"/>
      <w:bookmarkStart w:id="314" w:name="_Toc431551203"/>
      <w:bookmarkStart w:id="315" w:name="_Toc531009317"/>
      <w:bookmarkStart w:id="316" w:name="_Toc531702632"/>
      <w:bookmarkEnd w:id="304"/>
      <w:r w:rsidRPr="00C3320D">
        <w:rPr>
          <w:rFonts w:cs="Arial"/>
          <w:szCs w:val="22"/>
        </w:rPr>
        <w:t xml:space="preserve">CONTRACT </w:t>
      </w:r>
      <w:r w:rsidR="00EE4546" w:rsidRPr="00C3320D">
        <w:rPr>
          <w:rFonts w:cs="Arial"/>
          <w:szCs w:val="22"/>
        </w:rPr>
        <w:t>SCHEDULE 2: EXIT MANAGEMENT</w:t>
      </w:r>
      <w:bookmarkEnd w:id="307"/>
      <w:bookmarkEnd w:id="308"/>
      <w:bookmarkEnd w:id="309"/>
      <w:bookmarkEnd w:id="310"/>
      <w:bookmarkEnd w:id="311"/>
      <w:bookmarkEnd w:id="312"/>
      <w:bookmarkEnd w:id="313"/>
      <w:bookmarkEnd w:id="314"/>
      <w:bookmarkEnd w:id="315"/>
      <w:bookmarkEnd w:id="316"/>
    </w:p>
    <w:p w14:paraId="21C64077" w14:textId="77777777" w:rsidR="00EE4546" w:rsidRPr="00C3320D" w:rsidRDefault="00EE4546" w:rsidP="0047277D">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D24CCE">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D24CCE">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D24CCE">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D24CCE">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D24CCE">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D24CCE">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D24CCE">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D24CCE">
              <w:t>9.2.3</w:t>
            </w:r>
            <w:r w:rsidRPr="00C3320D">
              <w:fldChar w:fldCharType="end"/>
            </w:r>
            <w:r w:rsidRPr="00C3320D">
              <w:t xml:space="preserve"> of this Contract Schedule 2.</w:t>
            </w:r>
          </w:p>
        </w:tc>
      </w:tr>
    </w:tbl>
    <w:p w14:paraId="40019A1D" w14:textId="77777777" w:rsidR="00EE4546" w:rsidRPr="00C3320D" w:rsidRDefault="00EE4546" w:rsidP="00676D8E">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676D8E">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317" w:name="_Ref364241015"/>
      <w:r w:rsidRPr="00C3320D">
        <w:rPr>
          <w:rFonts w:ascii="Arial" w:hAnsi="Arial"/>
        </w:rPr>
        <w:t>create and maintain a Register of all:</w:t>
      </w:r>
      <w:bookmarkEnd w:id="31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31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31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31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31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D24CCE">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32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320"/>
    </w:p>
    <w:p w14:paraId="54A9E6BF" w14:textId="77777777" w:rsidR="00EE4546" w:rsidRPr="00C3320D" w:rsidRDefault="00EE4546" w:rsidP="00676D8E">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32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32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32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D24CCE">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32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676D8E">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32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D24CCE">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324" w:name="_Ref364270026"/>
      <w:r w:rsidRPr="00C3320D">
        <w:rPr>
          <w:rFonts w:ascii="Arial" w:hAnsi="Arial"/>
        </w:rPr>
        <w:t>Unless otherwise specified by the Customer or Approved, the Exit Plan shall set out, as a minimum:</w:t>
      </w:r>
      <w:bookmarkEnd w:id="32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323"/>
    <w:p w14:paraId="0A7104E2" w14:textId="77777777" w:rsidR="00EE4546" w:rsidRPr="00C3320D" w:rsidRDefault="00EE4546" w:rsidP="00676D8E">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32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32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32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32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676D8E">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D24CCE">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32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327"/>
    </w:p>
    <w:p w14:paraId="6D3D33C3" w14:textId="77777777" w:rsidR="00EE4546" w:rsidRPr="00C3320D" w:rsidRDefault="00EE4546" w:rsidP="00D40F55">
      <w:pPr>
        <w:pStyle w:val="GPSL3numberedclause"/>
        <w:rPr>
          <w:rFonts w:ascii="Arial" w:hAnsi="Arial"/>
        </w:rPr>
      </w:pPr>
      <w:bookmarkStart w:id="32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D24CCE">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328"/>
    </w:p>
    <w:p w14:paraId="3A36C9B8" w14:textId="77777777" w:rsidR="00EE4546" w:rsidRPr="00C3320D" w:rsidRDefault="00EE4546" w:rsidP="00D40F55">
      <w:pPr>
        <w:pStyle w:val="GPSL3numberedclause"/>
        <w:rPr>
          <w:rFonts w:ascii="Arial" w:hAnsi="Arial"/>
        </w:rPr>
      </w:pPr>
      <w:bookmarkStart w:id="329" w:name="_Ref27372751"/>
      <w:bookmarkStart w:id="330" w:name="_Ref127426020"/>
      <w:r w:rsidRPr="00C3320D">
        <w:rPr>
          <w:rFonts w:ascii="Arial" w:hAnsi="Arial"/>
        </w:rPr>
        <w:t>at the Customer's request and on reasonable notice, deliver up-to-date Registers to the</w:t>
      </w:r>
      <w:bookmarkEnd w:id="329"/>
      <w:r w:rsidRPr="00C3320D">
        <w:rPr>
          <w:rFonts w:ascii="Arial" w:hAnsi="Arial"/>
        </w:rPr>
        <w:t xml:space="preserve"> Customer.</w:t>
      </w:r>
      <w:bookmarkEnd w:id="33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D24CCE">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D24CCE">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676D8E">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331" w:name="_Ref127352385"/>
      <w:r w:rsidRPr="00C3320D">
        <w:rPr>
          <w:rFonts w:ascii="Arial" w:hAnsi="Arial"/>
        </w:rPr>
        <w:t>The Supplier shall comply with all of its obligations contained in the Exit Plan.</w:t>
      </w:r>
      <w:bookmarkEnd w:id="331"/>
    </w:p>
    <w:p w14:paraId="06A3AE66" w14:textId="77777777" w:rsidR="00EE4546" w:rsidRPr="00C3320D" w:rsidRDefault="00EE4546" w:rsidP="00D40F55">
      <w:pPr>
        <w:pStyle w:val="GPSL2numberedclause"/>
        <w:rPr>
          <w:rFonts w:ascii="Arial" w:hAnsi="Arial"/>
        </w:rPr>
      </w:pPr>
      <w:bookmarkStart w:id="33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33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333" w:name="_DV_M565"/>
      <w:bookmarkEnd w:id="33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33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33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33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335"/>
    </w:p>
    <w:p w14:paraId="0B2342CC" w14:textId="77777777" w:rsidR="00EE4546" w:rsidRPr="00C3320D" w:rsidRDefault="00EE4546" w:rsidP="00676D8E">
      <w:pPr>
        <w:pStyle w:val="GPSL1SCHEDULEHeading"/>
        <w:numPr>
          <w:ilvl w:val="0"/>
          <w:numId w:val="18"/>
        </w:numPr>
        <w:spacing w:before="120" w:after="120"/>
        <w:rPr>
          <w:rFonts w:ascii="Arial" w:hAnsi="Arial"/>
        </w:rPr>
      </w:pPr>
      <w:bookmarkStart w:id="336" w:name="_Ref127425445"/>
      <w:r w:rsidRPr="00C3320D">
        <w:rPr>
          <w:rFonts w:ascii="Arial" w:hAnsi="Arial"/>
        </w:rPr>
        <w:t xml:space="preserve">ASSETS and SUB-CONTRACTS </w:t>
      </w:r>
      <w:bookmarkEnd w:id="336"/>
    </w:p>
    <w:p w14:paraId="62C6516B" w14:textId="77777777" w:rsidR="00EE4546" w:rsidRPr="00C3320D" w:rsidRDefault="00EE4546" w:rsidP="00D40F55">
      <w:pPr>
        <w:pStyle w:val="GPSL2numberedclause"/>
        <w:rPr>
          <w:rFonts w:ascii="Arial" w:hAnsi="Arial"/>
        </w:rPr>
      </w:pPr>
      <w:bookmarkStart w:id="337" w:name="_Ref127425768"/>
      <w:r w:rsidRPr="00C3320D">
        <w:rPr>
          <w:rFonts w:ascii="Arial" w:hAnsi="Arial"/>
        </w:rPr>
        <w:t>Following notice of termination of this Contract  and during the Termination Assistance Period, the Supplier shall not, without the Customer's prior written consent:</w:t>
      </w:r>
      <w:bookmarkEnd w:id="33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33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D24CCE">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338"/>
    </w:p>
    <w:p w14:paraId="70E3987E" w14:textId="77777777" w:rsidR="00EE4546" w:rsidRPr="00C3320D" w:rsidRDefault="00EE4546" w:rsidP="00D40F55">
      <w:pPr>
        <w:pStyle w:val="GPSL3numberedclause"/>
        <w:rPr>
          <w:rFonts w:ascii="Arial" w:hAnsi="Arial"/>
        </w:rPr>
      </w:pPr>
      <w:bookmarkStart w:id="339" w:name="_Ref364352534"/>
      <w:bookmarkStart w:id="34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339"/>
      <w:r w:rsidRPr="00C3320D">
        <w:rPr>
          <w:rFonts w:ascii="Arial" w:hAnsi="Arial"/>
        </w:rPr>
        <w:t xml:space="preserve"> </w:t>
      </w:r>
      <w:bookmarkEnd w:id="340"/>
    </w:p>
    <w:p w14:paraId="665E12EE" w14:textId="77777777" w:rsidR="00EE4546" w:rsidRPr="00C3320D" w:rsidRDefault="00EE4546" w:rsidP="00D40F55">
      <w:pPr>
        <w:pStyle w:val="GPSL3numberedclause"/>
        <w:rPr>
          <w:rFonts w:ascii="Arial" w:hAnsi="Arial"/>
        </w:rPr>
      </w:pPr>
      <w:bookmarkStart w:id="341" w:name="a301038"/>
      <w:bookmarkStart w:id="342" w:name="_Ref364350801"/>
      <w:bookmarkStart w:id="343" w:name="_Ref127958943"/>
      <w:bookmarkEnd w:id="341"/>
      <w:r w:rsidRPr="00C3320D">
        <w:rPr>
          <w:rFonts w:ascii="Arial" w:hAnsi="Arial"/>
        </w:rPr>
        <w:t>which, if any, of:</w:t>
      </w:r>
      <w:bookmarkEnd w:id="34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4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43"/>
      <w:bookmarkEnd w:id="34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34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4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4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D24CCE">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47" w:name="_Ref127426673"/>
      <w:bookmarkEnd w:id="34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47"/>
    </w:p>
    <w:p w14:paraId="22A18A65" w14:textId="77777777" w:rsidR="00EE4546" w:rsidRPr="00C3320D" w:rsidRDefault="00EE4546" w:rsidP="00D40F55">
      <w:pPr>
        <w:pStyle w:val="GPSL2numberedclause"/>
        <w:rPr>
          <w:rFonts w:ascii="Arial" w:hAnsi="Arial"/>
        </w:rPr>
      </w:pPr>
      <w:bookmarkStart w:id="34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4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4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D24CCE">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49"/>
    </w:p>
    <w:p w14:paraId="74833E86" w14:textId="77777777" w:rsidR="00EE4546" w:rsidRPr="00C3320D" w:rsidRDefault="00EE4546" w:rsidP="00676D8E">
      <w:pPr>
        <w:pStyle w:val="GPSL1SCHEDULEHeading"/>
        <w:numPr>
          <w:ilvl w:val="0"/>
          <w:numId w:val="18"/>
        </w:numPr>
        <w:spacing w:before="120" w:after="120"/>
        <w:rPr>
          <w:rFonts w:ascii="Arial" w:hAnsi="Arial"/>
        </w:rPr>
      </w:pPr>
      <w:bookmarkStart w:id="350" w:name="_DV_M564"/>
      <w:bookmarkStart w:id="351" w:name="_DV_M566"/>
      <w:bookmarkStart w:id="352" w:name="_DV_M567"/>
      <w:bookmarkEnd w:id="350"/>
      <w:bookmarkEnd w:id="351"/>
      <w:bookmarkEnd w:id="35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676D8E">
      <w:pPr>
        <w:pStyle w:val="GPSL1SCHEDULEHeading"/>
        <w:numPr>
          <w:ilvl w:val="0"/>
          <w:numId w:val="18"/>
        </w:numPr>
        <w:spacing w:before="120" w:after="120"/>
        <w:rPr>
          <w:rFonts w:ascii="Arial" w:hAnsi="Arial"/>
        </w:rPr>
      </w:pPr>
      <w:bookmarkStart w:id="353" w:name="_Ref127425458"/>
      <w:r w:rsidRPr="00C3320D">
        <w:rPr>
          <w:rFonts w:ascii="Arial" w:hAnsi="Arial"/>
        </w:rPr>
        <w:t xml:space="preserve">CHARGES </w:t>
      </w:r>
      <w:bookmarkEnd w:id="35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676D8E">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5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55" w:name="_Ref127426852"/>
      <w:r w:rsidRPr="00C3320D">
        <w:rPr>
          <w:rFonts w:ascii="Arial" w:hAnsi="Arial"/>
        </w:rPr>
        <w:t>) as follows:</w:t>
      </w:r>
      <w:bookmarkEnd w:id="354"/>
      <w:bookmarkEnd w:id="35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D24CCE">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56" w:name="_Toc431551204"/>
      <w:bookmarkStart w:id="357" w:name="_Toc531009318"/>
      <w:bookmarkStart w:id="358" w:name="_Toc531702633"/>
      <w:r w:rsidRPr="00C3320D">
        <w:rPr>
          <w:rFonts w:cs="Arial"/>
          <w:szCs w:val="22"/>
        </w:rPr>
        <w:lastRenderedPageBreak/>
        <w:t>CONTRACT SCHEDULE 3: STAFF TRANSFER</w:t>
      </w:r>
      <w:bookmarkEnd w:id="356"/>
      <w:bookmarkEnd w:id="357"/>
      <w:bookmarkEnd w:id="358"/>
    </w:p>
    <w:p w14:paraId="30C43DC8" w14:textId="77777777" w:rsidR="00FA30C4" w:rsidRPr="00C3320D" w:rsidRDefault="00FA30C4" w:rsidP="0047277D">
      <w:pPr>
        <w:pStyle w:val="GPSL1CLAUSEHEADING"/>
        <w:numPr>
          <w:ilvl w:val="0"/>
          <w:numId w:val="34"/>
        </w:numPr>
        <w:spacing w:before="120" w:after="120"/>
        <w:rPr>
          <w:rFonts w:ascii="Arial" w:hAnsi="Arial"/>
        </w:rPr>
      </w:pPr>
      <w:bookmarkStart w:id="359" w:name="_Ref384036770"/>
      <w:r w:rsidRPr="00C3320D">
        <w:rPr>
          <w:rFonts w:ascii="Arial" w:hAnsi="Arial"/>
        </w:rPr>
        <w:t>DEFINITIONS</w:t>
      </w:r>
      <w:bookmarkEnd w:id="359"/>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4727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4727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4727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4727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47277D">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4727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4727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4727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4727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4727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60"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60"/>
    </w:p>
    <w:p w14:paraId="6E6E0EFF" w14:textId="77777777" w:rsidR="00FA30C4" w:rsidRPr="00C3320D" w:rsidRDefault="00FA30C4" w:rsidP="00D40F55">
      <w:pPr>
        <w:pStyle w:val="GPSL2numberedclause"/>
        <w:rPr>
          <w:rFonts w:ascii="Arial" w:hAnsi="Arial"/>
        </w:rPr>
      </w:pPr>
      <w:bookmarkStart w:id="361"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61"/>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D24CCE">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D24CCE">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62" w:name="_Toc431551205"/>
      <w:r w:rsidRPr="00C3320D">
        <w:rPr>
          <w:rFonts w:ascii="Arial" w:hAnsi="Arial" w:cs="Arial"/>
        </w:rPr>
        <w:lastRenderedPageBreak/>
        <w:t>ANNEX TO PART A: PENSIONS</w:t>
      </w:r>
      <w:bookmarkEnd w:id="362"/>
    </w:p>
    <w:p w14:paraId="7F1EC1C8" w14:textId="77777777" w:rsidR="00FA30C4" w:rsidRPr="00884ACC" w:rsidRDefault="00FA30C4" w:rsidP="0047277D">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63"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63"/>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D24CCE">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47277D">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64" w:name="_Toc431551206"/>
      <w:r w:rsidRPr="00C3320D">
        <w:rPr>
          <w:rFonts w:ascii="Arial" w:hAnsi="Arial" w:cs="Arial"/>
        </w:rPr>
        <w:lastRenderedPageBreak/>
        <w:t>ANNEX TO PART B: Pensions</w:t>
      </w:r>
      <w:bookmarkEnd w:id="364"/>
    </w:p>
    <w:p w14:paraId="5EE2FF19" w14:textId="77777777" w:rsidR="00FA30C4" w:rsidRPr="00DB297D" w:rsidRDefault="00FA30C4" w:rsidP="0047277D">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65"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65"/>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47277D">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47277D">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676D8E">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66"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66"/>
    </w:p>
    <w:p w14:paraId="473A0E7F" w14:textId="775EF5A6" w:rsidR="00A65273" w:rsidRPr="00A65273" w:rsidRDefault="00C20523" w:rsidP="00A65273">
      <w:pPr>
        <w:overflowPunct/>
        <w:autoSpaceDE/>
        <w:autoSpaceDN/>
        <w:adjustRightInd/>
        <w:spacing w:before="120" w:after="120" w:line="240" w:lineRule="auto"/>
        <w:jc w:val="center"/>
        <w:textAlignment w:val="auto"/>
        <w:rPr>
          <w:rFonts w:cs="Arial"/>
          <w:szCs w:val="22"/>
          <w:lang w:eastAsia="en-GB"/>
        </w:rPr>
      </w:pPr>
      <w:r>
        <w:rPr>
          <w:rFonts w:cs="Arial"/>
          <w:szCs w:val="22"/>
          <w:lang w:eastAsia="en-GB"/>
        </w:rPr>
        <w:t xml:space="preserve">Not applicable as there are no Subcontractors used </w:t>
      </w:r>
    </w:p>
    <w:p w14:paraId="194B088A"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6E9346E9"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23143C00"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5A4EA071"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156E0417"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389FB58E"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6204E233"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7066A1A8"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2C548FC9"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431CDF45"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45AE3E52"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4899AAFA"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4A4114D5"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3DC90B51"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64C3F764"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4CF6B6C8"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2FCEEF5F"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30C1EBC0"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1A7DEF3B"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6C4F7309"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3EFD20D9"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0FE1F2FC"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29D0B554"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46C92F8E"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2F3244D6"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36878EF3"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0983C584"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1F3D0623"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03213480"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2BE7C66D"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75B418B7"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19252283"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40A9C326" w14:textId="77777777" w:rsidR="00A65273" w:rsidRDefault="00A65273" w:rsidP="00D40F55">
      <w:pPr>
        <w:overflowPunct/>
        <w:autoSpaceDE/>
        <w:autoSpaceDN/>
        <w:adjustRightInd/>
        <w:spacing w:before="120" w:after="120" w:line="240" w:lineRule="auto"/>
        <w:jc w:val="left"/>
        <w:textAlignment w:val="auto"/>
        <w:rPr>
          <w:rFonts w:cs="Arial"/>
          <w:b/>
          <w:szCs w:val="22"/>
          <w:lang w:eastAsia="en-GB"/>
        </w:rPr>
      </w:pPr>
    </w:p>
    <w:p w14:paraId="4BB04E30" w14:textId="77777777" w:rsidR="00A65273" w:rsidRPr="00C3320D" w:rsidRDefault="00A65273" w:rsidP="00D40F55">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67" w:name="_Toc431551210"/>
      <w:bookmarkStart w:id="368" w:name="_Toc531009319"/>
      <w:bookmarkStart w:id="369" w:name="_Toc531702634"/>
      <w:r w:rsidRPr="00C3320D">
        <w:rPr>
          <w:rFonts w:cs="Arial"/>
          <w:szCs w:val="22"/>
        </w:rPr>
        <w:lastRenderedPageBreak/>
        <w:t>CONTRACT SCHEDULE 4: TRANSPARENCY REPORTS</w:t>
      </w:r>
      <w:bookmarkEnd w:id="367"/>
      <w:bookmarkEnd w:id="368"/>
      <w:bookmarkEnd w:id="369"/>
    </w:p>
    <w:p w14:paraId="0C8680FC" w14:textId="77777777" w:rsidR="007F2EC5" w:rsidRPr="00C3320D" w:rsidRDefault="005A3C1B" w:rsidP="0047277D">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70" w:name="_Toc431551211"/>
      <w:bookmarkStart w:id="371" w:name="_Toc531702635"/>
      <w:r w:rsidRPr="00C3320D">
        <w:rPr>
          <w:rFonts w:ascii="Arial" w:hAnsi="Arial" w:cs="Arial"/>
        </w:rPr>
        <w:lastRenderedPageBreak/>
        <w:t>ANNEX 1: LIST OF TRANSPARENCY REPORTS</w:t>
      </w:r>
      <w:bookmarkEnd w:id="370"/>
      <w:bookmarkEnd w:id="371"/>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26761DC1"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1C60421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33D34E8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4C79894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6D93837D"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4F283C6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55A3491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436C36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3F22E89"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2CF036EE"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1678175D"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1825088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5FC4F04B"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2143518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2E9A76B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6C819F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5985B36"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0F02205"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4756205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4E2278B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BC2AF" w14:textId="77777777" w:rsidR="00CC5926" w:rsidRDefault="00CC5926">
      <w:pPr>
        <w:spacing w:after="0" w:line="20" w:lineRule="exact"/>
      </w:pPr>
    </w:p>
  </w:endnote>
  <w:endnote w:type="continuationSeparator" w:id="0">
    <w:p w14:paraId="26C7A8C9" w14:textId="77777777" w:rsidR="00CC5926" w:rsidRDefault="00CC5926">
      <w:pPr>
        <w:spacing w:after="0" w:line="20" w:lineRule="exact"/>
      </w:pPr>
    </w:p>
  </w:endnote>
  <w:endnote w:type="continuationNotice" w:id="1">
    <w:p w14:paraId="08937591" w14:textId="77777777" w:rsidR="00CC5926" w:rsidRDefault="00CC5926">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B32339" w:rsidRDefault="00B3233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B32339" w:rsidRDefault="00B3233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B32339" w:rsidRDefault="00B32339" w:rsidP="00FB5BA8">
    <w:pPr>
      <w:pStyle w:val="Footer"/>
      <w:ind w:right="360"/>
      <w:jc w:val="center"/>
    </w:pPr>
  </w:p>
  <w:p w14:paraId="18C6509A" w14:textId="77777777" w:rsidR="00B32339" w:rsidRDefault="00B32339"/>
  <w:p w14:paraId="181E2BD9" w14:textId="77777777" w:rsidR="00B32339" w:rsidRDefault="00B32339"/>
  <w:p w14:paraId="51F8E7F3" w14:textId="77777777" w:rsidR="00B32339" w:rsidRDefault="00B3233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33B83D7A" w:rsidR="00B32339" w:rsidRPr="003A1042" w:rsidRDefault="00B32339" w:rsidP="00D35C2B">
    <w:pPr>
      <w:pStyle w:val="Footer"/>
      <w:jc w:val="left"/>
      <w:rPr>
        <w:sz w:val="16"/>
        <w:szCs w:val="16"/>
      </w:rPr>
    </w:pPr>
    <w:r w:rsidRPr="003A1042">
      <w:rPr>
        <w:sz w:val="16"/>
        <w:szCs w:val="16"/>
      </w:rPr>
      <w:t xml:space="preserve">RM3786 Panel – Version 1 </w:t>
    </w:r>
  </w:p>
  <w:p w14:paraId="4259A12B" w14:textId="24BF663F" w:rsidR="00B32339" w:rsidRPr="003A1042" w:rsidRDefault="00B32339" w:rsidP="00D35C2B">
    <w:pPr>
      <w:pStyle w:val="Footer"/>
      <w:jc w:val="left"/>
      <w:rPr>
        <w:sz w:val="16"/>
        <w:szCs w:val="16"/>
      </w:rPr>
    </w:pPr>
    <w:r w:rsidRPr="003A1042">
      <w:rPr>
        <w:sz w:val="16"/>
        <w:szCs w:val="16"/>
      </w:rPr>
      <w:t xml:space="preserve">Attachment 8 Panel Agreement </w:t>
    </w:r>
    <w:r>
      <w:rPr>
        <w:sz w:val="16"/>
        <w:szCs w:val="16"/>
      </w:rPr>
      <w:t>Sched General Legal Advice Services</w:t>
    </w:r>
    <w:r w:rsidRPr="003A1042">
      <w:rPr>
        <w:sz w:val="16"/>
        <w:szCs w:val="16"/>
      </w:rPr>
      <w:t xml:space="preserve"> Contract and Order Form</w:t>
    </w:r>
  </w:p>
  <w:p w14:paraId="0388C5B1" w14:textId="4D612467" w:rsidR="00B32339" w:rsidRPr="003A1042" w:rsidRDefault="00B32339" w:rsidP="00D35C2B">
    <w:pPr>
      <w:pStyle w:val="Footer"/>
      <w:jc w:val="left"/>
      <w:rPr>
        <w:sz w:val="16"/>
        <w:szCs w:val="16"/>
      </w:rPr>
    </w:pPr>
    <w:r w:rsidRPr="003A1042">
      <w:rPr>
        <w:sz w:val="16"/>
        <w:szCs w:val="16"/>
      </w:rPr>
      <w:t>CCLL18A18 – The Provision of Legal Advice for the Estates Target Operating Model</w:t>
    </w:r>
  </w:p>
  <w:p w14:paraId="70F2FF03" w14:textId="624A7F86" w:rsidR="00B32339" w:rsidRPr="003A1042" w:rsidRDefault="00B32339" w:rsidP="00D35C2B">
    <w:pPr>
      <w:pStyle w:val="Footer"/>
      <w:jc w:val="left"/>
      <w:rPr>
        <w:rFonts w:cs="Arial"/>
        <w:sz w:val="16"/>
        <w:szCs w:val="19"/>
        <w:shd w:val="clear" w:color="auto" w:fill="FFFFFF"/>
      </w:rPr>
    </w:pPr>
    <w:r w:rsidRPr="003A1042">
      <w:rPr>
        <w:rFonts w:cs="Arial"/>
        <w:sz w:val="16"/>
        <w:szCs w:val="19"/>
        <w:shd w:val="clear" w:color="auto" w:fill="FFFFFF"/>
      </w:rPr>
      <w:t>© Crown copyright 2017</w:t>
    </w:r>
  </w:p>
  <w:p w14:paraId="6B8871A6" w14:textId="7818CD3A" w:rsidR="00B32339" w:rsidRDefault="00CC5926" w:rsidP="00D35C2B">
    <w:pPr>
      <w:pStyle w:val="Footer"/>
      <w:jc w:val="center"/>
    </w:pPr>
    <w:sdt>
      <w:sdtPr>
        <w:id w:val="-1144888219"/>
        <w:docPartObj>
          <w:docPartGallery w:val="Page Numbers (Bottom of Page)"/>
          <w:docPartUnique/>
        </w:docPartObj>
      </w:sdtPr>
      <w:sdtEndPr>
        <w:rPr>
          <w:noProof/>
        </w:rPr>
      </w:sdtEndPr>
      <w:sdtContent>
        <w:r w:rsidR="00B32339">
          <w:fldChar w:fldCharType="begin"/>
        </w:r>
        <w:r w:rsidR="00B32339">
          <w:instrText xml:space="preserve"> PAGE   \* MERGEFORMAT </w:instrText>
        </w:r>
        <w:r w:rsidR="00B32339">
          <w:fldChar w:fldCharType="separate"/>
        </w:r>
        <w:r w:rsidR="00415774">
          <w:rPr>
            <w:noProof/>
          </w:rPr>
          <w:t>1</w:t>
        </w:r>
        <w:r w:rsidR="00B3233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B32339" w:rsidRPr="00D35C2B" w:rsidRDefault="00B32339"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B32339" w:rsidRPr="00D35C2B" w:rsidRDefault="00B32339"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B32339" w:rsidRPr="00D35C2B" w:rsidRDefault="00B32339"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B32339" w:rsidRPr="00D35C2B" w:rsidRDefault="00B32339"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B32339" w:rsidRDefault="00CC5926" w:rsidP="00353A2B">
    <w:pPr>
      <w:pStyle w:val="Footer"/>
      <w:jc w:val="center"/>
    </w:pPr>
    <w:sdt>
      <w:sdtPr>
        <w:id w:val="1363323381"/>
        <w:docPartObj>
          <w:docPartGallery w:val="Page Numbers (Bottom of Page)"/>
          <w:docPartUnique/>
        </w:docPartObj>
      </w:sdtPr>
      <w:sdtEndPr>
        <w:rPr>
          <w:noProof/>
        </w:rPr>
      </w:sdtEndPr>
      <w:sdtContent>
        <w:r w:rsidR="00B32339">
          <w:fldChar w:fldCharType="begin"/>
        </w:r>
        <w:r w:rsidR="00B32339">
          <w:instrText xml:space="preserve"> PAGE   \* MERGEFORMAT </w:instrText>
        </w:r>
        <w:r w:rsidR="00B32339">
          <w:fldChar w:fldCharType="separate"/>
        </w:r>
        <w:r w:rsidR="00B32339">
          <w:rPr>
            <w:noProof/>
          </w:rPr>
          <w:t>48</w:t>
        </w:r>
        <w:r w:rsidR="00B32339">
          <w:rPr>
            <w:noProof/>
          </w:rPr>
          <w:fldChar w:fldCharType="end"/>
        </w:r>
      </w:sdtContent>
    </w:sdt>
  </w:p>
  <w:p w14:paraId="55B21110" w14:textId="77777777" w:rsidR="00B32339" w:rsidRDefault="00B32339"/>
  <w:p w14:paraId="057FBA61" w14:textId="77777777" w:rsidR="00B32339" w:rsidRDefault="00B32339"/>
  <w:p w14:paraId="244719F5" w14:textId="77777777" w:rsidR="00B32339" w:rsidRDefault="00B3233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B32339" w:rsidRDefault="00B3233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B32339" w:rsidRDefault="00B3233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B32339" w:rsidRDefault="00B32339"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15DE7" w14:textId="77777777" w:rsidR="00CC5926" w:rsidRDefault="00CC5926">
      <w:pPr>
        <w:spacing w:after="0" w:line="240" w:lineRule="auto"/>
      </w:pPr>
      <w:r>
        <w:separator/>
      </w:r>
    </w:p>
  </w:footnote>
  <w:footnote w:type="continuationSeparator" w:id="0">
    <w:p w14:paraId="219437EC" w14:textId="77777777" w:rsidR="00CC5926" w:rsidRDefault="00CC5926">
      <w:pPr>
        <w:spacing w:after="0" w:line="240" w:lineRule="auto"/>
      </w:pPr>
      <w:r>
        <w:continuationSeparator/>
      </w:r>
    </w:p>
  </w:footnote>
  <w:footnote w:type="continuationNotice" w:id="1">
    <w:p w14:paraId="727B34BC" w14:textId="77777777" w:rsidR="00CC5926" w:rsidRDefault="00CC59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B32339" w:rsidRDefault="00B3233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B32339" w:rsidRDefault="00B32339" w:rsidP="00FB5BA8">
    <w:pPr>
      <w:pStyle w:val="Header"/>
      <w:jc w:val="center"/>
    </w:pPr>
    <w:r>
      <w:rPr>
        <w:noProof/>
        <w:lang w:eastAsia="en-GB"/>
      </w:rPr>
      <w:drawing>
        <wp:anchor distT="0" distB="0" distL="114300" distR="114300" simplePos="0" relativeHeight="251658241"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B32339" w:rsidRDefault="00B32339" w:rsidP="00C9591C">
    <w:pPr>
      <w:pStyle w:val="Header"/>
      <w:jc w:val="center"/>
    </w:pPr>
    <w:r>
      <w:rPr>
        <w:noProof/>
        <w:lang w:eastAsia="en-GB"/>
      </w:rPr>
      <w:drawing>
        <wp:anchor distT="0" distB="0" distL="114300" distR="114300" simplePos="0" relativeHeight="25165824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p w14:paraId="6E06F2A2" w14:textId="77777777" w:rsidR="00B32339" w:rsidRDefault="00B32339"/>
  <w:p w14:paraId="6C4593DC" w14:textId="77777777" w:rsidR="00B32339" w:rsidRDefault="00B32339"/>
  <w:p w14:paraId="5202A577" w14:textId="77777777" w:rsidR="00B32339" w:rsidRDefault="00B3233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B32339" w:rsidRDefault="00B3233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B32339" w:rsidRDefault="00B32339" w:rsidP="00FB5BA8">
    <w:pPr>
      <w:pStyle w:val="Header"/>
      <w:jc w:val="center"/>
    </w:pPr>
    <w:r>
      <w:rPr>
        <w:noProof/>
        <w:lang w:eastAsia="en-GB"/>
      </w:rPr>
      <w:drawing>
        <wp:anchor distT="0" distB="0" distL="114300" distR="114300" simplePos="0" relativeHeight="251658243"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B32339" w:rsidRDefault="00B32339" w:rsidP="00C9591C">
    <w:pPr>
      <w:pStyle w:val="Header"/>
      <w:jc w:val="center"/>
    </w:pPr>
    <w:r>
      <w:rPr>
        <w:noProof/>
        <w:lang w:eastAsia="en-GB"/>
      </w:rPr>
      <w:drawing>
        <wp:anchor distT="0" distB="0" distL="114300" distR="114300" simplePos="0" relativeHeight="251658242"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BA203E"/>
    <w:multiLevelType w:val="hybridMultilevel"/>
    <w:tmpl w:val="41F85B7C"/>
    <w:lvl w:ilvl="0" w:tplc="2B48D8CE">
      <w:start w:val="1"/>
      <w:numFmt w:val="bullet"/>
      <w:lvlText w:val="o"/>
      <w:lvlJc w:val="left"/>
      <w:pPr>
        <w:ind w:left="425"/>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FE9E7FBA">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8C4E2F7C">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FB4AD368">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E0DC0AC8">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F4D412CA">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0C6AC100">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C14C27FE">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C9A2FA6A">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00296D"/>
    <w:multiLevelType w:val="hybridMultilevel"/>
    <w:tmpl w:val="E190FB06"/>
    <w:lvl w:ilvl="0" w:tplc="D16CC0F8">
      <w:start w:val="1"/>
      <w:numFmt w:val="bullet"/>
      <w:lvlText w:val="o"/>
      <w:lvlJc w:val="left"/>
      <w:pPr>
        <w:ind w:left="358"/>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1" w:tplc="5C66332E">
      <w:start w:val="1"/>
      <w:numFmt w:val="bullet"/>
      <w:lvlText w:val="o"/>
      <w:lvlJc w:val="left"/>
      <w:pPr>
        <w:ind w:left="108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2" w:tplc="CFAA2668">
      <w:start w:val="1"/>
      <w:numFmt w:val="bullet"/>
      <w:lvlText w:val="▪"/>
      <w:lvlJc w:val="left"/>
      <w:pPr>
        <w:ind w:left="180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3" w:tplc="EE667BDE">
      <w:start w:val="1"/>
      <w:numFmt w:val="bullet"/>
      <w:lvlText w:val="•"/>
      <w:lvlJc w:val="left"/>
      <w:pPr>
        <w:ind w:left="252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4" w:tplc="94642686">
      <w:start w:val="1"/>
      <w:numFmt w:val="bullet"/>
      <w:lvlText w:val="o"/>
      <w:lvlJc w:val="left"/>
      <w:pPr>
        <w:ind w:left="324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5" w:tplc="6144D422">
      <w:start w:val="1"/>
      <w:numFmt w:val="bullet"/>
      <w:lvlText w:val="▪"/>
      <w:lvlJc w:val="left"/>
      <w:pPr>
        <w:ind w:left="396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6" w:tplc="D804A59E">
      <w:start w:val="1"/>
      <w:numFmt w:val="bullet"/>
      <w:lvlText w:val="•"/>
      <w:lvlJc w:val="left"/>
      <w:pPr>
        <w:ind w:left="468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7" w:tplc="519C5F0C">
      <w:start w:val="1"/>
      <w:numFmt w:val="bullet"/>
      <w:lvlText w:val="o"/>
      <w:lvlJc w:val="left"/>
      <w:pPr>
        <w:ind w:left="540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8" w:tplc="CFEADABE">
      <w:start w:val="1"/>
      <w:numFmt w:val="bullet"/>
      <w:lvlText w:val="▪"/>
      <w:lvlJc w:val="left"/>
      <w:pPr>
        <w:ind w:left="612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abstractNum>
  <w:abstractNum w:abstractNumId="10" w15:restartNumberingAfterBreak="0">
    <w:nsid w:val="07C115C9"/>
    <w:multiLevelType w:val="hybridMultilevel"/>
    <w:tmpl w:val="D2186E12"/>
    <w:lvl w:ilvl="0" w:tplc="44F61DCA">
      <w:start w:val="1"/>
      <w:numFmt w:val="bullet"/>
      <w:lvlText w:val="o"/>
      <w:lvlJc w:val="left"/>
      <w:pPr>
        <w:ind w:left="42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1C4CD382">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B5D2AAFE">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44AE37D8">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BCB293B4">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E2AEE2FE">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D9E83412">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E0F6E8B6">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1D548D04">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11"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2550A3"/>
    <w:multiLevelType w:val="hybridMultilevel"/>
    <w:tmpl w:val="9D1834DC"/>
    <w:lvl w:ilvl="0" w:tplc="48CA0394">
      <w:start w:val="1"/>
      <w:numFmt w:val="bullet"/>
      <w:lvlText w:val="o"/>
      <w:lvlJc w:val="left"/>
      <w:pPr>
        <w:ind w:left="425"/>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A8D0D038">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6BD44104">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B4EAF9CA">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841A42D0">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9760B072">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B5E6B428">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F54853AC">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6160F862">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13" w15:restartNumberingAfterBreak="0">
    <w:nsid w:val="0EFD23D5"/>
    <w:multiLevelType w:val="hybridMultilevel"/>
    <w:tmpl w:val="D27687B6"/>
    <w:lvl w:ilvl="0" w:tplc="CCB8559A">
      <w:start w:val="1"/>
      <w:numFmt w:val="bullet"/>
      <w:lvlText w:val="o"/>
      <w:lvlJc w:val="left"/>
      <w:pPr>
        <w:ind w:left="42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8AE05166">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1988F1BA">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1D6890FA">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366C4D3C">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8CC858B6">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C81EBC72">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EDF8E724">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DE6C8D70">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14"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45597F"/>
    <w:multiLevelType w:val="hybridMultilevel"/>
    <w:tmpl w:val="5CBC2244"/>
    <w:lvl w:ilvl="0" w:tplc="FDE01E20">
      <w:start w:val="1"/>
      <w:numFmt w:val="bullet"/>
      <w:lvlText w:val="o"/>
      <w:lvlJc w:val="left"/>
      <w:pPr>
        <w:ind w:left="425"/>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07A20BE0">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F168E4AE">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AD0E651A">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2526A83E">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D0C0EC58">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8FA64CE4">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1C624BD4">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8C702FA0">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16"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9" w15:restartNumberingAfterBreak="0">
    <w:nsid w:val="12C12AB5"/>
    <w:multiLevelType w:val="hybridMultilevel"/>
    <w:tmpl w:val="534618DA"/>
    <w:lvl w:ilvl="0" w:tplc="ECBA55BA">
      <w:start w:val="1"/>
      <w:numFmt w:val="bullet"/>
      <w:lvlText w:val="o"/>
      <w:lvlJc w:val="left"/>
      <w:pPr>
        <w:ind w:left="362"/>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1" w:tplc="25B63E3C">
      <w:start w:val="1"/>
      <w:numFmt w:val="bullet"/>
      <w:lvlText w:val="o"/>
      <w:lvlJc w:val="left"/>
      <w:pPr>
        <w:ind w:left="1188"/>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2" w:tplc="0C2E8F02">
      <w:start w:val="1"/>
      <w:numFmt w:val="bullet"/>
      <w:lvlText w:val="▪"/>
      <w:lvlJc w:val="left"/>
      <w:pPr>
        <w:ind w:left="1908"/>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3" w:tplc="CCF68568">
      <w:start w:val="1"/>
      <w:numFmt w:val="bullet"/>
      <w:lvlText w:val="•"/>
      <w:lvlJc w:val="left"/>
      <w:pPr>
        <w:ind w:left="2628"/>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4" w:tplc="4F0AC1CC">
      <w:start w:val="1"/>
      <w:numFmt w:val="bullet"/>
      <w:lvlText w:val="o"/>
      <w:lvlJc w:val="left"/>
      <w:pPr>
        <w:ind w:left="3348"/>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5" w:tplc="55EE1660">
      <w:start w:val="1"/>
      <w:numFmt w:val="bullet"/>
      <w:lvlText w:val="▪"/>
      <w:lvlJc w:val="left"/>
      <w:pPr>
        <w:ind w:left="4068"/>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6" w:tplc="C0BED9FE">
      <w:start w:val="1"/>
      <w:numFmt w:val="bullet"/>
      <w:lvlText w:val="•"/>
      <w:lvlJc w:val="left"/>
      <w:pPr>
        <w:ind w:left="4788"/>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7" w:tplc="7E2AB0E2">
      <w:start w:val="1"/>
      <w:numFmt w:val="bullet"/>
      <w:lvlText w:val="o"/>
      <w:lvlJc w:val="left"/>
      <w:pPr>
        <w:ind w:left="5508"/>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8" w:tplc="531AA7BE">
      <w:start w:val="1"/>
      <w:numFmt w:val="bullet"/>
      <w:lvlText w:val="▪"/>
      <w:lvlJc w:val="left"/>
      <w:pPr>
        <w:ind w:left="6228"/>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abstractNum>
  <w:abstractNum w:abstractNumId="20" w15:restartNumberingAfterBreak="0">
    <w:nsid w:val="152447B8"/>
    <w:multiLevelType w:val="hybridMultilevel"/>
    <w:tmpl w:val="242C24F6"/>
    <w:lvl w:ilvl="0" w:tplc="3DB0FFB6">
      <w:start w:val="1"/>
      <w:numFmt w:val="bullet"/>
      <w:lvlText w:val="o"/>
      <w:lvlJc w:val="left"/>
      <w:pPr>
        <w:ind w:left="72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1" w:tplc="8320C4EC">
      <w:start w:val="1"/>
      <w:numFmt w:val="bullet"/>
      <w:lvlText w:val="o"/>
      <w:lvlJc w:val="left"/>
      <w:pPr>
        <w:ind w:left="1363"/>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2" w:tplc="2520C3F2">
      <w:start w:val="1"/>
      <w:numFmt w:val="bullet"/>
      <w:lvlText w:val="▪"/>
      <w:lvlJc w:val="left"/>
      <w:pPr>
        <w:ind w:left="2083"/>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3" w:tplc="8E70E418">
      <w:start w:val="1"/>
      <w:numFmt w:val="bullet"/>
      <w:lvlText w:val="•"/>
      <w:lvlJc w:val="left"/>
      <w:pPr>
        <w:ind w:left="2803"/>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4" w:tplc="EA0EBF08">
      <w:start w:val="1"/>
      <w:numFmt w:val="bullet"/>
      <w:lvlText w:val="o"/>
      <w:lvlJc w:val="left"/>
      <w:pPr>
        <w:ind w:left="3523"/>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5" w:tplc="23A018F0">
      <w:start w:val="1"/>
      <w:numFmt w:val="bullet"/>
      <w:lvlText w:val="▪"/>
      <w:lvlJc w:val="left"/>
      <w:pPr>
        <w:ind w:left="4243"/>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6" w:tplc="085AE2F8">
      <w:start w:val="1"/>
      <w:numFmt w:val="bullet"/>
      <w:lvlText w:val="•"/>
      <w:lvlJc w:val="left"/>
      <w:pPr>
        <w:ind w:left="4963"/>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7" w:tplc="EB22300E">
      <w:start w:val="1"/>
      <w:numFmt w:val="bullet"/>
      <w:lvlText w:val="o"/>
      <w:lvlJc w:val="left"/>
      <w:pPr>
        <w:ind w:left="5683"/>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8" w:tplc="1A3CFA60">
      <w:start w:val="1"/>
      <w:numFmt w:val="bullet"/>
      <w:lvlText w:val="▪"/>
      <w:lvlJc w:val="left"/>
      <w:pPr>
        <w:ind w:left="6403"/>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abstractNum>
  <w:abstractNum w:abstractNumId="2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22"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23" w15:restartNumberingAfterBreak="0">
    <w:nsid w:val="1DC25A56"/>
    <w:multiLevelType w:val="hybridMultilevel"/>
    <w:tmpl w:val="D0887F62"/>
    <w:lvl w:ilvl="0" w:tplc="4042764A">
      <w:start w:val="1"/>
      <w:numFmt w:val="bullet"/>
      <w:lvlText w:val="o"/>
      <w:lvlJc w:val="left"/>
      <w:pPr>
        <w:ind w:left="42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7B921164">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918C39E8">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CECCE492">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6BDA2BF8">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4F3E6514">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3904A752">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9662D7F6">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AD46D73E">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24"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6" w15:restartNumberingAfterBreak="0">
    <w:nsid w:val="23B05A81"/>
    <w:multiLevelType w:val="hybridMultilevel"/>
    <w:tmpl w:val="AFAE18C8"/>
    <w:lvl w:ilvl="0" w:tplc="17A45930">
      <w:start w:val="1"/>
      <w:numFmt w:val="bullet"/>
      <w:lvlText w:val="o"/>
      <w:lvlJc w:val="left"/>
      <w:pPr>
        <w:ind w:left="72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1" w:tplc="D99A9F1E">
      <w:start w:val="1"/>
      <w:numFmt w:val="bullet"/>
      <w:lvlText w:val="o"/>
      <w:lvlJc w:val="left"/>
      <w:pPr>
        <w:ind w:left="144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2" w:tplc="DA22D028">
      <w:start w:val="1"/>
      <w:numFmt w:val="bullet"/>
      <w:lvlText w:val="▪"/>
      <w:lvlJc w:val="left"/>
      <w:pPr>
        <w:ind w:left="216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3" w:tplc="3ED02B9C">
      <w:start w:val="1"/>
      <w:numFmt w:val="bullet"/>
      <w:lvlText w:val="•"/>
      <w:lvlJc w:val="left"/>
      <w:pPr>
        <w:ind w:left="288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4" w:tplc="6ED2C8B2">
      <w:start w:val="1"/>
      <w:numFmt w:val="bullet"/>
      <w:lvlText w:val="o"/>
      <w:lvlJc w:val="left"/>
      <w:pPr>
        <w:ind w:left="360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5" w:tplc="CA4EB0A2">
      <w:start w:val="1"/>
      <w:numFmt w:val="bullet"/>
      <w:lvlText w:val="▪"/>
      <w:lvlJc w:val="left"/>
      <w:pPr>
        <w:ind w:left="432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6" w:tplc="A6688120">
      <w:start w:val="1"/>
      <w:numFmt w:val="bullet"/>
      <w:lvlText w:val="•"/>
      <w:lvlJc w:val="left"/>
      <w:pPr>
        <w:ind w:left="504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7" w:tplc="30DE400C">
      <w:start w:val="1"/>
      <w:numFmt w:val="bullet"/>
      <w:lvlText w:val="o"/>
      <w:lvlJc w:val="left"/>
      <w:pPr>
        <w:ind w:left="576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8" w:tplc="95405E3E">
      <w:start w:val="1"/>
      <w:numFmt w:val="bullet"/>
      <w:lvlText w:val="▪"/>
      <w:lvlJc w:val="left"/>
      <w:pPr>
        <w:ind w:left="648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abstractNum>
  <w:abstractNum w:abstractNumId="2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783DDF"/>
    <w:multiLevelType w:val="hybridMultilevel"/>
    <w:tmpl w:val="A0FC535A"/>
    <w:lvl w:ilvl="0" w:tplc="2FDC657E">
      <w:start w:val="1"/>
      <w:numFmt w:val="bullet"/>
      <w:lvlText w:val="o"/>
      <w:lvlJc w:val="left"/>
      <w:pPr>
        <w:ind w:left="425"/>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0A501DA2">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263C52C2">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6770AF02">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6F8CE5D8">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486CADDA">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3208D26E">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7F00BBDA">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49E2AFFA">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30" w15:restartNumberingAfterBreak="0">
    <w:nsid w:val="2BD84189"/>
    <w:multiLevelType w:val="hybridMultilevel"/>
    <w:tmpl w:val="F388429E"/>
    <w:lvl w:ilvl="0" w:tplc="1C82F3B4">
      <w:start w:val="1"/>
      <w:numFmt w:val="bullet"/>
      <w:lvlText w:val="o"/>
      <w:lvlJc w:val="left"/>
      <w:pPr>
        <w:ind w:left="425"/>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E648D8DC">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EC701AAC">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866661DA">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5F04AE1C">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0A4A31A4">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AA04F9F0">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361057D8">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7B644A76">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31" w15:restartNumberingAfterBreak="0">
    <w:nsid w:val="2C917DBF"/>
    <w:multiLevelType w:val="hybridMultilevel"/>
    <w:tmpl w:val="AB521A8E"/>
    <w:lvl w:ilvl="0" w:tplc="2FBA46C6">
      <w:start w:val="1"/>
      <w:numFmt w:val="bullet"/>
      <w:lvlText w:val="o"/>
      <w:lvlJc w:val="left"/>
      <w:pPr>
        <w:ind w:left="42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7C4CFAA2">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C8C6C7A8">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F3B87B10">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B562E79E">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4484DB50">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4C3AD1DC">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75781A84">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C0F4C370">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32"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3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4" w15:restartNumberingAfterBreak="0">
    <w:nsid w:val="36052495"/>
    <w:multiLevelType w:val="hybridMultilevel"/>
    <w:tmpl w:val="35CADDA4"/>
    <w:lvl w:ilvl="0" w:tplc="83C82164">
      <w:start w:val="1"/>
      <w:numFmt w:val="bullet"/>
      <w:lvlText w:val="o"/>
      <w:lvlJc w:val="left"/>
      <w:pPr>
        <w:ind w:left="42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3E2EF3CE">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DDB620EA">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0718777A">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F0B84E88">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2E28FE2E">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B2448134">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32F41B78">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402EB81E">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35" w15:restartNumberingAfterBreak="0">
    <w:nsid w:val="38E15F48"/>
    <w:multiLevelType w:val="hybridMultilevel"/>
    <w:tmpl w:val="28163766"/>
    <w:lvl w:ilvl="0" w:tplc="9E8866D0">
      <w:start w:val="1"/>
      <w:numFmt w:val="bullet"/>
      <w:lvlText w:val="o"/>
      <w:lvlJc w:val="left"/>
      <w:pPr>
        <w:ind w:left="425"/>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A9F22AA6">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7DB85B34">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3C9209CA">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D0E8F372">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DBF26150">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9646A8F4">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1D162AA0">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B5283800">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3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FB0212"/>
    <w:multiLevelType w:val="hybridMultilevel"/>
    <w:tmpl w:val="4A147322"/>
    <w:lvl w:ilvl="0" w:tplc="63B0C8A0">
      <w:start w:val="1"/>
      <w:numFmt w:val="bullet"/>
      <w:lvlText w:val="o"/>
      <w:lvlJc w:val="left"/>
      <w:pPr>
        <w:ind w:left="36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1" w:tplc="3A7282E0">
      <w:start w:val="1"/>
      <w:numFmt w:val="bullet"/>
      <w:lvlText w:val="o"/>
      <w:lvlJc w:val="left"/>
      <w:pPr>
        <w:ind w:left="118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2" w:tplc="6F80252A">
      <w:start w:val="1"/>
      <w:numFmt w:val="bullet"/>
      <w:lvlText w:val="▪"/>
      <w:lvlJc w:val="left"/>
      <w:pPr>
        <w:ind w:left="190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3" w:tplc="1EF06022">
      <w:start w:val="1"/>
      <w:numFmt w:val="bullet"/>
      <w:lvlText w:val="•"/>
      <w:lvlJc w:val="left"/>
      <w:pPr>
        <w:ind w:left="262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4" w:tplc="6672A36A">
      <w:start w:val="1"/>
      <w:numFmt w:val="bullet"/>
      <w:lvlText w:val="o"/>
      <w:lvlJc w:val="left"/>
      <w:pPr>
        <w:ind w:left="334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5" w:tplc="921E194A">
      <w:start w:val="1"/>
      <w:numFmt w:val="bullet"/>
      <w:lvlText w:val="▪"/>
      <w:lvlJc w:val="left"/>
      <w:pPr>
        <w:ind w:left="406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6" w:tplc="B330DE66">
      <w:start w:val="1"/>
      <w:numFmt w:val="bullet"/>
      <w:lvlText w:val="•"/>
      <w:lvlJc w:val="left"/>
      <w:pPr>
        <w:ind w:left="478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7" w:tplc="A992F596">
      <w:start w:val="1"/>
      <w:numFmt w:val="bullet"/>
      <w:lvlText w:val="o"/>
      <w:lvlJc w:val="left"/>
      <w:pPr>
        <w:ind w:left="550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8" w:tplc="1A069B0C">
      <w:start w:val="1"/>
      <w:numFmt w:val="bullet"/>
      <w:lvlText w:val="▪"/>
      <w:lvlJc w:val="left"/>
      <w:pPr>
        <w:ind w:left="622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abstractNum>
  <w:abstractNum w:abstractNumId="39"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40" w15:restartNumberingAfterBreak="0">
    <w:nsid w:val="44E95725"/>
    <w:multiLevelType w:val="hybridMultilevel"/>
    <w:tmpl w:val="C332D91A"/>
    <w:lvl w:ilvl="0" w:tplc="4942BDD4">
      <w:start w:val="1"/>
      <w:numFmt w:val="bullet"/>
      <w:lvlText w:val="o"/>
      <w:lvlJc w:val="left"/>
      <w:pPr>
        <w:ind w:left="42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039836A6">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E0A603E2">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319E00AA">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C45EC778">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D4C2C0C6">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FE7208DA">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F0023278">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7D0A7904">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41" w15:restartNumberingAfterBreak="0">
    <w:nsid w:val="48A23A1A"/>
    <w:multiLevelType w:val="hybridMultilevel"/>
    <w:tmpl w:val="5EFEA60E"/>
    <w:lvl w:ilvl="0" w:tplc="CF20B85E">
      <w:start w:val="1"/>
      <w:numFmt w:val="bullet"/>
      <w:lvlText w:val="o"/>
      <w:lvlJc w:val="left"/>
      <w:pPr>
        <w:ind w:left="42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6E3C710C">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32E03894">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DE82A7E4">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4E14D146">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29B0B074">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EED647EC">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AA7C03AA">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D1240758">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4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3"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44"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D7B3C9F"/>
    <w:multiLevelType w:val="hybridMultilevel"/>
    <w:tmpl w:val="BC685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200365"/>
    <w:multiLevelType w:val="multilevel"/>
    <w:tmpl w:val="BF0A77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2356"/>
        </w:tabs>
        <w:ind w:left="2356"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7"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8" w15:restartNumberingAfterBreak="0">
    <w:nsid w:val="51544A1C"/>
    <w:multiLevelType w:val="hybridMultilevel"/>
    <w:tmpl w:val="962487A8"/>
    <w:lvl w:ilvl="0" w:tplc="B1CA2B88">
      <w:start w:val="1"/>
      <w:numFmt w:val="bullet"/>
      <w:lvlText w:val="o"/>
      <w:lvlJc w:val="left"/>
      <w:pPr>
        <w:ind w:left="42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1" w:tplc="54721DD2">
      <w:start w:val="1"/>
      <w:numFmt w:val="bullet"/>
      <w:lvlText w:val="o"/>
      <w:lvlJc w:val="left"/>
      <w:pPr>
        <w:ind w:left="108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2" w:tplc="6E089734">
      <w:start w:val="1"/>
      <w:numFmt w:val="bullet"/>
      <w:lvlText w:val="▪"/>
      <w:lvlJc w:val="left"/>
      <w:pPr>
        <w:ind w:left="180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3" w:tplc="4482AC78">
      <w:start w:val="1"/>
      <w:numFmt w:val="bullet"/>
      <w:lvlText w:val="•"/>
      <w:lvlJc w:val="left"/>
      <w:pPr>
        <w:ind w:left="252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4" w:tplc="FC1A15B0">
      <w:start w:val="1"/>
      <w:numFmt w:val="bullet"/>
      <w:lvlText w:val="o"/>
      <w:lvlJc w:val="left"/>
      <w:pPr>
        <w:ind w:left="324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5" w:tplc="442CA758">
      <w:start w:val="1"/>
      <w:numFmt w:val="bullet"/>
      <w:lvlText w:val="▪"/>
      <w:lvlJc w:val="left"/>
      <w:pPr>
        <w:ind w:left="396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6" w:tplc="677EBE1A">
      <w:start w:val="1"/>
      <w:numFmt w:val="bullet"/>
      <w:lvlText w:val="•"/>
      <w:lvlJc w:val="left"/>
      <w:pPr>
        <w:ind w:left="468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7" w:tplc="607A88BE">
      <w:start w:val="1"/>
      <w:numFmt w:val="bullet"/>
      <w:lvlText w:val="o"/>
      <w:lvlJc w:val="left"/>
      <w:pPr>
        <w:ind w:left="540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8" w:tplc="654218D6">
      <w:start w:val="1"/>
      <w:numFmt w:val="bullet"/>
      <w:lvlText w:val="▪"/>
      <w:lvlJc w:val="left"/>
      <w:pPr>
        <w:ind w:left="612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abstractNum>
  <w:abstractNum w:abstractNumId="49" w15:restartNumberingAfterBreak="0">
    <w:nsid w:val="51D77930"/>
    <w:multiLevelType w:val="hybridMultilevel"/>
    <w:tmpl w:val="E67CD354"/>
    <w:lvl w:ilvl="0" w:tplc="D282529C">
      <w:start w:val="1"/>
      <w:numFmt w:val="bullet"/>
      <w:lvlText w:val="o"/>
      <w:lvlJc w:val="left"/>
      <w:pPr>
        <w:ind w:left="36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1" w:tplc="9742508E">
      <w:start w:val="1"/>
      <w:numFmt w:val="bullet"/>
      <w:lvlText w:val="o"/>
      <w:lvlJc w:val="left"/>
      <w:pPr>
        <w:ind w:left="118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2" w:tplc="EACADAA2">
      <w:start w:val="1"/>
      <w:numFmt w:val="bullet"/>
      <w:lvlText w:val="▪"/>
      <w:lvlJc w:val="left"/>
      <w:pPr>
        <w:ind w:left="190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3" w:tplc="1514F4F6">
      <w:start w:val="1"/>
      <w:numFmt w:val="bullet"/>
      <w:lvlText w:val="•"/>
      <w:lvlJc w:val="left"/>
      <w:pPr>
        <w:ind w:left="262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4" w:tplc="3AF67E3E">
      <w:start w:val="1"/>
      <w:numFmt w:val="bullet"/>
      <w:lvlText w:val="o"/>
      <w:lvlJc w:val="left"/>
      <w:pPr>
        <w:ind w:left="334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5" w:tplc="6E123DD2">
      <w:start w:val="1"/>
      <w:numFmt w:val="bullet"/>
      <w:lvlText w:val="▪"/>
      <w:lvlJc w:val="left"/>
      <w:pPr>
        <w:ind w:left="406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6" w:tplc="014E72EC">
      <w:start w:val="1"/>
      <w:numFmt w:val="bullet"/>
      <w:lvlText w:val="•"/>
      <w:lvlJc w:val="left"/>
      <w:pPr>
        <w:ind w:left="478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7" w:tplc="471442C6">
      <w:start w:val="1"/>
      <w:numFmt w:val="bullet"/>
      <w:lvlText w:val="o"/>
      <w:lvlJc w:val="left"/>
      <w:pPr>
        <w:ind w:left="550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8" w:tplc="2F16DAD8">
      <w:start w:val="1"/>
      <w:numFmt w:val="bullet"/>
      <w:lvlText w:val="▪"/>
      <w:lvlJc w:val="left"/>
      <w:pPr>
        <w:ind w:left="6227"/>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abstractNum>
  <w:abstractNum w:abstractNumId="50" w15:restartNumberingAfterBreak="0">
    <w:nsid w:val="52136894"/>
    <w:multiLevelType w:val="hybridMultilevel"/>
    <w:tmpl w:val="8F645224"/>
    <w:lvl w:ilvl="0" w:tplc="C310B664">
      <w:start w:val="1"/>
      <w:numFmt w:val="bullet"/>
      <w:lvlText w:val="o"/>
      <w:lvlJc w:val="left"/>
      <w:pPr>
        <w:ind w:left="425"/>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D1A07FCC">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4A0618E8">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E8D27882">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9BD274B6">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E4CE4E16">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F0FCAD5E">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A2309984">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E10AE9A8">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51" w15:restartNumberingAfterBreak="0">
    <w:nsid w:val="5AEB2B4E"/>
    <w:multiLevelType w:val="hybridMultilevel"/>
    <w:tmpl w:val="30EE6BFA"/>
    <w:lvl w:ilvl="0" w:tplc="BE320DD6">
      <w:start w:val="1"/>
      <w:numFmt w:val="bullet"/>
      <w:lvlText w:val="o"/>
      <w:lvlJc w:val="left"/>
      <w:pPr>
        <w:ind w:left="42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106C4208">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9822EA34">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6A9C70E4">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7134568E">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1514EDF2">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0F3821C6">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FE4A226E">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235CF6E2">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5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53" w15:restartNumberingAfterBreak="0">
    <w:nsid w:val="5C6D0430"/>
    <w:multiLevelType w:val="hybridMultilevel"/>
    <w:tmpl w:val="BDCEFEBE"/>
    <w:lvl w:ilvl="0" w:tplc="7FA0B26E">
      <w:start w:val="1"/>
      <w:numFmt w:val="bullet"/>
      <w:lvlText w:val="o"/>
      <w:lvlJc w:val="left"/>
      <w:pPr>
        <w:ind w:left="42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AACE3F76">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1ACC7FE2">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7DA460DE">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8AB260D2">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B380AEBE">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1EA4CBB2">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F49EED82">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518E376C">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5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5"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0376702"/>
    <w:multiLevelType w:val="hybridMultilevel"/>
    <w:tmpl w:val="FA10D728"/>
    <w:lvl w:ilvl="0" w:tplc="94FAE770">
      <w:start w:val="1"/>
      <w:numFmt w:val="bullet"/>
      <w:lvlText w:val="o"/>
      <w:lvlJc w:val="left"/>
      <w:pPr>
        <w:ind w:left="358"/>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1" w:tplc="5DD4F63E">
      <w:start w:val="1"/>
      <w:numFmt w:val="bullet"/>
      <w:lvlText w:val="o"/>
      <w:lvlJc w:val="left"/>
      <w:pPr>
        <w:ind w:left="108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2" w:tplc="7090BB26">
      <w:start w:val="1"/>
      <w:numFmt w:val="bullet"/>
      <w:lvlText w:val="▪"/>
      <w:lvlJc w:val="left"/>
      <w:pPr>
        <w:ind w:left="180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3" w:tplc="58869726">
      <w:start w:val="1"/>
      <w:numFmt w:val="bullet"/>
      <w:lvlText w:val="•"/>
      <w:lvlJc w:val="left"/>
      <w:pPr>
        <w:ind w:left="252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4" w:tplc="2A988C90">
      <w:start w:val="1"/>
      <w:numFmt w:val="bullet"/>
      <w:lvlText w:val="o"/>
      <w:lvlJc w:val="left"/>
      <w:pPr>
        <w:ind w:left="324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5" w:tplc="E6E0DB7E">
      <w:start w:val="1"/>
      <w:numFmt w:val="bullet"/>
      <w:lvlText w:val="▪"/>
      <w:lvlJc w:val="left"/>
      <w:pPr>
        <w:ind w:left="396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6" w:tplc="1CB0E790">
      <w:start w:val="1"/>
      <w:numFmt w:val="bullet"/>
      <w:lvlText w:val="•"/>
      <w:lvlJc w:val="left"/>
      <w:pPr>
        <w:ind w:left="468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7" w:tplc="293AE356">
      <w:start w:val="1"/>
      <w:numFmt w:val="bullet"/>
      <w:lvlText w:val="o"/>
      <w:lvlJc w:val="left"/>
      <w:pPr>
        <w:ind w:left="540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8" w:tplc="1B5C144C">
      <w:start w:val="1"/>
      <w:numFmt w:val="bullet"/>
      <w:lvlText w:val="▪"/>
      <w:lvlJc w:val="left"/>
      <w:pPr>
        <w:ind w:left="612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abstractNum>
  <w:abstractNum w:abstractNumId="57"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8"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D9B15B4"/>
    <w:multiLevelType w:val="hybridMultilevel"/>
    <w:tmpl w:val="8CF658B2"/>
    <w:lvl w:ilvl="0" w:tplc="10C83F56">
      <w:start w:val="1"/>
      <w:numFmt w:val="bullet"/>
      <w:lvlText w:val="o"/>
      <w:lvlJc w:val="left"/>
      <w:pPr>
        <w:ind w:left="56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2C8ECC3A">
      <w:start w:val="1"/>
      <w:numFmt w:val="bullet"/>
      <w:lvlText w:val="o"/>
      <w:lvlJc w:val="left"/>
      <w:pPr>
        <w:ind w:left="1222"/>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6DBAD136">
      <w:start w:val="1"/>
      <w:numFmt w:val="bullet"/>
      <w:lvlText w:val="▪"/>
      <w:lvlJc w:val="left"/>
      <w:pPr>
        <w:ind w:left="1942"/>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ACB088D8">
      <w:start w:val="1"/>
      <w:numFmt w:val="bullet"/>
      <w:lvlText w:val="•"/>
      <w:lvlJc w:val="left"/>
      <w:pPr>
        <w:ind w:left="2662"/>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65B6732C">
      <w:start w:val="1"/>
      <w:numFmt w:val="bullet"/>
      <w:lvlText w:val="o"/>
      <w:lvlJc w:val="left"/>
      <w:pPr>
        <w:ind w:left="3382"/>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C2AAA878">
      <w:start w:val="1"/>
      <w:numFmt w:val="bullet"/>
      <w:lvlText w:val="▪"/>
      <w:lvlJc w:val="left"/>
      <w:pPr>
        <w:ind w:left="4102"/>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8ADC8456">
      <w:start w:val="1"/>
      <w:numFmt w:val="bullet"/>
      <w:lvlText w:val="•"/>
      <w:lvlJc w:val="left"/>
      <w:pPr>
        <w:ind w:left="4822"/>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3920DC2E">
      <w:start w:val="1"/>
      <w:numFmt w:val="bullet"/>
      <w:lvlText w:val="o"/>
      <w:lvlJc w:val="left"/>
      <w:pPr>
        <w:ind w:left="5542"/>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7D246FEA">
      <w:start w:val="1"/>
      <w:numFmt w:val="bullet"/>
      <w:lvlText w:val="▪"/>
      <w:lvlJc w:val="left"/>
      <w:pPr>
        <w:ind w:left="6262"/>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62" w15:restartNumberingAfterBreak="0">
    <w:nsid w:val="72851FAC"/>
    <w:multiLevelType w:val="hybridMultilevel"/>
    <w:tmpl w:val="A640570A"/>
    <w:lvl w:ilvl="0" w:tplc="B64C1F30">
      <w:start w:val="1"/>
      <w:numFmt w:val="bullet"/>
      <w:lvlText w:val="o"/>
      <w:lvlJc w:val="left"/>
      <w:pPr>
        <w:ind w:left="425"/>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FE9C3FA2">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82BAAC9A">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1BC0F88A">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55B8C51E">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8EFE25F4">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666A6ACE">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FF169C86">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34BCA0D8">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63" w15:restartNumberingAfterBreak="0">
    <w:nsid w:val="7490027B"/>
    <w:multiLevelType w:val="hybridMultilevel"/>
    <w:tmpl w:val="A88C7F0A"/>
    <w:lvl w:ilvl="0" w:tplc="0C4E67FE">
      <w:start w:val="1"/>
      <w:numFmt w:val="bullet"/>
      <w:lvlText w:val="o"/>
      <w:lvlJc w:val="left"/>
      <w:pPr>
        <w:ind w:left="42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18C80788">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33E40842">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48BCA59C">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E5AC82A6">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9094296E">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EEB88AC4">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2996EC76">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2AFEC50E">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64" w15:restartNumberingAfterBreak="0">
    <w:nsid w:val="76C113C1"/>
    <w:multiLevelType w:val="hybridMultilevel"/>
    <w:tmpl w:val="30A80498"/>
    <w:lvl w:ilvl="0" w:tplc="7982E1F4">
      <w:start w:val="1"/>
      <w:numFmt w:val="bullet"/>
      <w:lvlText w:val="o"/>
      <w:lvlJc w:val="left"/>
      <w:pPr>
        <w:ind w:left="42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DE24A0E8">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6E3ECB78">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59D4A1B6">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5D96C150">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A76EDAB2">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6E7053E8">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6E08A3B6">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FC4457D2">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65"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 w15:restartNumberingAfterBreak="0">
    <w:nsid w:val="78A63DAB"/>
    <w:multiLevelType w:val="hybridMultilevel"/>
    <w:tmpl w:val="F9E42D94"/>
    <w:lvl w:ilvl="0" w:tplc="004A627C">
      <w:start w:val="1"/>
      <w:numFmt w:val="bullet"/>
      <w:lvlText w:val="o"/>
      <w:lvlJc w:val="left"/>
      <w:pPr>
        <w:ind w:left="72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1" w:tplc="A1B88DC2">
      <w:start w:val="1"/>
      <w:numFmt w:val="bullet"/>
      <w:lvlText w:val="o"/>
      <w:lvlJc w:val="left"/>
      <w:pPr>
        <w:ind w:left="144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2" w:tplc="DAB4DED6">
      <w:start w:val="1"/>
      <w:numFmt w:val="bullet"/>
      <w:lvlText w:val="▪"/>
      <w:lvlJc w:val="left"/>
      <w:pPr>
        <w:ind w:left="216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3" w:tplc="4530BDF0">
      <w:start w:val="1"/>
      <w:numFmt w:val="bullet"/>
      <w:lvlText w:val="•"/>
      <w:lvlJc w:val="left"/>
      <w:pPr>
        <w:ind w:left="288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4" w:tplc="438E05AA">
      <w:start w:val="1"/>
      <w:numFmt w:val="bullet"/>
      <w:lvlText w:val="o"/>
      <w:lvlJc w:val="left"/>
      <w:pPr>
        <w:ind w:left="360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5" w:tplc="C34245D0">
      <w:start w:val="1"/>
      <w:numFmt w:val="bullet"/>
      <w:lvlText w:val="▪"/>
      <w:lvlJc w:val="left"/>
      <w:pPr>
        <w:ind w:left="432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6" w:tplc="8D520260">
      <w:start w:val="1"/>
      <w:numFmt w:val="bullet"/>
      <w:lvlText w:val="•"/>
      <w:lvlJc w:val="left"/>
      <w:pPr>
        <w:ind w:left="504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7" w:tplc="5BB46AF4">
      <w:start w:val="1"/>
      <w:numFmt w:val="bullet"/>
      <w:lvlText w:val="o"/>
      <w:lvlJc w:val="left"/>
      <w:pPr>
        <w:ind w:left="576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8" w:tplc="7C962DEA">
      <w:start w:val="1"/>
      <w:numFmt w:val="bullet"/>
      <w:lvlText w:val="▪"/>
      <w:lvlJc w:val="left"/>
      <w:pPr>
        <w:ind w:left="648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abstractNum>
  <w:abstractNum w:abstractNumId="68" w15:restartNumberingAfterBreak="0">
    <w:nsid w:val="7AAC7564"/>
    <w:multiLevelType w:val="hybridMultilevel"/>
    <w:tmpl w:val="AE7EBF60"/>
    <w:lvl w:ilvl="0" w:tplc="79E24450">
      <w:start w:val="1"/>
      <w:numFmt w:val="bullet"/>
      <w:lvlText w:val="o"/>
      <w:lvlJc w:val="left"/>
      <w:pPr>
        <w:ind w:left="358"/>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1" w:tplc="353A730E">
      <w:start w:val="1"/>
      <w:numFmt w:val="bullet"/>
      <w:lvlText w:val="o"/>
      <w:lvlJc w:val="left"/>
      <w:pPr>
        <w:ind w:left="108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2" w:tplc="82349C40">
      <w:start w:val="1"/>
      <w:numFmt w:val="bullet"/>
      <w:lvlText w:val="▪"/>
      <w:lvlJc w:val="left"/>
      <w:pPr>
        <w:ind w:left="180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3" w:tplc="D48A4022">
      <w:start w:val="1"/>
      <w:numFmt w:val="bullet"/>
      <w:lvlText w:val="•"/>
      <w:lvlJc w:val="left"/>
      <w:pPr>
        <w:ind w:left="252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4" w:tplc="D6CE2468">
      <w:start w:val="1"/>
      <w:numFmt w:val="bullet"/>
      <w:lvlText w:val="o"/>
      <w:lvlJc w:val="left"/>
      <w:pPr>
        <w:ind w:left="324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5" w:tplc="F02EC30C">
      <w:start w:val="1"/>
      <w:numFmt w:val="bullet"/>
      <w:lvlText w:val="▪"/>
      <w:lvlJc w:val="left"/>
      <w:pPr>
        <w:ind w:left="396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6" w:tplc="24C88DA4">
      <w:start w:val="1"/>
      <w:numFmt w:val="bullet"/>
      <w:lvlText w:val="•"/>
      <w:lvlJc w:val="left"/>
      <w:pPr>
        <w:ind w:left="468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7" w:tplc="3148F57A">
      <w:start w:val="1"/>
      <w:numFmt w:val="bullet"/>
      <w:lvlText w:val="o"/>
      <w:lvlJc w:val="left"/>
      <w:pPr>
        <w:ind w:left="540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lvl w:ilvl="8" w:tplc="10E0ADDE">
      <w:start w:val="1"/>
      <w:numFmt w:val="bullet"/>
      <w:lvlText w:val="▪"/>
      <w:lvlJc w:val="left"/>
      <w:pPr>
        <w:ind w:left="6120"/>
      </w:pPr>
      <w:rPr>
        <w:rFonts w:ascii="Arial" w:eastAsia="Arial" w:hAnsi="Arial" w:cs="Arial"/>
        <w:b/>
        <w:bCs/>
        <w:i w:val="0"/>
        <w:strike w:val="0"/>
        <w:dstrike w:val="0"/>
        <w:color w:val="990066"/>
        <w:sz w:val="22"/>
        <w:szCs w:val="22"/>
        <w:u w:val="none" w:color="000000"/>
        <w:bdr w:val="none" w:sz="0" w:space="0" w:color="auto"/>
        <w:shd w:val="clear" w:color="auto" w:fill="auto"/>
        <w:vertAlign w:val="baseline"/>
      </w:rPr>
    </w:lvl>
  </w:abstractNum>
  <w:abstractNum w:abstractNumId="6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7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C13488D"/>
    <w:multiLevelType w:val="hybridMultilevel"/>
    <w:tmpl w:val="FFC284DC"/>
    <w:lvl w:ilvl="0" w:tplc="86329872">
      <w:start w:val="1"/>
      <w:numFmt w:val="bullet"/>
      <w:lvlText w:val="o"/>
      <w:lvlJc w:val="left"/>
      <w:pPr>
        <w:ind w:left="42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DE32A0E0">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19182330">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3C8AFE16">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51602150">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47D4053E">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8D4E6A7A">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20C44B8E">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1BF25926">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abstractNum w:abstractNumId="72" w15:restartNumberingAfterBreak="0">
    <w:nsid w:val="7D8E0376"/>
    <w:multiLevelType w:val="hybridMultilevel"/>
    <w:tmpl w:val="D66C7F76"/>
    <w:lvl w:ilvl="0" w:tplc="6B24B918">
      <w:start w:val="1"/>
      <w:numFmt w:val="bullet"/>
      <w:lvlText w:val="o"/>
      <w:lvlJc w:val="left"/>
      <w:pPr>
        <w:ind w:left="427"/>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1" w:tplc="49DCEA68">
      <w:start w:val="1"/>
      <w:numFmt w:val="bullet"/>
      <w:lvlText w:val="o"/>
      <w:lvlJc w:val="left"/>
      <w:pPr>
        <w:ind w:left="10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2" w:tplc="1FE2A8B4">
      <w:start w:val="1"/>
      <w:numFmt w:val="bullet"/>
      <w:lvlText w:val="▪"/>
      <w:lvlJc w:val="left"/>
      <w:pPr>
        <w:ind w:left="18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3" w:tplc="6FB63044">
      <w:start w:val="1"/>
      <w:numFmt w:val="bullet"/>
      <w:lvlText w:val="•"/>
      <w:lvlJc w:val="left"/>
      <w:pPr>
        <w:ind w:left="25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4" w:tplc="ED3C9D04">
      <w:start w:val="1"/>
      <w:numFmt w:val="bullet"/>
      <w:lvlText w:val="o"/>
      <w:lvlJc w:val="left"/>
      <w:pPr>
        <w:ind w:left="324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5" w:tplc="405801DA">
      <w:start w:val="1"/>
      <w:numFmt w:val="bullet"/>
      <w:lvlText w:val="▪"/>
      <w:lvlJc w:val="left"/>
      <w:pPr>
        <w:ind w:left="396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6" w:tplc="4DAC1432">
      <w:start w:val="1"/>
      <w:numFmt w:val="bullet"/>
      <w:lvlText w:val="•"/>
      <w:lvlJc w:val="left"/>
      <w:pPr>
        <w:ind w:left="468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7" w:tplc="18246F42">
      <w:start w:val="1"/>
      <w:numFmt w:val="bullet"/>
      <w:lvlText w:val="o"/>
      <w:lvlJc w:val="left"/>
      <w:pPr>
        <w:ind w:left="540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lvl w:ilvl="8" w:tplc="CBA61DF6">
      <w:start w:val="1"/>
      <w:numFmt w:val="bullet"/>
      <w:lvlText w:val="▪"/>
      <w:lvlJc w:val="left"/>
      <w:pPr>
        <w:ind w:left="6120"/>
      </w:pPr>
      <w:rPr>
        <w:rFonts w:ascii="Arial" w:eastAsia="Arial" w:hAnsi="Arial" w:cs="Arial"/>
        <w:b/>
        <w:bCs/>
        <w:i w:val="0"/>
        <w:strike w:val="0"/>
        <w:dstrike w:val="0"/>
        <w:color w:val="663366"/>
        <w:sz w:val="20"/>
        <w:szCs w:val="20"/>
        <w:u w:val="none" w:color="000000"/>
        <w:bdr w:val="none" w:sz="0" w:space="0" w:color="auto"/>
        <w:shd w:val="clear" w:color="auto" w:fill="auto"/>
        <w:vertAlign w:val="baseline"/>
      </w:rPr>
    </w:lvl>
  </w:abstractNum>
  <w:num w:numId="1">
    <w:abstractNumId w:val="24"/>
  </w:num>
  <w:num w:numId="2">
    <w:abstractNumId w:val="43"/>
  </w:num>
  <w:num w:numId="3">
    <w:abstractNumId w:val="32"/>
  </w:num>
  <w:num w:numId="4">
    <w:abstractNumId w:val="22"/>
  </w:num>
  <w:num w:numId="5">
    <w:abstractNumId w:val="5"/>
  </w:num>
  <w:num w:numId="6">
    <w:abstractNumId w:val="57"/>
  </w:num>
  <w:num w:numId="7">
    <w:abstractNumId w:val="39"/>
  </w:num>
  <w:num w:numId="8">
    <w:abstractNumId w:val="7"/>
  </w:num>
  <w:num w:numId="9">
    <w:abstractNumId w:val="4"/>
  </w:num>
  <w:num w:numId="10">
    <w:abstractNumId w:val="3"/>
  </w:num>
  <w:num w:numId="11">
    <w:abstractNumId w:val="2"/>
  </w:num>
  <w:num w:numId="12">
    <w:abstractNumId w:val="1"/>
  </w:num>
  <w:num w:numId="13">
    <w:abstractNumId w:val="0"/>
  </w:num>
  <w:num w:numId="14">
    <w:abstractNumId w:val="52"/>
  </w:num>
  <w:num w:numId="15">
    <w:abstractNumId w:val="8"/>
  </w:num>
  <w:num w:numId="16">
    <w:abstractNumId w:val="21"/>
  </w:num>
  <w:num w:numId="17">
    <w:abstractNumId w:val="47"/>
  </w:num>
  <w:num w:numId="18">
    <w:abstractNumId w:val="65"/>
  </w:num>
  <w:num w:numId="19">
    <w:abstractNumId w:val="27"/>
  </w:num>
  <w:num w:numId="20">
    <w:abstractNumId w:val="60"/>
  </w:num>
  <w:num w:numId="21">
    <w:abstractNumId w:val="7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num>
  <w:num w:numId="24">
    <w:abstractNumId w:val="66"/>
  </w:num>
  <w:num w:numId="25">
    <w:abstractNumId w:val="28"/>
  </w:num>
  <w:num w:numId="26">
    <w:abstractNumId w:val="58"/>
  </w:num>
  <w:num w:numId="27">
    <w:abstractNumId w:val="14"/>
  </w:num>
  <w:num w:numId="28">
    <w:abstractNumId w:val="42"/>
  </w:num>
  <w:num w:numId="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69"/>
  </w:num>
  <w:num w:numId="44">
    <w:abstractNumId w:val="18"/>
  </w:num>
  <w:num w:numId="45">
    <w:abstractNumId w:val="59"/>
  </w:num>
  <w:num w:numId="46">
    <w:abstractNumId w:val="17"/>
  </w:num>
  <w:num w:numId="47">
    <w:abstractNumId w:val="37"/>
  </w:num>
  <w:num w:numId="48">
    <w:abstractNumId w:val="33"/>
  </w:num>
  <w:num w:numId="49">
    <w:abstractNumId w:val="54"/>
  </w:num>
  <w:num w:numId="50">
    <w:abstractNumId w:val="25"/>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67"/>
  </w:num>
  <w:num w:numId="57">
    <w:abstractNumId w:val="56"/>
  </w:num>
  <w:num w:numId="58">
    <w:abstractNumId w:val="68"/>
  </w:num>
  <w:num w:numId="59">
    <w:abstractNumId w:val="48"/>
  </w:num>
  <w:num w:numId="60">
    <w:abstractNumId w:val="9"/>
  </w:num>
  <w:num w:numId="61">
    <w:abstractNumId w:val="20"/>
  </w:num>
  <w:num w:numId="62">
    <w:abstractNumId w:val="61"/>
  </w:num>
  <w:num w:numId="63">
    <w:abstractNumId w:val="72"/>
  </w:num>
  <w:num w:numId="64">
    <w:abstractNumId w:val="53"/>
  </w:num>
  <w:num w:numId="65">
    <w:abstractNumId w:val="50"/>
  </w:num>
  <w:num w:numId="66">
    <w:abstractNumId w:val="34"/>
  </w:num>
  <w:num w:numId="67">
    <w:abstractNumId w:val="63"/>
  </w:num>
  <w:num w:numId="68">
    <w:abstractNumId w:val="15"/>
  </w:num>
  <w:num w:numId="69">
    <w:abstractNumId w:val="30"/>
  </w:num>
  <w:num w:numId="70">
    <w:abstractNumId w:val="6"/>
  </w:num>
  <w:num w:numId="71">
    <w:abstractNumId w:val="29"/>
  </w:num>
  <w:num w:numId="72">
    <w:abstractNumId w:val="41"/>
  </w:num>
  <w:num w:numId="73">
    <w:abstractNumId w:val="71"/>
  </w:num>
  <w:num w:numId="74">
    <w:abstractNumId w:val="35"/>
  </w:num>
  <w:num w:numId="75">
    <w:abstractNumId w:val="51"/>
  </w:num>
  <w:num w:numId="76">
    <w:abstractNumId w:val="62"/>
  </w:num>
  <w:num w:numId="77">
    <w:abstractNumId w:val="10"/>
  </w:num>
  <w:num w:numId="78">
    <w:abstractNumId w:val="23"/>
  </w:num>
  <w:num w:numId="79">
    <w:abstractNumId w:val="12"/>
  </w:num>
  <w:num w:numId="80">
    <w:abstractNumId w:val="31"/>
  </w:num>
  <w:num w:numId="81">
    <w:abstractNumId w:val="13"/>
  </w:num>
  <w:num w:numId="82">
    <w:abstractNumId w:val="40"/>
  </w:num>
  <w:num w:numId="83">
    <w:abstractNumId w:val="64"/>
  </w:num>
  <w:num w:numId="84">
    <w:abstractNumId w:val="38"/>
  </w:num>
  <w:num w:numId="85">
    <w:abstractNumId w:val="49"/>
  </w:num>
  <w:num w:numId="86">
    <w:abstractNumId w:val="19"/>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yyar Raith PROFESSIONAL SERVICES CAXTON HOUSE">
    <w15:presenceInfo w15:providerId="AD" w15:userId="S-1-5-21-1547161642-1757981266-682003330-2215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1FAE"/>
    <w:rsid w:val="00043FF7"/>
    <w:rsid w:val="0004608A"/>
    <w:rsid w:val="00050B79"/>
    <w:rsid w:val="0005385A"/>
    <w:rsid w:val="00053969"/>
    <w:rsid w:val="00057129"/>
    <w:rsid w:val="000654F7"/>
    <w:rsid w:val="000667A6"/>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D551C"/>
    <w:rsid w:val="000E6336"/>
    <w:rsid w:val="000E6492"/>
    <w:rsid w:val="000F18F1"/>
    <w:rsid w:val="000F1CA7"/>
    <w:rsid w:val="0010080D"/>
    <w:rsid w:val="00101D2F"/>
    <w:rsid w:val="00102B01"/>
    <w:rsid w:val="0010702E"/>
    <w:rsid w:val="0011214E"/>
    <w:rsid w:val="00113541"/>
    <w:rsid w:val="001144E0"/>
    <w:rsid w:val="00117F38"/>
    <w:rsid w:val="00121CE7"/>
    <w:rsid w:val="001243F1"/>
    <w:rsid w:val="00126EC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1998"/>
    <w:rsid w:val="00225173"/>
    <w:rsid w:val="00225EDF"/>
    <w:rsid w:val="002307B3"/>
    <w:rsid w:val="00230C38"/>
    <w:rsid w:val="00233357"/>
    <w:rsid w:val="0023661C"/>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27D9"/>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28BC"/>
    <w:rsid w:val="00353A2B"/>
    <w:rsid w:val="003551EB"/>
    <w:rsid w:val="003554C5"/>
    <w:rsid w:val="00356151"/>
    <w:rsid w:val="0035626C"/>
    <w:rsid w:val="0035659B"/>
    <w:rsid w:val="00362509"/>
    <w:rsid w:val="00363580"/>
    <w:rsid w:val="0036416C"/>
    <w:rsid w:val="00366401"/>
    <w:rsid w:val="00366715"/>
    <w:rsid w:val="00366CA4"/>
    <w:rsid w:val="00370BE4"/>
    <w:rsid w:val="0037280D"/>
    <w:rsid w:val="00376A5A"/>
    <w:rsid w:val="00377439"/>
    <w:rsid w:val="003775A2"/>
    <w:rsid w:val="00382505"/>
    <w:rsid w:val="00385CAD"/>
    <w:rsid w:val="00387541"/>
    <w:rsid w:val="00390AF7"/>
    <w:rsid w:val="0039171B"/>
    <w:rsid w:val="00393B2F"/>
    <w:rsid w:val="003957DC"/>
    <w:rsid w:val="0039658B"/>
    <w:rsid w:val="003A1042"/>
    <w:rsid w:val="003A2BA1"/>
    <w:rsid w:val="003A4451"/>
    <w:rsid w:val="003A6F56"/>
    <w:rsid w:val="003A70A5"/>
    <w:rsid w:val="003B17E8"/>
    <w:rsid w:val="003B3AC3"/>
    <w:rsid w:val="003B4483"/>
    <w:rsid w:val="003B4CAC"/>
    <w:rsid w:val="003B4D0A"/>
    <w:rsid w:val="003B6C47"/>
    <w:rsid w:val="003C0AC8"/>
    <w:rsid w:val="003C213D"/>
    <w:rsid w:val="003C2454"/>
    <w:rsid w:val="003C3A8C"/>
    <w:rsid w:val="003C4741"/>
    <w:rsid w:val="003C4CA1"/>
    <w:rsid w:val="003C6C6B"/>
    <w:rsid w:val="003D27A0"/>
    <w:rsid w:val="003E4598"/>
    <w:rsid w:val="003F1C0C"/>
    <w:rsid w:val="003F2871"/>
    <w:rsid w:val="003F42DB"/>
    <w:rsid w:val="003F7D0B"/>
    <w:rsid w:val="00401334"/>
    <w:rsid w:val="004027C0"/>
    <w:rsid w:val="00402B25"/>
    <w:rsid w:val="004062A9"/>
    <w:rsid w:val="004077AC"/>
    <w:rsid w:val="00413106"/>
    <w:rsid w:val="00415774"/>
    <w:rsid w:val="00415BB5"/>
    <w:rsid w:val="004236C2"/>
    <w:rsid w:val="00424A9C"/>
    <w:rsid w:val="0042785F"/>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277D"/>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04C4"/>
    <w:rsid w:val="00511708"/>
    <w:rsid w:val="00512D58"/>
    <w:rsid w:val="0051470D"/>
    <w:rsid w:val="00520823"/>
    <w:rsid w:val="0052098F"/>
    <w:rsid w:val="005230D5"/>
    <w:rsid w:val="00526308"/>
    <w:rsid w:val="00527E29"/>
    <w:rsid w:val="00534B83"/>
    <w:rsid w:val="00535B33"/>
    <w:rsid w:val="005362DB"/>
    <w:rsid w:val="00540324"/>
    <w:rsid w:val="005440BF"/>
    <w:rsid w:val="00544DB3"/>
    <w:rsid w:val="00546126"/>
    <w:rsid w:val="00547DDB"/>
    <w:rsid w:val="00551505"/>
    <w:rsid w:val="00551B85"/>
    <w:rsid w:val="00554232"/>
    <w:rsid w:val="00555265"/>
    <w:rsid w:val="00555457"/>
    <w:rsid w:val="00556C97"/>
    <w:rsid w:val="00557327"/>
    <w:rsid w:val="00557C0A"/>
    <w:rsid w:val="00562F14"/>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A87"/>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5EB"/>
    <w:rsid w:val="00660859"/>
    <w:rsid w:val="0066431A"/>
    <w:rsid w:val="006668C6"/>
    <w:rsid w:val="006675DA"/>
    <w:rsid w:val="00667CA8"/>
    <w:rsid w:val="00670316"/>
    <w:rsid w:val="00672E4A"/>
    <w:rsid w:val="00673FCF"/>
    <w:rsid w:val="006754E6"/>
    <w:rsid w:val="00676C61"/>
    <w:rsid w:val="00676D8E"/>
    <w:rsid w:val="00676DF3"/>
    <w:rsid w:val="0068141A"/>
    <w:rsid w:val="00681AFA"/>
    <w:rsid w:val="00687486"/>
    <w:rsid w:val="00690677"/>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D72A4"/>
    <w:rsid w:val="006E2488"/>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097E"/>
    <w:rsid w:val="00755818"/>
    <w:rsid w:val="007562F7"/>
    <w:rsid w:val="00764633"/>
    <w:rsid w:val="007657FB"/>
    <w:rsid w:val="0076653A"/>
    <w:rsid w:val="00766A09"/>
    <w:rsid w:val="00767506"/>
    <w:rsid w:val="00773D55"/>
    <w:rsid w:val="00774F34"/>
    <w:rsid w:val="00781377"/>
    <w:rsid w:val="00782603"/>
    <w:rsid w:val="00782C3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16D9"/>
    <w:rsid w:val="007D2D5F"/>
    <w:rsid w:val="007D2EBB"/>
    <w:rsid w:val="007E30C9"/>
    <w:rsid w:val="007E4DE1"/>
    <w:rsid w:val="007E723E"/>
    <w:rsid w:val="007F02FE"/>
    <w:rsid w:val="007F2EC5"/>
    <w:rsid w:val="007F3FCC"/>
    <w:rsid w:val="00801750"/>
    <w:rsid w:val="00801972"/>
    <w:rsid w:val="008039F4"/>
    <w:rsid w:val="00805AD3"/>
    <w:rsid w:val="008060A8"/>
    <w:rsid w:val="00812422"/>
    <w:rsid w:val="00813A1A"/>
    <w:rsid w:val="00813EA2"/>
    <w:rsid w:val="00814841"/>
    <w:rsid w:val="008226DC"/>
    <w:rsid w:val="00832B7B"/>
    <w:rsid w:val="008367EB"/>
    <w:rsid w:val="00837B0E"/>
    <w:rsid w:val="0084073B"/>
    <w:rsid w:val="00840A1C"/>
    <w:rsid w:val="00841FFA"/>
    <w:rsid w:val="0084742E"/>
    <w:rsid w:val="0084785D"/>
    <w:rsid w:val="0085372A"/>
    <w:rsid w:val="00857A80"/>
    <w:rsid w:val="00857BD2"/>
    <w:rsid w:val="0086551D"/>
    <w:rsid w:val="00865E09"/>
    <w:rsid w:val="0087085C"/>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666"/>
    <w:rsid w:val="009279E2"/>
    <w:rsid w:val="00933FBB"/>
    <w:rsid w:val="0093612E"/>
    <w:rsid w:val="00936B9F"/>
    <w:rsid w:val="009373BA"/>
    <w:rsid w:val="00937EF1"/>
    <w:rsid w:val="00940B89"/>
    <w:rsid w:val="009429CC"/>
    <w:rsid w:val="00946BF0"/>
    <w:rsid w:val="00946CF0"/>
    <w:rsid w:val="00951CFF"/>
    <w:rsid w:val="00953506"/>
    <w:rsid w:val="00954E4E"/>
    <w:rsid w:val="009553CD"/>
    <w:rsid w:val="009562FE"/>
    <w:rsid w:val="00960021"/>
    <w:rsid w:val="00960360"/>
    <w:rsid w:val="00960A0A"/>
    <w:rsid w:val="009611ED"/>
    <w:rsid w:val="00962D53"/>
    <w:rsid w:val="00962E99"/>
    <w:rsid w:val="00963C9B"/>
    <w:rsid w:val="0096713F"/>
    <w:rsid w:val="0097190D"/>
    <w:rsid w:val="009720A3"/>
    <w:rsid w:val="009738A8"/>
    <w:rsid w:val="00974162"/>
    <w:rsid w:val="00974194"/>
    <w:rsid w:val="00977F1A"/>
    <w:rsid w:val="00981059"/>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2BE9"/>
    <w:rsid w:val="009F7881"/>
    <w:rsid w:val="009F7A74"/>
    <w:rsid w:val="00A045DB"/>
    <w:rsid w:val="00A04A07"/>
    <w:rsid w:val="00A05521"/>
    <w:rsid w:val="00A072A8"/>
    <w:rsid w:val="00A07C44"/>
    <w:rsid w:val="00A11169"/>
    <w:rsid w:val="00A11B69"/>
    <w:rsid w:val="00A12975"/>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65273"/>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22C"/>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5A25"/>
    <w:rsid w:val="00B26747"/>
    <w:rsid w:val="00B26A96"/>
    <w:rsid w:val="00B30408"/>
    <w:rsid w:val="00B32339"/>
    <w:rsid w:val="00B35FC4"/>
    <w:rsid w:val="00B36F5D"/>
    <w:rsid w:val="00B37F62"/>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0ADA"/>
    <w:rsid w:val="00BB19B7"/>
    <w:rsid w:val="00BB37E1"/>
    <w:rsid w:val="00BB527F"/>
    <w:rsid w:val="00BB5593"/>
    <w:rsid w:val="00BC6D91"/>
    <w:rsid w:val="00BD196F"/>
    <w:rsid w:val="00BD4249"/>
    <w:rsid w:val="00BD51EE"/>
    <w:rsid w:val="00BE0F08"/>
    <w:rsid w:val="00BE2ABB"/>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523"/>
    <w:rsid w:val="00C209FF"/>
    <w:rsid w:val="00C22030"/>
    <w:rsid w:val="00C24351"/>
    <w:rsid w:val="00C249EB"/>
    <w:rsid w:val="00C2656E"/>
    <w:rsid w:val="00C271E2"/>
    <w:rsid w:val="00C3320D"/>
    <w:rsid w:val="00C40F52"/>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5926"/>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4CCE"/>
    <w:rsid w:val="00D2634C"/>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957F6"/>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3959"/>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139F"/>
    <w:rsid w:val="00E83ECF"/>
    <w:rsid w:val="00E86426"/>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D76A1"/>
    <w:rsid w:val="00EE2841"/>
    <w:rsid w:val="00EE4546"/>
    <w:rsid w:val="00EE7742"/>
    <w:rsid w:val="00EF0380"/>
    <w:rsid w:val="00EF0C36"/>
    <w:rsid w:val="00EF4696"/>
    <w:rsid w:val="00EF7041"/>
    <w:rsid w:val="00F036EC"/>
    <w:rsid w:val="00F13F53"/>
    <w:rsid w:val="00F14CCD"/>
    <w:rsid w:val="00F162C2"/>
    <w:rsid w:val="00F17EDC"/>
    <w:rsid w:val="00F22BAA"/>
    <w:rsid w:val="00F24CEC"/>
    <w:rsid w:val="00F26B34"/>
    <w:rsid w:val="00F3274B"/>
    <w:rsid w:val="00F33864"/>
    <w:rsid w:val="00F35627"/>
    <w:rsid w:val="00F359E1"/>
    <w:rsid w:val="00F4095E"/>
    <w:rsid w:val="00F41C97"/>
    <w:rsid w:val="00F4522F"/>
    <w:rsid w:val="00F4581E"/>
    <w:rsid w:val="00F45B20"/>
    <w:rsid w:val="00F50A5D"/>
    <w:rsid w:val="00F50D28"/>
    <w:rsid w:val="00F53995"/>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354E"/>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link w:val="BodyTextIndent3Char"/>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link w:val="TitleChar"/>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link w:val="FootnoteTextChar"/>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rsid w:val="006C11A5"/>
    <w:pPr>
      <w:spacing w:after="0" w:line="240" w:lineRule="auto"/>
    </w:pPr>
    <w:rPr>
      <w:rFonts w:ascii="Tahoma" w:hAnsi="Tahoma"/>
      <w:sz w:val="16"/>
      <w:szCs w:val="16"/>
    </w:rPr>
  </w:style>
  <w:style w:type="character" w:customStyle="1" w:styleId="BalloonTextChar">
    <w:name w:val="Balloon Text Char"/>
    <w:link w:val="BalloonText"/>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link w:val="NoSpacingChar"/>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uiPriority w:val="99"/>
    <w:rsid w:val="006C11A5"/>
    <w:rPr>
      <w:rFonts w:ascii="Courier New" w:hAnsi="Courier New"/>
      <w:sz w:val="20"/>
    </w:rPr>
  </w:style>
  <w:style w:type="character" w:customStyle="1" w:styleId="PlainTextChar">
    <w:name w:val="Plain Text Char"/>
    <w:link w:val="PlainText"/>
    <w:uiPriority w:val="99"/>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EquationCaption">
    <w:name w:val="_Equation Caption"/>
    <w:rsid w:val="00C40F52"/>
  </w:style>
  <w:style w:type="paragraph" w:customStyle="1" w:styleId="BodyTextIndent8">
    <w:name w:val="Body Text Indent 8"/>
    <w:basedOn w:val="BodyTextIndent7"/>
    <w:rsid w:val="00C40F52"/>
    <w:pPr>
      <w:ind w:left="5760"/>
    </w:pPr>
    <w:rPr>
      <w:rFonts w:ascii="Arial" w:hAnsi="Arial"/>
    </w:rPr>
  </w:style>
  <w:style w:type="paragraph" w:customStyle="1" w:styleId="body0">
    <w:name w:val="body"/>
    <w:basedOn w:val="Normal"/>
    <w:link w:val="bodyChar"/>
    <w:rsid w:val="00C40F52"/>
    <w:pPr>
      <w:overflowPunct/>
      <w:autoSpaceDE/>
      <w:autoSpaceDN/>
      <w:adjustRightInd/>
      <w:spacing w:after="0" w:line="240" w:lineRule="auto"/>
      <w:jc w:val="left"/>
      <w:textAlignment w:val="auto"/>
    </w:pPr>
    <w:rPr>
      <w:rFonts w:eastAsia="SimSun"/>
      <w:szCs w:val="24"/>
      <w:lang w:eastAsia="en-GB"/>
    </w:rPr>
  </w:style>
  <w:style w:type="paragraph" w:customStyle="1" w:styleId="bodystrong">
    <w:name w:val="body strong"/>
    <w:basedOn w:val="body0"/>
    <w:link w:val="bodystrongChar"/>
    <w:rsid w:val="00C40F52"/>
    <w:rPr>
      <w:b/>
    </w:rPr>
  </w:style>
  <w:style w:type="paragraph" w:customStyle="1" w:styleId="bodystronger">
    <w:name w:val="body stronger"/>
    <w:basedOn w:val="bodystrong"/>
    <w:link w:val="bodystrongerChar"/>
    <w:rsid w:val="00C40F52"/>
    <w:rPr>
      <w:caps/>
      <w:szCs w:val="22"/>
    </w:rPr>
  </w:style>
  <w:style w:type="character" w:customStyle="1" w:styleId="bodyChar">
    <w:name w:val="body Char"/>
    <w:basedOn w:val="DefaultParagraphFont"/>
    <w:link w:val="body0"/>
    <w:rsid w:val="00C40F52"/>
    <w:rPr>
      <w:rFonts w:ascii="Arial" w:eastAsia="SimSun" w:hAnsi="Arial"/>
      <w:sz w:val="22"/>
      <w:szCs w:val="24"/>
    </w:rPr>
  </w:style>
  <w:style w:type="character" w:customStyle="1" w:styleId="bodystrongChar">
    <w:name w:val="body strong Char"/>
    <w:basedOn w:val="bodyChar"/>
    <w:link w:val="bodystrong"/>
    <w:rsid w:val="00C40F52"/>
    <w:rPr>
      <w:rFonts w:ascii="Arial" w:eastAsia="SimSun" w:hAnsi="Arial"/>
      <w:b/>
      <w:sz w:val="22"/>
      <w:szCs w:val="24"/>
    </w:rPr>
  </w:style>
  <w:style w:type="paragraph" w:customStyle="1" w:styleId="bodycondstrongcentredspaced">
    <w:name w:val="body cond strong centred spaced"/>
    <w:basedOn w:val="bodycondstrongcentred"/>
    <w:rsid w:val="00C40F52"/>
    <w:pPr>
      <w:spacing w:after="40"/>
    </w:pPr>
  </w:style>
  <w:style w:type="paragraph" w:customStyle="1" w:styleId="bodycond">
    <w:name w:val="body cond"/>
    <w:basedOn w:val="body0"/>
    <w:link w:val="bodycondChar"/>
    <w:rsid w:val="00C40F52"/>
    <w:rPr>
      <w:spacing w:val="-3"/>
      <w:szCs w:val="22"/>
    </w:rPr>
  </w:style>
  <w:style w:type="paragraph" w:customStyle="1" w:styleId="bodycondstrong">
    <w:name w:val="body cond strong"/>
    <w:basedOn w:val="bodycond"/>
    <w:link w:val="bodycondstrongChar"/>
    <w:rsid w:val="00C40F52"/>
    <w:rPr>
      <w:b/>
    </w:rPr>
  </w:style>
  <w:style w:type="paragraph" w:customStyle="1" w:styleId="bodycondstrongcentred">
    <w:name w:val="body cond strong centred"/>
    <w:basedOn w:val="bodycondstrong"/>
    <w:link w:val="bodycondstrongcentredChar"/>
    <w:rsid w:val="00C40F52"/>
    <w:pPr>
      <w:jc w:val="center"/>
    </w:pPr>
  </w:style>
  <w:style w:type="paragraph" w:customStyle="1" w:styleId="bodycondstrongercentred">
    <w:name w:val="body cond stronger centred"/>
    <w:basedOn w:val="bodycondstrongcentred"/>
    <w:link w:val="bodycondstrongercentredChar"/>
    <w:rsid w:val="00C40F52"/>
    <w:rPr>
      <w:caps/>
    </w:rPr>
  </w:style>
  <w:style w:type="paragraph" w:customStyle="1" w:styleId="bodycondcentred">
    <w:name w:val="body cond centred"/>
    <w:basedOn w:val="bodycond"/>
    <w:rsid w:val="00C40F52"/>
    <w:pPr>
      <w:jc w:val="center"/>
    </w:pPr>
  </w:style>
  <w:style w:type="character" w:customStyle="1" w:styleId="bodycondChar">
    <w:name w:val="body cond Char"/>
    <w:basedOn w:val="bodyChar"/>
    <w:link w:val="bodycond"/>
    <w:rsid w:val="00C40F52"/>
    <w:rPr>
      <w:rFonts w:ascii="Arial" w:eastAsia="SimSun" w:hAnsi="Arial"/>
      <w:spacing w:val="-3"/>
      <w:sz w:val="22"/>
      <w:szCs w:val="22"/>
    </w:rPr>
  </w:style>
  <w:style w:type="character" w:customStyle="1" w:styleId="bodycondstrongChar">
    <w:name w:val="body cond strong Char"/>
    <w:basedOn w:val="bodycondChar"/>
    <w:link w:val="bodycondstrong"/>
    <w:rsid w:val="00C40F52"/>
    <w:rPr>
      <w:rFonts w:ascii="Arial" w:eastAsia="SimSun" w:hAnsi="Arial"/>
      <w:b/>
      <w:spacing w:val="-3"/>
      <w:sz w:val="22"/>
      <w:szCs w:val="22"/>
    </w:rPr>
  </w:style>
  <w:style w:type="character" w:customStyle="1" w:styleId="bodycondstrongcentredChar">
    <w:name w:val="body cond strong centred Char"/>
    <w:basedOn w:val="bodycondstrongChar"/>
    <w:link w:val="bodycondstrongcentred"/>
    <w:rsid w:val="00C40F52"/>
    <w:rPr>
      <w:rFonts w:ascii="Arial" w:eastAsia="SimSun" w:hAnsi="Arial"/>
      <w:b/>
      <w:spacing w:val="-3"/>
      <w:sz w:val="22"/>
      <w:szCs w:val="22"/>
    </w:rPr>
  </w:style>
  <w:style w:type="character" w:customStyle="1" w:styleId="bodycondstrongercentredChar">
    <w:name w:val="body cond stronger centred Char"/>
    <w:basedOn w:val="bodycondstrongcentredChar"/>
    <w:link w:val="bodycondstrongercentred"/>
    <w:rsid w:val="00C40F52"/>
    <w:rPr>
      <w:rFonts w:ascii="Arial" w:eastAsia="SimSun" w:hAnsi="Arial"/>
      <w:b/>
      <w:caps/>
      <w:spacing w:val="-3"/>
      <w:sz w:val="22"/>
      <w:szCs w:val="22"/>
    </w:rPr>
  </w:style>
  <w:style w:type="paragraph" w:customStyle="1" w:styleId="bodyspaced">
    <w:name w:val="body spaced"/>
    <w:basedOn w:val="body0"/>
    <w:rsid w:val="00C40F52"/>
    <w:pPr>
      <w:spacing w:after="240"/>
    </w:pPr>
  </w:style>
  <w:style w:type="character" w:customStyle="1" w:styleId="bodystrongerChar">
    <w:name w:val="body stronger Char"/>
    <w:basedOn w:val="bodystrongChar"/>
    <w:link w:val="bodystronger"/>
    <w:rsid w:val="00C40F52"/>
    <w:rPr>
      <w:rFonts w:ascii="Arial" w:eastAsia="SimSun" w:hAnsi="Arial"/>
      <w:b/>
      <w:caps/>
      <w:sz w:val="22"/>
      <w:szCs w:val="22"/>
    </w:rPr>
  </w:style>
  <w:style w:type="paragraph" w:customStyle="1" w:styleId="bodypartyhead">
    <w:name w:val="body party head"/>
    <w:basedOn w:val="bodystronger"/>
    <w:next w:val="bodyparty"/>
    <w:link w:val="bodypartyheadChar"/>
    <w:rsid w:val="00C40F52"/>
    <w:pPr>
      <w:spacing w:after="240"/>
      <w:ind w:left="720" w:hanging="720"/>
    </w:pPr>
  </w:style>
  <w:style w:type="paragraph" w:customStyle="1" w:styleId="bodyparty">
    <w:name w:val="body party"/>
    <w:basedOn w:val="body0"/>
    <w:rsid w:val="00C40F52"/>
    <w:pPr>
      <w:spacing w:after="240"/>
      <w:ind w:left="720"/>
      <w:contextualSpacing/>
    </w:pPr>
  </w:style>
  <w:style w:type="paragraph" w:customStyle="1" w:styleId="BODYDOCTITLE">
    <w:name w:val="BODY DOC TITLE"/>
    <w:basedOn w:val="bodycondstrongercentred"/>
    <w:rsid w:val="00C40F52"/>
    <w:rPr>
      <w:sz w:val="28"/>
    </w:rPr>
  </w:style>
  <w:style w:type="character" w:customStyle="1" w:styleId="bodypartyheadChar">
    <w:name w:val="body party head Char"/>
    <w:basedOn w:val="bodystrongerChar"/>
    <w:link w:val="bodypartyhead"/>
    <w:rsid w:val="00C40F52"/>
    <w:rPr>
      <w:rFonts w:ascii="Arial" w:eastAsia="SimSun" w:hAnsi="Arial"/>
      <w:b/>
      <w:caps/>
      <w:sz w:val="22"/>
      <w:szCs w:val="22"/>
    </w:rPr>
  </w:style>
  <w:style w:type="paragraph" w:customStyle="1" w:styleId="MarginTextHang">
    <w:name w:val="Margin Text Hang"/>
    <w:basedOn w:val="HouseStyleBase"/>
    <w:rsid w:val="00C40F52"/>
    <w:pPr>
      <w:overflowPunct w:val="0"/>
      <w:autoSpaceDE w:val="0"/>
      <w:autoSpaceDN w:val="0"/>
      <w:ind w:left="720" w:hanging="720"/>
      <w:textAlignment w:val="baseline"/>
    </w:pPr>
    <w:rPr>
      <w:rFonts w:ascii="Arial" w:hAnsi="Arial"/>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C40F52"/>
    <w:pPr>
      <w:overflowPunct/>
      <w:autoSpaceDE/>
      <w:autoSpaceDN/>
      <w:adjustRightInd/>
      <w:spacing w:before="120" w:after="120" w:line="240" w:lineRule="auto"/>
      <w:jc w:val="left"/>
      <w:textAlignment w:val="auto"/>
    </w:pPr>
    <w:rPr>
      <w:rFonts w:cs="Arial"/>
      <w:szCs w:val="22"/>
      <w:lang w:val="en-US"/>
    </w:rPr>
  </w:style>
  <w:style w:type="character" w:customStyle="1" w:styleId="Paragraph3Char">
    <w:name w:val="Paragraph 3 Char"/>
    <w:basedOn w:val="DefaultParagraphFont"/>
    <w:link w:val="Paragraph3"/>
    <w:rsid w:val="00C40F52"/>
    <w:rPr>
      <w:rFonts w:ascii="Arial" w:hAnsi="Arial" w:cs="Arial"/>
      <w:sz w:val="22"/>
      <w:szCs w:val="22"/>
      <w:lang w:val="en-US" w:eastAsia="en-US"/>
    </w:rPr>
  </w:style>
  <w:style w:type="paragraph" w:customStyle="1" w:styleId="BodyText1">
    <w:name w:val="Body Text1"/>
    <w:basedOn w:val="Normal"/>
    <w:rsid w:val="00C40F52"/>
    <w:pPr>
      <w:spacing w:before="240" w:after="120" w:line="240" w:lineRule="auto"/>
      <w:jc w:val="left"/>
    </w:pPr>
    <w:rPr>
      <w:rFonts w:cs="Arial"/>
      <w:noProof/>
      <w:lang w:val="en-US"/>
    </w:rPr>
  </w:style>
  <w:style w:type="paragraph" w:customStyle="1" w:styleId="Paragraph1">
    <w:name w:val="Paragraph 1"/>
    <w:basedOn w:val="Normal"/>
    <w:rsid w:val="00C40F52"/>
    <w:pPr>
      <w:overflowPunct/>
      <w:autoSpaceDE/>
      <w:autoSpaceDN/>
      <w:adjustRightInd/>
      <w:spacing w:before="120" w:after="120" w:line="240" w:lineRule="auto"/>
      <w:jc w:val="left"/>
      <w:textAlignment w:val="auto"/>
    </w:pPr>
    <w:rPr>
      <w:b/>
      <w:szCs w:val="24"/>
    </w:rPr>
  </w:style>
  <w:style w:type="paragraph" w:customStyle="1" w:styleId="ScheduleLevel1">
    <w:name w:val="Schedule Level 1"/>
    <w:basedOn w:val="Normal"/>
    <w:rsid w:val="00C40F52"/>
    <w:pPr>
      <w:numPr>
        <w:numId w:val="43"/>
      </w:numPr>
      <w:overflowPunct/>
      <w:autoSpaceDE/>
      <w:autoSpaceDN/>
      <w:adjustRightInd/>
      <w:spacing w:line="240" w:lineRule="auto"/>
      <w:textAlignment w:val="auto"/>
    </w:pPr>
  </w:style>
  <w:style w:type="paragraph" w:customStyle="1" w:styleId="ScheduleLevel2">
    <w:name w:val="Schedule Level 2"/>
    <w:basedOn w:val="ScheduleL2"/>
    <w:rsid w:val="00C40F52"/>
    <w:rPr>
      <w:rFonts w:cs="Arial"/>
    </w:rPr>
  </w:style>
  <w:style w:type="paragraph" w:customStyle="1" w:styleId="ScheduleLevel3">
    <w:name w:val="Schedule Level 3"/>
    <w:basedOn w:val="Normal"/>
    <w:rsid w:val="00C40F52"/>
    <w:pPr>
      <w:numPr>
        <w:ilvl w:val="2"/>
        <w:numId w:val="43"/>
      </w:numPr>
      <w:overflowPunct/>
      <w:autoSpaceDE/>
      <w:autoSpaceDN/>
      <w:adjustRightInd/>
      <w:spacing w:line="240" w:lineRule="auto"/>
      <w:textAlignment w:val="auto"/>
    </w:pPr>
  </w:style>
  <w:style w:type="paragraph" w:customStyle="1" w:styleId="ScheduleLevel4">
    <w:name w:val="Schedule Level 4"/>
    <w:basedOn w:val="Normal"/>
    <w:rsid w:val="00C40F52"/>
    <w:pPr>
      <w:numPr>
        <w:ilvl w:val="3"/>
        <w:numId w:val="43"/>
      </w:numPr>
      <w:overflowPunct/>
      <w:autoSpaceDE/>
      <w:autoSpaceDN/>
      <w:adjustRightInd/>
      <w:spacing w:line="240" w:lineRule="auto"/>
      <w:textAlignment w:val="auto"/>
    </w:pPr>
  </w:style>
  <w:style w:type="paragraph" w:customStyle="1" w:styleId="ScheduleLevel5">
    <w:name w:val="Schedule Level 5"/>
    <w:basedOn w:val="Normal"/>
    <w:rsid w:val="00C40F52"/>
    <w:pPr>
      <w:numPr>
        <w:ilvl w:val="4"/>
        <w:numId w:val="43"/>
      </w:numPr>
      <w:overflowPunct/>
      <w:autoSpaceDE/>
      <w:autoSpaceDN/>
      <w:adjustRightInd/>
      <w:spacing w:line="240" w:lineRule="auto"/>
      <w:textAlignment w:val="auto"/>
    </w:pPr>
  </w:style>
  <w:style w:type="paragraph" w:customStyle="1" w:styleId="ScheduleLevel6">
    <w:name w:val="Schedule Level 6"/>
    <w:basedOn w:val="Normal"/>
    <w:rsid w:val="00C40F52"/>
    <w:pPr>
      <w:numPr>
        <w:ilvl w:val="5"/>
        <w:numId w:val="43"/>
      </w:numPr>
      <w:overflowPunct/>
      <w:autoSpaceDE/>
      <w:autoSpaceDN/>
      <w:adjustRightInd/>
      <w:spacing w:line="240" w:lineRule="auto"/>
      <w:textAlignment w:val="auto"/>
    </w:pPr>
  </w:style>
  <w:style w:type="paragraph" w:customStyle="1" w:styleId="ScheduleLevel7">
    <w:name w:val="Schedule Level 7"/>
    <w:basedOn w:val="Normal"/>
    <w:rsid w:val="00C40F52"/>
    <w:pPr>
      <w:numPr>
        <w:ilvl w:val="6"/>
        <w:numId w:val="43"/>
      </w:numPr>
      <w:overflowPunct/>
      <w:autoSpaceDE/>
      <w:autoSpaceDN/>
      <w:adjustRightInd/>
      <w:spacing w:line="240" w:lineRule="auto"/>
      <w:textAlignment w:val="auto"/>
    </w:pPr>
  </w:style>
  <w:style w:type="paragraph" w:customStyle="1" w:styleId="ScheduleLevel8">
    <w:name w:val="Schedule Level 8"/>
    <w:basedOn w:val="Normal"/>
    <w:rsid w:val="00C40F52"/>
    <w:pPr>
      <w:numPr>
        <w:ilvl w:val="7"/>
        <w:numId w:val="43"/>
      </w:numPr>
      <w:overflowPunct/>
      <w:autoSpaceDE/>
      <w:autoSpaceDN/>
      <w:adjustRightInd/>
      <w:spacing w:line="240" w:lineRule="auto"/>
      <w:textAlignment w:val="auto"/>
    </w:pPr>
  </w:style>
  <w:style w:type="paragraph" w:customStyle="1" w:styleId="ScheduleLevel9">
    <w:name w:val="Schedule Level 9"/>
    <w:basedOn w:val="Normal"/>
    <w:rsid w:val="00C40F52"/>
    <w:pPr>
      <w:numPr>
        <w:ilvl w:val="8"/>
        <w:numId w:val="43"/>
      </w:numPr>
      <w:overflowPunct/>
      <w:autoSpaceDE/>
      <w:autoSpaceDN/>
      <w:adjustRightInd/>
      <w:spacing w:line="240" w:lineRule="auto"/>
      <w:textAlignment w:val="auto"/>
    </w:pPr>
  </w:style>
  <w:style w:type="paragraph" w:customStyle="1" w:styleId="Paragraph4">
    <w:name w:val="Paragraph 4"/>
    <w:basedOn w:val="Normal"/>
    <w:rsid w:val="00C40F52"/>
    <w:pPr>
      <w:tabs>
        <w:tab w:val="num" w:pos="2700"/>
      </w:tabs>
      <w:overflowPunct/>
      <w:autoSpaceDE/>
      <w:autoSpaceDN/>
      <w:adjustRightInd/>
      <w:spacing w:before="120" w:after="120" w:line="240" w:lineRule="auto"/>
      <w:ind w:left="2484" w:hanging="504"/>
      <w:jc w:val="left"/>
      <w:textAlignment w:val="auto"/>
    </w:pPr>
    <w:rPr>
      <w:szCs w:val="24"/>
    </w:rPr>
  </w:style>
  <w:style w:type="character" w:customStyle="1" w:styleId="NoSpacingChar">
    <w:name w:val="No Spacing Char"/>
    <w:basedOn w:val="DefaultParagraphFont"/>
    <w:link w:val="NoSpacing"/>
    <w:uiPriority w:val="1"/>
    <w:rsid w:val="00C40F52"/>
    <w:rPr>
      <w:sz w:val="22"/>
      <w:lang w:eastAsia="en-US"/>
    </w:rPr>
  </w:style>
  <w:style w:type="character" w:customStyle="1" w:styleId="BodyTextIndent3Char">
    <w:name w:val="Body Text Indent 3 Char"/>
    <w:basedOn w:val="DefaultParagraphFont"/>
    <w:link w:val="BodyTextIndent3"/>
    <w:rsid w:val="00C40F52"/>
    <w:rPr>
      <w:rFonts w:eastAsia="STZhongsong"/>
      <w:sz w:val="22"/>
      <w:lang w:eastAsia="zh-CN"/>
    </w:rPr>
  </w:style>
  <w:style w:type="paragraph" w:customStyle="1" w:styleId="StyleHeading120pt">
    <w:name w:val="Style Heading 1 + 20 pt"/>
    <w:basedOn w:val="Heading1"/>
    <w:rsid w:val="00C40F52"/>
    <w:pPr>
      <w:keepNext/>
      <w:numPr>
        <w:numId w:val="0"/>
      </w:numPr>
      <w:overflowPunct w:val="0"/>
      <w:autoSpaceDE w:val="0"/>
      <w:autoSpaceDN w:val="0"/>
      <w:spacing w:after="440"/>
      <w:ind w:left="431" w:hanging="431"/>
      <w:jc w:val="left"/>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C40F52"/>
  </w:style>
  <w:style w:type="character" w:customStyle="1" w:styleId="TitleChar">
    <w:name w:val="Title Char"/>
    <w:basedOn w:val="DefaultParagraphFont"/>
    <w:link w:val="Title"/>
    <w:rsid w:val="00C40F52"/>
    <w:rPr>
      <w:rFonts w:ascii="Arial" w:hAnsi="Arial"/>
      <w:b/>
      <w:kern w:val="28"/>
      <w:sz w:val="32"/>
      <w:lang w:eastAsia="en-US"/>
    </w:rPr>
  </w:style>
  <w:style w:type="paragraph" w:customStyle="1" w:styleId="Paragraph2">
    <w:name w:val="Paragraph 2"/>
    <w:basedOn w:val="Normal"/>
    <w:rsid w:val="00C40F52"/>
    <w:pPr>
      <w:overflowPunct/>
      <w:autoSpaceDE/>
      <w:autoSpaceDN/>
      <w:adjustRightInd/>
      <w:spacing w:before="120" w:after="120" w:line="240" w:lineRule="auto"/>
      <w:jc w:val="left"/>
      <w:textAlignment w:val="auto"/>
    </w:pPr>
    <w:rPr>
      <w:b/>
      <w:szCs w:val="24"/>
    </w:rPr>
  </w:style>
  <w:style w:type="paragraph" w:customStyle="1" w:styleId="Level1">
    <w:name w:val="Level 1"/>
    <w:basedOn w:val="Normal"/>
    <w:rsid w:val="00C40F52"/>
    <w:pPr>
      <w:numPr>
        <w:numId w:val="44"/>
      </w:numPr>
      <w:overflowPunct/>
      <w:autoSpaceDE/>
      <w:autoSpaceDN/>
      <w:adjustRightInd/>
      <w:spacing w:line="240" w:lineRule="auto"/>
      <w:textAlignment w:val="auto"/>
    </w:pPr>
  </w:style>
  <w:style w:type="paragraph" w:customStyle="1" w:styleId="Level2">
    <w:name w:val="Level 2"/>
    <w:basedOn w:val="Normal"/>
    <w:rsid w:val="00C40F52"/>
    <w:pPr>
      <w:numPr>
        <w:ilvl w:val="1"/>
        <w:numId w:val="44"/>
      </w:numPr>
      <w:overflowPunct/>
      <w:autoSpaceDE/>
      <w:autoSpaceDN/>
      <w:adjustRightInd/>
      <w:spacing w:line="240" w:lineRule="auto"/>
      <w:textAlignment w:val="auto"/>
    </w:pPr>
    <w:rPr>
      <w:szCs w:val="22"/>
    </w:rPr>
  </w:style>
  <w:style w:type="paragraph" w:customStyle="1" w:styleId="Level3">
    <w:name w:val="Level 3"/>
    <w:basedOn w:val="Normal"/>
    <w:rsid w:val="00C40F52"/>
    <w:pPr>
      <w:numPr>
        <w:ilvl w:val="2"/>
        <w:numId w:val="44"/>
      </w:numPr>
      <w:overflowPunct/>
      <w:autoSpaceDE/>
      <w:autoSpaceDN/>
      <w:adjustRightInd/>
      <w:spacing w:line="240" w:lineRule="auto"/>
      <w:textAlignment w:val="auto"/>
    </w:pPr>
  </w:style>
  <w:style w:type="paragraph" w:customStyle="1" w:styleId="Level4">
    <w:name w:val="Level 4"/>
    <w:basedOn w:val="Normal"/>
    <w:rsid w:val="00C40F52"/>
    <w:pPr>
      <w:numPr>
        <w:ilvl w:val="3"/>
        <w:numId w:val="44"/>
      </w:numPr>
      <w:overflowPunct/>
      <w:autoSpaceDE/>
      <w:autoSpaceDN/>
      <w:adjustRightInd/>
      <w:spacing w:line="240" w:lineRule="auto"/>
      <w:textAlignment w:val="auto"/>
    </w:pPr>
  </w:style>
  <w:style w:type="paragraph" w:customStyle="1" w:styleId="Level5">
    <w:name w:val="Level 5"/>
    <w:basedOn w:val="Normal"/>
    <w:rsid w:val="00C40F52"/>
    <w:pPr>
      <w:numPr>
        <w:ilvl w:val="4"/>
        <w:numId w:val="44"/>
      </w:numPr>
      <w:overflowPunct/>
      <w:autoSpaceDE/>
      <w:autoSpaceDN/>
      <w:adjustRightInd/>
      <w:spacing w:line="240" w:lineRule="auto"/>
      <w:textAlignment w:val="auto"/>
    </w:pPr>
  </w:style>
  <w:style w:type="paragraph" w:customStyle="1" w:styleId="Level6">
    <w:name w:val="Level 6"/>
    <w:basedOn w:val="Normal"/>
    <w:rsid w:val="00C40F52"/>
    <w:pPr>
      <w:numPr>
        <w:ilvl w:val="5"/>
        <w:numId w:val="44"/>
      </w:numPr>
      <w:overflowPunct/>
      <w:autoSpaceDE/>
      <w:autoSpaceDN/>
      <w:adjustRightInd/>
      <w:spacing w:line="240" w:lineRule="auto"/>
      <w:textAlignment w:val="auto"/>
    </w:pPr>
  </w:style>
  <w:style w:type="paragraph" w:customStyle="1" w:styleId="Level7">
    <w:name w:val="Level 7"/>
    <w:basedOn w:val="Normal"/>
    <w:rsid w:val="00C40F52"/>
    <w:pPr>
      <w:numPr>
        <w:ilvl w:val="6"/>
        <w:numId w:val="44"/>
      </w:numPr>
      <w:overflowPunct/>
      <w:autoSpaceDE/>
      <w:autoSpaceDN/>
      <w:adjustRightInd/>
      <w:spacing w:line="240" w:lineRule="auto"/>
      <w:textAlignment w:val="auto"/>
    </w:pPr>
  </w:style>
  <w:style w:type="paragraph" w:customStyle="1" w:styleId="Level8">
    <w:name w:val="Level 8"/>
    <w:basedOn w:val="Normal"/>
    <w:rsid w:val="00C40F52"/>
    <w:pPr>
      <w:numPr>
        <w:ilvl w:val="7"/>
        <w:numId w:val="44"/>
      </w:numPr>
      <w:overflowPunct/>
      <w:autoSpaceDE/>
      <w:autoSpaceDN/>
      <w:adjustRightInd/>
      <w:spacing w:line="240" w:lineRule="auto"/>
      <w:textAlignment w:val="auto"/>
    </w:pPr>
  </w:style>
  <w:style w:type="paragraph" w:customStyle="1" w:styleId="Level9">
    <w:name w:val="Level 9"/>
    <w:basedOn w:val="Normal"/>
    <w:rsid w:val="00C40F52"/>
    <w:pPr>
      <w:numPr>
        <w:ilvl w:val="8"/>
        <w:numId w:val="44"/>
      </w:numPr>
      <w:overflowPunct/>
      <w:autoSpaceDE/>
      <w:autoSpaceDN/>
      <w:adjustRightInd/>
      <w:spacing w:line="240" w:lineRule="auto"/>
      <w:textAlignment w:val="auto"/>
    </w:pPr>
  </w:style>
  <w:style w:type="character" w:customStyle="1" w:styleId="FootnoteTextChar">
    <w:name w:val="Footnote Text Char"/>
    <w:basedOn w:val="DefaultParagraphFont"/>
    <w:link w:val="FootnoteText"/>
    <w:semiHidden/>
    <w:rsid w:val="00C40F52"/>
    <w:rPr>
      <w:rFonts w:eastAsia="STZhongsong"/>
      <w:sz w:val="16"/>
      <w:lang w:eastAsia="zh-CN"/>
    </w:rPr>
  </w:style>
  <w:style w:type="paragraph" w:customStyle="1" w:styleId="ScheduleHeader">
    <w:name w:val="Schedule Header"/>
    <w:basedOn w:val="Normal"/>
    <w:next w:val="Normal"/>
    <w:rsid w:val="00C40F52"/>
    <w:pPr>
      <w:overflowPunct/>
      <w:autoSpaceDE/>
      <w:autoSpaceDN/>
      <w:adjustRightInd/>
      <w:spacing w:line="240" w:lineRule="auto"/>
      <w:jc w:val="center"/>
      <w:textAlignment w:val="auto"/>
    </w:pPr>
    <w:rPr>
      <w:b/>
      <w:caps/>
      <w:u w:val="single"/>
    </w:rPr>
  </w:style>
  <w:style w:type="paragraph" w:customStyle="1" w:styleId="Level1Heading">
    <w:name w:val="Level 1 Heading"/>
    <w:basedOn w:val="Level1"/>
    <w:next w:val="Level1"/>
    <w:rsid w:val="00C40F52"/>
    <w:pPr>
      <w:keepNext/>
      <w:ind w:left="431" w:hanging="431"/>
    </w:pPr>
    <w:rPr>
      <w:b/>
      <w:caps/>
      <w:u w:val="single"/>
    </w:rPr>
  </w:style>
  <w:style w:type="paragraph" w:customStyle="1" w:styleId="Level2Heading">
    <w:name w:val="Level 2 Heading"/>
    <w:basedOn w:val="Level2"/>
    <w:next w:val="Level2"/>
    <w:rsid w:val="00C40F52"/>
    <w:pPr>
      <w:keepNext/>
      <w:ind w:left="1077" w:hanging="646"/>
    </w:pPr>
    <w:rPr>
      <w:b/>
      <w:u w:val="single"/>
    </w:rPr>
  </w:style>
  <w:style w:type="paragraph" w:customStyle="1" w:styleId="Level3Heading">
    <w:name w:val="Level 3 Heading"/>
    <w:basedOn w:val="Level3"/>
    <w:next w:val="Level3"/>
    <w:rsid w:val="00C40F52"/>
    <w:pPr>
      <w:keepNext/>
      <w:ind w:left="1939" w:hanging="862"/>
    </w:pPr>
    <w:rPr>
      <w:u w:val="single"/>
    </w:rPr>
  </w:style>
  <w:style w:type="paragraph" w:customStyle="1" w:styleId="ScheduleLevel1Heading">
    <w:name w:val="Schedule Level 1 Heading"/>
    <w:basedOn w:val="ScheduleLevel1"/>
    <w:next w:val="ScheduleLevel1"/>
    <w:rsid w:val="00C40F52"/>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C40F52"/>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C40F52"/>
    <w:pPr>
      <w:keepNext/>
      <w:numPr>
        <w:ilvl w:val="0"/>
        <w:numId w:val="0"/>
      </w:numPr>
      <w:tabs>
        <w:tab w:val="num" w:pos="1492"/>
      </w:tabs>
      <w:ind w:left="1492" w:hanging="360"/>
    </w:pPr>
    <w:rPr>
      <w:u w:val="single"/>
    </w:rPr>
  </w:style>
  <w:style w:type="character" w:customStyle="1" w:styleId="Level4Char">
    <w:name w:val="Level 4 Char"/>
    <w:basedOn w:val="DefaultParagraphFont"/>
    <w:rsid w:val="00C40F52"/>
    <w:rPr>
      <w:rFonts w:ascii="Arial" w:hAnsi="Arial"/>
      <w:sz w:val="22"/>
      <w:lang w:val="en-GB" w:eastAsia="en-US" w:bidi="ar-SA"/>
    </w:rPr>
  </w:style>
  <w:style w:type="character" w:customStyle="1" w:styleId="Level3Char">
    <w:name w:val="Level 3 Char"/>
    <w:basedOn w:val="DefaultParagraphFont"/>
    <w:rsid w:val="00C40F52"/>
    <w:rPr>
      <w:rFonts w:ascii="Arial" w:hAnsi="Arial"/>
      <w:sz w:val="22"/>
      <w:lang w:val="en-GB" w:eastAsia="en-US" w:bidi="ar-SA"/>
    </w:rPr>
  </w:style>
  <w:style w:type="paragraph" w:customStyle="1" w:styleId="Style2">
    <w:name w:val="Style2"/>
    <w:basedOn w:val="Normal"/>
    <w:rsid w:val="00C40F52"/>
    <w:pPr>
      <w:tabs>
        <w:tab w:val="left" w:pos="720"/>
        <w:tab w:val="left" w:pos="851"/>
        <w:tab w:val="left" w:pos="1418"/>
        <w:tab w:val="left" w:pos="1584"/>
        <w:tab w:val="left" w:pos="2592"/>
        <w:tab w:val="left" w:pos="3744"/>
        <w:tab w:val="left" w:pos="5184"/>
        <w:tab w:val="left" w:pos="6912"/>
      </w:tabs>
      <w:overflowPunct/>
      <w:autoSpaceDE/>
      <w:autoSpaceDN/>
      <w:adjustRightInd/>
      <w:spacing w:after="0" w:line="240" w:lineRule="auto"/>
      <w:textAlignment w:val="auto"/>
    </w:pPr>
    <w:rPr>
      <w:sz w:val="24"/>
    </w:rPr>
  </w:style>
  <w:style w:type="paragraph" w:customStyle="1" w:styleId="TxBrp15">
    <w:name w:val="TxBr_p15"/>
    <w:basedOn w:val="Normal"/>
    <w:rsid w:val="00C40F52"/>
    <w:pPr>
      <w:widowControl w:val="0"/>
      <w:tabs>
        <w:tab w:val="left" w:pos="204"/>
      </w:tabs>
      <w:overflowPunct/>
      <w:autoSpaceDE/>
      <w:autoSpaceDN/>
      <w:adjustRightInd/>
      <w:spacing w:after="0" w:line="289" w:lineRule="atLeast"/>
      <w:textAlignment w:val="auto"/>
    </w:pPr>
    <w:rPr>
      <w:snapToGrid w:val="0"/>
      <w:sz w:val="24"/>
    </w:rPr>
  </w:style>
  <w:style w:type="paragraph" w:customStyle="1" w:styleId="add">
    <w:name w:val="add"/>
    <w:rsid w:val="00C40F52"/>
    <w:rPr>
      <w:sz w:val="24"/>
      <w:szCs w:val="24"/>
      <w:lang w:eastAsia="en-US"/>
    </w:rPr>
  </w:style>
  <w:style w:type="paragraph" w:customStyle="1" w:styleId="KLegalHeading3">
    <w:name w:val="KLegal Heading 3"/>
    <w:basedOn w:val="Normal"/>
    <w:next w:val="Normal"/>
    <w:rsid w:val="00C40F52"/>
    <w:pPr>
      <w:keepNext/>
      <w:numPr>
        <w:ilvl w:val="2"/>
        <w:numId w:val="45"/>
      </w:numPr>
      <w:tabs>
        <w:tab w:val="clear" w:pos="720"/>
      </w:tabs>
      <w:spacing w:after="220" w:line="240" w:lineRule="auto"/>
      <w:ind w:left="1440" w:hanging="720"/>
    </w:pPr>
    <w:rPr>
      <w:b/>
    </w:rPr>
  </w:style>
  <w:style w:type="paragraph" w:customStyle="1" w:styleId="KLegalHeading4">
    <w:name w:val="KLegal Heading 4"/>
    <w:basedOn w:val="Normal"/>
    <w:next w:val="Normal"/>
    <w:rsid w:val="00C40F52"/>
    <w:pPr>
      <w:keepNext/>
      <w:numPr>
        <w:ilvl w:val="3"/>
        <w:numId w:val="45"/>
      </w:numPr>
      <w:tabs>
        <w:tab w:val="clear" w:pos="1080"/>
      </w:tabs>
      <w:spacing w:after="220" w:line="240" w:lineRule="auto"/>
      <w:ind w:left="2160" w:hanging="720"/>
    </w:pPr>
    <w:rPr>
      <w:b/>
      <w:i/>
    </w:rPr>
  </w:style>
  <w:style w:type="paragraph" w:customStyle="1" w:styleId="KLegalHeading1">
    <w:name w:val="KLegal Heading 1"/>
    <w:basedOn w:val="Normal"/>
    <w:next w:val="KLegalHeading2"/>
    <w:rsid w:val="00C40F52"/>
    <w:pPr>
      <w:keepNext/>
      <w:pageBreakBefore/>
      <w:numPr>
        <w:numId w:val="45"/>
      </w:numPr>
      <w:tabs>
        <w:tab w:val="clear" w:pos="360"/>
      </w:tabs>
      <w:spacing w:after="440" w:line="240" w:lineRule="auto"/>
      <w:ind w:left="851" w:hanging="851"/>
      <w:outlineLvl w:val="0"/>
    </w:pPr>
    <w:rPr>
      <w:b/>
      <w:sz w:val="32"/>
    </w:rPr>
  </w:style>
  <w:style w:type="paragraph" w:customStyle="1" w:styleId="KLegalHeading2">
    <w:name w:val="KLegal Heading 2"/>
    <w:basedOn w:val="Normal"/>
    <w:next w:val="KLegalHeading3"/>
    <w:rsid w:val="00C40F52"/>
    <w:pPr>
      <w:keepNext/>
      <w:numPr>
        <w:ilvl w:val="1"/>
        <w:numId w:val="45"/>
      </w:numPr>
      <w:tabs>
        <w:tab w:val="clear" w:pos="720"/>
      </w:tabs>
      <w:spacing w:after="220" w:line="240" w:lineRule="auto"/>
      <w:ind w:left="851" w:hanging="851"/>
      <w:outlineLvl w:val="1"/>
    </w:pPr>
    <w:rPr>
      <w:b/>
      <w:sz w:val="28"/>
    </w:rPr>
  </w:style>
  <w:style w:type="paragraph" w:customStyle="1" w:styleId="01-Level1-BB">
    <w:name w:val="01-Level1-BB"/>
    <w:basedOn w:val="Normal"/>
    <w:next w:val="Normal"/>
    <w:rsid w:val="00C40F52"/>
    <w:pPr>
      <w:numPr>
        <w:numId w:val="46"/>
      </w:numPr>
      <w:overflowPunct/>
      <w:autoSpaceDE/>
      <w:autoSpaceDN/>
      <w:adjustRightInd/>
      <w:spacing w:after="0" w:line="240" w:lineRule="auto"/>
      <w:textAlignment w:val="auto"/>
    </w:pPr>
    <w:rPr>
      <w:b/>
    </w:rPr>
  </w:style>
  <w:style w:type="paragraph" w:customStyle="1" w:styleId="01-Level2-BB">
    <w:name w:val="01-Level2-BB"/>
    <w:basedOn w:val="Normal"/>
    <w:next w:val="Normal"/>
    <w:rsid w:val="00C40F52"/>
    <w:pPr>
      <w:numPr>
        <w:ilvl w:val="1"/>
        <w:numId w:val="46"/>
      </w:numPr>
      <w:overflowPunct/>
      <w:autoSpaceDE/>
      <w:autoSpaceDN/>
      <w:adjustRightInd/>
      <w:spacing w:after="0" w:line="240" w:lineRule="auto"/>
      <w:textAlignment w:val="auto"/>
    </w:pPr>
  </w:style>
  <w:style w:type="paragraph" w:customStyle="1" w:styleId="01-Level3-BB">
    <w:name w:val="01-Level3-BB"/>
    <w:basedOn w:val="Normal"/>
    <w:next w:val="Normal"/>
    <w:rsid w:val="00C40F52"/>
    <w:pPr>
      <w:numPr>
        <w:ilvl w:val="2"/>
        <w:numId w:val="46"/>
      </w:numPr>
      <w:overflowPunct/>
      <w:autoSpaceDE/>
      <w:autoSpaceDN/>
      <w:adjustRightInd/>
      <w:spacing w:after="0" w:line="240" w:lineRule="auto"/>
      <w:textAlignment w:val="auto"/>
    </w:pPr>
  </w:style>
  <w:style w:type="paragraph" w:customStyle="1" w:styleId="01-Level4-BB">
    <w:name w:val="01-Level4-BB"/>
    <w:basedOn w:val="Normal"/>
    <w:next w:val="Normal"/>
    <w:rsid w:val="00C40F52"/>
    <w:pPr>
      <w:numPr>
        <w:ilvl w:val="3"/>
        <w:numId w:val="46"/>
      </w:numPr>
      <w:overflowPunct/>
      <w:autoSpaceDE/>
      <w:autoSpaceDN/>
      <w:adjustRightInd/>
      <w:spacing w:after="0" w:line="240" w:lineRule="auto"/>
      <w:textAlignment w:val="auto"/>
    </w:pPr>
  </w:style>
  <w:style w:type="paragraph" w:customStyle="1" w:styleId="01-Level5-BB">
    <w:name w:val="01-Level5-BB"/>
    <w:basedOn w:val="Normal"/>
    <w:next w:val="Normal"/>
    <w:rsid w:val="00C40F52"/>
    <w:pPr>
      <w:numPr>
        <w:ilvl w:val="4"/>
        <w:numId w:val="46"/>
      </w:numPr>
      <w:overflowPunct/>
      <w:autoSpaceDE/>
      <w:autoSpaceDN/>
      <w:adjustRightInd/>
      <w:spacing w:after="0" w:line="240" w:lineRule="auto"/>
      <w:textAlignment w:val="auto"/>
    </w:pPr>
  </w:style>
  <w:style w:type="paragraph" w:customStyle="1" w:styleId="00-Normal-BB">
    <w:name w:val="00-Normal-BB"/>
    <w:rsid w:val="00C40F52"/>
    <w:pPr>
      <w:jc w:val="both"/>
    </w:pPr>
    <w:rPr>
      <w:rFonts w:ascii="Arial" w:hAnsi="Arial"/>
      <w:sz w:val="22"/>
      <w:lang w:eastAsia="en-US"/>
    </w:rPr>
  </w:style>
  <w:style w:type="character" w:customStyle="1" w:styleId="StyleArial11pt">
    <w:name w:val="Style Arial 11 pt"/>
    <w:basedOn w:val="DefaultParagraphFont"/>
    <w:rsid w:val="00C40F52"/>
    <w:rPr>
      <w:rFonts w:ascii="Arial" w:hAnsi="Arial"/>
      <w:color w:val="auto"/>
      <w:sz w:val="22"/>
    </w:rPr>
  </w:style>
  <w:style w:type="paragraph" w:customStyle="1" w:styleId="StyleHeading3Arial11ptAutoLeft0cmFirstline0cm">
    <w:name w:val="Style Heading 3 + Arial 11 pt Auto Left:  0 cm First line:  0 cm"/>
    <w:basedOn w:val="Normal"/>
    <w:rsid w:val="00C40F52"/>
    <w:pPr>
      <w:numPr>
        <w:numId w:val="47"/>
      </w:numPr>
      <w:overflowPunct/>
      <w:autoSpaceDE/>
      <w:autoSpaceDN/>
      <w:adjustRightInd/>
      <w:spacing w:after="0" w:line="240" w:lineRule="auto"/>
      <w:jc w:val="left"/>
      <w:textAlignment w:val="auto"/>
    </w:pPr>
    <w:rPr>
      <w:sz w:val="24"/>
      <w:szCs w:val="24"/>
    </w:rPr>
  </w:style>
  <w:style w:type="paragraph" w:customStyle="1" w:styleId="OutlineIndPara">
    <w:name w:val="Outline Ind Para"/>
    <w:basedOn w:val="Normal"/>
    <w:rsid w:val="00C40F52"/>
    <w:pPr>
      <w:overflowPunct/>
      <w:autoSpaceDE/>
      <w:autoSpaceDN/>
      <w:adjustRightInd/>
      <w:spacing w:line="240" w:lineRule="auto"/>
      <w:ind w:left="851"/>
      <w:textAlignment w:val="auto"/>
    </w:pPr>
  </w:style>
  <w:style w:type="paragraph" w:customStyle="1" w:styleId="AppSub">
    <w:name w:val="App Sub"/>
    <w:basedOn w:val="Normal"/>
    <w:next w:val="Normal"/>
    <w:rsid w:val="00C40F52"/>
    <w:pPr>
      <w:numPr>
        <w:numId w:val="48"/>
      </w:numPr>
      <w:tabs>
        <w:tab w:val="clear" w:pos="1440"/>
      </w:tabs>
      <w:overflowPunct/>
      <w:autoSpaceDE/>
      <w:autoSpaceDN/>
      <w:adjustRightInd/>
      <w:spacing w:line="240" w:lineRule="auto"/>
      <w:jc w:val="center"/>
      <w:textAlignment w:val="auto"/>
    </w:pPr>
    <w:rPr>
      <w:b/>
      <w:caps/>
    </w:rPr>
  </w:style>
  <w:style w:type="paragraph" w:customStyle="1" w:styleId="StyleParagraph2JustifiedBefore12pt">
    <w:name w:val="Style Paragraph 2 + Justified Before:  12 pt"/>
    <w:basedOn w:val="Paragraph2"/>
    <w:rsid w:val="00C40F52"/>
    <w:pPr>
      <w:spacing w:before="240"/>
      <w:ind w:left="782" w:hanging="357"/>
      <w:jc w:val="both"/>
    </w:pPr>
    <w:rPr>
      <w:bCs/>
      <w:szCs w:val="20"/>
    </w:rPr>
  </w:style>
  <w:style w:type="paragraph" w:customStyle="1" w:styleId="HeadA">
    <w:name w:val="Head A"/>
    <w:basedOn w:val="Heading1"/>
    <w:next w:val="Normal"/>
    <w:rsid w:val="00C40F52"/>
    <w:pPr>
      <w:keepNext/>
      <w:numPr>
        <w:numId w:val="50"/>
      </w:numPr>
      <w:adjustRightInd/>
      <w:spacing w:after="120"/>
    </w:pPr>
    <w:rPr>
      <w:rFonts w:eastAsia="Times New Roman"/>
      <w:bCs/>
      <w:kern w:val="32"/>
      <w:sz w:val="28"/>
      <w:szCs w:val="32"/>
      <w:lang w:eastAsia="en-GB"/>
    </w:rPr>
  </w:style>
  <w:style w:type="paragraph" w:customStyle="1" w:styleId="HeadC">
    <w:name w:val="Head C"/>
    <w:basedOn w:val="Heading3"/>
    <w:next w:val="Normal"/>
    <w:rsid w:val="00C40F52"/>
    <w:pPr>
      <w:keepNext/>
      <w:numPr>
        <w:numId w:val="50"/>
      </w:numPr>
      <w:tabs>
        <w:tab w:val="left" w:pos="180"/>
      </w:tabs>
      <w:adjustRightInd/>
      <w:spacing w:after="120"/>
    </w:pPr>
    <w:rPr>
      <w:rFonts w:eastAsia="Times New Roman"/>
      <w:bCs/>
      <w:szCs w:val="26"/>
      <w:lang w:eastAsia="en-GB"/>
    </w:rPr>
  </w:style>
  <w:style w:type="paragraph" w:customStyle="1" w:styleId="HeadB">
    <w:name w:val="Head B"/>
    <w:basedOn w:val="Normal"/>
    <w:rsid w:val="00C40F52"/>
    <w:pPr>
      <w:numPr>
        <w:ilvl w:val="1"/>
        <w:numId w:val="50"/>
      </w:numPr>
      <w:overflowPunct/>
      <w:autoSpaceDE/>
      <w:autoSpaceDN/>
      <w:adjustRightInd/>
      <w:spacing w:after="60" w:line="240" w:lineRule="auto"/>
      <w:textAlignment w:val="auto"/>
    </w:pPr>
    <w:rPr>
      <w:rFonts w:ascii="Arial Bold" w:hAnsi="Arial Bold"/>
      <w:b/>
      <w:color w:val="0000FF"/>
      <w:sz w:val="24"/>
      <w:szCs w:val="24"/>
      <w:lang w:eastAsia="en-GB"/>
    </w:rPr>
  </w:style>
  <w:style w:type="character" w:customStyle="1" w:styleId="PQQbulletChar">
    <w:name w:val="PQQ bullet Char"/>
    <w:basedOn w:val="DefaultParagraphFont"/>
    <w:link w:val="PQQbullet"/>
    <w:locked/>
    <w:rsid w:val="00C40F52"/>
    <w:rPr>
      <w:rFonts w:ascii="Arial" w:hAnsi="Arial" w:cs="Arial"/>
      <w:sz w:val="22"/>
      <w:szCs w:val="22"/>
    </w:rPr>
  </w:style>
  <w:style w:type="paragraph" w:customStyle="1" w:styleId="PQQbullet">
    <w:name w:val="PQQ bullet"/>
    <w:basedOn w:val="Normal"/>
    <w:link w:val="PQQbulletChar"/>
    <w:rsid w:val="00C40F52"/>
    <w:pPr>
      <w:numPr>
        <w:numId w:val="49"/>
      </w:numPr>
      <w:overflowPunct/>
      <w:autoSpaceDE/>
      <w:autoSpaceDN/>
      <w:adjustRightInd/>
      <w:spacing w:after="0" w:line="240" w:lineRule="auto"/>
      <w:textAlignment w:val="auto"/>
    </w:pPr>
    <w:rPr>
      <w:rFonts w:cs="Arial"/>
      <w:szCs w:val="22"/>
      <w:lang w:eastAsia="en-GB"/>
    </w:rPr>
  </w:style>
  <w:style w:type="character" w:customStyle="1" w:styleId="IndentAChar">
    <w:name w:val="Indent A Char"/>
    <w:basedOn w:val="DefaultParagraphFont"/>
    <w:link w:val="IndentA0"/>
    <w:locked/>
    <w:rsid w:val="00C40F52"/>
    <w:rPr>
      <w:rFonts w:ascii="Arial" w:hAnsi="Arial" w:cs="Arial"/>
      <w:sz w:val="22"/>
      <w:szCs w:val="24"/>
    </w:rPr>
  </w:style>
  <w:style w:type="paragraph" w:customStyle="1" w:styleId="IndentA0">
    <w:name w:val="Indent A"/>
    <w:basedOn w:val="Normal"/>
    <w:link w:val="IndentAChar"/>
    <w:rsid w:val="00C40F52"/>
    <w:pPr>
      <w:overflowPunct/>
      <w:autoSpaceDE/>
      <w:autoSpaceDN/>
      <w:adjustRightInd/>
      <w:spacing w:before="60" w:after="120" w:line="240" w:lineRule="auto"/>
      <w:ind w:left="181"/>
      <w:textAlignment w:val="auto"/>
    </w:pPr>
    <w:rPr>
      <w:rFonts w:cs="Arial"/>
      <w:szCs w:val="24"/>
      <w:lang w:eastAsia="en-GB"/>
    </w:rPr>
  </w:style>
  <w:style w:type="paragraph" w:customStyle="1" w:styleId="htm01normal">
    <w:name w:val="htm01 normal"/>
    <w:basedOn w:val="Normal"/>
    <w:rsid w:val="00C40F52"/>
    <w:pPr>
      <w:overflowPunct/>
      <w:autoSpaceDE/>
      <w:autoSpaceDN/>
      <w:adjustRightInd/>
      <w:spacing w:after="0" w:line="240" w:lineRule="auto"/>
      <w:ind w:left="900"/>
      <w:jc w:val="left"/>
      <w:textAlignment w:val="auto"/>
    </w:pPr>
    <w:rPr>
      <w:sz w:val="24"/>
    </w:rPr>
  </w:style>
  <w:style w:type="paragraph" w:customStyle="1" w:styleId="Style1">
    <w:name w:val="Style1"/>
    <w:basedOn w:val="TOC9"/>
    <w:qFormat/>
    <w:rsid w:val="00C40F52"/>
    <w:rPr>
      <w:rFonts w:ascii="Arial" w:hAnsi="Arial"/>
      <w:noProof/>
    </w:rPr>
  </w:style>
  <w:style w:type="paragraph" w:customStyle="1" w:styleId="01-NormInd1-BB">
    <w:name w:val="01-NormInd1-BB"/>
    <w:basedOn w:val="Normal"/>
    <w:rsid w:val="00C40F52"/>
    <w:pPr>
      <w:overflowPunct/>
      <w:autoSpaceDE/>
      <w:autoSpaceDN/>
      <w:adjustRightInd/>
      <w:spacing w:after="120" w:line="240" w:lineRule="auto"/>
      <w:ind w:left="720"/>
      <w:textAlignment w:val="auto"/>
    </w:pPr>
    <w:rPr>
      <w:sz w:val="20"/>
    </w:rPr>
  </w:style>
  <w:style w:type="character" w:customStyle="1" w:styleId="CharChar2">
    <w:name w:val="Char Char2"/>
    <w:basedOn w:val="DefaultParagraphFont"/>
    <w:rsid w:val="00C40F52"/>
    <w:rPr>
      <w:rFonts w:ascii="Arial" w:hAnsi="Arial"/>
      <w:sz w:val="22"/>
      <w:szCs w:val="24"/>
      <w:lang w:eastAsia="en-US"/>
    </w:rPr>
  </w:style>
  <w:style w:type="numbering" w:customStyle="1" w:styleId="1111111">
    <w:name w:val="1 / 1.1 / 1.1.11"/>
    <w:basedOn w:val="NoList"/>
    <w:next w:val="111111"/>
    <w:rsid w:val="00C40F52"/>
  </w:style>
  <w:style w:type="character" w:customStyle="1" w:styleId="apple-tab-span">
    <w:name w:val="apple-tab-span"/>
    <w:basedOn w:val="DefaultParagraphFont"/>
    <w:rsid w:val="00C40F52"/>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C40F52"/>
    <w:pPr>
      <w:overflowPunct/>
      <w:autoSpaceDE/>
      <w:autoSpaceDN/>
      <w:adjustRightInd/>
      <w:spacing w:after="120" w:line="240" w:lineRule="exact"/>
      <w:jc w:val="left"/>
      <w:textAlignment w:val="auto"/>
    </w:pPr>
    <w:rPr>
      <w:rFonts w:ascii="Verdana" w:hAnsi="Verdana"/>
      <w:sz w:val="20"/>
      <w:lang w:val="en-US"/>
    </w:rPr>
  </w:style>
  <w:style w:type="paragraph" w:customStyle="1" w:styleId="TLTBodyText2">
    <w:name w:val="TLT Body Text 2"/>
    <w:basedOn w:val="Normal"/>
    <w:rsid w:val="00C40F52"/>
    <w:pPr>
      <w:overflowPunct/>
      <w:autoSpaceDE/>
      <w:autoSpaceDN/>
      <w:adjustRightInd/>
      <w:spacing w:before="100" w:after="200" w:line="240" w:lineRule="auto"/>
      <w:ind w:left="720"/>
      <w:jc w:val="left"/>
      <w:textAlignment w:val="auto"/>
    </w:pPr>
    <w:rPr>
      <w:rFonts w:ascii="Times New Roman" w:hAnsi="Times New Roman"/>
      <w:sz w:val="24"/>
      <w:szCs w:val="24"/>
      <w:lang w:eastAsia="en-GB"/>
    </w:rPr>
  </w:style>
  <w:style w:type="numbering" w:customStyle="1" w:styleId="NoList1">
    <w:name w:val="No List1"/>
    <w:next w:val="NoList"/>
    <w:uiPriority w:val="99"/>
    <w:semiHidden/>
    <w:unhideWhenUsed/>
    <w:rsid w:val="00126EC1"/>
  </w:style>
  <w:style w:type="table" w:customStyle="1" w:styleId="TableGrid0">
    <w:name w:val="TableGrid"/>
    <w:rsid w:val="00126EC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40937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58554/Procurement_Policy_Note_13_15.pd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gov.uk/government/publications/data-protection-and-security-of-information-supplying-to-dwp" TargetMode="External"/><Relationship Id="rId14" Type="http://schemas.openxmlformats.org/officeDocument/2006/relationships/header" Target="header3.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F4C34F34-A5F2-4D12-ADC2-F0F23070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41504</Words>
  <Characters>236577</Characters>
  <Application>Microsoft Office Word</Application>
  <DocSecurity>0</DocSecurity>
  <Lines>1971</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Christopher Dier</cp:lastModifiedBy>
  <cp:revision>3</cp:revision>
  <cp:lastPrinted>2016-09-15T13:40:00Z</cp:lastPrinted>
  <dcterms:created xsi:type="dcterms:W3CDTF">2019-04-01T12:55:00Z</dcterms:created>
  <dcterms:modified xsi:type="dcterms:W3CDTF">2019-04-01T12:55:00Z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y fmtid="{D5CDD505-2E9C-101B-9397-08002B2CF9AE}" pid="3" name="_AdHocReviewCycleID">
    <vt:i4>56337850</vt:i4>
  </property>
  <property fmtid="{D5CDD505-2E9C-101B-9397-08002B2CF9AE}" pid="4" name="_NewReviewCycle">
    <vt:lpwstr/>
  </property>
  <property fmtid="{D5CDD505-2E9C-101B-9397-08002B2CF9AE}" pid="5" name="_EmailSubject">
    <vt:lpwstr>Legal Services Procurement - Consensus Comments</vt:lpwstr>
  </property>
  <property fmtid="{D5CDD505-2E9C-101B-9397-08002B2CF9AE}" pid="6" name="_AuthorEmail">
    <vt:lpwstr>MATT.WOOD@DWP.GSI.GOV.UK</vt:lpwstr>
  </property>
  <property fmtid="{D5CDD505-2E9C-101B-9397-08002B2CF9AE}" pid="7" name="_AuthorEmailDisplayName">
    <vt:lpwstr>Wood Matt PROFESSIONAL SERVICES CAXTON HOUSE</vt:lpwstr>
  </property>
  <property fmtid="{D5CDD505-2E9C-101B-9397-08002B2CF9AE}" pid="8" name="_PreviousAdHocReviewCycleID">
    <vt:i4>81645706</vt:i4>
  </property>
  <property fmtid="{D5CDD505-2E9C-101B-9397-08002B2CF9AE}" pid="9" name="_ReviewingToolsShownOnce">
    <vt:lpwstr/>
  </property>
</Properties>
</file>