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9" w:type="dxa"/>
        <w:tblInd w:w="-284" w:type="dxa"/>
        <w:tblLayout w:type="fixed"/>
        <w:tblCellMar>
          <w:left w:w="0" w:type="dxa"/>
          <w:right w:w="0" w:type="dxa"/>
        </w:tblCellMar>
        <w:tblLook w:val="04A0" w:firstRow="1" w:lastRow="0" w:firstColumn="1" w:lastColumn="0" w:noHBand="0" w:noVBand="1"/>
      </w:tblPr>
      <w:tblGrid>
        <w:gridCol w:w="4963"/>
        <w:gridCol w:w="2552"/>
        <w:gridCol w:w="2624"/>
      </w:tblGrid>
      <w:tr w:rsidR="00E030A2" w:rsidRPr="008B017B" w14:paraId="2522D81E" w14:textId="77777777" w:rsidTr="00202279">
        <w:trPr>
          <w:trHeight w:val="1163"/>
        </w:trPr>
        <w:tc>
          <w:tcPr>
            <w:tcW w:w="4962" w:type="dxa"/>
            <w:shd w:val="clear" w:color="auto" w:fill="auto"/>
          </w:tcPr>
          <w:p w14:paraId="4AC0E4E9" w14:textId="4E966A05" w:rsidR="00E030A2" w:rsidRPr="008B017B" w:rsidRDefault="00E030A2" w:rsidP="00202279">
            <w:pPr>
              <w:spacing w:before="0" w:after="0"/>
              <w:ind w:left="88"/>
              <w:rPr>
                <w:color w:val="FFFFFF"/>
                <w:sz w:val="28"/>
              </w:rPr>
            </w:pPr>
            <w:r>
              <w:rPr>
                <w:noProof/>
              </w:rPr>
              <w:drawing>
                <wp:inline distT="0" distB="0" distL="0" distR="0" wp14:anchorId="4E8B22BF" wp14:editId="558E4914">
                  <wp:extent cx="26479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7950" cy="828675"/>
                          </a:xfrm>
                          <a:prstGeom prst="rect">
                            <a:avLst/>
                          </a:prstGeom>
                          <a:noFill/>
                          <a:ln>
                            <a:noFill/>
                          </a:ln>
                        </pic:spPr>
                      </pic:pic>
                    </a:graphicData>
                  </a:graphic>
                </wp:inline>
              </w:drawing>
            </w:r>
          </w:p>
        </w:tc>
        <w:tc>
          <w:tcPr>
            <w:tcW w:w="2552" w:type="dxa"/>
            <w:shd w:val="clear" w:color="auto" w:fill="auto"/>
          </w:tcPr>
          <w:p w14:paraId="651A8B38" w14:textId="77777777" w:rsidR="00E030A2" w:rsidRPr="00363358" w:rsidRDefault="00E030A2" w:rsidP="00202279">
            <w:pPr>
              <w:spacing w:before="0" w:after="0"/>
              <w:rPr>
                <w:color w:val="FFFFFF"/>
              </w:rPr>
            </w:pPr>
          </w:p>
        </w:tc>
        <w:tc>
          <w:tcPr>
            <w:tcW w:w="2624" w:type="dxa"/>
            <w:shd w:val="clear" w:color="auto" w:fill="auto"/>
          </w:tcPr>
          <w:p w14:paraId="4D43A222" w14:textId="00D4B1B1" w:rsidR="00E030A2" w:rsidRDefault="00687212" w:rsidP="00202279">
            <w:pPr>
              <w:spacing w:before="0" w:after="0"/>
            </w:pPr>
            <w:r>
              <w:t>Wildwood</w:t>
            </w:r>
          </w:p>
          <w:p w14:paraId="087247A0" w14:textId="5E31A544" w:rsidR="00687212" w:rsidRDefault="00687212" w:rsidP="00202279">
            <w:pPr>
              <w:spacing w:before="0" w:after="0"/>
            </w:pPr>
            <w:r>
              <w:t>Wildwood Drive</w:t>
            </w:r>
          </w:p>
          <w:p w14:paraId="36AFC79F" w14:textId="77777777" w:rsidR="00E030A2" w:rsidRPr="00153A32" w:rsidRDefault="00E030A2" w:rsidP="00202279">
            <w:pPr>
              <w:spacing w:before="0" w:after="0"/>
            </w:pPr>
            <w:r>
              <w:t>Worcester</w:t>
            </w:r>
          </w:p>
          <w:p w14:paraId="1089ED5D" w14:textId="7F03DB57" w:rsidR="00E030A2" w:rsidRDefault="00E030A2" w:rsidP="00202279">
            <w:pPr>
              <w:spacing w:before="0" w:after="0"/>
            </w:pPr>
            <w:r>
              <w:t>WR5 2</w:t>
            </w:r>
            <w:r w:rsidR="00687212">
              <w:t>QT</w:t>
            </w:r>
          </w:p>
          <w:p w14:paraId="1663D105" w14:textId="77777777" w:rsidR="00E030A2" w:rsidRDefault="00E030A2" w:rsidP="00202279">
            <w:pPr>
              <w:spacing w:before="0" w:after="0"/>
            </w:pPr>
          </w:p>
          <w:p w14:paraId="2668FF9C" w14:textId="3B3810C4" w:rsidR="00E030A2" w:rsidRPr="00DF6AAC" w:rsidRDefault="00E030A2" w:rsidP="00DF6AAC">
            <w:pPr>
              <w:spacing w:before="0" w:after="0"/>
              <w:rPr>
                <w:color w:val="01426A"/>
              </w:rPr>
            </w:pPr>
            <w:r w:rsidRPr="00DF6AAC">
              <w:rPr>
                <w:color w:val="01426A"/>
              </w:rPr>
              <w:t>www.theoep.org.uk</w:t>
            </w:r>
          </w:p>
        </w:tc>
      </w:tr>
    </w:tbl>
    <w:p w14:paraId="17F3FE03" w14:textId="62F8B051" w:rsidR="00E030A2" w:rsidRPr="002D1912" w:rsidRDefault="00A504EE" w:rsidP="00E030A2">
      <w:pPr>
        <w:pStyle w:val="Heading1"/>
        <w:rPr>
          <w:color w:val="01426A"/>
        </w:rPr>
      </w:pPr>
      <w:r>
        <w:rPr>
          <w:color w:val="01426A"/>
        </w:rPr>
        <w:t xml:space="preserve">Tenderer </w:t>
      </w:r>
      <w:r w:rsidR="00BE614B">
        <w:rPr>
          <w:color w:val="01426A"/>
        </w:rPr>
        <w:t>Clarifications</w:t>
      </w:r>
    </w:p>
    <w:p w14:paraId="6DCE0067" w14:textId="77777777" w:rsidR="00E030A2" w:rsidRPr="00434DAB" w:rsidRDefault="00E030A2" w:rsidP="00E030A2">
      <w:pPr>
        <w:rPr>
          <w:sz w:val="24"/>
          <w:szCs w:val="24"/>
        </w:rPr>
      </w:pPr>
    </w:p>
    <w:tbl>
      <w:tblPr>
        <w:tblStyle w:val="TableGrid"/>
        <w:tblW w:w="0" w:type="auto"/>
        <w:tblBorders>
          <w:top w:val="single" w:sz="4" w:space="0" w:color="01426A"/>
          <w:left w:val="single" w:sz="4" w:space="0" w:color="01426A"/>
          <w:bottom w:val="single" w:sz="4" w:space="0" w:color="01426A"/>
          <w:right w:val="single" w:sz="4" w:space="0" w:color="01426A"/>
          <w:insideH w:val="single" w:sz="4" w:space="0" w:color="01426A"/>
          <w:insideV w:val="single" w:sz="4" w:space="0" w:color="01426A"/>
        </w:tblBorders>
        <w:tblLook w:val="04A0" w:firstRow="1" w:lastRow="0" w:firstColumn="1" w:lastColumn="0" w:noHBand="0" w:noVBand="1"/>
      </w:tblPr>
      <w:tblGrid>
        <w:gridCol w:w="1980"/>
        <w:gridCol w:w="7036"/>
      </w:tblGrid>
      <w:tr w:rsidR="00E030A2" w:rsidRPr="00434DAB" w14:paraId="0F87DFF2" w14:textId="77777777" w:rsidTr="0046223D">
        <w:tc>
          <w:tcPr>
            <w:tcW w:w="1980" w:type="dxa"/>
            <w:shd w:val="clear" w:color="auto" w:fill="01426A"/>
          </w:tcPr>
          <w:p w14:paraId="0E9D49E7" w14:textId="4349BEA0" w:rsidR="00E030A2" w:rsidRPr="00434DAB" w:rsidRDefault="00E030A2" w:rsidP="00E030A2">
            <w:pPr>
              <w:spacing w:before="120" w:after="120"/>
              <w:rPr>
                <w:b/>
                <w:bCs/>
                <w:color w:val="FFFFFF" w:themeColor="background1"/>
                <w:sz w:val="24"/>
                <w:szCs w:val="24"/>
              </w:rPr>
            </w:pPr>
            <w:r w:rsidRPr="00434DAB">
              <w:rPr>
                <w:b/>
                <w:bCs/>
                <w:color w:val="FFFFFF" w:themeColor="background1"/>
                <w:sz w:val="24"/>
                <w:szCs w:val="24"/>
              </w:rPr>
              <w:t>Project</w:t>
            </w:r>
          </w:p>
        </w:tc>
        <w:tc>
          <w:tcPr>
            <w:tcW w:w="7036" w:type="dxa"/>
          </w:tcPr>
          <w:p w14:paraId="4328CE87" w14:textId="60CC6CF0" w:rsidR="00E030A2" w:rsidRPr="00434DAB" w:rsidRDefault="00D40E6D" w:rsidP="00E030A2">
            <w:pPr>
              <w:spacing w:before="120" w:after="120"/>
              <w:rPr>
                <w:sz w:val="24"/>
                <w:szCs w:val="24"/>
              </w:rPr>
            </w:pPr>
            <w:r>
              <w:rPr>
                <w:sz w:val="24"/>
                <w:szCs w:val="24"/>
              </w:rPr>
              <w:t>INS229 – Green Finance</w:t>
            </w:r>
          </w:p>
        </w:tc>
      </w:tr>
    </w:tbl>
    <w:p w14:paraId="79CE4C6D" w14:textId="7B23AAD7" w:rsidR="00A504EE" w:rsidRDefault="00A504EE" w:rsidP="00DA5847">
      <w:pPr>
        <w:rPr>
          <w:sz w:val="24"/>
          <w:szCs w:val="24"/>
        </w:rPr>
      </w:pPr>
    </w:p>
    <w:p w14:paraId="225DFA63" w14:textId="7B609153" w:rsidR="000E41DF" w:rsidRDefault="00A211A4" w:rsidP="00DA5847">
      <w:pPr>
        <w:rPr>
          <w:sz w:val="24"/>
          <w:szCs w:val="24"/>
        </w:rPr>
      </w:pPr>
      <w:r w:rsidRPr="00A211A4">
        <w:rPr>
          <w:sz w:val="24"/>
          <w:szCs w:val="24"/>
        </w:rPr>
        <w:t xml:space="preserve">The following questions have been received in relation to the </w:t>
      </w:r>
      <w:r w:rsidR="007721A7">
        <w:rPr>
          <w:sz w:val="24"/>
          <w:szCs w:val="24"/>
        </w:rPr>
        <w:t xml:space="preserve">Invitation to Tender </w:t>
      </w:r>
      <w:r w:rsidRPr="00A211A4">
        <w:rPr>
          <w:sz w:val="24"/>
          <w:szCs w:val="24"/>
        </w:rPr>
        <w:t>for the above named project.  Responses are provided in clarification.</w:t>
      </w:r>
    </w:p>
    <w:p w14:paraId="31A855E5" w14:textId="3792B266" w:rsidR="00966B32" w:rsidRPr="001A6F7C" w:rsidRDefault="00D40E6D" w:rsidP="001A6F7C">
      <w:pPr>
        <w:spacing w:before="240" w:line="276" w:lineRule="auto"/>
        <w:rPr>
          <w:rFonts w:eastAsia="Calibri" w:cs="Times New Roman"/>
          <w:b/>
          <w:color w:val="01426A"/>
          <w:sz w:val="24"/>
        </w:rPr>
      </w:pPr>
      <w:r>
        <w:rPr>
          <w:rFonts w:eastAsia="Calibri" w:cs="Times New Roman"/>
          <w:b/>
          <w:color w:val="01426A"/>
          <w:sz w:val="24"/>
        </w:rPr>
        <w:t>5/12/2023</w:t>
      </w:r>
    </w:p>
    <w:p w14:paraId="355761E3" w14:textId="3DE6E2C2" w:rsidR="00D40E6D" w:rsidRPr="00D40E6D" w:rsidRDefault="00410D3B" w:rsidP="00D40E6D">
      <w:pPr>
        <w:pStyle w:val="ListParagraph"/>
        <w:numPr>
          <w:ilvl w:val="0"/>
          <w:numId w:val="9"/>
        </w:numPr>
        <w:ind w:left="510" w:hanging="510"/>
        <w:contextualSpacing w:val="0"/>
        <w:rPr>
          <w:b/>
          <w:bCs/>
          <w:sz w:val="24"/>
          <w:szCs w:val="24"/>
        </w:rPr>
      </w:pPr>
      <w:r w:rsidRPr="009B22F9">
        <w:rPr>
          <w:b/>
          <w:bCs/>
          <w:sz w:val="24"/>
          <w:szCs w:val="24"/>
        </w:rPr>
        <w:t>Question tex</w:t>
      </w:r>
      <w:r w:rsidR="00D40E6D">
        <w:rPr>
          <w:b/>
          <w:bCs/>
          <w:sz w:val="24"/>
          <w:szCs w:val="24"/>
        </w:rPr>
        <w:t>t</w:t>
      </w:r>
    </w:p>
    <w:p w14:paraId="5C4FA7B2" w14:textId="77777777" w:rsidR="00D40E6D" w:rsidRPr="00D40E6D" w:rsidRDefault="00D40E6D" w:rsidP="00D40E6D">
      <w:pPr>
        <w:pStyle w:val="ListParagraph"/>
        <w:numPr>
          <w:ilvl w:val="0"/>
          <w:numId w:val="10"/>
        </w:numPr>
        <w:spacing w:before="0" w:after="0"/>
        <w:contextualSpacing w:val="0"/>
        <w:rPr>
          <w:rFonts w:eastAsia="Times New Roman" w:cs="Arial"/>
          <w:color w:val="000000"/>
          <w:sz w:val="20"/>
          <w:szCs w:val="20"/>
        </w:rPr>
      </w:pPr>
      <w:r>
        <w:rPr>
          <w:rFonts w:eastAsia="Times New Roman" w:cs="Arial"/>
          <w:color w:val="000000"/>
          <w:sz w:val="20"/>
          <w:szCs w:val="20"/>
        </w:rPr>
        <w:t>Please confirm – creating a methodology for tracking investment flows into the government's environmental goals is not part of the scope.</w:t>
      </w:r>
      <w:r>
        <w:rPr>
          <w:rFonts w:eastAsia="Times New Roman" w:cs="Arial"/>
          <w:sz w:val="20"/>
          <w:szCs w:val="20"/>
        </w:rPr>
        <w:t xml:space="preserve"> </w:t>
      </w:r>
    </w:p>
    <w:p w14:paraId="3A70F9CD" w14:textId="77777777" w:rsidR="00D40E6D" w:rsidRDefault="00D40E6D" w:rsidP="00D40E6D">
      <w:pPr>
        <w:pStyle w:val="ListParagraph"/>
        <w:spacing w:before="0" w:after="0"/>
        <w:contextualSpacing w:val="0"/>
        <w:rPr>
          <w:rFonts w:eastAsia="Times New Roman" w:cs="Arial"/>
          <w:sz w:val="20"/>
          <w:szCs w:val="20"/>
        </w:rPr>
      </w:pPr>
    </w:p>
    <w:p w14:paraId="25716D21" w14:textId="77777777" w:rsidR="00D40E6D" w:rsidRDefault="00D40E6D" w:rsidP="00D40E6D">
      <w:pPr>
        <w:pStyle w:val="ListParagraph"/>
        <w:spacing w:before="0" w:after="0"/>
        <w:contextualSpacing w:val="0"/>
        <w:rPr>
          <w:rFonts w:eastAsia="Times New Roman" w:cs="Arial"/>
          <w:color w:val="0070C0"/>
          <w:sz w:val="20"/>
          <w:szCs w:val="20"/>
        </w:rPr>
      </w:pPr>
      <w:r w:rsidRPr="00D40E6D">
        <w:rPr>
          <w:rFonts w:eastAsia="Times New Roman" w:cs="Arial"/>
          <w:i/>
          <w:iCs/>
          <w:sz w:val="20"/>
          <w:szCs w:val="20"/>
        </w:rPr>
        <w:t>Answer Text</w:t>
      </w:r>
      <w:r>
        <w:rPr>
          <w:rFonts w:eastAsia="Times New Roman" w:cs="Arial"/>
          <w:sz w:val="20"/>
          <w:szCs w:val="20"/>
        </w:rPr>
        <w:t xml:space="preserve"> </w:t>
      </w:r>
      <w:r>
        <w:rPr>
          <w:rFonts w:eastAsia="Times New Roman" w:cs="Arial"/>
          <w:color w:val="0070C0"/>
          <w:sz w:val="20"/>
          <w:szCs w:val="20"/>
        </w:rPr>
        <w:t>That is correct, we are seeking to understand monitoring of investment flows in strategic terms e.g. the key issues, gaps, and priorities for advancing monitoring</w:t>
      </w:r>
    </w:p>
    <w:p w14:paraId="74530E43" w14:textId="6E509BAF" w:rsidR="00D40E6D" w:rsidRDefault="00D40E6D" w:rsidP="00D40E6D">
      <w:pPr>
        <w:pStyle w:val="ListParagraph"/>
        <w:spacing w:before="0" w:after="0"/>
        <w:contextualSpacing w:val="0"/>
        <w:rPr>
          <w:rFonts w:eastAsia="Times New Roman" w:cs="Arial"/>
          <w:color w:val="000000"/>
          <w:sz w:val="20"/>
          <w:szCs w:val="20"/>
        </w:rPr>
      </w:pPr>
      <w:r>
        <w:rPr>
          <w:rFonts w:eastAsia="Times New Roman" w:cs="Arial"/>
          <w:color w:val="0070C0"/>
          <w:sz w:val="20"/>
          <w:szCs w:val="20"/>
        </w:rPr>
        <w:t xml:space="preserve">.  </w:t>
      </w:r>
    </w:p>
    <w:p w14:paraId="4418285E" w14:textId="77777777" w:rsidR="00B9605D" w:rsidRPr="00B9605D" w:rsidRDefault="00D40E6D" w:rsidP="00D40E6D">
      <w:pPr>
        <w:pStyle w:val="ListParagraph"/>
        <w:numPr>
          <w:ilvl w:val="0"/>
          <w:numId w:val="10"/>
        </w:numPr>
        <w:spacing w:before="0" w:after="0"/>
        <w:contextualSpacing w:val="0"/>
        <w:rPr>
          <w:rFonts w:eastAsia="Times New Roman" w:cs="Arial"/>
          <w:color w:val="000000"/>
          <w:sz w:val="20"/>
          <w:szCs w:val="20"/>
        </w:rPr>
      </w:pPr>
      <w:r>
        <w:rPr>
          <w:rFonts w:eastAsia="Times New Roman" w:cs="Arial"/>
          <w:color w:val="000000"/>
          <w:sz w:val="20"/>
          <w:szCs w:val="20"/>
        </w:rPr>
        <w:t>On the Rapid evidence assessment please confirm – the evidence used will be confirmed jointly at inception between the OEP and the supplier.</w:t>
      </w:r>
      <w:r>
        <w:rPr>
          <w:rFonts w:eastAsia="Times New Roman" w:cs="Arial"/>
          <w:sz w:val="20"/>
          <w:szCs w:val="20"/>
        </w:rPr>
        <w:t xml:space="preserve"> </w:t>
      </w:r>
    </w:p>
    <w:p w14:paraId="31572783" w14:textId="1548D55D" w:rsidR="00D40E6D" w:rsidRDefault="00B9605D" w:rsidP="00B9605D">
      <w:pPr>
        <w:pStyle w:val="ListParagraph"/>
        <w:spacing w:before="0" w:after="0"/>
        <w:contextualSpacing w:val="0"/>
        <w:rPr>
          <w:rFonts w:eastAsia="Times New Roman" w:cs="Arial"/>
          <w:color w:val="000000"/>
          <w:sz w:val="20"/>
          <w:szCs w:val="20"/>
        </w:rPr>
      </w:pPr>
      <w:r w:rsidRPr="00B9605D">
        <w:rPr>
          <w:i/>
          <w:iCs/>
        </w:rPr>
        <w:t>Answer Text</w:t>
      </w:r>
      <w:r w:rsidRPr="00B9605D">
        <w:t xml:space="preserve"> </w:t>
      </w:r>
      <w:r>
        <w:t xml:space="preserve"> </w:t>
      </w:r>
      <w:r>
        <w:t xml:space="preserve"> </w:t>
      </w:r>
      <w:r w:rsidR="00D40E6D">
        <w:rPr>
          <w:rFonts w:eastAsia="Times New Roman" w:cs="Arial"/>
          <w:color w:val="0070C0"/>
          <w:sz w:val="20"/>
          <w:szCs w:val="20"/>
        </w:rPr>
        <w:t xml:space="preserve">Evidence sources may be agreed at the inception meeting, however we do not have evidence sources in mind as this is a foundational </w:t>
      </w:r>
      <w:r w:rsidR="00D40E6D">
        <w:rPr>
          <w:rFonts w:eastAsia="Times New Roman"/>
          <w:color w:val="0070C0"/>
        </w:rPr>
        <w:t>evidence review project.  W</w:t>
      </w:r>
      <w:r w:rsidR="00D40E6D">
        <w:rPr>
          <w:rFonts w:eastAsia="Times New Roman" w:cs="Arial"/>
          <w:color w:val="0070C0"/>
          <w:sz w:val="20"/>
          <w:szCs w:val="20"/>
        </w:rPr>
        <w:t>e expect the supplier to advise on their approach to collating evidence relevant to our areas on interest.</w:t>
      </w:r>
    </w:p>
    <w:p w14:paraId="57A73CBB" w14:textId="77777777" w:rsidR="00B9605D" w:rsidRPr="00B9605D" w:rsidRDefault="00D40E6D" w:rsidP="00D40E6D">
      <w:pPr>
        <w:pStyle w:val="ListParagraph"/>
        <w:numPr>
          <w:ilvl w:val="0"/>
          <w:numId w:val="10"/>
        </w:numPr>
        <w:spacing w:before="0" w:after="0"/>
        <w:contextualSpacing w:val="0"/>
        <w:rPr>
          <w:rFonts w:ascii="Calibri" w:eastAsia="Times New Roman" w:hAnsi="Calibri" w:cs="Calibri"/>
          <w:color w:val="0070C0"/>
        </w:rPr>
      </w:pPr>
      <w:r>
        <w:rPr>
          <w:rFonts w:eastAsia="Times New Roman" w:cs="Arial"/>
          <w:color w:val="000000"/>
          <w:sz w:val="20"/>
          <w:szCs w:val="20"/>
        </w:rPr>
        <w:t>As part of our tender response, are we required to list suggested candidates for interview, or will this list be agreed at inception between the OEP and the supplier?</w:t>
      </w:r>
    </w:p>
    <w:p w14:paraId="77939A23" w14:textId="45D1C938" w:rsidR="00D40E6D" w:rsidRDefault="00B9605D" w:rsidP="00B9605D">
      <w:pPr>
        <w:pStyle w:val="ListParagraph"/>
        <w:spacing w:before="0" w:after="0"/>
        <w:contextualSpacing w:val="0"/>
        <w:rPr>
          <w:rFonts w:ascii="Calibri" w:eastAsia="Times New Roman" w:hAnsi="Calibri" w:cs="Calibri"/>
          <w:color w:val="0070C0"/>
        </w:rPr>
      </w:pPr>
      <w:r w:rsidRPr="00B9605D">
        <w:rPr>
          <w:i/>
          <w:iCs/>
        </w:rPr>
        <w:t>Answer Text</w:t>
      </w:r>
      <w:r w:rsidRPr="00B9605D">
        <w:t xml:space="preserve"> </w:t>
      </w:r>
      <w:r>
        <w:t xml:space="preserve"> </w:t>
      </w:r>
      <w:r w:rsidR="00D40E6D">
        <w:rPr>
          <w:rFonts w:eastAsia="Times New Roman" w:cs="Arial"/>
          <w:sz w:val="20"/>
          <w:szCs w:val="20"/>
        </w:rPr>
        <w:t xml:space="preserve"> </w:t>
      </w:r>
      <w:r w:rsidR="00D40E6D">
        <w:rPr>
          <w:rFonts w:eastAsia="Times New Roman" w:cs="Arial"/>
          <w:color w:val="0070C0"/>
          <w:sz w:val="20"/>
          <w:szCs w:val="20"/>
        </w:rPr>
        <w:t>A list of interviewers is not required in the tender response, these will be agreed at inception. However bidders are free to propose names of broad groups on their tender.</w:t>
      </w:r>
    </w:p>
    <w:p w14:paraId="4EA3C880" w14:textId="7989F3D7" w:rsidR="00591EE3" w:rsidRPr="009B22F9" w:rsidRDefault="00591EE3" w:rsidP="007F26EA">
      <w:pPr>
        <w:ind w:left="510" w:hanging="510"/>
        <w:rPr>
          <w:i/>
          <w:iCs/>
          <w:sz w:val="24"/>
          <w:szCs w:val="24"/>
        </w:rPr>
      </w:pPr>
    </w:p>
    <w:p w14:paraId="6C89C8F2" w14:textId="77777777" w:rsidR="00697DDB" w:rsidRPr="009B22F9" w:rsidRDefault="00697DDB" w:rsidP="00591EE3">
      <w:pPr>
        <w:rPr>
          <w:sz w:val="24"/>
          <w:szCs w:val="24"/>
        </w:rPr>
      </w:pPr>
    </w:p>
    <w:p w14:paraId="395D0D90" w14:textId="34D55A95" w:rsidR="00591EE3" w:rsidRPr="009B22F9" w:rsidRDefault="00697DDB" w:rsidP="00591EE3">
      <w:pPr>
        <w:pStyle w:val="ListParagraph"/>
        <w:numPr>
          <w:ilvl w:val="0"/>
          <w:numId w:val="9"/>
        </w:numPr>
        <w:ind w:left="510" w:hanging="510"/>
        <w:contextualSpacing w:val="0"/>
        <w:rPr>
          <w:b/>
          <w:bCs/>
          <w:sz w:val="24"/>
          <w:szCs w:val="24"/>
        </w:rPr>
      </w:pPr>
      <w:r w:rsidRPr="009B22F9">
        <w:rPr>
          <w:b/>
          <w:bCs/>
          <w:sz w:val="24"/>
          <w:szCs w:val="24"/>
        </w:rPr>
        <w:t>Question text</w:t>
      </w:r>
    </w:p>
    <w:p w14:paraId="713CBC9D" w14:textId="77777777" w:rsidR="00B9605D" w:rsidRDefault="00B9605D" w:rsidP="00B9605D">
      <w:pPr>
        <w:rPr>
          <w:rFonts w:cs="Arial"/>
          <w:b/>
          <w:bCs/>
          <w:color w:val="000000"/>
          <w:sz w:val="20"/>
          <w:szCs w:val="20"/>
        </w:rPr>
      </w:pPr>
      <w:r>
        <w:rPr>
          <w:rFonts w:cs="Arial"/>
          <w:b/>
          <w:bCs/>
          <w:color w:val="000000"/>
          <w:sz w:val="20"/>
          <w:szCs w:val="20"/>
        </w:rPr>
        <w:t>Timetable</w:t>
      </w:r>
    </w:p>
    <w:p w14:paraId="421CD14A" w14:textId="77777777" w:rsidR="00B9605D" w:rsidRDefault="00B9605D" w:rsidP="00B9605D">
      <w:pPr>
        <w:pStyle w:val="ListParagraph"/>
        <w:numPr>
          <w:ilvl w:val="0"/>
          <w:numId w:val="12"/>
        </w:numPr>
        <w:spacing w:before="0" w:after="0"/>
        <w:contextualSpacing w:val="0"/>
        <w:rPr>
          <w:rFonts w:ascii="Calibri" w:eastAsia="Times New Roman" w:hAnsi="Calibri" w:cs="Calibri"/>
          <w:color w:val="0070C0"/>
        </w:rPr>
      </w:pPr>
      <w:r>
        <w:rPr>
          <w:rFonts w:eastAsia="Times New Roman" w:cs="Arial"/>
          <w:color w:val="000000"/>
          <w:sz w:val="20"/>
          <w:szCs w:val="20"/>
        </w:rPr>
        <w:t>We note that the timetable indicates “interim output – readout of stakeholder interviews” by end January 2024, following contract award prior to Christmas. From our experience, late December/early January is a challenging time to arrange interviews so at this stage we wanted to flag that this deadline will depend on the timeliness of responses to interview requests</w:t>
      </w:r>
    </w:p>
    <w:p w14:paraId="6695E044" w14:textId="616A5FF7" w:rsidR="00B9605D" w:rsidRDefault="00B9605D" w:rsidP="00B9605D">
      <w:pPr>
        <w:pStyle w:val="ListParagraph"/>
        <w:rPr>
          <w:rFonts w:cs="Arial"/>
          <w:color w:val="2E75B6"/>
          <w:sz w:val="20"/>
          <w:szCs w:val="20"/>
        </w:rPr>
      </w:pPr>
      <w:r w:rsidRPr="00B9605D">
        <w:rPr>
          <w:rFonts w:cs="Arial"/>
          <w:i/>
          <w:iCs/>
          <w:sz w:val="20"/>
          <w:szCs w:val="20"/>
        </w:rPr>
        <w:t>Answer Text</w:t>
      </w:r>
      <w:r w:rsidRPr="00B9605D">
        <w:rPr>
          <w:rFonts w:cs="Arial"/>
          <w:sz w:val="20"/>
          <w:szCs w:val="20"/>
        </w:rPr>
        <w:t xml:space="preserve"> </w:t>
      </w:r>
      <w:r>
        <w:rPr>
          <w:rFonts w:cs="Arial"/>
          <w:color w:val="2E75B6"/>
          <w:sz w:val="20"/>
          <w:szCs w:val="20"/>
        </w:rPr>
        <w:t xml:space="preserve">Please feel free to add this to your submitted bid </w:t>
      </w:r>
    </w:p>
    <w:p w14:paraId="1EC98F7C" w14:textId="77777777" w:rsidR="00B9605D" w:rsidRDefault="00B9605D" w:rsidP="00B9605D">
      <w:pPr>
        <w:rPr>
          <w:rFonts w:cs="Arial"/>
          <w:b/>
          <w:bCs/>
          <w:color w:val="000000"/>
          <w:sz w:val="20"/>
          <w:szCs w:val="20"/>
        </w:rPr>
      </w:pPr>
      <w:r>
        <w:rPr>
          <w:rFonts w:cs="Arial"/>
          <w:b/>
          <w:bCs/>
          <w:color w:val="000000"/>
          <w:sz w:val="20"/>
          <w:szCs w:val="20"/>
        </w:rPr>
        <w:t>Budget</w:t>
      </w:r>
    </w:p>
    <w:p w14:paraId="35924869" w14:textId="77777777" w:rsidR="00B9605D" w:rsidRDefault="00B9605D" w:rsidP="00B9605D">
      <w:pPr>
        <w:pStyle w:val="ListParagraph"/>
        <w:numPr>
          <w:ilvl w:val="0"/>
          <w:numId w:val="12"/>
        </w:numPr>
        <w:spacing w:before="0" w:after="0"/>
        <w:contextualSpacing w:val="0"/>
        <w:rPr>
          <w:rFonts w:eastAsia="Times New Roman" w:cs="Arial"/>
          <w:color w:val="000000"/>
          <w:sz w:val="20"/>
          <w:szCs w:val="20"/>
        </w:rPr>
      </w:pPr>
      <w:r>
        <w:rPr>
          <w:rFonts w:eastAsia="Times New Roman" w:cs="Arial"/>
          <w:color w:val="000000"/>
          <w:sz w:val="20"/>
          <w:szCs w:val="20"/>
        </w:rPr>
        <w:t>The budget indicated is in our experience limited for the requirements in the tender, we will base our estimate on clear assumptions within the proposal (notably number of interviews conducted) and would welcome the opportunity to discuss these assumptions if selected for this work.  </w:t>
      </w:r>
    </w:p>
    <w:p w14:paraId="47F0BF1B" w14:textId="0A61CD40" w:rsidR="00B9605D" w:rsidRDefault="00B9605D" w:rsidP="00B9605D">
      <w:pPr>
        <w:ind w:left="720"/>
        <w:rPr>
          <w:rFonts w:ascii="Calibri" w:hAnsi="Calibri" w:cs="Calibri"/>
          <w:color w:val="2E75B6"/>
        </w:rPr>
      </w:pPr>
      <w:r w:rsidRPr="00B9605D">
        <w:rPr>
          <w:i/>
          <w:iCs/>
        </w:rPr>
        <w:lastRenderedPageBreak/>
        <w:t>Answer Text</w:t>
      </w:r>
      <w:r w:rsidRPr="00B9605D">
        <w:t xml:space="preserve"> </w:t>
      </w:r>
      <w:r>
        <w:t xml:space="preserve"> </w:t>
      </w:r>
      <w:r>
        <w:rPr>
          <w:color w:val="2E75B6"/>
        </w:rPr>
        <w:t>As with all budgets the amount is clearly set out in the ITT, but we please remember that any submitted bids which exceed the budgetary amount will be marked down heavily.</w:t>
      </w:r>
      <w:r>
        <w:rPr>
          <w:color w:val="2E75B6"/>
        </w:rPr>
        <w:t xml:space="preserve"> </w:t>
      </w:r>
    </w:p>
    <w:p w14:paraId="3D536B6B" w14:textId="6B1B3316" w:rsidR="0059266B" w:rsidRPr="009B22F9" w:rsidRDefault="0059266B" w:rsidP="0059266B">
      <w:pPr>
        <w:rPr>
          <w:i/>
          <w:iCs/>
          <w:sz w:val="24"/>
          <w:szCs w:val="24"/>
        </w:rPr>
      </w:pPr>
    </w:p>
    <w:p w14:paraId="26D958BF" w14:textId="77777777" w:rsidR="0059266B" w:rsidRPr="009B22F9" w:rsidRDefault="0059266B" w:rsidP="00591EE3">
      <w:pPr>
        <w:rPr>
          <w:sz w:val="24"/>
          <w:szCs w:val="24"/>
        </w:rPr>
      </w:pPr>
    </w:p>
    <w:p w14:paraId="207DC7AB" w14:textId="5DC89DC3" w:rsidR="00591EE3" w:rsidRPr="009B22F9" w:rsidRDefault="00697DDB" w:rsidP="00591EE3">
      <w:pPr>
        <w:pStyle w:val="ListParagraph"/>
        <w:numPr>
          <w:ilvl w:val="0"/>
          <w:numId w:val="9"/>
        </w:numPr>
        <w:ind w:left="510" w:hanging="510"/>
        <w:contextualSpacing w:val="0"/>
        <w:rPr>
          <w:b/>
          <w:bCs/>
          <w:sz w:val="24"/>
          <w:szCs w:val="24"/>
        </w:rPr>
      </w:pPr>
      <w:r w:rsidRPr="009B22F9">
        <w:rPr>
          <w:b/>
          <w:bCs/>
          <w:sz w:val="24"/>
          <w:szCs w:val="24"/>
        </w:rPr>
        <w:t>Question text</w:t>
      </w:r>
    </w:p>
    <w:p w14:paraId="7E8D9E6F" w14:textId="77777777" w:rsidR="0059266B" w:rsidRPr="009B22F9" w:rsidRDefault="0059266B" w:rsidP="0059266B">
      <w:pPr>
        <w:rPr>
          <w:i/>
          <w:iCs/>
          <w:sz w:val="24"/>
          <w:szCs w:val="24"/>
        </w:rPr>
      </w:pPr>
      <w:r w:rsidRPr="009B22F9">
        <w:rPr>
          <w:i/>
          <w:iCs/>
          <w:sz w:val="24"/>
          <w:szCs w:val="24"/>
        </w:rPr>
        <w:t>A:</w:t>
      </w:r>
      <w:r w:rsidRPr="009B22F9">
        <w:rPr>
          <w:i/>
          <w:iCs/>
          <w:sz w:val="24"/>
          <w:szCs w:val="24"/>
        </w:rPr>
        <w:tab/>
        <w:t>Answer text</w:t>
      </w:r>
    </w:p>
    <w:p w14:paraId="33E7EE28" w14:textId="53329768" w:rsidR="00591EE3" w:rsidRPr="009B22F9" w:rsidRDefault="00591EE3" w:rsidP="00690161">
      <w:pPr>
        <w:rPr>
          <w:sz w:val="24"/>
          <w:szCs w:val="24"/>
        </w:rPr>
      </w:pPr>
    </w:p>
    <w:p w14:paraId="2BC7EF45" w14:textId="51287CBC" w:rsidR="00AE6A53" w:rsidRPr="001A6F7C" w:rsidRDefault="00AE6A53" w:rsidP="001A6F7C">
      <w:pPr>
        <w:spacing w:before="240" w:line="276" w:lineRule="auto"/>
        <w:rPr>
          <w:rFonts w:eastAsia="Calibri" w:cs="Times New Roman"/>
          <w:b/>
          <w:color w:val="01426A"/>
          <w:sz w:val="24"/>
        </w:rPr>
      </w:pPr>
      <w:r w:rsidRPr="001A6F7C">
        <w:rPr>
          <w:rFonts w:eastAsia="Calibri" w:cs="Times New Roman"/>
          <w:b/>
          <w:color w:val="01426A"/>
          <w:sz w:val="24"/>
        </w:rPr>
        <w:t>&lt;Issue date of next set of Q&amp;A&gt;</w:t>
      </w:r>
    </w:p>
    <w:p w14:paraId="11B16FA2" w14:textId="58CECC87" w:rsidR="00B9605D" w:rsidRDefault="00AE6A53" w:rsidP="00B9605D">
      <w:pPr>
        <w:rPr>
          <w:rFonts w:cs="Arial"/>
          <w:b/>
          <w:bCs/>
          <w:color w:val="000000"/>
          <w:sz w:val="20"/>
          <w:szCs w:val="20"/>
        </w:rPr>
      </w:pPr>
      <w:r w:rsidRPr="009B22F9">
        <w:rPr>
          <w:b/>
          <w:bCs/>
          <w:sz w:val="24"/>
          <w:szCs w:val="24"/>
        </w:rPr>
        <w:t>Question text</w:t>
      </w:r>
      <w:r w:rsidR="00B9605D">
        <w:rPr>
          <w:b/>
          <w:bCs/>
          <w:sz w:val="24"/>
          <w:szCs w:val="24"/>
        </w:rPr>
        <w:t xml:space="preserve"> </w:t>
      </w:r>
    </w:p>
    <w:p w14:paraId="5F146035" w14:textId="77777777" w:rsidR="00B9605D" w:rsidRDefault="00B9605D" w:rsidP="00B9605D">
      <w:pPr>
        <w:pStyle w:val="ListParagraph"/>
        <w:numPr>
          <w:ilvl w:val="0"/>
          <w:numId w:val="13"/>
        </w:numPr>
        <w:spacing w:before="0" w:after="0"/>
        <w:contextualSpacing w:val="0"/>
        <w:rPr>
          <w:rFonts w:eastAsia="Times New Roman" w:cs="Arial"/>
          <w:color w:val="000000"/>
          <w:sz w:val="20"/>
          <w:szCs w:val="20"/>
        </w:rPr>
      </w:pPr>
      <w:r>
        <w:rPr>
          <w:rFonts w:eastAsia="Times New Roman" w:cs="Arial"/>
          <w:color w:val="000000"/>
          <w:sz w:val="20"/>
          <w:szCs w:val="20"/>
        </w:rPr>
        <w:t xml:space="preserve">You state that the contract will not be negotiated. We note that the liability cap is not mentioned in the contract details (though we note it is in the underlying Core terms) – for professional services firms such as our own, we would request some more information regarding the application and size of any liability cap, noting that this is a small piece of work (the core terms indicate a cap many times in excess of the budget). </w:t>
      </w:r>
    </w:p>
    <w:p w14:paraId="7E413070" w14:textId="77777777" w:rsidR="00B9605D" w:rsidRDefault="00B9605D" w:rsidP="00B9605D">
      <w:pPr>
        <w:pStyle w:val="ListParagraph"/>
        <w:spacing w:before="0" w:after="0"/>
        <w:contextualSpacing w:val="0"/>
        <w:rPr>
          <w:rFonts w:eastAsia="Times New Roman" w:cs="Arial"/>
          <w:color w:val="000000"/>
          <w:sz w:val="20"/>
          <w:szCs w:val="20"/>
        </w:rPr>
      </w:pPr>
    </w:p>
    <w:p w14:paraId="706C6A4D" w14:textId="64BC9FCA" w:rsidR="00B9605D" w:rsidRPr="00B9605D" w:rsidRDefault="00B9605D" w:rsidP="00B9605D">
      <w:pPr>
        <w:pStyle w:val="ListParagraph"/>
        <w:spacing w:before="0" w:after="0"/>
        <w:contextualSpacing w:val="0"/>
        <w:rPr>
          <w:rFonts w:eastAsia="Times New Roman" w:cs="Arial"/>
          <w:i/>
          <w:iCs/>
          <w:color w:val="000000"/>
          <w:sz w:val="20"/>
          <w:szCs w:val="20"/>
        </w:rPr>
      </w:pPr>
      <w:r w:rsidRPr="00B9605D">
        <w:rPr>
          <w:rFonts w:eastAsia="Times New Roman" w:cs="Arial"/>
          <w:i/>
          <w:iCs/>
          <w:color w:val="000000"/>
          <w:sz w:val="20"/>
          <w:szCs w:val="20"/>
        </w:rPr>
        <w:t xml:space="preserve">Answer text </w:t>
      </w:r>
      <w:r w:rsidRPr="00B9605D">
        <w:rPr>
          <w:color w:val="4472C4" w:themeColor="accent1"/>
        </w:rPr>
        <w:t xml:space="preserve">In relation to your query </w:t>
      </w:r>
      <w:proofErr w:type="spellStart"/>
      <w:r w:rsidRPr="00B9605D">
        <w:rPr>
          <w:color w:val="4472C4" w:themeColor="accent1"/>
        </w:rPr>
        <w:t>i</w:t>
      </w:r>
      <w:proofErr w:type="spellEnd"/>
      <w:r w:rsidRPr="00B9605D">
        <w:rPr>
          <w:color w:val="4472C4" w:themeColor="accent1"/>
        </w:rPr>
        <w:t xml:space="preserve"> can advise that much of the work we procure, such as this one, is of high strategic importance to us and we will place great reliance on the output, which presents a risk that isn’t represented by the relatively low contract value.  We therefore require the limit of liability to be as stated in 10.1 of the Core Terms</w:t>
      </w:r>
    </w:p>
    <w:p w14:paraId="2E5DD8A6" w14:textId="2BBBC099" w:rsidR="00AE6A53" w:rsidRDefault="00AE6A53" w:rsidP="00B9605D">
      <w:pPr>
        <w:pStyle w:val="ListParagraph"/>
        <w:ind w:left="510"/>
        <w:contextualSpacing w:val="0"/>
        <w:rPr>
          <w:b/>
          <w:bCs/>
          <w:sz w:val="24"/>
          <w:szCs w:val="24"/>
        </w:rPr>
      </w:pPr>
    </w:p>
    <w:p w14:paraId="7DCC897C" w14:textId="77777777" w:rsidR="00B9605D" w:rsidRDefault="00B9605D" w:rsidP="00B9605D">
      <w:pPr>
        <w:rPr>
          <w:b/>
          <w:bCs/>
          <w:sz w:val="24"/>
          <w:szCs w:val="24"/>
        </w:rPr>
      </w:pPr>
      <w:r>
        <w:rPr>
          <w:b/>
          <w:bCs/>
          <w:sz w:val="24"/>
          <w:szCs w:val="24"/>
        </w:rPr>
        <w:t>Question Text</w:t>
      </w:r>
    </w:p>
    <w:p w14:paraId="165B2096" w14:textId="116C2B79" w:rsidR="00B9605D" w:rsidRDefault="00B9605D" w:rsidP="00B9605D">
      <w:r>
        <w:rPr>
          <w:b/>
          <w:bCs/>
          <w:sz w:val="24"/>
          <w:szCs w:val="24"/>
        </w:rPr>
        <w:t xml:space="preserve"> </w:t>
      </w:r>
      <w:r>
        <w:t>Regarding the conflict of interest statement, please could you clarify whether there are any conflicts which would exclude an organisation from being awarded this tender? Specifically, where an organisation may be engaged (previously or currently) on delivering work under HM Government’s Green Finance initiatives, would this exclude the organisation from the award?</w:t>
      </w:r>
    </w:p>
    <w:p w14:paraId="226D2661" w14:textId="70D103FB" w:rsidR="00B9605D" w:rsidRPr="00B9605D" w:rsidRDefault="00B9605D" w:rsidP="00B9605D">
      <w:pPr>
        <w:rPr>
          <w:rFonts w:ascii="Calibri" w:hAnsi="Calibri"/>
          <w:i/>
          <w:iCs/>
        </w:rPr>
      </w:pPr>
      <w:r w:rsidRPr="00B9605D">
        <w:rPr>
          <w:i/>
          <w:iCs/>
        </w:rPr>
        <w:t>Answer Text</w:t>
      </w:r>
      <w:r>
        <w:rPr>
          <w:i/>
          <w:iCs/>
        </w:rPr>
        <w:t xml:space="preserve"> </w:t>
      </w:r>
      <w:r w:rsidRPr="00B9605D">
        <w:rPr>
          <w:color w:val="4472C4" w:themeColor="accent1"/>
        </w:rPr>
        <w:t>if you are currently delivering a green finance programme to another department this would not exclude from submitting a bid, please provide details of said programme in the relevant section of the ITT reply, as this make the evaluating team aware of any potential conflicts of interest</w:t>
      </w:r>
      <w:r>
        <w:t>.</w:t>
      </w:r>
    </w:p>
    <w:p w14:paraId="307CB851" w14:textId="40FDE63F" w:rsidR="00B9605D" w:rsidRPr="00B9605D" w:rsidRDefault="00B9605D" w:rsidP="00B9605D">
      <w:pPr>
        <w:pStyle w:val="ListParagraph"/>
        <w:ind w:left="510"/>
        <w:contextualSpacing w:val="0"/>
        <w:rPr>
          <w:b/>
          <w:bCs/>
          <w:sz w:val="24"/>
          <w:szCs w:val="24"/>
        </w:rPr>
      </w:pPr>
    </w:p>
    <w:p w14:paraId="02DE78AB" w14:textId="52DED46A" w:rsidR="00AE6A53" w:rsidRPr="009B22F9" w:rsidRDefault="00AE6A53" w:rsidP="00690161">
      <w:pPr>
        <w:rPr>
          <w:sz w:val="24"/>
          <w:szCs w:val="24"/>
        </w:rPr>
      </w:pPr>
    </w:p>
    <w:sectPr w:rsidR="00AE6A53" w:rsidRPr="009B22F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6827" w14:textId="77777777" w:rsidR="00A51A56" w:rsidRDefault="00A51A56" w:rsidP="00AB06A9">
      <w:pPr>
        <w:spacing w:before="0" w:after="0"/>
      </w:pPr>
      <w:r>
        <w:separator/>
      </w:r>
    </w:p>
  </w:endnote>
  <w:endnote w:type="continuationSeparator" w:id="0">
    <w:p w14:paraId="1CAE6C26" w14:textId="77777777" w:rsidR="00A51A56" w:rsidRDefault="00A51A56" w:rsidP="00AB06A9">
      <w:pPr>
        <w:spacing w:before="0" w:after="0"/>
      </w:pPr>
      <w:r>
        <w:continuationSeparator/>
      </w:r>
    </w:p>
  </w:endnote>
  <w:endnote w:type="continuationNotice" w:id="1">
    <w:p w14:paraId="0DFF6FF7" w14:textId="77777777" w:rsidR="00A51A56" w:rsidRDefault="00A51A5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80A0B" w14:textId="3C868951" w:rsidR="00687212" w:rsidRDefault="00687212">
    <w:pPr>
      <w:pStyle w:val="Footer"/>
    </w:pPr>
    <w:r>
      <w:rPr>
        <w:noProof/>
      </w:rPr>
      <mc:AlternateContent>
        <mc:Choice Requires="wps">
          <w:drawing>
            <wp:anchor distT="0" distB="0" distL="0" distR="0" simplePos="0" relativeHeight="251658243" behindDoc="0" locked="0" layoutInCell="1" allowOverlap="1" wp14:anchorId="104EB4C8" wp14:editId="339CEF9F">
              <wp:simplePos x="635" y="635"/>
              <wp:positionH relativeFrom="page">
                <wp:align>center</wp:align>
              </wp:positionH>
              <wp:positionV relativeFrom="page">
                <wp:align>bottom</wp:align>
              </wp:positionV>
              <wp:extent cx="443865" cy="443865"/>
              <wp:effectExtent l="0" t="0" r="635" b="0"/>
              <wp:wrapNone/>
              <wp:docPr id="15093006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DFC26F" w14:textId="4232D5CB" w:rsidR="00687212" w:rsidRPr="00687212" w:rsidRDefault="00687212" w:rsidP="00687212">
                          <w:pPr>
                            <w:spacing w:after="0"/>
                            <w:rPr>
                              <w:rFonts w:ascii="Calibri" w:eastAsia="Calibri" w:hAnsi="Calibri" w:cs="Calibri"/>
                              <w:noProof/>
                              <w:color w:val="000000"/>
                              <w:sz w:val="24"/>
                              <w:szCs w:val="24"/>
                            </w:rPr>
                          </w:pPr>
                          <w:r w:rsidRPr="0068721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EB4C8"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BDFC26F" w14:textId="4232D5CB" w:rsidR="00687212" w:rsidRPr="00687212" w:rsidRDefault="00687212" w:rsidP="00687212">
                    <w:pPr>
                      <w:spacing w:after="0"/>
                      <w:rPr>
                        <w:rFonts w:ascii="Calibri" w:eastAsia="Calibri" w:hAnsi="Calibri" w:cs="Calibri"/>
                        <w:noProof/>
                        <w:color w:val="000000"/>
                        <w:sz w:val="24"/>
                        <w:szCs w:val="24"/>
                      </w:rPr>
                    </w:pPr>
                    <w:r w:rsidRPr="00687212">
                      <w:rPr>
                        <w:rFonts w:ascii="Calibri" w:eastAsia="Calibri" w:hAnsi="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29C1" w14:textId="080A9B59" w:rsidR="00DB34D0" w:rsidRPr="00AB06A9" w:rsidRDefault="00687212">
    <w:pPr>
      <w:pStyle w:val="Footer"/>
      <w:rPr>
        <w:sz w:val="16"/>
        <w:szCs w:val="16"/>
      </w:rPr>
    </w:pPr>
    <w:r>
      <w:rPr>
        <w:noProof/>
        <w:sz w:val="16"/>
        <w:szCs w:val="16"/>
      </w:rPr>
      <mc:AlternateContent>
        <mc:Choice Requires="wps">
          <w:drawing>
            <wp:anchor distT="0" distB="0" distL="0" distR="0" simplePos="0" relativeHeight="251658240" behindDoc="0" locked="0" layoutInCell="1" allowOverlap="1" wp14:anchorId="4D8E69CE" wp14:editId="1DB4C5BA">
              <wp:simplePos x="635" y="635"/>
              <wp:positionH relativeFrom="page">
                <wp:align>center</wp:align>
              </wp:positionH>
              <wp:positionV relativeFrom="page">
                <wp:align>bottom</wp:align>
              </wp:positionV>
              <wp:extent cx="443865" cy="443865"/>
              <wp:effectExtent l="0" t="0" r="635" b="0"/>
              <wp:wrapNone/>
              <wp:docPr id="198316425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262FBE" w14:textId="4B02828F" w:rsidR="00687212" w:rsidRPr="00687212" w:rsidRDefault="00687212" w:rsidP="00687212">
                          <w:pPr>
                            <w:spacing w:after="0"/>
                            <w:rPr>
                              <w:rFonts w:ascii="Calibri" w:eastAsia="Calibri" w:hAnsi="Calibri" w:cs="Calibri"/>
                              <w:noProof/>
                              <w:color w:val="000000"/>
                              <w:sz w:val="24"/>
                              <w:szCs w:val="24"/>
                            </w:rPr>
                          </w:pPr>
                          <w:r w:rsidRPr="0068721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8E69CE"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3262FBE" w14:textId="4B02828F" w:rsidR="00687212" w:rsidRPr="00687212" w:rsidRDefault="00687212" w:rsidP="00687212">
                    <w:pPr>
                      <w:spacing w:after="0"/>
                      <w:rPr>
                        <w:rFonts w:ascii="Calibri" w:eastAsia="Calibri" w:hAnsi="Calibri" w:cs="Calibri"/>
                        <w:noProof/>
                        <w:color w:val="000000"/>
                        <w:sz w:val="24"/>
                        <w:szCs w:val="24"/>
                      </w:rPr>
                    </w:pPr>
                    <w:r w:rsidRPr="00687212">
                      <w:rPr>
                        <w:rFonts w:ascii="Calibri" w:eastAsia="Calibri" w:hAnsi="Calibri" w:cs="Calibri"/>
                        <w:noProof/>
                        <w:color w:val="000000"/>
                        <w:sz w:val="24"/>
                        <w:szCs w:val="24"/>
                      </w:rPr>
                      <w:t>OFFICIAL</w:t>
                    </w:r>
                  </w:p>
                </w:txbxContent>
              </v:textbox>
              <w10:wrap anchorx="page" anchory="page"/>
            </v:shape>
          </w:pict>
        </mc:Fallback>
      </mc:AlternateContent>
    </w:r>
    <w:r w:rsidR="00DB34D0" w:rsidRPr="00AB06A9">
      <w:rPr>
        <w:sz w:val="16"/>
        <w:szCs w:val="16"/>
      </w:rPr>
      <w:fldChar w:fldCharType="begin"/>
    </w:r>
    <w:r w:rsidR="00DB34D0" w:rsidRPr="00AB06A9">
      <w:rPr>
        <w:sz w:val="16"/>
        <w:szCs w:val="16"/>
      </w:rPr>
      <w:instrText xml:space="preserve"> FILENAME \* MERGEFORMAT </w:instrText>
    </w:r>
    <w:r w:rsidR="00DB34D0" w:rsidRPr="00AB06A9">
      <w:rPr>
        <w:sz w:val="16"/>
        <w:szCs w:val="16"/>
      </w:rPr>
      <w:fldChar w:fldCharType="separate"/>
    </w:r>
    <w:r>
      <w:rPr>
        <w:noProof/>
        <w:sz w:val="16"/>
        <w:szCs w:val="16"/>
      </w:rPr>
      <w:t>PT20 RfP-ITT Clarifications .docx</w:t>
    </w:r>
    <w:r w:rsidR="00DB34D0" w:rsidRPr="00AB06A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A177" w14:textId="495D588B" w:rsidR="00687212" w:rsidRDefault="00687212">
    <w:pPr>
      <w:pStyle w:val="Footer"/>
    </w:pPr>
    <w:r>
      <w:rPr>
        <w:noProof/>
      </w:rPr>
      <mc:AlternateContent>
        <mc:Choice Requires="wps">
          <w:drawing>
            <wp:anchor distT="0" distB="0" distL="0" distR="0" simplePos="0" relativeHeight="251658245" behindDoc="0" locked="0" layoutInCell="1" allowOverlap="1" wp14:anchorId="1D1A975A" wp14:editId="1F361F67">
              <wp:simplePos x="635" y="635"/>
              <wp:positionH relativeFrom="page">
                <wp:align>center</wp:align>
              </wp:positionH>
              <wp:positionV relativeFrom="page">
                <wp:align>bottom</wp:align>
              </wp:positionV>
              <wp:extent cx="443865" cy="443865"/>
              <wp:effectExtent l="0" t="0" r="635" b="0"/>
              <wp:wrapNone/>
              <wp:docPr id="5698570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E902BA" w14:textId="741A731B" w:rsidR="00687212" w:rsidRPr="00687212" w:rsidRDefault="00687212" w:rsidP="00687212">
                          <w:pPr>
                            <w:spacing w:after="0"/>
                            <w:rPr>
                              <w:rFonts w:ascii="Calibri" w:eastAsia="Calibri" w:hAnsi="Calibri" w:cs="Calibri"/>
                              <w:noProof/>
                              <w:color w:val="000000"/>
                              <w:sz w:val="24"/>
                              <w:szCs w:val="24"/>
                            </w:rPr>
                          </w:pPr>
                          <w:r w:rsidRPr="00687212">
                            <w:rPr>
                              <w:rFonts w:ascii="Calibri" w:eastAsia="Calibri" w:hAnsi="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1A975A"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6E902BA" w14:textId="741A731B" w:rsidR="00687212" w:rsidRPr="00687212" w:rsidRDefault="00687212" w:rsidP="00687212">
                    <w:pPr>
                      <w:spacing w:after="0"/>
                      <w:rPr>
                        <w:rFonts w:ascii="Calibri" w:eastAsia="Calibri" w:hAnsi="Calibri" w:cs="Calibri"/>
                        <w:noProof/>
                        <w:color w:val="000000"/>
                        <w:sz w:val="24"/>
                        <w:szCs w:val="24"/>
                      </w:rPr>
                    </w:pPr>
                    <w:r w:rsidRPr="00687212">
                      <w:rPr>
                        <w:rFonts w:ascii="Calibri" w:eastAsia="Calibri" w:hAnsi="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11FF7" w14:textId="77777777" w:rsidR="00A51A56" w:rsidRDefault="00A51A56" w:rsidP="00AB06A9">
      <w:pPr>
        <w:spacing w:before="0" w:after="0"/>
      </w:pPr>
      <w:r>
        <w:separator/>
      </w:r>
    </w:p>
  </w:footnote>
  <w:footnote w:type="continuationSeparator" w:id="0">
    <w:p w14:paraId="7B4CD52E" w14:textId="77777777" w:rsidR="00A51A56" w:rsidRDefault="00A51A56" w:rsidP="00AB06A9">
      <w:pPr>
        <w:spacing w:before="0" w:after="0"/>
      </w:pPr>
      <w:r>
        <w:continuationSeparator/>
      </w:r>
    </w:p>
  </w:footnote>
  <w:footnote w:type="continuationNotice" w:id="1">
    <w:p w14:paraId="5A00E64E" w14:textId="77777777" w:rsidR="00A51A56" w:rsidRDefault="00A51A5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3B71A" w14:textId="10E838CD" w:rsidR="00687212" w:rsidRDefault="00687212">
    <w:pPr>
      <w:pStyle w:val="Header"/>
    </w:pPr>
    <w:r>
      <w:rPr>
        <w:noProof/>
      </w:rPr>
      <mc:AlternateContent>
        <mc:Choice Requires="wps">
          <w:drawing>
            <wp:anchor distT="0" distB="0" distL="0" distR="0" simplePos="0" relativeHeight="251658241" behindDoc="0" locked="0" layoutInCell="1" allowOverlap="1" wp14:anchorId="37D7C4D9" wp14:editId="41E22B80">
              <wp:simplePos x="635" y="635"/>
              <wp:positionH relativeFrom="page">
                <wp:align>center</wp:align>
              </wp:positionH>
              <wp:positionV relativeFrom="page">
                <wp:align>top</wp:align>
              </wp:positionV>
              <wp:extent cx="443865" cy="443865"/>
              <wp:effectExtent l="0" t="0" r="635" b="4445"/>
              <wp:wrapNone/>
              <wp:docPr id="19094578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56A9DC" w14:textId="16BF0563" w:rsidR="00687212" w:rsidRPr="00687212" w:rsidRDefault="00687212" w:rsidP="00687212">
                          <w:pPr>
                            <w:spacing w:after="0"/>
                            <w:rPr>
                              <w:rFonts w:ascii="Calibri" w:eastAsia="Calibri" w:hAnsi="Calibri" w:cs="Calibri"/>
                              <w:noProof/>
                              <w:color w:val="000000"/>
                              <w:sz w:val="24"/>
                              <w:szCs w:val="24"/>
                            </w:rPr>
                          </w:pPr>
                          <w:r w:rsidRPr="0068721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D7C4D9"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B56A9DC" w14:textId="16BF0563" w:rsidR="00687212" w:rsidRPr="00687212" w:rsidRDefault="00687212" w:rsidP="00687212">
                    <w:pPr>
                      <w:spacing w:after="0"/>
                      <w:rPr>
                        <w:rFonts w:ascii="Calibri" w:eastAsia="Calibri" w:hAnsi="Calibri" w:cs="Calibri"/>
                        <w:noProof/>
                        <w:color w:val="000000"/>
                        <w:sz w:val="24"/>
                        <w:szCs w:val="24"/>
                      </w:rPr>
                    </w:pPr>
                    <w:r w:rsidRPr="00687212">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004EE" w14:textId="0228304C" w:rsidR="00687212" w:rsidRDefault="00687212">
    <w:pPr>
      <w:pStyle w:val="Header"/>
    </w:pPr>
    <w:r>
      <w:rPr>
        <w:noProof/>
      </w:rPr>
      <mc:AlternateContent>
        <mc:Choice Requires="wps">
          <w:drawing>
            <wp:anchor distT="0" distB="0" distL="0" distR="0" simplePos="0" relativeHeight="251658242" behindDoc="0" locked="0" layoutInCell="1" allowOverlap="1" wp14:anchorId="5AD17C98" wp14:editId="36307BEF">
              <wp:simplePos x="635" y="635"/>
              <wp:positionH relativeFrom="page">
                <wp:align>center</wp:align>
              </wp:positionH>
              <wp:positionV relativeFrom="page">
                <wp:align>top</wp:align>
              </wp:positionV>
              <wp:extent cx="443865" cy="443865"/>
              <wp:effectExtent l="0" t="0" r="635" b="4445"/>
              <wp:wrapNone/>
              <wp:docPr id="13674818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A6AAF0" w14:textId="2EF8A66F" w:rsidR="00687212" w:rsidRPr="00687212" w:rsidRDefault="00687212" w:rsidP="00687212">
                          <w:pPr>
                            <w:spacing w:after="0"/>
                            <w:rPr>
                              <w:rFonts w:ascii="Calibri" w:eastAsia="Calibri" w:hAnsi="Calibri" w:cs="Calibri"/>
                              <w:noProof/>
                              <w:color w:val="000000"/>
                              <w:sz w:val="24"/>
                              <w:szCs w:val="24"/>
                            </w:rPr>
                          </w:pPr>
                          <w:r w:rsidRPr="0068721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D17C98"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2A6AAF0" w14:textId="2EF8A66F" w:rsidR="00687212" w:rsidRPr="00687212" w:rsidRDefault="00687212" w:rsidP="00687212">
                    <w:pPr>
                      <w:spacing w:after="0"/>
                      <w:rPr>
                        <w:rFonts w:ascii="Calibri" w:eastAsia="Calibri" w:hAnsi="Calibri" w:cs="Calibri"/>
                        <w:noProof/>
                        <w:color w:val="000000"/>
                        <w:sz w:val="24"/>
                        <w:szCs w:val="24"/>
                      </w:rPr>
                    </w:pPr>
                    <w:r w:rsidRPr="00687212">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64881" w14:textId="21EE88D7" w:rsidR="00687212" w:rsidRDefault="00687212">
    <w:pPr>
      <w:pStyle w:val="Header"/>
    </w:pPr>
    <w:r>
      <w:rPr>
        <w:noProof/>
      </w:rPr>
      <mc:AlternateContent>
        <mc:Choice Requires="wps">
          <w:drawing>
            <wp:anchor distT="0" distB="0" distL="0" distR="0" simplePos="0" relativeHeight="251658244" behindDoc="0" locked="0" layoutInCell="1" allowOverlap="1" wp14:anchorId="57045D8C" wp14:editId="61B31AAD">
              <wp:simplePos x="635" y="635"/>
              <wp:positionH relativeFrom="page">
                <wp:align>center</wp:align>
              </wp:positionH>
              <wp:positionV relativeFrom="page">
                <wp:align>top</wp:align>
              </wp:positionV>
              <wp:extent cx="443865" cy="443865"/>
              <wp:effectExtent l="0" t="0" r="635" b="4445"/>
              <wp:wrapNone/>
              <wp:docPr id="190650619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03F07B" w14:textId="0F2D626C" w:rsidR="00687212" w:rsidRPr="00687212" w:rsidRDefault="00687212" w:rsidP="00687212">
                          <w:pPr>
                            <w:spacing w:after="0"/>
                            <w:rPr>
                              <w:rFonts w:ascii="Calibri" w:eastAsia="Calibri" w:hAnsi="Calibri" w:cs="Calibri"/>
                              <w:noProof/>
                              <w:color w:val="000000"/>
                              <w:sz w:val="24"/>
                              <w:szCs w:val="24"/>
                            </w:rPr>
                          </w:pPr>
                          <w:r w:rsidRPr="00687212">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045D8C"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103F07B" w14:textId="0F2D626C" w:rsidR="00687212" w:rsidRPr="00687212" w:rsidRDefault="00687212" w:rsidP="00687212">
                    <w:pPr>
                      <w:spacing w:after="0"/>
                      <w:rPr>
                        <w:rFonts w:ascii="Calibri" w:eastAsia="Calibri" w:hAnsi="Calibri" w:cs="Calibri"/>
                        <w:noProof/>
                        <w:color w:val="000000"/>
                        <w:sz w:val="24"/>
                        <w:szCs w:val="24"/>
                      </w:rPr>
                    </w:pPr>
                    <w:r w:rsidRPr="00687212">
                      <w:rPr>
                        <w:rFonts w:ascii="Calibri" w:eastAsia="Calibri" w:hAnsi="Calibri" w:cs="Calibri"/>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0207"/>
    <w:multiLevelType w:val="hybridMultilevel"/>
    <w:tmpl w:val="FF14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C3EF0"/>
    <w:multiLevelType w:val="hybridMultilevel"/>
    <w:tmpl w:val="B2CA819E"/>
    <w:lvl w:ilvl="0" w:tplc="B22025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C5232"/>
    <w:multiLevelType w:val="hybridMultilevel"/>
    <w:tmpl w:val="5B60E7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9190E02"/>
    <w:multiLevelType w:val="hybridMultilevel"/>
    <w:tmpl w:val="2612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5C48D9"/>
    <w:multiLevelType w:val="hybridMultilevel"/>
    <w:tmpl w:val="0722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627B8B"/>
    <w:multiLevelType w:val="hybridMultilevel"/>
    <w:tmpl w:val="B15244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3F4577"/>
    <w:multiLevelType w:val="hybridMultilevel"/>
    <w:tmpl w:val="76A89A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0D075B"/>
    <w:multiLevelType w:val="hybridMultilevel"/>
    <w:tmpl w:val="2C3C7E50"/>
    <w:lvl w:ilvl="0" w:tplc="D460FD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AC5AB0"/>
    <w:multiLevelType w:val="multilevel"/>
    <w:tmpl w:val="F0487C90"/>
    <w:lvl w:ilvl="0">
      <w:start w:val="1"/>
      <w:numFmt w:val="decimal"/>
      <w:lvlText w:val="(%1)"/>
      <w:lvlJc w:val="left"/>
      <w:pPr>
        <w:ind w:left="907" w:hanging="397"/>
      </w:pPr>
      <w:rPr>
        <w:b/>
      </w:rPr>
    </w:lvl>
    <w:lvl w:ilvl="1">
      <w:start w:val="1"/>
      <w:numFmt w:val="lowerLetter"/>
      <w:lvlText w:val="%2."/>
      <w:lvlJc w:val="left"/>
      <w:pPr>
        <w:tabs>
          <w:tab w:val="num" w:pos="2157"/>
        </w:tabs>
        <w:ind w:left="2157" w:hanging="360"/>
      </w:pPr>
    </w:lvl>
    <w:lvl w:ilvl="2">
      <w:start w:val="1"/>
      <w:numFmt w:val="lowerRoman"/>
      <w:lvlText w:val="%3."/>
      <w:lvlJc w:val="right"/>
      <w:pPr>
        <w:tabs>
          <w:tab w:val="num" w:pos="2877"/>
        </w:tabs>
        <w:ind w:left="2877" w:hanging="180"/>
      </w:pPr>
    </w:lvl>
    <w:lvl w:ilvl="3">
      <w:start w:val="1"/>
      <w:numFmt w:val="decimal"/>
      <w:lvlText w:val="%4."/>
      <w:lvlJc w:val="left"/>
      <w:pPr>
        <w:tabs>
          <w:tab w:val="num" w:pos="3597"/>
        </w:tabs>
        <w:ind w:left="3597" w:hanging="360"/>
      </w:pPr>
    </w:lvl>
    <w:lvl w:ilvl="4">
      <w:start w:val="1"/>
      <w:numFmt w:val="lowerLetter"/>
      <w:lvlText w:val="%5."/>
      <w:lvlJc w:val="left"/>
      <w:pPr>
        <w:tabs>
          <w:tab w:val="num" w:pos="4317"/>
        </w:tabs>
        <w:ind w:left="4317" w:hanging="360"/>
      </w:pPr>
    </w:lvl>
    <w:lvl w:ilvl="5">
      <w:start w:val="1"/>
      <w:numFmt w:val="lowerRoman"/>
      <w:lvlText w:val="%6."/>
      <w:lvlJc w:val="right"/>
      <w:pPr>
        <w:tabs>
          <w:tab w:val="num" w:pos="5037"/>
        </w:tabs>
        <w:ind w:left="5037" w:hanging="180"/>
      </w:pPr>
    </w:lvl>
    <w:lvl w:ilvl="6">
      <w:start w:val="1"/>
      <w:numFmt w:val="decimal"/>
      <w:lvlText w:val="%7."/>
      <w:lvlJc w:val="left"/>
      <w:pPr>
        <w:tabs>
          <w:tab w:val="num" w:pos="5757"/>
        </w:tabs>
        <w:ind w:left="5757" w:hanging="360"/>
      </w:pPr>
    </w:lvl>
    <w:lvl w:ilvl="7">
      <w:start w:val="1"/>
      <w:numFmt w:val="lowerLetter"/>
      <w:lvlText w:val="%8."/>
      <w:lvlJc w:val="left"/>
      <w:pPr>
        <w:tabs>
          <w:tab w:val="num" w:pos="6477"/>
        </w:tabs>
        <w:ind w:left="6477" w:hanging="360"/>
      </w:pPr>
    </w:lvl>
    <w:lvl w:ilvl="8">
      <w:start w:val="1"/>
      <w:numFmt w:val="lowerRoman"/>
      <w:lvlText w:val="%9."/>
      <w:lvlJc w:val="right"/>
      <w:pPr>
        <w:tabs>
          <w:tab w:val="num" w:pos="7197"/>
        </w:tabs>
        <w:ind w:left="7197" w:hanging="180"/>
      </w:pPr>
    </w:lvl>
  </w:abstractNum>
  <w:abstractNum w:abstractNumId="9" w15:restartNumberingAfterBreak="0">
    <w:nsid w:val="3D897BC5"/>
    <w:multiLevelType w:val="hybridMultilevel"/>
    <w:tmpl w:val="5B60E7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6F2E03DC"/>
    <w:multiLevelType w:val="hybridMultilevel"/>
    <w:tmpl w:val="71043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04B2B06"/>
    <w:multiLevelType w:val="hybridMultilevel"/>
    <w:tmpl w:val="5B60E76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60943111">
    <w:abstractNumId w:val="0"/>
  </w:num>
  <w:num w:numId="2" w16cid:durableId="1372921618">
    <w:abstractNumId w:val="6"/>
  </w:num>
  <w:num w:numId="3" w16cid:durableId="1239628526">
    <w:abstractNumId w:val="5"/>
  </w:num>
  <w:num w:numId="4" w16cid:durableId="2043356078">
    <w:abstractNumId w:val="7"/>
  </w:num>
  <w:num w:numId="5" w16cid:durableId="443500608">
    <w:abstractNumId w:val="3"/>
  </w:num>
  <w:num w:numId="6" w16cid:durableId="15416695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2362418">
    <w:abstractNumId w:val="4"/>
  </w:num>
  <w:num w:numId="8" w16cid:durableId="1114984243">
    <w:abstractNumId w:val="1"/>
  </w:num>
  <w:num w:numId="9" w16cid:durableId="1666978645">
    <w:abstractNumId w:val="10"/>
  </w:num>
  <w:num w:numId="10" w16cid:durableId="17668026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1995453">
    <w:abstractNumId w:val="11"/>
  </w:num>
  <w:num w:numId="12" w16cid:durableId="1999452772">
    <w:abstractNumId w:val="9"/>
  </w:num>
  <w:num w:numId="13" w16cid:durableId="176433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1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CD"/>
    <w:rsid w:val="0002015A"/>
    <w:rsid w:val="00035BFE"/>
    <w:rsid w:val="000514E7"/>
    <w:rsid w:val="00055C38"/>
    <w:rsid w:val="0006559F"/>
    <w:rsid w:val="00074B57"/>
    <w:rsid w:val="000967FF"/>
    <w:rsid w:val="000D7AC1"/>
    <w:rsid w:val="000E0632"/>
    <w:rsid w:val="000E41DF"/>
    <w:rsid w:val="00106D77"/>
    <w:rsid w:val="00114F7C"/>
    <w:rsid w:val="00127C00"/>
    <w:rsid w:val="00170D21"/>
    <w:rsid w:val="00180134"/>
    <w:rsid w:val="00185FED"/>
    <w:rsid w:val="001A2D85"/>
    <w:rsid w:val="001A5D7E"/>
    <w:rsid w:val="001A6F7C"/>
    <w:rsid w:val="001D03B7"/>
    <w:rsid w:val="001D61AB"/>
    <w:rsid w:val="001E2CB8"/>
    <w:rsid w:val="001F3D4B"/>
    <w:rsid w:val="00202279"/>
    <w:rsid w:val="00245C96"/>
    <w:rsid w:val="00255ADA"/>
    <w:rsid w:val="00287C79"/>
    <w:rsid w:val="003305AB"/>
    <w:rsid w:val="00334A26"/>
    <w:rsid w:val="003C0577"/>
    <w:rsid w:val="003E4A8C"/>
    <w:rsid w:val="004008D8"/>
    <w:rsid w:val="00410D3B"/>
    <w:rsid w:val="00434DAB"/>
    <w:rsid w:val="00447655"/>
    <w:rsid w:val="0046223D"/>
    <w:rsid w:val="00465313"/>
    <w:rsid w:val="00491D62"/>
    <w:rsid w:val="004C71F4"/>
    <w:rsid w:val="004D14BF"/>
    <w:rsid w:val="004E16F9"/>
    <w:rsid w:val="004F490C"/>
    <w:rsid w:val="00514EFE"/>
    <w:rsid w:val="00576C2F"/>
    <w:rsid w:val="005919CD"/>
    <w:rsid w:val="00591EE3"/>
    <w:rsid w:val="0059266B"/>
    <w:rsid w:val="005B55D5"/>
    <w:rsid w:val="005C2BC9"/>
    <w:rsid w:val="005C776A"/>
    <w:rsid w:val="005D4B46"/>
    <w:rsid w:val="00615544"/>
    <w:rsid w:val="00631329"/>
    <w:rsid w:val="006322A6"/>
    <w:rsid w:val="00687212"/>
    <w:rsid w:val="00690161"/>
    <w:rsid w:val="00697DDB"/>
    <w:rsid w:val="006E7253"/>
    <w:rsid w:val="00704BB3"/>
    <w:rsid w:val="0071037B"/>
    <w:rsid w:val="00766FF8"/>
    <w:rsid w:val="007721A7"/>
    <w:rsid w:val="007F26EA"/>
    <w:rsid w:val="00807658"/>
    <w:rsid w:val="0084278B"/>
    <w:rsid w:val="00846D65"/>
    <w:rsid w:val="0087313C"/>
    <w:rsid w:val="008C3849"/>
    <w:rsid w:val="00920CA8"/>
    <w:rsid w:val="00962C1B"/>
    <w:rsid w:val="00966B32"/>
    <w:rsid w:val="009B22F9"/>
    <w:rsid w:val="009D6702"/>
    <w:rsid w:val="00A211A4"/>
    <w:rsid w:val="00A504EE"/>
    <w:rsid w:val="00A51A56"/>
    <w:rsid w:val="00AB06A9"/>
    <w:rsid w:val="00AE6A53"/>
    <w:rsid w:val="00B113A2"/>
    <w:rsid w:val="00B347FA"/>
    <w:rsid w:val="00B430EB"/>
    <w:rsid w:val="00B90E15"/>
    <w:rsid w:val="00B93C7D"/>
    <w:rsid w:val="00B9605D"/>
    <w:rsid w:val="00BA02DB"/>
    <w:rsid w:val="00BA1266"/>
    <w:rsid w:val="00BB4445"/>
    <w:rsid w:val="00BE614B"/>
    <w:rsid w:val="00C0751C"/>
    <w:rsid w:val="00C41CD8"/>
    <w:rsid w:val="00CA3A52"/>
    <w:rsid w:val="00CA6D4B"/>
    <w:rsid w:val="00CC4C6E"/>
    <w:rsid w:val="00CC7E2D"/>
    <w:rsid w:val="00CD3535"/>
    <w:rsid w:val="00D0398D"/>
    <w:rsid w:val="00D13DC1"/>
    <w:rsid w:val="00D24BB8"/>
    <w:rsid w:val="00D34D00"/>
    <w:rsid w:val="00D40E6D"/>
    <w:rsid w:val="00D944A0"/>
    <w:rsid w:val="00DA5847"/>
    <w:rsid w:val="00DB34D0"/>
    <w:rsid w:val="00DB374A"/>
    <w:rsid w:val="00DE3A6B"/>
    <w:rsid w:val="00DF6AAC"/>
    <w:rsid w:val="00E030A2"/>
    <w:rsid w:val="00E94B5F"/>
    <w:rsid w:val="00E96205"/>
    <w:rsid w:val="00F209E6"/>
    <w:rsid w:val="00F32F94"/>
    <w:rsid w:val="00F86EBA"/>
    <w:rsid w:val="00F97A18"/>
    <w:rsid w:val="00FB4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A9EC"/>
  <w15:chartTrackingRefBased/>
  <w15:docId w15:val="{7B1165FA-0BAF-4983-958C-A5856CC6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3A2"/>
    <w:rPr>
      <w:rFonts w:ascii="Arial" w:hAnsi="Arial"/>
    </w:rPr>
  </w:style>
  <w:style w:type="paragraph" w:styleId="Heading1">
    <w:name w:val="heading 1"/>
    <w:basedOn w:val="Normal"/>
    <w:next w:val="Normal"/>
    <w:link w:val="Heading1Char"/>
    <w:uiPriority w:val="9"/>
    <w:unhideWhenUsed/>
    <w:qFormat/>
    <w:rsid w:val="00E030A2"/>
    <w:pPr>
      <w:keepNext/>
      <w:keepLines/>
      <w:spacing w:before="360"/>
      <w:outlineLvl w:val="0"/>
    </w:pPr>
    <w:rPr>
      <w:rFonts w:eastAsia="Times New Roman" w:cs="Times New Roman"/>
      <w:b/>
      <w:bCs/>
      <w:color w:val="000000"/>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71F4"/>
    <w:rPr>
      <w:sz w:val="16"/>
      <w:szCs w:val="16"/>
    </w:rPr>
  </w:style>
  <w:style w:type="paragraph" w:styleId="CommentText">
    <w:name w:val="annotation text"/>
    <w:basedOn w:val="Normal"/>
    <w:link w:val="CommentTextChar"/>
    <w:uiPriority w:val="99"/>
    <w:semiHidden/>
    <w:unhideWhenUsed/>
    <w:rsid w:val="004C71F4"/>
    <w:rPr>
      <w:sz w:val="20"/>
      <w:szCs w:val="20"/>
    </w:rPr>
  </w:style>
  <w:style w:type="character" w:customStyle="1" w:styleId="CommentTextChar">
    <w:name w:val="Comment Text Char"/>
    <w:basedOn w:val="DefaultParagraphFont"/>
    <w:link w:val="CommentText"/>
    <w:uiPriority w:val="99"/>
    <w:semiHidden/>
    <w:rsid w:val="004C71F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C71F4"/>
    <w:rPr>
      <w:b/>
      <w:bCs/>
    </w:rPr>
  </w:style>
  <w:style w:type="character" w:customStyle="1" w:styleId="CommentSubjectChar">
    <w:name w:val="Comment Subject Char"/>
    <w:basedOn w:val="CommentTextChar"/>
    <w:link w:val="CommentSubject"/>
    <w:uiPriority w:val="99"/>
    <w:semiHidden/>
    <w:rsid w:val="004C71F4"/>
    <w:rPr>
      <w:rFonts w:ascii="Arial" w:hAnsi="Arial"/>
      <w:b/>
      <w:bCs/>
      <w:sz w:val="20"/>
      <w:szCs w:val="20"/>
    </w:rPr>
  </w:style>
  <w:style w:type="paragraph" w:styleId="ListParagraph">
    <w:name w:val="List Paragraph"/>
    <w:basedOn w:val="Normal"/>
    <w:uiPriority w:val="34"/>
    <w:qFormat/>
    <w:rsid w:val="00DA5847"/>
    <w:pPr>
      <w:ind w:left="720"/>
      <w:contextualSpacing/>
    </w:pPr>
  </w:style>
  <w:style w:type="character" w:customStyle="1" w:styleId="Heading1Char">
    <w:name w:val="Heading 1 Char"/>
    <w:basedOn w:val="DefaultParagraphFont"/>
    <w:link w:val="Heading1"/>
    <w:uiPriority w:val="9"/>
    <w:rsid w:val="00E030A2"/>
    <w:rPr>
      <w:rFonts w:ascii="Arial" w:eastAsia="Times New Roman" w:hAnsi="Arial" w:cs="Times New Roman"/>
      <w:b/>
      <w:bCs/>
      <w:color w:val="000000"/>
      <w:sz w:val="32"/>
      <w:szCs w:val="28"/>
    </w:rPr>
  </w:style>
  <w:style w:type="table" w:styleId="TableGrid">
    <w:name w:val="Table Grid"/>
    <w:basedOn w:val="TableNormal"/>
    <w:uiPriority w:val="39"/>
    <w:rsid w:val="00E030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0A2"/>
    <w:rPr>
      <w:color w:val="0563C1" w:themeColor="hyperlink"/>
      <w:u w:val="single"/>
    </w:rPr>
  </w:style>
  <w:style w:type="character" w:styleId="UnresolvedMention">
    <w:name w:val="Unresolved Mention"/>
    <w:basedOn w:val="DefaultParagraphFont"/>
    <w:uiPriority w:val="99"/>
    <w:unhideWhenUsed/>
    <w:rsid w:val="00E030A2"/>
    <w:rPr>
      <w:color w:val="605E5C"/>
      <w:shd w:val="clear" w:color="auto" w:fill="E1DFDD"/>
    </w:rPr>
  </w:style>
  <w:style w:type="paragraph" w:styleId="Header">
    <w:name w:val="header"/>
    <w:basedOn w:val="Normal"/>
    <w:link w:val="HeaderChar"/>
    <w:uiPriority w:val="99"/>
    <w:unhideWhenUsed/>
    <w:rsid w:val="00AB06A9"/>
    <w:pPr>
      <w:tabs>
        <w:tab w:val="center" w:pos="4513"/>
        <w:tab w:val="right" w:pos="9026"/>
      </w:tabs>
      <w:spacing w:before="0" w:after="0"/>
    </w:pPr>
  </w:style>
  <w:style w:type="character" w:customStyle="1" w:styleId="HeaderChar">
    <w:name w:val="Header Char"/>
    <w:basedOn w:val="DefaultParagraphFont"/>
    <w:link w:val="Header"/>
    <w:uiPriority w:val="99"/>
    <w:rsid w:val="00AB06A9"/>
    <w:rPr>
      <w:rFonts w:ascii="Arial" w:hAnsi="Arial"/>
    </w:rPr>
  </w:style>
  <w:style w:type="paragraph" w:styleId="Footer">
    <w:name w:val="footer"/>
    <w:basedOn w:val="Normal"/>
    <w:link w:val="FooterChar"/>
    <w:uiPriority w:val="99"/>
    <w:unhideWhenUsed/>
    <w:rsid w:val="00AB06A9"/>
    <w:pPr>
      <w:tabs>
        <w:tab w:val="center" w:pos="4513"/>
        <w:tab w:val="right" w:pos="9026"/>
      </w:tabs>
      <w:spacing w:before="0" w:after="0"/>
    </w:pPr>
  </w:style>
  <w:style w:type="character" w:customStyle="1" w:styleId="FooterChar">
    <w:name w:val="Footer Char"/>
    <w:basedOn w:val="DefaultParagraphFont"/>
    <w:link w:val="Footer"/>
    <w:uiPriority w:val="99"/>
    <w:rsid w:val="00AB06A9"/>
    <w:rPr>
      <w:rFonts w:ascii="Arial" w:hAnsi="Arial"/>
    </w:rPr>
  </w:style>
  <w:style w:type="character" w:styleId="Mention">
    <w:name w:val="Mention"/>
    <w:basedOn w:val="DefaultParagraphFont"/>
    <w:uiPriority w:val="99"/>
    <w:unhideWhenUsed/>
    <w:rsid w:val="00F97A1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45746">
      <w:bodyDiv w:val="1"/>
      <w:marLeft w:val="0"/>
      <w:marRight w:val="0"/>
      <w:marTop w:val="0"/>
      <w:marBottom w:val="0"/>
      <w:divBdr>
        <w:top w:val="none" w:sz="0" w:space="0" w:color="auto"/>
        <w:left w:val="none" w:sz="0" w:space="0" w:color="auto"/>
        <w:bottom w:val="none" w:sz="0" w:space="0" w:color="auto"/>
        <w:right w:val="none" w:sz="0" w:space="0" w:color="auto"/>
      </w:divBdr>
    </w:div>
    <w:div w:id="1156267923">
      <w:bodyDiv w:val="1"/>
      <w:marLeft w:val="0"/>
      <w:marRight w:val="0"/>
      <w:marTop w:val="0"/>
      <w:marBottom w:val="0"/>
      <w:divBdr>
        <w:top w:val="none" w:sz="0" w:space="0" w:color="auto"/>
        <w:left w:val="none" w:sz="0" w:space="0" w:color="auto"/>
        <w:bottom w:val="none" w:sz="0" w:space="0" w:color="auto"/>
        <w:right w:val="none" w:sz="0" w:space="0" w:color="auto"/>
      </w:divBdr>
    </w:div>
    <w:div w:id="1390230541">
      <w:bodyDiv w:val="1"/>
      <w:marLeft w:val="0"/>
      <w:marRight w:val="0"/>
      <w:marTop w:val="0"/>
      <w:marBottom w:val="0"/>
      <w:divBdr>
        <w:top w:val="none" w:sz="0" w:space="0" w:color="auto"/>
        <w:left w:val="none" w:sz="0" w:space="0" w:color="auto"/>
        <w:bottom w:val="none" w:sz="0" w:space="0" w:color="auto"/>
        <w:right w:val="none" w:sz="0" w:space="0" w:color="auto"/>
      </w:divBdr>
    </w:div>
    <w:div w:id="1505781371">
      <w:bodyDiv w:val="1"/>
      <w:marLeft w:val="0"/>
      <w:marRight w:val="0"/>
      <w:marTop w:val="0"/>
      <w:marBottom w:val="0"/>
      <w:divBdr>
        <w:top w:val="none" w:sz="0" w:space="0" w:color="auto"/>
        <w:left w:val="none" w:sz="0" w:space="0" w:color="auto"/>
        <w:bottom w:val="none" w:sz="0" w:space="0" w:color="auto"/>
        <w:right w:val="none" w:sz="0" w:space="0" w:color="auto"/>
      </w:divBdr>
    </w:div>
    <w:div w:id="1571845325">
      <w:bodyDiv w:val="1"/>
      <w:marLeft w:val="0"/>
      <w:marRight w:val="0"/>
      <w:marTop w:val="0"/>
      <w:marBottom w:val="0"/>
      <w:divBdr>
        <w:top w:val="none" w:sz="0" w:space="0" w:color="auto"/>
        <w:left w:val="none" w:sz="0" w:space="0" w:color="auto"/>
        <w:bottom w:val="none" w:sz="0" w:space="0" w:color="auto"/>
        <w:right w:val="none" w:sz="0" w:space="0" w:color="auto"/>
      </w:divBdr>
    </w:div>
    <w:div w:id="1778284679">
      <w:bodyDiv w:val="1"/>
      <w:marLeft w:val="0"/>
      <w:marRight w:val="0"/>
      <w:marTop w:val="0"/>
      <w:marBottom w:val="0"/>
      <w:divBdr>
        <w:top w:val="none" w:sz="0" w:space="0" w:color="auto"/>
        <w:left w:val="none" w:sz="0" w:space="0" w:color="auto"/>
        <w:bottom w:val="none" w:sz="0" w:space="0" w:color="auto"/>
        <w:right w:val="none" w:sz="0" w:space="0" w:color="auto"/>
      </w:divBdr>
    </w:div>
    <w:div w:id="190135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7f1353b-b85d-4817-81a1-87e063a3ae86" xsi:nil="true"/>
    <lcf76f155ced4ddcb4097134ff3c332f xmlns="ad71752a-0ee9-44f1-ae8a-83132ef55b5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905C9F44E08646A8ED0C2C34827509" ma:contentTypeVersion="16" ma:contentTypeDescription="Create a new document." ma:contentTypeScope="" ma:versionID="b580886831e9059e50ba2db4b9579c86">
  <xsd:schema xmlns:xsd="http://www.w3.org/2001/XMLSchema" xmlns:xs="http://www.w3.org/2001/XMLSchema" xmlns:p="http://schemas.microsoft.com/office/2006/metadata/properties" xmlns:ns2="ad71752a-0ee9-44f1-ae8a-83132ef55b54" xmlns:ns3="37f1353b-b85d-4817-81a1-87e063a3ae86" targetNamespace="http://schemas.microsoft.com/office/2006/metadata/properties" ma:root="true" ma:fieldsID="02bb6223a08fb3ed60e979c49ce0f7fe" ns2:_="" ns3:_="">
    <xsd:import namespace="ad71752a-0ee9-44f1-ae8a-83132ef55b54"/>
    <xsd:import namespace="37f1353b-b85d-4817-81a1-87e063a3ae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1752a-0ee9-44f1-ae8a-83132ef55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03e191-e31a-45e7-91de-ffbc440a80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f1353b-b85d-4817-81a1-87e063a3ae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f80268-0a33-4182-be4f-1f8ed06bf4e4}" ma:internalName="TaxCatchAll" ma:showField="CatchAllData" ma:web="37f1353b-b85d-4817-81a1-87e063a3a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BDA2C3-A281-49A9-86A9-D9D188EC1983}">
  <ds:schemaRefs>
    <ds:schemaRef ds:uri="http://schemas.microsoft.com/sharepoint/v3/contenttype/forms"/>
  </ds:schemaRefs>
</ds:datastoreItem>
</file>

<file path=customXml/itemProps2.xml><?xml version="1.0" encoding="utf-8"?>
<ds:datastoreItem xmlns:ds="http://schemas.openxmlformats.org/officeDocument/2006/customXml" ds:itemID="{C11D0328-8251-4C02-8BC0-E1F2CD798A73}">
  <ds:schemaRefs>
    <ds:schemaRef ds:uri="http://schemas.microsoft.com/office/2006/metadata/properties"/>
    <ds:schemaRef ds:uri="http://schemas.microsoft.com/office/infopath/2007/PartnerControls"/>
    <ds:schemaRef ds:uri="37f1353b-b85d-4817-81a1-87e063a3ae86"/>
    <ds:schemaRef ds:uri="ad71752a-0ee9-44f1-ae8a-83132ef55b54"/>
  </ds:schemaRefs>
</ds:datastoreItem>
</file>

<file path=customXml/itemProps3.xml><?xml version="1.0" encoding="utf-8"?>
<ds:datastoreItem xmlns:ds="http://schemas.openxmlformats.org/officeDocument/2006/customXml" ds:itemID="{D1583FCE-6719-4889-A9C5-0B1047DB7CD7}">
  <ds:schemaRefs>
    <ds:schemaRef ds:uri="http://schemas.openxmlformats.org/officeDocument/2006/bibliography"/>
  </ds:schemaRefs>
</ds:datastoreItem>
</file>

<file path=customXml/itemProps4.xml><?xml version="1.0" encoding="utf-8"?>
<ds:datastoreItem xmlns:ds="http://schemas.openxmlformats.org/officeDocument/2006/customXml" ds:itemID="{83AE4788-4161-40F7-9A8C-A9E0CE0F1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1752a-0ee9-44f1-ae8a-83132ef55b54"/>
    <ds:schemaRef ds:uri="37f1353b-b85d-4817-81a1-87e063a3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0b25f7-7d40-451f-9463-09866d349857}" enabled="1" method="Standard" siteId="{c279a496-3a70-40af-b133-b6612ac4019e}"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dave.marsh@theOEP.org.uk</dc:creator>
  <cp:keywords/>
  <dc:description/>
  <cp:lastModifiedBy>Cannon, John</cp:lastModifiedBy>
  <cp:revision>2</cp:revision>
  <dcterms:created xsi:type="dcterms:W3CDTF">2023-12-05T14:13:00Z</dcterms:created>
  <dcterms:modified xsi:type="dcterms:W3CDTF">2023-12-05T14:13:00Z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0x01010040905C9F44E08646A8ED0C2C34827509</vt:lpwstr>
  </property>
  <property fmtid="{D5CDD505-2E9C-101B-9397-08002B2CF9AE}" pid="3" name="MediaServiceImageTags">
    <vt:lpwstr/>
  </property>
  <property fmtid="{D5CDD505-2E9C-101B-9397-08002B2CF9AE}" pid="4" name="ClassificationContentMarkingHeaderShapeIds">
    <vt:lpwstr>71a2f9d4,71d003bc,51821ddb</vt:lpwstr>
  </property>
  <property fmtid="{D5CDD505-2E9C-101B-9397-08002B2CF9AE}" pid="5" name="ClassificationContentMarkingHeaderFontProps">
    <vt:lpwstr>#000000,12,Calibri</vt:lpwstr>
  </property>
  <property fmtid="{D5CDD505-2E9C-101B-9397-08002B2CF9AE}" pid="6" name="ClassificationContentMarkingHeaderText">
    <vt:lpwstr>OFFICIAL</vt:lpwstr>
  </property>
  <property fmtid="{D5CDD505-2E9C-101B-9397-08002B2CF9AE}" pid="7" name="ClassificationContentMarkingFooterShapeIds">
    <vt:lpwstr>3658867,59f619d7,7634af5f</vt:lpwstr>
  </property>
  <property fmtid="{D5CDD505-2E9C-101B-9397-08002B2CF9AE}" pid="8" name="ClassificationContentMarkingFooterFontProps">
    <vt:lpwstr>#000000,12,Calibri</vt:lpwstr>
  </property>
  <property fmtid="{D5CDD505-2E9C-101B-9397-08002B2CF9AE}" pid="9" name="ClassificationContentMarkingFooterText">
    <vt:lpwstr>OFFICIAL</vt:lpwstr>
  </property>
</Properties>
</file>