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E1" w:rsidRPr="00E101B8" w:rsidRDefault="003202E1" w:rsidP="003202E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Cs w:val="20"/>
          <w:lang w:eastAsia="en-GB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color w:val="000000"/>
          <w:szCs w:val="20"/>
          <w:lang w:eastAsia="en-GB"/>
        </w:rPr>
        <w:t>Health &amp;</w:t>
      </w:r>
      <w:r w:rsidRPr="00E101B8">
        <w:rPr>
          <w:rFonts w:ascii="Arial" w:eastAsia="Calibri" w:hAnsi="Arial" w:cs="Arial"/>
          <w:b/>
          <w:bCs/>
          <w:color w:val="000000"/>
          <w:szCs w:val="20"/>
          <w:lang w:eastAsia="en-GB"/>
        </w:rPr>
        <w:t xml:space="preserve"> Safety</w:t>
      </w:r>
      <w:r>
        <w:rPr>
          <w:rFonts w:ascii="Arial" w:eastAsia="Calibri" w:hAnsi="Arial" w:cs="Arial"/>
          <w:b/>
          <w:bCs/>
          <w:color w:val="000000"/>
          <w:szCs w:val="20"/>
          <w:lang w:eastAsia="en-GB"/>
        </w:rPr>
        <w:t xml:space="preserve"> and Sustainability Schedule</w:t>
      </w:r>
    </w:p>
    <w:p w:rsidR="003202E1" w:rsidRPr="00051579" w:rsidRDefault="003202E1" w:rsidP="003202E1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3202E1" w:rsidRPr="00051579" w:rsidRDefault="003202E1" w:rsidP="003202E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51579">
        <w:rPr>
          <w:rFonts w:ascii="Arial" w:hAnsi="Arial" w:cs="Arial"/>
          <w:b/>
          <w:sz w:val="20"/>
          <w:szCs w:val="20"/>
          <w:u w:val="single"/>
        </w:rPr>
        <w:t>Health, Safety and Environment</w:t>
      </w:r>
    </w:p>
    <w:p w:rsidR="003202E1" w:rsidRPr="00051579" w:rsidRDefault="003202E1" w:rsidP="003202E1">
      <w:pPr>
        <w:jc w:val="both"/>
        <w:rPr>
          <w:rFonts w:ascii="Arial" w:hAnsi="Arial" w:cs="Arial"/>
          <w:sz w:val="20"/>
          <w:szCs w:val="20"/>
        </w:rPr>
      </w:pPr>
    </w:p>
    <w:p w:rsidR="003202E1" w:rsidRPr="00051579" w:rsidRDefault="003202E1" w:rsidP="003202E1">
      <w:pPr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is committed to improving health and safety performance of all its activities and expects its </w:t>
      </w:r>
      <w:r w:rsidRPr="0090738F">
        <w:rPr>
          <w:rFonts w:ascii="Arial" w:hAnsi="Arial" w:cs="Arial"/>
          <w:i/>
          <w:sz w:val="20"/>
          <w:szCs w:val="20"/>
        </w:rPr>
        <w:t>Contractors</w:t>
      </w:r>
      <w:r w:rsidRPr="00051579">
        <w:rPr>
          <w:rFonts w:ascii="Arial" w:hAnsi="Arial" w:cs="Arial"/>
          <w:sz w:val="20"/>
          <w:szCs w:val="20"/>
        </w:rPr>
        <w:t xml:space="preserve"> to be equally committed to improving the health and safety performanc</w:t>
      </w:r>
      <w:r w:rsidR="0090738F">
        <w:rPr>
          <w:rFonts w:ascii="Arial" w:hAnsi="Arial" w:cs="Arial"/>
          <w:sz w:val="20"/>
          <w:szCs w:val="20"/>
        </w:rPr>
        <w:t>e of all activities undertaken under this contract.</w:t>
      </w:r>
    </w:p>
    <w:p w:rsidR="003202E1" w:rsidRPr="00051579" w:rsidRDefault="003202E1" w:rsidP="003202E1">
      <w:pPr>
        <w:jc w:val="both"/>
        <w:rPr>
          <w:rFonts w:ascii="Arial" w:hAnsi="Arial" w:cs="Arial"/>
          <w:sz w:val="20"/>
          <w:szCs w:val="20"/>
        </w:rPr>
      </w:pPr>
    </w:p>
    <w:p w:rsidR="003202E1" w:rsidRPr="00051579" w:rsidRDefault="003202E1" w:rsidP="003202E1">
      <w:pPr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All </w:t>
      </w:r>
      <w:r w:rsidRPr="00994E4E">
        <w:rPr>
          <w:rFonts w:ascii="Arial" w:hAnsi="Arial" w:cs="Arial"/>
          <w:i/>
          <w:sz w:val="20"/>
          <w:szCs w:val="20"/>
        </w:rPr>
        <w:t>works</w:t>
      </w:r>
      <w:r w:rsidRPr="00051579">
        <w:rPr>
          <w:rFonts w:ascii="Arial" w:hAnsi="Arial" w:cs="Arial"/>
          <w:sz w:val="20"/>
          <w:szCs w:val="20"/>
        </w:rPr>
        <w:t xml:space="preserve"> provided by 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must be executed in accordance with the latest Health &amp; Safety Legislation. </w:t>
      </w:r>
    </w:p>
    <w:p w:rsidR="003202E1" w:rsidRPr="00051579" w:rsidRDefault="003202E1" w:rsidP="003202E1">
      <w:pPr>
        <w:jc w:val="both"/>
        <w:rPr>
          <w:rFonts w:ascii="Arial" w:hAnsi="Arial" w:cs="Arial"/>
          <w:sz w:val="20"/>
          <w:szCs w:val="20"/>
        </w:rPr>
      </w:pPr>
    </w:p>
    <w:p w:rsidR="003202E1" w:rsidRPr="00051579" w:rsidRDefault="003202E1" w:rsidP="003202E1">
      <w:pPr>
        <w:tabs>
          <w:tab w:val="left" w:pos="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51579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afety, </w:t>
      </w:r>
      <w:r w:rsidRPr="00051579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 xml:space="preserve">ealth and </w:t>
      </w:r>
      <w:r w:rsidRPr="0005157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nvironment </w:t>
      </w:r>
      <w:r w:rsidRPr="00051579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ode </w:t>
      </w:r>
      <w:r w:rsidRPr="0005157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f </w:t>
      </w:r>
      <w:r w:rsidRPr="00051579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ractice</w:t>
      </w:r>
      <w:r w:rsidRPr="00051579">
        <w:rPr>
          <w:rFonts w:ascii="Arial" w:hAnsi="Arial" w:cs="Arial"/>
          <w:b/>
          <w:sz w:val="20"/>
          <w:szCs w:val="20"/>
        </w:rPr>
        <w:t xml:space="preserve"> </w:t>
      </w:r>
    </w:p>
    <w:p w:rsidR="003202E1" w:rsidRDefault="003202E1" w:rsidP="003202E1">
      <w:pPr>
        <w:numPr>
          <w:ilvl w:val="0"/>
          <w:numId w:val="1"/>
        </w:numPr>
        <w:tabs>
          <w:tab w:val="left" w:pos="0"/>
        </w:tabs>
        <w:spacing w:before="60" w:after="12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must fully co</w:t>
      </w:r>
      <w:r w:rsidR="0090738F">
        <w:rPr>
          <w:rFonts w:ascii="Arial" w:hAnsi="Arial" w:cs="Arial"/>
          <w:sz w:val="20"/>
          <w:szCs w:val="20"/>
        </w:rPr>
        <w:t>mply with the Safety, Health,</w:t>
      </w:r>
      <w:r w:rsidRPr="00051579">
        <w:rPr>
          <w:rFonts w:ascii="Arial" w:hAnsi="Arial" w:cs="Arial"/>
          <w:sz w:val="20"/>
          <w:szCs w:val="20"/>
        </w:rPr>
        <w:t xml:space="preserve"> Environment </w:t>
      </w:r>
      <w:r w:rsidR="0090738F">
        <w:rPr>
          <w:rFonts w:ascii="Arial" w:hAnsi="Arial" w:cs="Arial"/>
          <w:sz w:val="20"/>
          <w:szCs w:val="20"/>
        </w:rPr>
        <w:t xml:space="preserve">and Wellbeing </w:t>
      </w:r>
      <w:r w:rsidRPr="00051579">
        <w:rPr>
          <w:rFonts w:ascii="Arial" w:hAnsi="Arial" w:cs="Arial"/>
          <w:sz w:val="20"/>
          <w:szCs w:val="20"/>
        </w:rPr>
        <w:t>(SHE</w:t>
      </w:r>
      <w:r w:rsidR="0090738F">
        <w:rPr>
          <w:rFonts w:ascii="Arial" w:hAnsi="Arial" w:cs="Arial"/>
          <w:sz w:val="20"/>
          <w:szCs w:val="20"/>
        </w:rPr>
        <w:t>W</w:t>
      </w:r>
      <w:r w:rsidRPr="00051579">
        <w:rPr>
          <w:rFonts w:ascii="Arial" w:hAnsi="Arial" w:cs="Arial"/>
          <w:sz w:val="20"/>
          <w:szCs w:val="20"/>
        </w:rPr>
        <w:t>) Code of Practice (CoP)</w:t>
      </w:r>
      <w:r>
        <w:rPr>
          <w:rFonts w:ascii="Arial" w:hAnsi="Arial" w:cs="Arial"/>
          <w:sz w:val="20"/>
          <w:szCs w:val="20"/>
        </w:rPr>
        <w:t>, unless covered by the provision in clause 2 below</w:t>
      </w:r>
      <w:r w:rsidRPr="00E21C3A">
        <w:rPr>
          <w:rFonts w:ascii="Arial" w:hAnsi="Arial" w:cs="Arial"/>
          <w:sz w:val="20"/>
          <w:szCs w:val="20"/>
        </w:rPr>
        <w:t>.</w:t>
      </w:r>
      <w:r w:rsidRPr="00051579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is</w:t>
      </w:r>
      <w:r w:rsidRPr="000515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r w:rsidRPr="00051579">
        <w:rPr>
          <w:rFonts w:ascii="Arial" w:hAnsi="Arial" w:cs="Arial"/>
          <w:sz w:val="20"/>
          <w:szCs w:val="20"/>
        </w:rPr>
        <w:t xml:space="preserve">subject to revision and addition throughout the term of this </w:t>
      </w:r>
      <w:r w:rsidR="0090738F">
        <w:rPr>
          <w:rFonts w:ascii="Arial" w:hAnsi="Arial" w:cs="Arial"/>
          <w:sz w:val="20"/>
          <w:szCs w:val="20"/>
        </w:rPr>
        <w:t>contract</w:t>
      </w:r>
      <w:r w:rsidRPr="00051579">
        <w:rPr>
          <w:rFonts w:ascii="Arial" w:hAnsi="Arial" w:cs="Arial"/>
          <w:sz w:val="20"/>
          <w:szCs w:val="20"/>
        </w:rPr>
        <w:t xml:space="preserve">. 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the </w:t>
      </w:r>
      <w:r>
        <w:rPr>
          <w:rFonts w:ascii="Arial" w:hAnsi="Arial" w:cs="Arial"/>
          <w:i/>
          <w:sz w:val="20"/>
          <w:szCs w:val="20"/>
        </w:rPr>
        <w:t>Contractor</w:t>
      </w:r>
      <w:r>
        <w:rPr>
          <w:rFonts w:ascii="Arial" w:hAnsi="Arial" w:cs="Arial"/>
          <w:sz w:val="20"/>
          <w:szCs w:val="20"/>
        </w:rPr>
        <w:t xml:space="preserve"> is unsure of the requirement in relation to CSCS cards he must check with the </w:t>
      </w:r>
      <w:r>
        <w:rPr>
          <w:rFonts w:ascii="Arial" w:hAnsi="Arial" w:cs="Arial"/>
          <w:i/>
          <w:sz w:val="20"/>
          <w:szCs w:val="20"/>
        </w:rPr>
        <w:t>Client’s</w:t>
      </w:r>
      <w:r>
        <w:rPr>
          <w:rFonts w:ascii="Arial" w:hAnsi="Arial" w:cs="Arial"/>
          <w:sz w:val="20"/>
          <w:szCs w:val="20"/>
        </w:rPr>
        <w:t xml:space="preserve"> </w:t>
      </w:r>
      <w:r w:rsidR="0090738F">
        <w:rPr>
          <w:rFonts w:ascii="Arial" w:hAnsi="Arial" w:cs="Arial"/>
          <w:sz w:val="20"/>
          <w:szCs w:val="20"/>
        </w:rPr>
        <w:t>contract manager</w:t>
      </w:r>
      <w:r>
        <w:rPr>
          <w:rFonts w:ascii="Arial" w:hAnsi="Arial" w:cs="Arial"/>
          <w:sz w:val="20"/>
          <w:szCs w:val="20"/>
        </w:rPr>
        <w:t>.</w:t>
      </w:r>
    </w:p>
    <w:p w:rsidR="003202E1" w:rsidRPr="00051579" w:rsidRDefault="003202E1" w:rsidP="003202E1">
      <w:pPr>
        <w:tabs>
          <w:tab w:val="left" w:pos="0"/>
        </w:tabs>
        <w:spacing w:before="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51579">
        <w:rPr>
          <w:rFonts w:ascii="Arial" w:hAnsi="Arial" w:cs="Arial"/>
          <w:b/>
          <w:sz w:val="20"/>
          <w:szCs w:val="20"/>
        </w:rPr>
        <w:t>Yellow &amp; Red Cards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In addition to the regular monitoring and review of the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performance carried out as part of the </w:t>
      </w:r>
      <w:r w:rsidR="0090738F">
        <w:rPr>
          <w:rFonts w:ascii="Arial" w:hAnsi="Arial" w:cs="Arial"/>
          <w:sz w:val="20"/>
          <w:szCs w:val="20"/>
        </w:rPr>
        <w:t>contract</w:t>
      </w:r>
      <w:r w:rsidRPr="00051579">
        <w:rPr>
          <w:rFonts w:ascii="Arial" w:hAnsi="Arial" w:cs="Arial"/>
          <w:sz w:val="20"/>
          <w:szCs w:val="20"/>
        </w:rPr>
        <w:t xml:space="preserve"> management arrangements,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will operate a Yellow and Red Card system where there are significant failing in 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>
        <w:rPr>
          <w:rFonts w:ascii="Arial" w:hAnsi="Arial" w:cs="Arial"/>
          <w:i/>
          <w:sz w:val="20"/>
          <w:szCs w:val="20"/>
        </w:rPr>
        <w:t>’s</w:t>
      </w:r>
      <w:r w:rsidRPr="00051579">
        <w:rPr>
          <w:rFonts w:ascii="Arial" w:hAnsi="Arial" w:cs="Arial"/>
          <w:sz w:val="20"/>
          <w:szCs w:val="20"/>
        </w:rPr>
        <w:t xml:space="preserve"> SHE</w:t>
      </w:r>
      <w:r w:rsidR="0090738F">
        <w:rPr>
          <w:rFonts w:ascii="Arial" w:hAnsi="Arial" w:cs="Arial"/>
          <w:sz w:val="20"/>
          <w:szCs w:val="20"/>
        </w:rPr>
        <w:t>W</w:t>
      </w:r>
      <w:r w:rsidRPr="00051579">
        <w:rPr>
          <w:rFonts w:ascii="Arial" w:hAnsi="Arial" w:cs="Arial"/>
          <w:sz w:val="20"/>
          <w:szCs w:val="20"/>
        </w:rPr>
        <w:t xml:space="preserve"> performance. These will operate independently to any legal proceedings should these be invoked.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The Yellow/Red Card assessment procedure will be triggered by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in the following circumstances:</w:t>
      </w:r>
    </w:p>
    <w:p w:rsidR="003202E1" w:rsidRPr="00051579" w:rsidRDefault="003202E1" w:rsidP="003202E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Act or omission by a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leading to a prosecution</w:t>
      </w:r>
    </w:p>
    <w:p w:rsidR="003202E1" w:rsidRPr="00051579" w:rsidRDefault="003202E1" w:rsidP="003202E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Act or omission by a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leading to an infringement of legislation or has the potential to lead to prosecution</w:t>
      </w:r>
    </w:p>
    <w:p w:rsidR="003202E1" w:rsidRPr="00051579" w:rsidRDefault="003202E1" w:rsidP="003202E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Any act or omission by a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or its agents which significantly contributes to another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failure to comply with their legal duties</w:t>
      </w:r>
    </w:p>
    <w:p w:rsidR="003202E1" w:rsidRPr="0090738F" w:rsidRDefault="003202E1" w:rsidP="0090738F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Any act of negligence by a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or its agents which significantly increases the risk to others during or after the execution of the </w:t>
      </w:r>
      <w:r w:rsidRPr="00994E4E">
        <w:rPr>
          <w:rFonts w:ascii="Arial" w:hAnsi="Arial" w:cs="Arial"/>
          <w:i/>
          <w:sz w:val="20"/>
          <w:szCs w:val="20"/>
        </w:rPr>
        <w:t>works</w:t>
      </w:r>
    </w:p>
    <w:p w:rsidR="003202E1" w:rsidRPr="00051579" w:rsidRDefault="003202E1" w:rsidP="003202E1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follow corporate management systems, or inadequacy of those systems requiring intervention by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or others to prevent any of the above.</w:t>
      </w:r>
    </w:p>
    <w:p w:rsidR="003202E1" w:rsidRPr="00051579" w:rsidRDefault="003202E1" w:rsidP="003202E1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Management failings, requiring intervention by </w:t>
      </w:r>
      <w:r w:rsidRPr="00F82B24">
        <w:rPr>
          <w:rFonts w:ascii="Arial" w:hAnsi="Arial" w:cs="Arial"/>
          <w:i/>
          <w:sz w:val="20"/>
          <w:szCs w:val="20"/>
        </w:rPr>
        <w:t>Client’s</w:t>
      </w:r>
      <w:r w:rsidRPr="00051579">
        <w:rPr>
          <w:rFonts w:ascii="Arial" w:hAnsi="Arial" w:cs="Arial"/>
          <w:sz w:val="20"/>
          <w:szCs w:val="20"/>
        </w:rPr>
        <w:t xml:space="preserve"> staff or others to prevent any of the above.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Where any of these circumstances occur, the </w:t>
      </w:r>
      <w:r w:rsidRPr="00F82B24">
        <w:rPr>
          <w:rFonts w:ascii="Arial" w:hAnsi="Arial" w:cs="Arial"/>
          <w:i/>
          <w:sz w:val="20"/>
          <w:szCs w:val="20"/>
        </w:rPr>
        <w:t>Client's</w:t>
      </w:r>
      <w:r w:rsidRPr="000515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representative</w:t>
      </w:r>
      <w:r w:rsidRPr="00051579">
        <w:rPr>
          <w:rFonts w:ascii="Arial" w:hAnsi="Arial" w:cs="Arial"/>
          <w:sz w:val="20"/>
          <w:szCs w:val="20"/>
        </w:rPr>
        <w:t xml:space="preserve"> will notify the </w:t>
      </w:r>
      <w:r w:rsidRPr="00F82B24">
        <w:rPr>
          <w:rFonts w:ascii="Arial" w:hAnsi="Arial" w:cs="Arial"/>
          <w:i/>
          <w:sz w:val="20"/>
          <w:szCs w:val="20"/>
        </w:rPr>
        <w:t>Contractor's</w:t>
      </w:r>
      <w:r w:rsidRPr="00051579">
        <w:rPr>
          <w:rFonts w:ascii="Arial" w:hAnsi="Arial" w:cs="Arial"/>
          <w:sz w:val="20"/>
          <w:szCs w:val="20"/>
        </w:rPr>
        <w:t xml:space="preserve"> </w:t>
      </w:r>
      <w:r w:rsidR="0090738F">
        <w:rPr>
          <w:rFonts w:ascii="Arial" w:hAnsi="Arial" w:cs="Arial"/>
          <w:sz w:val="20"/>
          <w:szCs w:val="20"/>
        </w:rPr>
        <w:t>contract m</w:t>
      </w:r>
      <w:r w:rsidRPr="00051579">
        <w:rPr>
          <w:rFonts w:ascii="Arial" w:hAnsi="Arial" w:cs="Arial"/>
          <w:sz w:val="20"/>
          <w:szCs w:val="20"/>
        </w:rPr>
        <w:t>anager that the Yellow/Red Card assessment procedure is to be triggered.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The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performance on the particular Call-Off Contract where the incident has occurred will then be reviewed by a party nominated by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, consulting with the Project Managers involved. The findings will be reported to the </w:t>
      </w:r>
      <w:r w:rsidRPr="00F82B24">
        <w:rPr>
          <w:rFonts w:ascii="Arial" w:hAnsi="Arial" w:cs="Arial"/>
          <w:i/>
          <w:sz w:val="20"/>
          <w:szCs w:val="20"/>
        </w:rPr>
        <w:t>Client's</w:t>
      </w:r>
      <w:r w:rsidRPr="00051579">
        <w:rPr>
          <w:rFonts w:ascii="Arial" w:hAnsi="Arial" w:cs="Arial"/>
          <w:sz w:val="20"/>
          <w:szCs w:val="20"/>
        </w:rPr>
        <w:t xml:space="preserve"> </w:t>
      </w:r>
      <w:r w:rsidR="0090738F">
        <w:rPr>
          <w:rFonts w:ascii="Arial" w:hAnsi="Arial" w:cs="Arial"/>
          <w:sz w:val="20"/>
          <w:szCs w:val="20"/>
        </w:rPr>
        <w:t>Project M</w:t>
      </w:r>
      <w:r w:rsidRPr="00051579">
        <w:rPr>
          <w:rFonts w:ascii="Arial" w:hAnsi="Arial" w:cs="Arial"/>
          <w:sz w:val="20"/>
          <w:szCs w:val="20"/>
        </w:rPr>
        <w:t xml:space="preserve">anager who will provide a copy of the report to the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</w:t>
      </w:r>
      <w:r w:rsidR="0090738F">
        <w:rPr>
          <w:rFonts w:ascii="Arial" w:hAnsi="Arial" w:cs="Arial"/>
          <w:sz w:val="20"/>
          <w:szCs w:val="20"/>
        </w:rPr>
        <w:t>Project M</w:t>
      </w:r>
      <w:r w:rsidRPr="00051579">
        <w:rPr>
          <w:rFonts w:ascii="Arial" w:hAnsi="Arial" w:cs="Arial"/>
          <w:sz w:val="20"/>
          <w:szCs w:val="20"/>
        </w:rPr>
        <w:t xml:space="preserve">anager. The findings of the report will then be discussed by representatives of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and 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. Dependent on the findings and discussions the </w:t>
      </w:r>
      <w:r w:rsidRPr="00F82B24">
        <w:rPr>
          <w:rFonts w:ascii="Arial" w:hAnsi="Arial" w:cs="Arial"/>
          <w:i/>
          <w:sz w:val="20"/>
          <w:szCs w:val="20"/>
        </w:rPr>
        <w:t>Client's</w:t>
      </w:r>
      <w:r w:rsidRPr="00051579">
        <w:rPr>
          <w:rFonts w:ascii="Arial" w:hAnsi="Arial" w:cs="Arial"/>
          <w:sz w:val="20"/>
          <w:szCs w:val="20"/>
        </w:rPr>
        <w:t xml:space="preserve"> Project Manager, or other designated officer, will decide whether a Card should be issued and if so whether it should be Yellow or Red. The decision will be communicated in writing to 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>.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Where two incidents that would normally have resulted in Yellow Cards when considered individually, occur on the same </w:t>
      </w:r>
      <w:r w:rsidR="001F23F9">
        <w:rPr>
          <w:rFonts w:ascii="Arial" w:hAnsi="Arial" w:cs="Arial"/>
          <w:sz w:val="20"/>
          <w:szCs w:val="20"/>
        </w:rPr>
        <w:t>c</w:t>
      </w:r>
      <w:r w:rsidRPr="00051579">
        <w:rPr>
          <w:rFonts w:ascii="Arial" w:hAnsi="Arial" w:cs="Arial"/>
          <w:sz w:val="20"/>
          <w:szCs w:val="20"/>
        </w:rPr>
        <w:t>ontract, a Red Card will be issued.</w:t>
      </w:r>
    </w:p>
    <w:p w:rsidR="003202E1" w:rsidRPr="00051579" w:rsidRDefault="003202E1" w:rsidP="003202E1">
      <w:pPr>
        <w:numPr>
          <w:ilvl w:val="0"/>
          <w:numId w:val="1"/>
        </w:numPr>
        <w:tabs>
          <w:tab w:val="left" w:pos="0"/>
        </w:tabs>
        <w:spacing w:before="60"/>
        <w:ind w:left="0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Following the issue of a Yellow/Red Card 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will prepare an Action Plan to address the management failures that led to the incident and a training/monitoring programme to demonstrate improved performance will be agreed. The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SHE</w:t>
      </w:r>
      <w:r w:rsidR="001F23F9">
        <w:rPr>
          <w:rFonts w:ascii="Arial" w:hAnsi="Arial" w:cs="Arial"/>
          <w:sz w:val="20"/>
          <w:szCs w:val="20"/>
        </w:rPr>
        <w:t>W</w:t>
      </w:r>
      <w:r w:rsidRPr="00051579">
        <w:rPr>
          <w:rFonts w:ascii="Arial" w:hAnsi="Arial" w:cs="Arial"/>
          <w:sz w:val="20"/>
          <w:szCs w:val="20"/>
        </w:rPr>
        <w:t xml:space="preserve"> performance will be reviewed by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on a </w:t>
      </w:r>
      <w:r w:rsidR="001F23F9">
        <w:rPr>
          <w:rFonts w:ascii="Arial" w:hAnsi="Arial" w:cs="Arial"/>
          <w:sz w:val="20"/>
          <w:szCs w:val="20"/>
        </w:rPr>
        <w:t>regular</w:t>
      </w:r>
      <w:r w:rsidRPr="00051579">
        <w:rPr>
          <w:rFonts w:ascii="Arial" w:hAnsi="Arial" w:cs="Arial"/>
          <w:sz w:val="20"/>
          <w:szCs w:val="20"/>
        </w:rPr>
        <w:t xml:space="preserve"> basis. Provided the </w:t>
      </w:r>
      <w:r w:rsidRPr="00F82B24">
        <w:rPr>
          <w:rFonts w:ascii="Arial" w:hAnsi="Arial" w:cs="Arial"/>
          <w:i/>
          <w:sz w:val="20"/>
          <w:szCs w:val="20"/>
        </w:rPr>
        <w:t>Client</w:t>
      </w:r>
      <w:r w:rsidRPr="00051579">
        <w:rPr>
          <w:rFonts w:ascii="Arial" w:hAnsi="Arial" w:cs="Arial"/>
          <w:sz w:val="20"/>
          <w:szCs w:val="20"/>
        </w:rPr>
        <w:t xml:space="preserve"> is fully satisfied with the </w:t>
      </w:r>
      <w:r w:rsidRPr="00F82B24">
        <w:rPr>
          <w:rFonts w:ascii="Arial" w:hAnsi="Arial" w:cs="Arial"/>
          <w:i/>
          <w:sz w:val="20"/>
          <w:szCs w:val="20"/>
        </w:rPr>
        <w:t>Contractor’s</w:t>
      </w:r>
      <w:r w:rsidRPr="00051579">
        <w:rPr>
          <w:rFonts w:ascii="Arial" w:hAnsi="Arial" w:cs="Arial"/>
          <w:sz w:val="20"/>
          <w:szCs w:val="20"/>
        </w:rPr>
        <w:t xml:space="preserve"> SHE</w:t>
      </w:r>
      <w:r w:rsidR="001F23F9">
        <w:rPr>
          <w:rFonts w:ascii="Arial" w:hAnsi="Arial" w:cs="Arial"/>
          <w:sz w:val="20"/>
          <w:szCs w:val="20"/>
        </w:rPr>
        <w:t>W</w:t>
      </w:r>
      <w:r w:rsidRPr="00051579">
        <w:rPr>
          <w:rFonts w:ascii="Arial" w:hAnsi="Arial" w:cs="Arial"/>
          <w:sz w:val="20"/>
          <w:szCs w:val="20"/>
        </w:rPr>
        <w:t xml:space="preserve"> performance, the Yellow/Red Card will be withdrawn. Failure to implement the Action Plan within agreed timescales will result in </w:t>
      </w:r>
    </w:p>
    <w:p w:rsidR="003202E1" w:rsidRPr="00051579" w:rsidRDefault="003202E1" w:rsidP="003202E1">
      <w:pPr>
        <w:pStyle w:val="ListParagraph"/>
        <w:numPr>
          <w:ilvl w:val="0"/>
          <w:numId w:val="4"/>
        </w:numPr>
        <w:tabs>
          <w:tab w:val="left" w:pos="0"/>
        </w:tabs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>A Yellow Card being replaced by a Red Card</w:t>
      </w:r>
    </w:p>
    <w:p w:rsidR="003202E1" w:rsidRPr="001F23F9" w:rsidRDefault="003202E1" w:rsidP="003202E1">
      <w:pPr>
        <w:pStyle w:val="ListParagraph"/>
        <w:numPr>
          <w:ilvl w:val="0"/>
          <w:numId w:val="4"/>
        </w:numPr>
        <w:tabs>
          <w:tab w:val="left" w:pos="0"/>
        </w:tabs>
        <w:spacing w:before="6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1F23F9">
        <w:rPr>
          <w:rFonts w:ascii="Arial" w:hAnsi="Arial" w:cs="Arial"/>
          <w:sz w:val="20"/>
          <w:szCs w:val="20"/>
          <w:highlight w:val="yellow"/>
        </w:rPr>
        <w:t xml:space="preserve">A suspension from </w:t>
      </w:r>
      <w:r w:rsidR="001F23F9">
        <w:rPr>
          <w:rFonts w:ascii="Arial" w:hAnsi="Arial" w:cs="Arial"/>
          <w:sz w:val="20"/>
          <w:szCs w:val="20"/>
          <w:highlight w:val="yellow"/>
          <w:lang w:val="en-GB"/>
        </w:rPr>
        <w:t>tendering opportunities with the Environment Agency</w:t>
      </w:r>
      <w:r w:rsidRPr="001F23F9">
        <w:rPr>
          <w:rFonts w:ascii="Arial" w:hAnsi="Arial" w:cs="Arial"/>
          <w:sz w:val="20"/>
          <w:szCs w:val="20"/>
          <w:highlight w:val="yellow"/>
        </w:rPr>
        <w:t xml:space="preserve"> for failure to implement an action plan following a Red Card</w:t>
      </w:r>
    </w:p>
    <w:p w:rsidR="003202E1" w:rsidRDefault="003202E1" w:rsidP="003202E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60" w:after="120"/>
        <w:ind w:left="17" w:hanging="357"/>
        <w:jc w:val="both"/>
        <w:rPr>
          <w:rFonts w:ascii="Arial" w:hAnsi="Arial" w:cs="Arial"/>
          <w:sz w:val="20"/>
          <w:szCs w:val="20"/>
        </w:rPr>
      </w:pPr>
      <w:r w:rsidRPr="00051579">
        <w:rPr>
          <w:rFonts w:ascii="Arial" w:hAnsi="Arial" w:cs="Arial"/>
          <w:sz w:val="20"/>
          <w:szCs w:val="20"/>
        </w:rPr>
        <w:t xml:space="preserve">The </w:t>
      </w:r>
      <w:r w:rsidRPr="00F82B24">
        <w:rPr>
          <w:rFonts w:ascii="Arial" w:hAnsi="Arial" w:cs="Arial"/>
          <w:i/>
          <w:sz w:val="20"/>
          <w:szCs w:val="20"/>
        </w:rPr>
        <w:t>Contractor</w:t>
      </w:r>
      <w:r w:rsidRPr="00051579">
        <w:rPr>
          <w:rFonts w:ascii="Arial" w:hAnsi="Arial" w:cs="Arial"/>
          <w:sz w:val="20"/>
          <w:szCs w:val="20"/>
        </w:rPr>
        <w:t xml:space="preserve"> is permitted to challenge the findings or outcomes of either a Yellow or Red Card through the cont</w:t>
      </w:r>
      <w:r w:rsidR="001F23F9">
        <w:rPr>
          <w:rFonts w:ascii="Arial" w:hAnsi="Arial" w:cs="Arial"/>
          <w:sz w:val="20"/>
          <w:szCs w:val="20"/>
        </w:rPr>
        <w:t>ract dispute resolution process</w:t>
      </w:r>
      <w:r w:rsidRPr="00E21C3A">
        <w:rPr>
          <w:rFonts w:ascii="Arial" w:hAnsi="Arial" w:cs="Arial"/>
          <w:sz w:val="20"/>
          <w:szCs w:val="20"/>
        </w:rPr>
        <w:t>.</w:t>
      </w:r>
    </w:p>
    <w:p w:rsidR="00932DED" w:rsidRDefault="00932DED" w:rsidP="003202E1"/>
    <w:sectPr w:rsidR="00932DED" w:rsidSect="0090738F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77AAA"/>
    <w:multiLevelType w:val="hybridMultilevel"/>
    <w:tmpl w:val="5B8EEA00"/>
    <w:lvl w:ilvl="0" w:tplc="C7DE06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EBD7B4C"/>
    <w:multiLevelType w:val="hybridMultilevel"/>
    <w:tmpl w:val="ADECDD52"/>
    <w:lvl w:ilvl="0" w:tplc="C0F877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04B109A"/>
    <w:multiLevelType w:val="hybridMultilevel"/>
    <w:tmpl w:val="0E46070C"/>
    <w:lvl w:ilvl="0" w:tplc="C0F877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966E1D"/>
    <w:multiLevelType w:val="hybridMultilevel"/>
    <w:tmpl w:val="45762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1"/>
    <w:rsid w:val="001F23F9"/>
    <w:rsid w:val="003202E1"/>
    <w:rsid w:val="0090738F"/>
    <w:rsid w:val="00932DED"/>
    <w:rsid w:val="00B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BD23-EE67-49C9-89AB-564DAD3C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02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3202E1"/>
    <w:rPr>
      <w:rFonts w:ascii="Calibri" w:eastAsia="Times New Roman" w:hAnsi="Calibri"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Rowlands, Neil N</dc:creator>
  <cp:keywords/>
  <dc:description/>
  <cp:lastModifiedBy>Bond, Peter</cp:lastModifiedBy>
  <cp:revision>2</cp:revision>
  <cp:lastPrinted>2018-05-01T08:10:00Z</cp:lastPrinted>
  <dcterms:created xsi:type="dcterms:W3CDTF">2018-12-06T09:19:00Z</dcterms:created>
  <dcterms:modified xsi:type="dcterms:W3CDTF">2018-12-06T09:19:00Z</dcterms:modified>
</cp:coreProperties>
</file>