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0A" w:rsidRDefault="003402FC" w:rsidP="00BC082D">
      <w:pPr>
        <w:jc w:val="center"/>
        <w:rPr>
          <w:rFonts w:ascii="Arial" w:hAnsi="Arial" w:cs="Arial"/>
          <w:b/>
          <w:sz w:val="32"/>
          <w:szCs w:val="32"/>
        </w:rPr>
      </w:pPr>
      <w:r>
        <w:rPr>
          <w:rFonts w:ascii="Arial" w:hAnsi="Arial" w:cs="Arial"/>
          <w:b/>
          <w:sz w:val="32"/>
          <w:szCs w:val="32"/>
        </w:rPr>
        <w:t>PART 4</w:t>
      </w:r>
    </w:p>
    <w:p w:rsidR="003C663E" w:rsidRDefault="003C663E" w:rsidP="00BC082D">
      <w:pPr>
        <w:jc w:val="center"/>
        <w:rPr>
          <w:rFonts w:ascii="Arial" w:hAnsi="Arial" w:cs="Arial"/>
          <w:b/>
          <w:sz w:val="32"/>
          <w:szCs w:val="32"/>
        </w:rPr>
      </w:pPr>
    </w:p>
    <w:p w:rsidR="00B26854" w:rsidRDefault="00B26854" w:rsidP="00BC082D">
      <w:pPr>
        <w:jc w:val="cente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7838"/>
      </w:tblGrid>
      <w:tr w:rsidR="00B26854" w:rsidRPr="00AF4D6D" w:rsidTr="00400E45">
        <w:tc>
          <w:tcPr>
            <w:tcW w:w="684" w:type="dxa"/>
            <w:shd w:val="clear" w:color="auto" w:fill="auto"/>
          </w:tcPr>
          <w:p w:rsidR="00B26854" w:rsidRPr="00AF4D6D" w:rsidRDefault="00B26854" w:rsidP="00AF4D6D">
            <w:pPr>
              <w:jc w:val="center"/>
              <w:rPr>
                <w:rFonts w:ascii="Arial" w:hAnsi="Arial" w:cs="Arial"/>
                <w:b/>
              </w:rPr>
            </w:pPr>
            <w:r w:rsidRPr="00AF4D6D">
              <w:rPr>
                <w:rFonts w:ascii="Arial" w:hAnsi="Arial" w:cs="Arial"/>
                <w:b/>
              </w:rPr>
              <w:t>1.0</w:t>
            </w:r>
          </w:p>
        </w:tc>
        <w:tc>
          <w:tcPr>
            <w:tcW w:w="7838" w:type="dxa"/>
            <w:shd w:val="clear" w:color="auto" w:fill="auto"/>
          </w:tcPr>
          <w:p w:rsidR="003133D3" w:rsidRDefault="00B26854" w:rsidP="00B26854">
            <w:pPr>
              <w:rPr>
                <w:rFonts w:ascii="Arial" w:hAnsi="Arial" w:cs="Arial"/>
                <w:b/>
              </w:rPr>
            </w:pPr>
            <w:r w:rsidRPr="00AF4D6D">
              <w:rPr>
                <w:rFonts w:ascii="Arial" w:hAnsi="Arial" w:cs="Arial"/>
                <w:b/>
              </w:rPr>
              <w:t>External Glazing Specifications</w:t>
            </w:r>
            <w:r w:rsidR="003133D3">
              <w:rPr>
                <w:rFonts w:ascii="Arial" w:hAnsi="Arial" w:cs="Arial"/>
                <w:b/>
              </w:rPr>
              <w:t xml:space="preserve"> to all Elevations </w:t>
            </w:r>
          </w:p>
          <w:p w:rsidR="003133D3" w:rsidRDefault="003133D3" w:rsidP="00B26854">
            <w:pPr>
              <w:rPr>
                <w:rFonts w:ascii="Arial" w:hAnsi="Arial" w:cs="Arial"/>
                <w:b/>
              </w:rPr>
            </w:pPr>
          </w:p>
          <w:p w:rsidR="00B26854" w:rsidRDefault="003133D3" w:rsidP="00B26854">
            <w:pPr>
              <w:rPr>
                <w:rFonts w:ascii="Arial" w:hAnsi="Arial" w:cs="Arial"/>
              </w:rPr>
            </w:pPr>
            <w:r>
              <w:rPr>
                <w:rFonts w:ascii="Arial" w:hAnsi="Arial" w:cs="Arial"/>
              </w:rPr>
              <w:t>NB existing entrance doors to west elevation are to be retained with only the upper windows to the entrance porch to be replaced.</w:t>
            </w:r>
          </w:p>
          <w:p w:rsidR="003133D3" w:rsidRDefault="003133D3" w:rsidP="00B26854">
            <w:pPr>
              <w:rPr>
                <w:rFonts w:ascii="Arial" w:hAnsi="Arial" w:cs="Arial"/>
              </w:rPr>
            </w:pPr>
          </w:p>
          <w:p w:rsidR="003133D3" w:rsidRPr="003133D3" w:rsidRDefault="003133D3" w:rsidP="00B26854">
            <w:pPr>
              <w:rPr>
                <w:rFonts w:ascii="Arial" w:hAnsi="Arial" w:cs="Arial"/>
              </w:rPr>
            </w:pPr>
            <w:r>
              <w:rPr>
                <w:rFonts w:ascii="Arial" w:hAnsi="Arial" w:cs="Arial"/>
              </w:rPr>
              <w:t xml:space="preserve">See </w:t>
            </w:r>
            <w:proofErr w:type="spellStart"/>
            <w:r>
              <w:rPr>
                <w:rFonts w:ascii="Arial" w:hAnsi="Arial" w:cs="Arial"/>
              </w:rPr>
              <w:t>Veka</w:t>
            </w:r>
            <w:proofErr w:type="spellEnd"/>
            <w:r>
              <w:rPr>
                <w:rFonts w:ascii="Arial" w:hAnsi="Arial" w:cs="Arial"/>
              </w:rPr>
              <w:t xml:space="preserve"> website (</w:t>
            </w:r>
            <w:hyperlink r:id="rId6" w:history="1">
              <w:r w:rsidRPr="00C9685F">
                <w:rPr>
                  <w:rStyle w:val="Hyperlink"/>
                  <w:rFonts w:ascii="Arial" w:hAnsi="Arial" w:cs="Arial"/>
                  <w:i/>
                  <w:color w:val="1F497D" w:themeColor="text2"/>
                </w:rPr>
                <w:t>vekauk.com</w:t>
              </w:r>
            </w:hyperlink>
            <w:r>
              <w:rPr>
                <w:rFonts w:ascii="Arial" w:hAnsi="Arial" w:cs="Arial"/>
              </w:rPr>
              <w:t>) for product details</w:t>
            </w:r>
          </w:p>
          <w:p w:rsidR="00424D22" w:rsidRPr="00AF4D6D" w:rsidRDefault="00424D22" w:rsidP="00B26854">
            <w:pPr>
              <w:rPr>
                <w:rFonts w:ascii="Arial" w:hAnsi="Arial" w:cs="Arial"/>
                <w:b/>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1.1</w:t>
            </w:r>
          </w:p>
        </w:tc>
        <w:tc>
          <w:tcPr>
            <w:tcW w:w="7838" w:type="dxa"/>
            <w:shd w:val="clear" w:color="auto" w:fill="auto"/>
          </w:tcPr>
          <w:p w:rsidR="00B26854" w:rsidRPr="00AF4D6D" w:rsidRDefault="00DE4E08" w:rsidP="00AF4D6D">
            <w:pPr>
              <w:pStyle w:val="ListParagraph"/>
              <w:spacing w:after="0"/>
              <w:ind w:left="0"/>
              <w:rPr>
                <w:rFonts w:ascii="Arial" w:hAnsi="Arial" w:cs="Arial"/>
                <w:sz w:val="24"/>
                <w:szCs w:val="24"/>
              </w:rPr>
            </w:pPr>
            <w:r>
              <w:rPr>
                <w:rFonts w:ascii="Arial" w:hAnsi="Arial" w:cs="Arial"/>
                <w:sz w:val="24"/>
                <w:szCs w:val="24"/>
              </w:rPr>
              <w:t xml:space="preserve">The contract is </w:t>
            </w:r>
            <w:r w:rsidR="00B26854" w:rsidRPr="00AF4D6D">
              <w:rPr>
                <w:rFonts w:ascii="Arial" w:hAnsi="Arial" w:cs="Arial"/>
                <w:sz w:val="24"/>
                <w:szCs w:val="24"/>
              </w:rPr>
              <w:t xml:space="preserve">to supply and install uPVC casement window and door arrangements, closely matching the layout as existing and </w:t>
            </w:r>
            <w:r>
              <w:rPr>
                <w:rFonts w:ascii="Arial" w:hAnsi="Arial" w:cs="Arial"/>
                <w:sz w:val="24"/>
                <w:szCs w:val="24"/>
              </w:rPr>
              <w:t>approved</w:t>
            </w:r>
            <w:r w:rsidR="00B26854" w:rsidRPr="00AF4D6D">
              <w:rPr>
                <w:rFonts w:ascii="Arial" w:hAnsi="Arial" w:cs="Arial"/>
                <w:sz w:val="24"/>
                <w:szCs w:val="24"/>
              </w:rPr>
              <w:t xml:space="preserve"> drawings.</w:t>
            </w:r>
          </w:p>
          <w:p w:rsidR="00B26854" w:rsidRPr="00AF4D6D" w:rsidRDefault="00B26854" w:rsidP="00B26854">
            <w:pPr>
              <w:rPr>
                <w:rFonts w:ascii="Arial" w:hAnsi="Arial" w:cs="Arial"/>
                <w:bCs/>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1.2</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Frames are to be coupled and secured, by way of a combination of existing lightweight steel uprights in situ, together with a bespoke and fully reinforced coupling arrangement, essentially achieving a uPVC curtain wall arrangement and look (see further product details and specification).</w:t>
            </w:r>
          </w:p>
          <w:p w:rsidR="00B26854" w:rsidRPr="00AF4D6D" w:rsidRDefault="00B26854" w:rsidP="00B26854">
            <w:pPr>
              <w:rPr>
                <w:rFonts w:ascii="Arial" w:hAnsi="Arial" w:cs="Arial"/>
                <w:bCs/>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1.3</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Windows and doors are to be from the ‘</w:t>
            </w:r>
            <w:proofErr w:type="spellStart"/>
            <w:r w:rsidRPr="00AF4D6D">
              <w:rPr>
                <w:rFonts w:ascii="Arial" w:hAnsi="Arial" w:cs="Arial"/>
                <w:sz w:val="24"/>
                <w:szCs w:val="24"/>
              </w:rPr>
              <w:t>Veka</w:t>
            </w:r>
            <w:proofErr w:type="spellEnd"/>
            <w:r w:rsidRPr="00AF4D6D">
              <w:rPr>
                <w:rFonts w:ascii="Arial" w:hAnsi="Arial" w:cs="Arial"/>
                <w:sz w:val="24"/>
                <w:szCs w:val="24"/>
              </w:rPr>
              <w:t>’ range of products, namely the ‘</w:t>
            </w:r>
            <w:proofErr w:type="spellStart"/>
            <w:r w:rsidRPr="00AF4D6D">
              <w:rPr>
                <w:rFonts w:ascii="Arial" w:hAnsi="Arial" w:cs="Arial"/>
                <w:sz w:val="24"/>
                <w:szCs w:val="24"/>
              </w:rPr>
              <w:t>Veka</w:t>
            </w:r>
            <w:proofErr w:type="spellEnd"/>
            <w:r w:rsidRPr="00AF4D6D">
              <w:rPr>
                <w:rFonts w:ascii="Arial" w:hAnsi="Arial" w:cs="Arial"/>
                <w:sz w:val="24"/>
                <w:szCs w:val="24"/>
              </w:rPr>
              <w:t xml:space="preserve"> Fully Sculptured Matrix FX70’ system and profile (as product data sheets</w:t>
            </w:r>
            <w:r w:rsidR="00400E45">
              <w:rPr>
                <w:rFonts w:ascii="Arial" w:hAnsi="Arial" w:cs="Arial"/>
                <w:sz w:val="24"/>
                <w:szCs w:val="24"/>
              </w:rPr>
              <w:t xml:space="preserve"> available from </w:t>
            </w:r>
            <w:r w:rsidR="00400E45" w:rsidRPr="00C9685F">
              <w:rPr>
                <w:rFonts w:ascii="Arial" w:hAnsi="Arial" w:cs="Arial"/>
                <w:i/>
                <w:color w:val="1F497D" w:themeColor="text2"/>
                <w:sz w:val="24"/>
                <w:szCs w:val="24"/>
              </w:rPr>
              <w:t>vekauk.com</w:t>
            </w:r>
            <w:r w:rsidRPr="00AF4D6D">
              <w:rPr>
                <w:rFonts w:ascii="Arial" w:hAnsi="Arial" w:cs="Arial"/>
                <w:sz w:val="24"/>
                <w:szCs w:val="24"/>
              </w:rPr>
              <w:t>) fully compatible with ‘</w:t>
            </w:r>
            <w:proofErr w:type="spellStart"/>
            <w:r w:rsidRPr="00AF4D6D">
              <w:rPr>
                <w:rFonts w:ascii="Arial" w:hAnsi="Arial" w:cs="Arial"/>
                <w:sz w:val="24"/>
                <w:szCs w:val="24"/>
              </w:rPr>
              <w:t>Veka</w:t>
            </w:r>
            <w:proofErr w:type="spellEnd"/>
            <w:r w:rsidRPr="00AF4D6D">
              <w:rPr>
                <w:rFonts w:ascii="Arial" w:hAnsi="Arial" w:cs="Arial"/>
                <w:sz w:val="24"/>
                <w:szCs w:val="24"/>
              </w:rPr>
              <w:t xml:space="preserve"> Screen and Curtain Walling’.  All products fully A+ rated.</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1.4</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 xml:space="preserve">Internal beading options are </w:t>
            </w:r>
            <w:r w:rsidR="00E1143B">
              <w:rPr>
                <w:rFonts w:ascii="Arial" w:hAnsi="Arial" w:cs="Arial"/>
                <w:sz w:val="24"/>
                <w:szCs w:val="24"/>
              </w:rPr>
              <w:t>to be included</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1.5</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Includ</w:t>
            </w:r>
            <w:r w:rsidR="00400E45">
              <w:rPr>
                <w:rFonts w:ascii="Arial" w:hAnsi="Arial" w:cs="Arial"/>
                <w:sz w:val="24"/>
                <w:szCs w:val="24"/>
              </w:rPr>
              <w:t>e</w:t>
            </w:r>
            <w:r w:rsidRPr="00AF4D6D">
              <w:rPr>
                <w:rFonts w:ascii="Arial" w:hAnsi="Arial" w:cs="Arial"/>
                <w:sz w:val="24"/>
                <w:szCs w:val="24"/>
              </w:rPr>
              <w:t xml:space="preserve"> </w:t>
            </w:r>
            <w:r w:rsidR="00400E45">
              <w:rPr>
                <w:rFonts w:ascii="Arial" w:hAnsi="Arial" w:cs="Arial"/>
                <w:sz w:val="24"/>
                <w:szCs w:val="24"/>
              </w:rPr>
              <w:t>‘</w:t>
            </w:r>
            <w:r w:rsidRPr="00AF4D6D">
              <w:rPr>
                <w:rFonts w:ascii="Arial" w:hAnsi="Arial" w:cs="Arial"/>
                <w:sz w:val="24"/>
                <w:szCs w:val="24"/>
              </w:rPr>
              <w:t>secured by design</w:t>
            </w:r>
            <w:r w:rsidR="00400E45">
              <w:rPr>
                <w:rFonts w:ascii="Arial" w:hAnsi="Arial" w:cs="Arial"/>
                <w:sz w:val="24"/>
                <w:szCs w:val="24"/>
              </w:rPr>
              <w:t>’</w:t>
            </w:r>
            <w:r w:rsidRPr="00AF4D6D">
              <w:rPr>
                <w:rFonts w:ascii="Arial" w:hAnsi="Arial" w:cs="Arial"/>
                <w:sz w:val="24"/>
                <w:szCs w:val="24"/>
              </w:rPr>
              <w:t xml:space="preserve"> features.</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1.6</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Galvanised steel reinforcements.</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1.7</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Exceptional weather performance (</w:t>
            </w:r>
            <w:r w:rsidR="00E1143B">
              <w:rPr>
                <w:rFonts w:ascii="Arial" w:hAnsi="Arial" w:cs="Arial"/>
                <w:sz w:val="24"/>
                <w:szCs w:val="24"/>
              </w:rPr>
              <w:t>see</w:t>
            </w:r>
            <w:r w:rsidRPr="00AF4D6D">
              <w:rPr>
                <w:rFonts w:ascii="Arial" w:hAnsi="Arial" w:cs="Arial"/>
                <w:sz w:val="24"/>
                <w:szCs w:val="24"/>
              </w:rPr>
              <w:t xml:space="preserve"> product literature).</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1.8</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U-values / thermal performance in excess of building regulations requirements (as attached product literature).</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1.9</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Frame depth of 70mm allowing a slim profile replacement closely matching the existing.</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1.10</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Other frame dimensions include a 56mm outer frame, 64mm mullions (generally) and 75mm sash.</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1.11</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All window and door handles are to be from the compatible ‘E-Series’ including a solid die cast zinc construction providing a heavyweight sturdy handle and feel, with heavy duty sprung latching wedge with a positive click on closing, 43mm window clearance for easy operation &amp; patented cover caps with colour co-ordinated finish.</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lastRenderedPageBreak/>
              <w:t>1.12</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All doors to be fitted with commercial compatible high-performance multipoint door locking system, from the ‘</w:t>
            </w:r>
            <w:proofErr w:type="spellStart"/>
            <w:r w:rsidRPr="00AF4D6D">
              <w:rPr>
                <w:rFonts w:ascii="Arial" w:hAnsi="Arial" w:cs="Arial"/>
                <w:sz w:val="24"/>
                <w:szCs w:val="24"/>
              </w:rPr>
              <w:t>Avantis</w:t>
            </w:r>
            <w:proofErr w:type="spellEnd"/>
            <w:r w:rsidRPr="00AF4D6D">
              <w:rPr>
                <w:rFonts w:ascii="Arial" w:hAnsi="Arial" w:cs="Arial"/>
                <w:sz w:val="24"/>
                <w:szCs w:val="24"/>
              </w:rPr>
              <w:t xml:space="preserve"> 650 Series’.  Locks are BSI and Secured By Design accredited weatherproofing and security performance assured through strategically positioned deep throw chamfered locking points and adjustable keeps.</w:t>
            </w: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1.13</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All hardware tested to PAS24 and BS6375.</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1.14</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Door closers are to be from the ‘Ryobi D-3550 Series’.</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1.15</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 xml:space="preserve">Glass make up generally to be 28mm overall units, comprising 4mm soft coat toughened, with 18mm argon gas filled cavity and 6.8mm laminated and black warm edge spacer (west elevation to also include Pilkington </w:t>
            </w:r>
            <w:proofErr w:type="spellStart"/>
            <w:r w:rsidRPr="00AF4D6D">
              <w:rPr>
                <w:rFonts w:ascii="Arial" w:hAnsi="Arial" w:cs="Arial"/>
                <w:sz w:val="24"/>
                <w:szCs w:val="24"/>
              </w:rPr>
              <w:t>Optifloat</w:t>
            </w:r>
            <w:proofErr w:type="spellEnd"/>
            <w:r w:rsidRPr="00AF4D6D">
              <w:rPr>
                <w:rFonts w:ascii="Arial" w:hAnsi="Arial" w:cs="Arial"/>
                <w:sz w:val="24"/>
                <w:szCs w:val="24"/>
              </w:rPr>
              <w:t xml:space="preserve"> Grey).</w:t>
            </w:r>
          </w:p>
          <w:p w:rsidR="00B26854" w:rsidRPr="00AF4D6D" w:rsidRDefault="00B26854" w:rsidP="00AF4D6D">
            <w:pPr>
              <w:pStyle w:val="ListParagraph"/>
              <w:spacing w:after="0"/>
              <w:ind w:left="0"/>
              <w:rPr>
                <w:rFonts w:ascii="Arial" w:hAnsi="Arial" w:cs="Arial"/>
                <w:sz w:val="24"/>
                <w:szCs w:val="24"/>
              </w:rPr>
            </w:pPr>
          </w:p>
          <w:p w:rsidR="00424D22" w:rsidRPr="00AF4D6D" w:rsidRDefault="00424D22" w:rsidP="00AF4D6D">
            <w:pPr>
              <w:pStyle w:val="ListParagraph"/>
              <w:spacing w:after="0"/>
              <w:ind w:left="0"/>
              <w:rPr>
                <w:rFonts w:ascii="Arial" w:hAnsi="Arial" w:cs="Arial"/>
                <w:sz w:val="24"/>
                <w:szCs w:val="24"/>
              </w:rPr>
            </w:pPr>
          </w:p>
        </w:tc>
      </w:tr>
    </w:tbl>
    <w:p w:rsidR="00400E45" w:rsidRDefault="00400E4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7838"/>
      </w:tblGrid>
      <w:tr w:rsidR="00B26854" w:rsidRPr="00AF4D6D" w:rsidTr="00400E45">
        <w:tc>
          <w:tcPr>
            <w:tcW w:w="684" w:type="dxa"/>
            <w:shd w:val="clear" w:color="auto" w:fill="auto"/>
          </w:tcPr>
          <w:p w:rsidR="00B26854" w:rsidRPr="00AF4D6D" w:rsidRDefault="00B26854" w:rsidP="00AF4D6D">
            <w:pPr>
              <w:jc w:val="center"/>
              <w:rPr>
                <w:rFonts w:ascii="Arial" w:hAnsi="Arial" w:cs="Arial"/>
                <w:b/>
              </w:rPr>
            </w:pPr>
            <w:r w:rsidRPr="00AF4D6D">
              <w:rPr>
                <w:rFonts w:ascii="Arial" w:hAnsi="Arial" w:cs="Arial"/>
                <w:b/>
              </w:rPr>
              <w:lastRenderedPageBreak/>
              <w:t>2.0</w:t>
            </w:r>
          </w:p>
        </w:tc>
        <w:tc>
          <w:tcPr>
            <w:tcW w:w="7838" w:type="dxa"/>
            <w:shd w:val="clear" w:color="auto" w:fill="auto"/>
          </w:tcPr>
          <w:p w:rsidR="00424D22" w:rsidRPr="00AF4D6D" w:rsidRDefault="00B26854" w:rsidP="00AF4D6D">
            <w:pPr>
              <w:pStyle w:val="ListParagraph"/>
              <w:spacing w:after="0"/>
              <w:ind w:left="0"/>
              <w:rPr>
                <w:rFonts w:ascii="Arial" w:hAnsi="Arial" w:cs="Arial"/>
                <w:b/>
                <w:bCs/>
                <w:sz w:val="24"/>
                <w:szCs w:val="24"/>
              </w:rPr>
            </w:pPr>
            <w:r w:rsidRPr="00AF4D6D">
              <w:rPr>
                <w:rFonts w:ascii="Arial" w:hAnsi="Arial" w:cs="Arial"/>
                <w:b/>
                <w:bCs/>
                <w:sz w:val="24"/>
                <w:szCs w:val="24"/>
              </w:rPr>
              <w:t>Internal Glazing Specification</w:t>
            </w:r>
            <w:r w:rsidR="003133D3">
              <w:rPr>
                <w:rFonts w:ascii="Arial" w:hAnsi="Arial" w:cs="Arial"/>
                <w:b/>
                <w:bCs/>
                <w:sz w:val="24"/>
                <w:szCs w:val="24"/>
              </w:rPr>
              <w:t xml:space="preserve"> to Mezzanine</w:t>
            </w:r>
          </w:p>
          <w:p w:rsidR="00424D22" w:rsidRPr="00AF4D6D" w:rsidRDefault="00424D22" w:rsidP="00AF4D6D">
            <w:pPr>
              <w:pStyle w:val="ListParagraph"/>
              <w:spacing w:after="0"/>
              <w:ind w:left="0"/>
              <w:rPr>
                <w:rFonts w:ascii="Arial" w:hAnsi="Arial" w:cs="Arial"/>
                <w:b/>
                <w:bCs/>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2.1</w:t>
            </w:r>
          </w:p>
        </w:tc>
        <w:tc>
          <w:tcPr>
            <w:tcW w:w="7838" w:type="dxa"/>
            <w:shd w:val="clear" w:color="auto" w:fill="auto"/>
          </w:tcPr>
          <w:p w:rsidR="00B26854" w:rsidRPr="00AF4D6D" w:rsidRDefault="003133D3" w:rsidP="00AF4D6D">
            <w:pPr>
              <w:pStyle w:val="ListParagraph"/>
              <w:spacing w:after="0"/>
              <w:ind w:left="0"/>
              <w:rPr>
                <w:rFonts w:ascii="Arial" w:hAnsi="Arial" w:cs="Arial"/>
                <w:sz w:val="24"/>
                <w:szCs w:val="24"/>
              </w:rPr>
            </w:pPr>
            <w:r>
              <w:rPr>
                <w:rFonts w:ascii="Arial" w:hAnsi="Arial" w:cs="Arial"/>
                <w:sz w:val="24"/>
                <w:szCs w:val="24"/>
              </w:rPr>
              <w:t>The contract is</w:t>
            </w:r>
            <w:r w:rsidR="00B26854" w:rsidRPr="00AF4D6D">
              <w:rPr>
                <w:rFonts w:ascii="Arial" w:hAnsi="Arial" w:cs="Arial"/>
                <w:sz w:val="24"/>
                <w:szCs w:val="24"/>
              </w:rPr>
              <w:t xml:space="preserve"> to supply and install commercial aluminium glazed screen spanning the full width of the mezzanine first floor, floor to ceiling in height and adjoined to a set of commercial aluminium fully glazed double doors.</w:t>
            </w:r>
          </w:p>
          <w:p w:rsidR="00B26854" w:rsidRPr="00AF4D6D" w:rsidRDefault="00B26854" w:rsidP="00AF4D6D">
            <w:pPr>
              <w:pStyle w:val="ListParagraph"/>
              <w:spacing w:after="0"/>
              <w:ind w:left="0"/>
              <w:rPr>
                <w:rFonts w:ascii="Arial" w:hAnsi="Arial" w:cs="Arial"/>
                <w:b/>
                <w:bCs/>
                <w:sz w:val="24"/>
                <w:szCs w:val="24"/>
                <w:u w:val="single"/>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2.2</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Screen make up to be split equally to a maximum width of 1200mm centres, final design to be confirmed at detailed design stage</w:t>
            </w:r>
            <w:r w:rsidR="00424D22" w:rsidRPr="00AF4D6D">
              <w:rPr>
                <w:rFonts w:ascii="Arial" w:hAnsi="Arial" w:cs="Arial"/>
                <w:sz w:val="24"/>
                <w:szCs w:val="24"/>
              </w:rPr>
              <w:t>.</w:t>
            </w:r>
          </w:p>
          <w:p w:rsidR="00424D22" w:rsidRPr="00AF4D6D" w:rsidRDefault="00424D22"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2.3</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Profile for the screen itself is to be from the ‘</w:t>
            </w:r>
            <w:proofErr w:type="spellStart"/>
            <w:r w:rsidRPr="00AF4D6D">
              <w:rPr>
                <w:rFonts w:ascii="Arial" w:hAnsi="Arial" w:cs="Arial"/>
                <w:sz w:val="24"/>
                <w:szCs w:val="24"/>
              </w:rPr>
              <w:t>AluK</w:t>
            </w:r>
            <w:proofErr w:type="spellEnd"/>
            <w:r w:rsidRPr="00AF4D6D">
              <w:rPr>
                <w:rFonts w:ascii="Arial" w:hAnsi="Arial" w:cs="Arial"/>
                <w:sz w:val="24"/>
                <w:szCs w:val="24"/>
              </w:rPr>
              <w:t>’ range of thermally broken ‘GB 58BW / 58BD commercial square slide in’ profile / system.</w:t>
            </w:r>
          </w:p>
          <w:p w:rsidR="00424D22" w:rsidRPr="00AF4D6D" w:rsidRDefault="00424D22"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2.4</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Frame depth of 70mm and a width on elevation of 73mm (including beading).</w:t>
            </w:r>
          </w:p>
          <w:p w:rsidR="00424D22" w:rsidRPr="00AF4D6D" w:rsidRDefault="00424D22"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2.5</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Double doors are to be from the ‘</w:t>
            </w:r>
            <w:proofErr w:type="spellStart"/>
            <w:r w:rsidRPr="00AF4D6D">
              <w:rPr>
                <w:rFonts w:ascii="Arial" w:hAnsi="Arial" w:cs="Arial"/>
                <w:sz w:val="24"/>
                <w:szCs w:val="24"/>
              </w:rPr>
              <w:t>AluK</w:t>
            </w:r>
            <w:proofErr w:type="spellEnd"/>
            <w:r w:rsidRPr="00AF4D6D">
              <w:rPr>
                <w:rFonts w:ascii="Arial" w:hAnsi="Arial" w:cs="Arial"/>
                <w:sz w:val="24"/>
                <w:szCs w:val="24"/>
              </w:rPr>
              <w:t>’ thermally broken commercial door range, namely the ‘</w:t>
            </w:r>
            <w:proofErr w:type="spellStart"/>
            <w:r w:rsidRPr="00AF4D6D">
              <w:rPr>
                <w:rFonts w:ascii="Arial" w:hAnsi="Arial" w:cs="Arial"/>
                <w:sz w:val="24"/>
                <w:szCs w:val="24"/>
              </w:rPr>
              <w:t>Optio</w:t>
            </w:r>
            <w:proofErr w:type="spellEnd"/>
            <w:r w:rsidRPr="00AF4D6D">
              <w:rPr>
                <w:rFonts w:ascii="Arial" w:hAnsi="Arial" w:cs="Arial"/>
                <w:sz w:val="24"/>
                <w:szCs w:val="24"/>
              </w:rPr>
              <w:t xml:space="preserve"> GT55 Commercial Entrance Doors’ providing the fullest and comprehensive PAS24, EN1191 and SBD certified system for commercial use.  Including double acting central pivot door with open in and out options.</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2.6</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 xml:space="preserve">Anti-finger trap, low threshold, concealed hinges </w:t>
            </w:r>
            <w:r w:rsidR="003133D3">
              <w:rPr>
                <w:rFonts w:ascii="Arial" w:hAnsi="Arial" w:cs="Arial"/>
                <w:sz w:val="24"/>
                <w:szCs w:val="24"/>
              </w:rPr>
              <w:t>to be</w:t>
            </w:r>
            <w:r w:rsidRPr="00AF4D6D">
              <w:rPr>
                <w:rFonts w:ascii="Arial" w:hAnsi="Arial" w:cs="Arial"/>
                <w:sz w:val="24"/>
                <w:szCs w:val="24"/>
              </w:rPr>
              <w:t xml:space="preserve"> included.</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2.7</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Door locking to include either the ‘Sentinel M Multi Point Lock and / or ‘Sentinel M Panic and/or ‘Dorma 9800 Panic series, or a combination as detailed during the detailed design stage.</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2.8</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Door closer to be transom concealed from the ‘Dorma RTS 85’ range, providing the best aesthetic solution and most fit for purpose for this application.</w:t>
            </w:r>
          </w:p>
          <w:p w:rsidR="00B26854" w:rsidRPr="00AF4D6D" w:rsidRDefault="00B26854" w:rsidP="00AF4D6D">
            <w:pPr>
              <w:pStyle w:val="ListParagraph"/>
              <w:spacing w:after="0"/>
              <w:ind w:left="0"/>
              <w:rPr>
                <w:rFonts w:ascii="Arial" w:hAnsi="Arial" w:cs="Arial"/>
                <w:sz w:val="24"/>
                <w:szCs w:val="24"/>
              </w:rPr>
            </w:pPr>
          </w:p>
        </w:tc>
      </w:tr>
      <w:tr w:rsidR="00B26854" w:rsidRPr="00AF4D6D" w:rsidTr="00400E45">
        <w:tc>
          <w:tcPr>
            <w:tcW w:w="684" w:type="dxa"/>
            <w:shd w:val="clear" w:color="auto" w:fill="auto"/>
          </w:tcPr>
          <w:p w:rsidR="00B26854" w:rsidRPr="00AF4D6D" w:rsidRDefault="00B26854" w:rsidP="00AF4D6D">
            <w:pPr>
              <w:jc w:val="center"/>
              <w:rPr>
                <w:rFonts w:ascii="Arial" w:hAnsi="Arial" w:cs="Arial"/>
                <w:bCs/>
              </w:rPr>
            </w:pPr>
            <w:r w:rsidRPr="00AF4D6D">
              <w:rPr>
                <w:rFonts w:ascii="Arial" w:hAnsi="Arial" w:cs="Arial"/>
                <w:bCs/>
              </w:rPr>
              <w:t>2.9</w:t>
            </w:r>
          </w:p>
        </w:tc>
        <w:tc>
          <w:tcPr>
            <w:tcW w:w="7838" w:type="dxa"/>
            <w:shd w:val="clear" w:color="auto" w:fill="auto"/>
          </w:tcPr>
          <w:p w:rsidR="00B26854" w:rsidRPr="00AF4D6D" w:rsidRDefault="00B26854" w:rsidP="00AF4D6D">
            <w:pPr>
              <w:pStyle w:val="ListParagraph"/>
              <w:spacing w:after="0"/>
              <w:ind w:left="0"/>
              <w:rPr>
                <w:rFonts w:ascii="Arial" w:hAnsi="Arial" w:cs="Arial"/>
                <w:sz w:val="24"/>
                <w:szCs w:val="24"/>
              </w:rPr>
            </w:pPr>
            <w:r w:rsidRPr="00AF4D6D">
              <w:rPr>
                <w:rFonts w:ascii="Arial" w:hAnsi="Arial" w:cs="Arial"/>
                <w:sz w:val="24"/>
                <w:szCs w:val="24"/>
              </w:rPr>
              <w:t>Glass make up generally to be 28mm overall units, comprising 4mm soft coat toughened, with 18mm argon gas filled cavity and 6.8mm laminated and black warm edge spacer.</w:t>
            </w:r>
          </w:p>
          <w:p w:rsidR="00B26854" w:rsidRPr="00AF4D6D" w:rsidRDefault="00B26854" w:rsidP="00AF4D6D">
            <w:pPr>
              <w:pStyle w:val="ListParagraph"/>
              <w:spacing w:after="0"/>
              <w:ind w:left="0"/>
              <w:rPr>
                <w:rFonts w:ascii="Arial" w:hAnsi="Arial" w:cs="Arial"/>
                <w:sz w:val="24"/>
                <w:szCs w:val="24"/>
              </w:rPr>
            </w:pPr>
          </w:p>
        </w:tc>
      </w:tr>
    </w:tbl>
    <w:p w:rsidR="00B26854" w:rsidRDefault="00B26854" w:rsidP="00424D22">
      <w:pPr>
        <w:pStyle w:val="ListParagraph"/>
        <w:spacing w:after="0"/>
        <w:ind w:left="0"/>
      </w:pPr>
    </w:p>
    <w:p w:rsidR="00F85CCD" w:rsidRPr="00BC082D" w:rsidRDefault="00F85CCD" w:rsidP="00BC082D">
      <w:pPr>
        <w:rPr>
          <w:rFonts w:ascii="Arial" w:hAnsi="Arial" w:cs="Arial"/>
        </w:rPr>
      </w:pPr>
    </w:p>
    <w:sectPr w:rsidR="00F85CCD" w:rsidRPr="00BC082D" w:rsidSect="00F83ECF">
      <w:pgSz w:w="11906" w:h="16838"/>
      <w:pgMar w:top="1079" w:right="1800" w:bottom="107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DFD"/>
    <w:multiLevelType w:val="hybridMultilevel"/>
    <w:tmpl w:val="60E0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0E7DF2"/>
    <w:multiLevelType w:val="hybridMultilevel"/>
    <w:tmpl w:val="FEDE1AA8"/>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6371D34"/>
    <w:multiLevelType w:val="hybridMultilevel"/>
    <w:tmpl w:val="F9E69A0C"/>
    <w:lvl w:ilvl="0" w:tplc="D4A67E5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17460F2"/>
    <w:multiLevelType w:val="hybridMultilevel"/>
    <w:tmpl w:val="E04C4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C6C0414"/>
    <w:multiLevelType w:val="multilevel"/>
    <w:tmpl w:val="F9E69A0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64E4E"/>
    <w:rsid w:val="00005D97"/>
    <w:rsid w:val="0005233A"/>
    <w:rsid w:val="00054972"/>
    <w:rsid w:val="00064E4E"/>
    <w:rsid w:val="00066797"/>
    <w:rsid w:val="000735F0"/>
    <w:rsid w:val="00075F21"/>
    <w:rsid w:val="00081D6B"/>
    <w:rsid w:val="00085524"/>
    <w:rsid w:val="00094B0C"/>
    <w:rsid w:val="000E1B5F"/>
    <w:rsid w:val="000E6F71"/>
    <w:rsid w:val="000F5472"/>
    <w:rsid w:val="0016396A"/>
    <w:rsid w:val="0017400E"/>
    <w:rsid w:val="001A0A47"/>
    <w:rsid w:val="001A1C95"/>
    <w:rsid w:val="001A3F24"/>
    <w:rsid w:val="001B76EB"/>
    <w:rsid w:val="001C271F"/>
    <w:rsid w:val="001E3767"/>
    <w:rsid w:val="001F4BFE"/>
    <w:rsid w:val="001F4F89"/>
    <w:rsid w:val="002276E2"/>
    <w:rsid w:val="0023696D"/>
    <w:rsid w:val="00246CF1"/>
    <w:rsid w:val="00246D55"/>
    <w:rsid w:val="00296B7E"/>
    <w:rsid w:val="00297C96"/>
    <w:rsid w:val="002C0CB2"/>
    <w:rsid w:val="002D75F7"/>
    <w:rsid w:val="002F0882"/>
    <w:rsid w:val="00307DA4"/>
    <w:rsid w:val="00311B8B"/>
    <w:rsid w:val="003133D3"/>
    <w:rsid w:val="00331319"/>
    <w:rsid w:val="00333C69"/>
    <w:rsid w:val="003402FC"/>
    <w:rsid w:val="00341611"/>
    <w:rsid w:val="00347F2C"/>
    <w:rsid w:val="003521D4"/>
    <w:rsid w:val="003543F7"/>
    <w:rsid w:val="0038110B"/>
    <w:rsid w:val="00384A00"/>
    <w:rsid w:val="00386EC2"/>
    <w:rsid w:val="003874F6"/>
    <w:rsid w:val="003C663E"/>
    <w:rsid w:val="003D1144"/>
    <w:rsid w:val="003D5B3A"/>
    <w:rsid w:val="003F2712"/>
    <w:rsid w:val="00400E45"/>
    <w:rsid w:val="00414CCF"/>
    <w:rsid w:val="00424D22"/>
    <w:rsid w:val="0043653F"/>
    <w:rsid w:val="00480310"/>
    <w:rsid w:val="004944DF"/>
    <w:rsid w:val="004A7DC0"/>
    <w:rsid w:val="004B62EB"/>
    <w:rsid w:val="004E3E38"/>
    <w:rsid w:val="004E3FE5"/>
    <w:rsid w:val="004F321D"/>
    <w:rsid w:val="004F6435"/>
    <w:rsid w:val="005029EB"/>
    <w:rsid w:val="00516F58"/>
    <w:rsid w:val="00517EA4"/>
    <w:rsid w:val="00525CEB"/>
    <w:rsid w:val="00537DF9"/>
    <w:rsid w:val="00596EEC"/>
    <w:rsid w:val="005A0780"/>
    <w:rsid w:val="005B587B"/>
    <w:rsid w:val="00600AFC"/>
    <w:rsid w:val="00622489"/>
    <w:rsid w:val="00627C7D"/>
    <w:rsid w:val="00631220"/>
    <w:rsid w:val="00641F69"/>
    <w:rsid w:val="00652A81"/>
    <w:rsid w:val="00654DBD"/>
    <w:rsid w:val="006568EF"/>
    <w:rsid w:val="006922F2"/>
    <w:rsid w:val="006A651A"/>
    <w:rsid w:val="00711721"/>
    <w:rsid w:val="007228B8"/>
    <w:rsid w:val="007323B8"/>
    <w:rsid w:val="00741E02"/>
    <w:rsid w:val="00742FC5"/>
    <w:rsid w:val="007475D9"/>
    <w:rsid w:val="0077001F"/>
    <w:rsid w:val="00781981"/>
    <w:rsid w:val="007A0C05"/>
    <w:rsid w:val="007A1DC6"/>
    <w:rsid w:val="007A3DC5"/>
    <w:rsid w:val="007B5FA6"/>
    <w:rsid w:val="007C5D26"/>
    <w:rsid w:val="007E1D87"/>
    <w:rsid w:val="007F0E66"/>
    <w:rsid w:val="007F6A0B"/>
    <w:rsid w:val="0080241A"/>
    <w:rsid w:val="00804209"/>
    <w:rsid w:val="008157D7"/>
    <w:rsid w:val="00816B05"/>
    <w:rsid w:val="0086383E"/>
    <w:rsid w:val="00867508"/>
    <w:rsid w:val="008723F9"/>
    <w:rsid w:val="00886AEE"/>
    <w:rsid w:val="008B0C38"/>
    <w:rsid w:val="008B208D"/>
    <w:rsid w:val="008B39A7"/>
    <w:rsid w:val="008B6C3E"/>
    <w:rsid w:val="008C359F"/>
    <w:rsid w:val="008E1B38"/>
    <w:rsid w:val="00900EBB"/>
    <w:rsid w:val="009758C2"/>
    <w:rsid w:val="00977D97"/>
    <w:rsid w:val="009A6CAE"/>
    <w:rsid w:val="009B42FF"/>
    <w:rsid w:val="009D7F0D"/>
    <w:rsid w:val="009E308A"/>
    <w:rsid w:val="009E560A"/>
    <w:rsid w:val="00A02507"/>
    <w:rsid w:val="00A332D6"/>
    <w:rsid w:val="00A51569"/>
    <w:rsid w:val="00A51ECE"/>
    <w:rsid w:val="00A745E9"/>
    <w:rsid w:val="00A75F8D"/>
    <w:rsid w:val="00A87751"/>
    <w:rsid w:val="00A96B8D"/>
    <w:rsid w:val="00AF4D6D"/>
    <w:rsid w:val="00B02BF3"/>
    <w:rsid w:val="00B043A2"/>
    <w:rsid w:val="00B10142"/>
    <w:rsid w:val="00B26854"/>
    <w:rsid w:val="00B50454"/>
    <w:rsid w:val="00B63232"/>
    <w:rsid w:val="00B70C51"/>
    <w:rsid w:val="00B862C2"/>
    <w:rsid w:val="00BB1F12"/>
    <w:rsid w:val="00BC082D"/>
    <w:rsid w:val="00BF7F8A"/>
    <w:rsid w:val="00C248B9"/>
    <w:rsid w:val="00C24C2A"/>
    <w:rsid w:val="00C365BB"/>
    <w:rsid w:val="00C457D5"/>
    <w:rsid w:val="00C47E9B"/>
    <w:rsid w:val="00C67C1E"/>
    <w:rsid w:val="00C73DE2"/>
    <w:rsid w:val="00C850EB"/>
    <w:rsid w:val="00C9685F"/>
    <w:rsid w:val="00CE1F1B"/>
    <w:rsid w:val="00D035CA"/>
    <w:rsid w:val="00D04BB7"/>
    <w:rsid w:val="00D24830"/>
    <w:rsid w:val="00D30271"/>
    <w:rsid w:val="00D71A83"/>
    <w:rsid w:val="00D730DA"/>
    <w:rsid w:val="00D95861"/>
    <w:rsid w:val="00D95BB4"/>
    <w:rsid w:val="00D966B4"/>
    <w:rsid w:val="00DE4E08"/>
    <w:rsid w:val="00DF0864"/>
    <w:rsid w:val="00DF5BDC"/>
    <w:rsid w:val="00E0300B"/>
    <w:rsid w:val="00E1143B"/>
    <w:rsid w:val="00E27630"/>
    <w:rsid w:val="00E32934"/>
    <w:rsid w:val="00E404F3"/>
    <w:rsid w:val="00E40947"/>
    <w:rsid w:val="00E61430"/>
    <w:rsid w:val="00E621B5"/>
    <w:rsid w:val="00E672A0"/>
    <w:rsid w:val="00EB2107"/>
    <w:rsid w:val="00EB2E25"/>
    <w:rsid w:val="00EB4804"/>
    <w:rsid w:val="00EB5B60"/>
    <w:rsid w:val="00ED647B"/>
    <w:rsid w:val="00EF147C"/>
    <w:rsid w:val="00F01AC1"/>
    <w:rsid w:val="00F109EC"/>
    <w:rsid w:val="00F1711E"/>
    <w:rsid w:val="00F17953"/>
    <w:rsid w:val="00F21C19"/>
    <w:rsid w:val="00F7224E"/>
    <w:rsid w:val="00F83ECF"/>
    <w:rsid w:val="00F84019"/>
    <w:rsid w:val="00F85CCD"/>
    <w:rsid w:val="00FA6A99"/>
    <w:rsid w:val="00FB2522"/>
    <w:rsid w:val="00FB32CE"/>
    <w:rsid w:val="00FB620E"/>
    <w:rsid w:val="00FC2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44"/>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4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6854"/>
    <w:pPr>
      <w:spacing w:after="160" w:line="259" w:lineRule="auto"/>
      <w:ind w:left="720"/>
      <w:contextualSpacing/>
    </w:pPr>
    <w:rPr>
      <w:rFonts w:ascii="Calibri" w:eastAsia="Calibri" w:hAnsi="Calibri"/>
      <w:sz w:val="22"/>
      <w:szCs w:val="22"/>
      <w:lang w:eastAsia="en-US"/>
    </w:rPr>
  </w:style>
  <w:style w:type="character" w:styleId="Hyperlink">
    <w:name w:val="Hyperlink"/>
    <w:basedOn w:val="DefaultParagraphFont"/>
    <w:rsid w:val="00C9685F"/>
    <w:rPr>
      <w:color w:val="0000FF" w:themeColor="hyperlink"/>
      <w:u w:val="single"/>
    </w:rPr>
  </w:style>
  <w:style w:type="character" w:styleId="FollowedHyperlink">
    <w:name w:val="FollowedHyperlink"/>
    <w:basedOn w:val="DefaultParagraphFont"/>
    <w:rsid w:val="00C9685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part%204%20draf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852C6-64BC-46DA-B4EF-26F7804B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BITCH</dc:creator>
  <cp:lastModifiedBy>Geoff P</cp:lastModifiedBy>
  <cp:revision>10</cp:revision>
  <dcterms:created xsi:type="dcterms:W3CDTF">2020-06-02T12:37:00Z</dcterms:created>
  <dcterms:modified xsi:type="dcterms:W3CDTF">2020-06-03T15:47:00Z</dcterms:modified>
</cp:coreProperties>
</file>