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BD214C2" w:rsidR="00A57128" w:rsidRPr="007E0083" w:rsidRDefault="00A57128" w:rsidP="00EE71A2">
      <w:pPr>
        <w:pStyle w:val="Heading1"/>
      </w:pPr>
      <w:r w:rsidRPr="007E0083">
        <w:t>Title:</w:t>
      </w:r>
      <w:r w:rsidR="00D67591">
        <w:t xml:space="preserve"> Opportunity North East – </w:t>
      </w:r>
      <w:r w:rsidR="00A11850">
        <w:t xml:space="preserve">Evaluation of </w:t>
      </w:r>
      <w:proofErr w:type="gramStart"/>
      <w:r w:rsidR="00A11850">
        <w:t>a number of</w:t>
      </w:r>
      <w:proofErr w:type="gramEnd"/>
      <w:r w:rsidR="00A11850">
        <w:t xml:space="preserve"> approaches to improving pupil outcomes through better t</w:t>
      </w:r>
      <w:r w:rsidR="00D67591">
        <w:t xml:space="preserve">ransition from key stage 2 to key stage 3 </w:t>
      </w:r>
    </w:p>
    <w:p w14:paraId="2B434E3D" w14:textId="477BB109" w:rsidR="00A57128" w:rsidRPr="007E0083" w:rsidRDefault="00A57128" w:rsidP="00A57128">
      <w:pPr>
        <w:rPr>
          <w:b/>
        </w:rPr>
      </w:pPr>
      <w:r w:rsidRPr="007E0083">
        <w:rPr>
          <w:b/>
        </w:rPr>
        <w:t xml:space="preserve">Project reference: </w:t>
      </w:r>
      <w:r w:rsidR="00857536" w:rsidRPr="00857536">
        <w:rPr>
          <w:b/>
        </w:rPr>
        <w:t>DFERPPU/2019/032</w:t>
      </w:r>
    </w:p>
    <w:p w14:paraId="501D40E4" w14:textId="079B3ED2" w:rsidR="00A57128" w:rsidRPr="007E0083" w:rsidRDefault="00A57128" w:rsidP="00A57128">
      <w:pPr>
        <w:rPr>
          <w:b/>
        </w:rPr>
      </w:pPr>
      <w:r w:rsidRPr="007E0083">
        <w:rPr>
          <w:b/>
        </w:rPr>
        <w:t>Deadline for expressions of interest:</w:t>
      </w:r>
      <w:r w:rsidR="00EF46C9">
        <w:rPr>
          <w:b/>
        </w:rPr>
        <w:t xml:space="preserve">  </w:t>
      </w:r>
      <w:r w:rsidR="00BA6073">
        <w:rPr>
          <w:b/>
        </w:rPr>
        <w:t xml:space="preserve">23.59 on </w:t>
      </w:r>
      <w:r w:rsidR="00EF46C9">
        <w:rPr>
          <w:b/>
        </w:rPr>
        <w:t>13</w:t>
      </w:r>
      <w:r w:rsidR="00BA6073" w:rsidRPr="00BA6073">
        <w:rPr>
          <w:b/>
          <w:vertAlign w:val="superscript"/>
        </w:rPr>
        <w:t>th</w:t>
      </w:r>
      <w:r w:rsidR="00BA6073">
        <w:rPr>
          <w:b/>
        </w:rPr>
        <w:t xml:space="preserve"> </w:t>
      </w:r>
      <w:r w:rsidR="00D67591">
        <w:rPr>
          <w:b/>
        </w:rPr>
        <w:t>November 2019</w:t>
      </w:r>
    </w:p>
    <w:p w14:paraId="0CFBF484" w14:textId="184FA1CF" w:rsidR="00A57128" w:rsidRPr="001F2CE2" w:rsidRDefault="00A57128" w:rsidP="001F2CE2">
      <w:pPr>
        <w:pStyle w:val="Heading2"/>
      </w:pPr>
      <w:r w:rsidRPr="001F2CE2">
        <w:t>Summary</w:t>
      </w:r>
    </w:p>
    <w:p w14:paraId="237D87FC" w14:textId="21CED686" w:rsidR="00A57128" w:rsidRDefault="00A57128" w:rsidP="00D67591">
      <w:pPr>
        <w:rPr>
          <w:szCs w:val="22"/>
        </w:rPr>
      </w:pPr>
      <w:r w:rsidRPr="003E05F9">
        <w:rPr>
          <w:szCs w:val="22"/>
        </w:rPr>
        <w:t>Expressions of interest are sought</w:t>
      </w:r>
      <w:r>
        <w:rPr>
          <w:szCs w:val="22"/>
        </w:rPr>
        <w:t xml:space="preserve"> to</w:t>
      </w:r>
      <w:r w:rsidR="00D67591">
        <w:rPr>
          <w:szCs w:val="22"/>
        </w:rPr>
        <w:t xml:space="preserve"> assess </w:t>
      </w:r>
      <w:r w:rsidR="00D67591" w:rsidRPr="00D67591">
        <w:rPr>
          <w:szCs w:val="22"/>
        </w:rPr>
        <w:t>the impact of Opportunity North East (ONE) projects to improve pupil outcomes through improved transition from key stage 2 to key stage 3</w:t>
      </w:r>
      <w:r w:rsidR="00D67591">
        <w:rPr>
          <w:szCs w:val="22"/>
        </w:rPr>
        <w:t xml:space="preserve">. </w:t>
      </w:r>
      <w:r w:rsidR="00B977E5">
        <w:rPr>
          <w:szCs w:val="22"/>
        </w:rPr>
        <w:t>This will include individual project level impact evaluations, as well as a process evaluation covering all funded projects.</w:t>
      </w:r>
      <w:r w:rsidR="00EB42C8" w:rsidRPr="00EB42C8">
        <w:rPr>
          <w:rFonts w:ascii="Segoe UI" w:hAnsi="Segoe UI" w:cs="Segoe UI"/>
          <w:color w:val="000000"/>
          <w:sz w:val="20"/>
          <w:szCs w:val="20"/>
        </w:rPr>
        <w:t xml:space="preserve"> </w:t>
      </w:r>
      <w:r w:rsidR="00EB42C8" w:rsidRPr="00EB42C8">
        <w:rPr>
          <w:szCs w:val="22"/>
        </w:rPr>
        <w:t>The department wishes to appoint an evaluator to work with the projects to shape the programmes and data gathering to enable an impact evaluation, where possible.  The department will then decide which projects are taken forward into the full evaluation</w:t>
      </w:r>
    </w:p>
    <w:p w14:paraId="2F0950D2" w14:textId="7738F6A8" w:rsidR="008136E9" w:rsidRPr="008136E9" w:rsidRDefault="00D26476" w:rsidP="008136E9">
      <w:pPr>
        <w:rPr>
          <w:szCs w:val="22"/>
        </w:rPr>
      </w:pPr>
      <w:r>
        <w:rPr>
          <w:szCs w:val="22"/>
        </w:rPr>
        <w:t>The programme</w:t>
      </w:r>
      <w:r w:rsidR="008136E9">
        <w:rPr>
          <w:szCs w:val="22"/>
        </w:rPr>
        <w:t xml:space="preserve"> aims to</w:t>
      </w:r>
      <w:r w:rsidR="008136E9" w:rsidRPr="008136E9">
        <w:rPr>
          <w:szCs w:val="22"/>
        </w:rPr>
        <w:t xml:space="preserve"> improve outcomes for the current </w:t>
      </w:r>
      <w:r w:rsidR="00914FAA">
        <w:rPr>
          <w:szCs w:val="22"/>
        </w:rPr>
        <w:t xml:space="preserve">year 6 </w:t>
      </w:r>
      <w:r w:rsidR="008136E9" w:rsidRPr="008136E9">
        <w:rPr>
          <w:szCs w:val="22"/>
        </w:rPr>
        <w:t>cohort of pupils in the North East, and in the longer term to help more schools to adopt evidence-based practice</w:t>
      </w:r>
      <w:r w:rsidR="008136E9">
        <w:rPr>
          <w:szCs w:val="22"/>
        </w:rPr>
        <w:t>. T</w:t>
      </w:r>
      <w:r w:rsidR="00D0183A">
        <w:rPr>
          <w:szCs w:val="22"/>
        </w:rPr>
        <w:t>he department</w:t>
      </w:r>
      <w:r w:rsidR="008136E9" w:rsidRPr="008136E9">
        <w:rPr>
          <w:szCs w:val="22"/>
        </w:rPr>
        <w:t xml:space="preserve"> </w:t>
      </w:r>
      <w:r w:rsidR="008136E9">
        <w:rPr>
          <w:szCs w:val="22"/>
        </w:rPr>
        <w:t xml:space="preserve">is </w:t>
      </w:r>
      <w:r w:rsidR="008136E9" w:rsidRPr="008136E9">
        <w:rPr>
          <w:szCs w:val="22"/>
        </w:rPr>
        <w:t>fund</w:t>
      </w:r>
      <w:r w:rsidR="008136E9">
        <w:rPr>
          <w:szCs w:val="22"/>
        </w:rPr>
        <w:t>ing</w:t>
      </w:r>
      <w:r w:rsidR="008136E9" w:rsidRPr="008136E9">
        <w:rPr>
          <w:szCs w:val="22"/>
        </w:rPr>
        <w:t xml:space="preserve"> </w:t>
      </w:r>
      <w:r w:rsidR="00D0183A">
        <w:rPr>
          <w:szCs w:val="22"/>
        </w:rPr>
        <w:t>4/</w:t>
      </w:r>
      <w:r w:rsidR="008136E9" w:rsidRPr="008136E9">
        <w:rPr>
          <w:szCs w:val="22"/>
        </w:rPr>
        <w:t xml:space="preserve">5 distinct school/academy trust/local authority led projects that aim </w:t>
      </w:r>
      <w:r w:rsidR="008136E9">
        <w:rPr>
          <w:szCs w:val="22"/>
        </w:rPr>
        <w:t>(</w:t>
      </w:r>
      <w:r w:rsidR="008136E9" w:rsidRPr="008136E9">
        <w:rPr>
          <w:szCs w:val="22"/>
        </w:rPr>
        <w:t>each using a different approach</w:t>
      </w:r>
      <w:r w:rsidR="008136E9">
        <w:rPr>
          <w:szCs w:val="22"/>
        </w:rPr>
        <w:t>)</w:t>
      </w:r>
      <w:r w:rsidR="008136E9" w:rsidRPr="008136E9">
        <w:rPr>
          <w:szCs w:val="22"/>
        </w:rPr>
        <w:t xml:space="preserve"> to improve outcomes for young people through better transition from key stage 2 to key stage 3. </w:t>
      </w:r>
    </w:p>
    <w:p w14:paraId="5E9DAAC8" w14:textId="494FDAB5" w:rsidR="00D67591" w:rsidRDefault="008136E9" w:rsidP="008136E9">
      <w:pPr>
        <w:rPr>
          <w:szCs w:val="22"/>
        </w:rPr>
      </w:pPr>
      <w:r>
        <w:rPr>
          <w:szCs w:val="22"/>
        </w:rPr>
        <w:t>The final research findings will help inform the department in producing</w:t>
      </w:r>
      <w:r w:rsidRPr="008136E9">
        <w:rPr>
          <w:szCs w:val="22"/>
        </w:rPr>
        <w:t xml:space="preserve"> practical guidance for head teachers about how they can improve transition f</w:t>
      </w:r>
      <w:r>
        <w:rPr>
          <w:szCs w:val="22"/>
        </w:rPr>
        <w:t>rom key stage 2 to key stage 3.</w:t>
      </w:r>
    </w:p>
    <w:p w14:paraId="0BF9ADD3" w14:textId="1A5D6761" w:rsidR="00A57128" w:rsidRDefault="00A57128" w:rsidP="001F2CE2">
      <w:pPr>
        <w:pStyle w:val="Heading2"/>
      </w:pPr>
      <w:r>
        <w:t>Background</w:t>
      </w:r>
    </w:p>
    <w:p w14:paraId="5075B33B" w14:textId="2573387C" w:rsidR="008136E9" w:rsidRDefault="008136E9" w:rsidP="008136E9">
      <w:r>
        <w:t xml:space="preserve">The ONE programme was announced in </w:t>
      </w:r>
      <w:proofErr w:type="gramStart"/>
      <w:r>
        <w:t>October 2018, and</w:t>
      </w:r>
      <w:proofErr w:type="gramEnd"/>
      <w:r>
        <w:t xml:space="preserve"> aims to improve outcomes for young people in the North East. Across a range of secondary and post 16 measures, outcomes for young people in the North East </w:t>
      </w:r>
      <w:proofErr w:type="gramStart"/>
      <w:r>
        <w:t>lag behind</w:t>
      </w:r>
      <w:proofErr w:type="gramEnd"/>
      <w:r>
        <w:t xml:space="preserve"> those in other regions. Interestingly, average primary outcomes in the region are good compared with other areas (only London has better average key stage 2 outcomes), which is why one of the key challenges facing the ONE programme is to support more young people to continue to achieve well as they move from key stage 2 to key stage 3 and ultimately </w:t>
      </w:r>
      <w:r w:rsidR="00A11850">
        <w:t>improve</w:t>
      </w:r>
      <w:r>
        <w:t xml:space="preserve"> results at key stage 4.</w:t>
      </w:r>
    </w:p>
    <w:p w14:paraId="01130F1E" w14:textId="16B64539" w:rsidR="00D95E8C" w:rsidRDefault="00D95E8C" w:rsidP="008136E9">
      <w:pPr>
        <w:rPr>
          <w:szCs w:val="22"/>
        </w:rPr>
      </w:pPr>
      <w:r>
        <w:lastRenderedPageBreak/>
        <w:t xml:space="preserve">The department is </w:t>
      </w:r>
      <w:proofErr w:type="spellStart"/>
      <w:r w:rsidR="00D26476">
        <w:t>expecrting</w:t>
      </w:r>
      <w:proofErr w:type="spellEnd"/>
      <w:r w:rsidR="00D26476">
        <w:t xml:space="preserve"> to fund around</w:t>
      </w:r>
      <w:r w:rsidR="00A11850">
        <w:t xml:space="preserve"> 4/</w:t>
      </w:r>
      <w:r>
        <w:t>5 projects</w:t>
      </w:r>
      <w:r w:rsidR="00A11850">
        <w:t>,</w:t>
      </w:r>
      <w:r>
        <w:t xml:space="preserve"> each testing a </w:t>
      </w:r>
      <w:r w:rsidR="00A11850">
        <w:t xml:space="preserve">distinct </w:t>
      </w:r>
      <w:r>
        <w:t xml:space="preserve">approach, some of which </w:t>
      </w:r>
      <w:r w:rsidR="00A11850">
        <w:t>may be</w:t>
      </w:r>
      <w:r>
        <w:t xml:space="preserve"> </w:t>
      </w:r>
      <w:r w:rsidR="00A11850">
        <w:t xml:space="preserve">curriculum </w:t>
      </w:r>
      <w:r>
        <w:t xml:space="preserve">subject specific. </w:t>
      </w:r>
      <w:r w:rsidR="00BA5EEA" w:rsidRPr="008136E9">
        <w:rPr>
          <w:szCs w:val="22"/>
        </w:rPr>
        <w:t xml:space="preserve">Each of the projects will involve at least 5 secondary schools and partner primary schools. In each project we will be primarily funding activity relating to a single cohort of pupils who will move from year 6 to year 7 in the summer of 2020, but in some cases e.g. where the project is focussing on improving the year 6-8 curriculum, the impact on pupil outcome may </w:t>
      </w:r>
      <w:r w:rsidR="00A11850">
        <w:rPr>
          <w:szCs w:val="22"/>
        </w:rPr>
        <w:t xml:space="preserve">be greater in </w:t>
      </w:r>
      <w:r w:rsidR="00BA5EEA" w:rsidRPr="008136E9">
        <w:rPr>
          <w:szCs w:val="22"/>
        </w:rPr>
        <w:t xml:space="preserve"> the following year group. In those cases, we would want the evaluation to also look at the impact on that year group. The projects will run from January 2020 to the end of </w:t>
      </w:r>
      <w:r w:rsidR="00A11850">
        <w:rPr>
          <w:szCs w:val="22"/>
        </w:rPr>
        <w:t>March</w:t>
      </w:r>
      <w:r w:rsidR="00BA5EEA" w:rsidRPr="008136E9">
        <w:rPr>
          <w:szCs w:val="22"/>
        </w:rPr>
        <w:t xml:space="preserve"> 2022 (i.e. </w:t>
      </w:r>
      <w:r w:rsidR="00A11850">
        <w:rPr>
          <w:szCs w:val="22"/>
        </w:rPr>
        <w:t xml:space="preserve">nearly </w:t>
      </w:r>
      <w:r w:rsidR="00BA5EEA" w:rsidRPr="008136E9">
        <w:rPr>
          <w:szCs w:val="22"/>
        </w:rPr>
        <w:t>7 terms).</w:t>
      </w:r>
    </w:p>
    <w:p w14:paraId="2DA3BB87" w14:textId="08E7A3EF" w:rsidR="00A57128" w:rsidRDefault="00A57128" w:rsidP="001F2CE2">
      <w:pPr>
        <w:pStyle w:val="Heading2"/>
      </w:pPr>
      <w:r w:rsidRPr="003E05F9">
        <w:t>Evaluation aims</w:t>
      </w:r>
    </w:p>
    <w:p w14:paraId="12C2B74C" w14:textId="190173B6" w:rsidR="00BA5EEA" w:rsidRDefault="00BA5EEA" w:rsidP="00BA5EEA">
      <w:r>
        <w:t>To evaluate the impact of the transition projects to ascertain:</w:t>
      </w:r>
    </w:p>
    <w:p w14:paraId="3DB67499" w14:textId="16533FC9" w:rsidR="00BA5EEA" w:rsidRDefault="00BA5EEA" w:rsidP="00BA5EEA">
      <w:pPr>
        <w:ind w:left="567" w:hanging="141"/>
      </w:pPr>
      <w:r>
        <w:t>-</w:t>
      </w:r>
      <w:r>
        <w:tab/>
        <w:t>Which of the tested approaches, if any, is likely to have a positive impact on key stage 4 outcomes;</w:t>
      </w:r>
    </w:p>
    <w:p w14:paraId="1BA3E548" w14:textId="4056C384" w:rsidR="00BA5EEA" w:rsidRDefault="00BA5EEA" w:rsidP="00BA5EEA">
      <w:pPr>
        <w:ind w:left="567" w:hanging="141"/>
      </w:pPr>
      <w:r>
        <w:t>-</w:t>
      </w:r>
      <w:r>
        <w:tab/>
        <w:t xml:space="preserve">Why each of the tested approaches </w:t>
      </w:r>
      <w:proofErr w:type="gramStart"/>
      <w:r>
        <w:t>was considered to be</w:t>
      </w:r>
      <w:proofErr w:type="gramEnd"/>
      <w:r>
        <w:t xml:space="preserve"> effective, or ineffective, in improving outcomes (i.e. why </w:t>
      </w:r>
      <w:r w:rsidR="00A11850">
        <w:t>they worked, or didn’t work</w:t>
      </w:r>
      <w:r>
        <w:t>);</w:t>
      </w:r>
    </w:p>
    <w:p w14:paraId="799FAA82" w14:textId="77777777" w:rsidR="00BA5EEA" w:rsidRDefault="00BA5EEA" w:rsidP="00BA5EEA">
      <w:pPr>
        <w:ind w:left="567" w:hanging="141"/>
      </w:pPr>
      <w:r>
        <w:t>-</w:t>
      </w:r>
      <w:r>
        <w:tab/>
        <w:t>Which aspects of each of the tested approaches are most likely to have a positive impact on outcomes;</w:t>
      </w:r>
    </w:p>
    <w:p w14:paraId="7D5D35A2" w14:textId="67F0EEB9" w:rsidR="00BA5EEA" w:rsidRDefault="00BA5EEA" w:rsidP="00BA5EEA">
      <w:pPr>
        <w:ind w:left="567" w:hanging="141"/>
      </w:pPr>
      <w:r>
        <w:t>-</w:t>
      </w:r>
      <w:r>
        <w:tab/>
        <w:t xml:space="preserve">Where approaches were seen to be effective/have mixed impact, what the key factors </w:t>
      </w:r>
      <w:r w:rsidR="00A11850">
        <w:t xml:space="preserve">were </w:t>
      </w:r>
      <w:r>
        <w:t>in whether they had impact</w:t>
      </w:r>
      <w:r w:rsidR="00A11850">
        <w:t>;</w:t>
      </w:r>
    </w:p>
    <w:p w14:paraId="7BDF8427" w14:textId="3FAEB853" w:rsidR="00BA5EEA" w:rsidRDefault="00BA5EEA" w:rsidP="00BA5EEA">
      <w:pPr>
        <w:ind w:left="567" w:hanging="141"/>
      </w:pPr>
      <w:r>
        <w:t>-</w:t>
      </w:r>
      <w:r>
        <w:tab/>
        <w:t xml:space="preserve">Where approaches were seen to be effective/have mixed impact, </w:t>
      </w:r>
      <w:r w:rsidR="00A11850">
        <w:t xml:space="preserve">whether </w:t>
      </w:r>
      <w:r>
        <w:t>they appear</w:t>
      </w:r>
      <w:r w:rsidR="00A11850">
        <w:t>ed</w:t>
      </w:r>
      <w:r>
        <w:t xml:space="preserve"> to be scalable and sustainable</w:t>
      </w:r>
      <w:r w:rsidR="00A11850">
        <w:t xml:space="preserve">, and whether schools </w:t>
      </w:r>
      <w:proofErr w:type="gramStart"/>
      <w:r w:rsidR="00A11850">
        <w:t xml:space="preserve">intended </w:t>
      </w:r>
      <w:r>
        <w:t xml:space="preserve"> to</w:t>
      </w:r>
      <w:proofErr w:type="gramEnd"/>
      <w:r>
        <w:t xml:space="preserve"> continue with the approach beyond the period of funding</w:t>
      </w:r>
      <w:r w:rsidR="00A11850">
        <w:t>;</w:t>
      </w:r>
    </w:p>
    <w:p w14:paraId="5241BEE0" w14:textId="5D8F236C" w:rsidR="00BA5EEA" w:rsidRDefault="00BA5EEA" w:rsidP="00BA5EEA">
      <w:pPr>
        <w:ind w:left="567" w:hanging="141"/>
      </w:pPr>
      <w:r>
        <w:t>-</w:t>
      </w:r>
      <w:r>
        <w:tab/>
        <w:t xml:space="preserve">Whether the project schools were representative of other schools in the area in terms of </w:t>
      </w:r>
      <w:r w:rsidR="00A11850">
        <w:t xml:space="preserve">pupil </w:t>
      </w:r>
      <w:r>
        <w:t>characteristics</w:t>
      </w:r>
      <w:r w:rsidR="00A11850">
        <w:t xml:space="preserve"> etc</w:t>
      </w:r>
      <w:r>
        <w:t>.</w:t>
      </w:r>
    </w:p>
    <w:p w14:paraId="0E6B3F4B" w14:textId="2751E8B4" w:rsidR="004A600B" w:rsidRPr="004A600B" w:rsidRDefault="004A600B" w:rsidP="001F2CE2">
      <w:pPr>
        <w:pStyle w:val="Heading2"/>
      </w:pPr>
      <w:r>
        <w:t>Methodology</w:t>
      </w:r>
    </w:p>
    <w:p w14:paraId="68959BF6" w14:textId="05351ABB" w:rsidR="005360B7" w:rsidRPr="00DE1368" w:rsidRDefault="00DE1368" w:rsidP="001F2CE2">
      <w:pPr>
        <w:pStyle w:val="Heading3"/>
        <w:rPr>
          <w:sz w:val="24"/>
          <w:szCs w:val="24"/>
        </w:rPr>
      </w:pPr>
      <w:r w:rsidRPr="00DE1368">
        <w:rPr>
          <w:sz w:val="24"/>
          <w:szCs w:val="24"/>
        </w:rPr>
        <w:t>Target Participation Group</w:t>
      </w:r>
    </w:p>
    <w:p w14:paraId="28649229" w14:textId="079C2CBB" w:rsidR="00DE1368" w:rsidRDefault="00DE1368" w:rsidP="00A85EBD">
      <w:r w:rsidRPr="00DE1368">
        <w:t>Each project will be implemented in at least 5 secondary schools, and their partner primary schools, which we estimate to be around 15 per project.</w:t>
      </w:r>
      <w:r>
        <w:t xml:space="preserve"> </w:t>
      </w:r>
      <w:r w:rsidRPr="00DE1368">
        <w:t>We envisage that most projects will include the whole cohort of pupils, but some may be specific interventions relating to a sub-set of the pupil population</w:t>
      </w:r>
      <w:r>
        <w:t>.</w:t>
      </w:r>
    </w:p>
    <w:p w14:paraId="0F720F60" w14:textId="02D7DCE8" w:rsidR="002B6D93" w:rsidRDefault="00DE1368" w:rsidP="001F2CE2">
      <w:pPr>
        <w:pStyle w:val="Heading4"/>
      </w:pPr>
      <w:r>
        <w:t>Suggested approach and analysis</w:t>
      </w:r>
    </w:p>
    <w:p w14:paraId="5084F2BA" w14:textId="77777777" w:rsidR="00DE1368" w:rsidRDefault="00DE1368" w:rsidP="00DE1368">
      <w:r>
        <w:t>We would welcome proposals from potential suppliers about how to approach this piece of work in order to achieve our objectives. Our initial thinking is that it would include:</w:t>
      </w:r>
    </w:p>
    <w:p w14:paraId="79FFBD9B" w14:textId="67D29A8D" w:rsidR="00B977E5" w:rsidRDefault="00DE1368" w:rsidP="0008697B">
      <w:pPr>
        <w:ind w:left="709" w:hanging="283"/>
      </w:pPr>
      <w:r>
        <w:t>-</w:t>
      </w:r>
      <w:r>
        <w:tab/>
        <w:t>Engagement with the leaders of each of the project</w:t>
      </w:r>
      <w:r w:rsidR="00A11850">
        <w:t xml:space="preserve"> leaders</w:t>
      </w:r>
      <w:r>
        <w:t xml:space="preserve"> in advance of January 2020 to </w:t>
      </w:r>
      <w:r w:rsidR="00B977E5">
        <w:t>develop proposals for impact evaluation for each project e.g. pragmatic and affordable arrangements for control groups/quasi experimental design approaches etc</w:t>
      </w:r>
      <w:r w:rsidR="001138A8">
        <w:t xml:space="preserve"> These will ideally </w:t>
      </w:r>
      <w:r w:rsidR="001138A8">
        <w:lastRenderedPageBreak/>
        <w:t>link to tests for English, maths and science, delivered consistently across all projects, to act as a proxy for progress at key stage 4.</w:t>
      </w:r>
    </w:p>
    <w:p w14:paraId="61572934" w14:textId="3C62E279" w:rsidR="0008697B" w:rsidRDefault="00B977E5" w:rsidP="0008697B">
      <w:pPr>
        <w:ind w:left="709" w:hanging="283"/>
      </w:pPr>
      <w:r>
        <w:t xml:space="preserve"> - </w:t>
      </w:r>
      <w:r>
        <w:tab/>
      </w:r>
      <w:proofErr w:type="gramStart"/>
      <w:r>
        <w:t xml:space="preserve">Make </w:t>
      </w:r>
      <w:r w:rsidR="00DE1368">
        <w:t>arrangements</w:t>
      </w:r>
      <w:proofErr w:type="gramEnd"/>
      <w:r w:rsidR="00DE1368">
        <w:t xml:space="preserve"> for visits/what information will need to be collected from participating schools and when;</w:t>
      </w:r>
    </w:p>
    <w:p w14:paraId="11C7B5F2" w14:textId="38971A84" w:rsidR="0008697B" w:rsidRDefault="00B977E5" w:rsidP="0008697B">
      <w:pPr>
        <w:pStyle w:val="ListParagraph"/>
        <w:numPr>
          <w:ilvl w:val="0"/>
          <w:numId w:val="21"/>
        </w:numPr>
        <w:ind w:left="709" w:hanging="283"/>
      </w:pPr>
      <w:r>
        <w:t>Any b</w:t>
      </w:r>
      <w:r w:rsidR="0008697B" w:rsidRPr="0008697B">
        <w:t>aseline testing for the relevant pupil cohort</w:t>
      </w:r>
      <w:r w:rsidR="0008697B">
        <w:t>;</w:t>
      </w:r>
    </w:p>
    <w:p w14:paraId="298B31B0" w14:textId="77777777" w:rsidR="001138A8" w:rsidRDefault="001138A8" w:rsidP="00DE1368">
      <w:pPr>
        <w:ind w:left="709" w:hanging="283"/>
      </w:pPr>
      <w:r>
        <w:t xml:space="preserve"> - Analysis of key stage 2 data for the relevant cohort of pupils to triangulate with progress data (as a possible alternative to pre-project benchmarking);</w:t>
      </w:r>
    </w:p>
    <w:p w14:paraId="2C80E194" w14:textId="2A16E20A" w:rsidR="00DE1368" w:rsidRDefault="00DE1368" w:rsidP="006C257E">
      <w:pPr>
        <w:ind w:left="709" w:hanging="283"/>
      </w:pPr>
      <w:r>
        <w:t>-</w:t>
      </w:r>
      <w:r>
        <w:tab/>
        <w:t>A programme of visits to the schools involved in each of the projects, starting in January 2020 and continuing over the lifetime of the projects, to interview practitioners, gather qualitative and quantitative evidence of progress/impact, and observe relevant classroom or professional collaboration activity;</w:t>
      </w:r>
    </w:p>
    <w:p w14:paraId="675AABE0" w14:textId="71D8C99A" w:rsidR="00DE1368" w:rsidRDefault="00DE1368" w:rsidP="00DE1368">
      <w:pPr>
        <w:ind w:left="709" w:hanging="283"/>
      </w:pPr>
      <w:r>
        <w:t>-</w:t>
      </w:r>
      <w:r>
        <w:tab/>
        <w:t>Possible analysis of individual secondary school progress data (e.g. if</w:t>
      </w:r>
      <w:r w:rsidR="0008697B">
        <w:t xml:space="preserve"> there are </w:t>
      </w:r>
      <w:proofErr w:type="gramStart"/>
      <w:r w:rsidR="0008697B">
        <w:t>a number of</w:t>
      </w:r>
      <w:proofErr w:type="gramEnd"/>
      <w:r w:rsidR="0008697B">
        <w:t xml:space="preserve"> schools </w:t>
      </w:r>
      <w:r>
        <w:t>using common commercial packages between project schools) as well as the data that is obtained through programme-wide testing of pupils in years 6 and 8, plus exclusions and attendance data;</w:t>
      </w:r>
    </w:p>
    <w:p w14:paraId="24BB0A04" w14:textId="662C0D63" w:rsidR="00B977E5" w:rsidRDefault="00B977E5" w:rsidP="00DE1368">
      <w:pPr>
        <w:ind w:left="709" w:hanging="283"/>
      </w:pPr>
      <w:r>
        <w:t>-</w:t>
      </w:r>
      <w:r w:rsidR="006C257E">
        <w:tab/>
      </w:r>
      <w:r>
        <w:t>Delivery and analysis of tests for pupils covering English, maths and science, to act as a proxy for likely impact at key stage 4</w:t>
      </w:r>
    </w:p>
    <w:p w14:paraId="1C80AAA9" w14:textId="77777777" w:rsidR="00DE1368" w:rsidRDefault="00DE1368" w:rsidP="00DE1368">
      <w:pPr>
        <w:ind w:left="709" w:hanging="283"/>
      </w:pPr>
      <w:r>
        <w:t>-</w:t>
      </w:r>
      <w:r>
        <w:tab/>
        <w:t>Analysis of the characteristics of the schools involved in the project to establish the extent to which they are representative of other schools in the area, and to establish how they were chosen for inclusion in the project (did others decline?);</w:t>
      </w:r>
    </w:p>
    <w:p w14:paraId="0F1FD9A8" w14:textId="77777777" w:rsidR="00DE1368" w:rsidRDefault="00DE1368" w:rsidP="00DE1368">
      <w:pPr>
        <w:ind w:left="709" w:hanging="283"/>
      </w:pPr>
      <w:r>
        <w:t>-</w:t>
      </w:r>
      <w:r>
        <w:tab/>
        <w:t>Annual progress updates to the Strategic Board to share emerging findings/flag concerns;</w:t>
      </w:r>
    </w:p>
    <w:p w14:paraId="2CAC40BA" w14:textId="230F69F9" w:rsidR="00FC2B3C" w:rsidRDefault="00DE1368" w:rsidP="00DE1368">
      <w:pPr>
        <w:ind w:left="709" w:hanging="283"/>
      </w:pPr>
      <w:r>
        <w:t>-</w:t>
      </w:r>
      <w:r>
        <w:tab/>
        <w:t>A final report that sets out and explains findings from across the projects, highlights the most important elements of effective practice, and flags substantial risks/problems.</w:t>
      </w:r>
    </w:p>
    <w:p w14:paraId="604763C9" w14:textId="77777777" w:rsidR="007733CB" w:rsidRDefault="00D0183A" w:rsidP="00D0183A">
      <w:r>
        <w:t>The projects a</w:t>
      </w:r>
      <w:r w:rsidR="00976439">
        <w:t xml:space="preserve">re due to start in January 2020 and we </w:t>
      </w:r>
      <w:r w:rsidR="001613C0">
        <w:t xml:space="preserve">require the initial evaluation stage to commence </w:t>
      </w:r>
      <w:r w:rsidR="0008697B">
        <w:t>prior to this</w:t>
      </w:r>
      <w:r w:rsidR="001613C0">
        <w:t xml:space="preserve"> to allow the evaluator to assess and advise on the projects to enable impact evaluation. </w:t>
      </w:r>
      <w:r w:rsidR="0008697B">
        <w:t xml:space="preserve">Ideally, they will engage </w:t>
      </w:r>
      <w:r w:rsidR="0008697B" w:rsidRPr="0008697B">
        <w:t>with each project lead before final project funding is finalised, so that they are able to influence any arrangements for control groups etc. We are asking applicants to remain open minded about this aspect of their projects so that there is scope to make affordable and pragmatic changes before projects begin</w:t>
      </w:r>
      <w:r w:rsidR="007733CB">
        <w:t>.</w:t>
      </w:r>
    </w:p>
    <w:p w14:paraId="0C17BCF1" w14:textId="25468A42" w:rsidR="00D0183A" w:rsidRDefault="001613C0" w:rsidP="00D0183A">
      <w:r>
        <w:t xml:space="preserve">Following this there will be a break in the contract </w:t>
      </w:r>
      <w:proofErr w:type="gramStart"/>
      <w:r>
        <w:t>in order for</w:t>
      </w:r>
      <w:proofErr w:type="gramEnd"/>
      <w:r>
        <w:t xml:space="preserve"> the department to decide on which </w:t>
      </w:r>
      <w:r w:rsidR="00B977E5">
        <w:t xml:space="preserve">project level impact </w:t>
      </w:r>
      <w:r>
        <w:t>evaluation plans to take forward</w:t>
      </w:r>
      <w:r w:rsidR="001138A8">
        <w:t>, alongside the overall process evaluation</w:t>
      </w:r>
      <w:r>
        <w:t>.</w:t>
      </w:r>
    </w:p>
    <w:p w14:paraId="502BE6FA" w14:textId="507AB526" w:rsidR="004A600B" w:rsidRDefault="004A600B" w:rsidP="001F2CE2">
      <w:pPr>
        <w:pStyle w:val="Heading2"/>
      </w:pPr>
      <w:r>
        <w:t>Timing</w:t>
      </w:r>
    </w:p>
    <w:p w14:paraId="0E845B68" w14:textId="2B381577" w:rsidR="00857536" w:rsidRPr="00857536" w:rsidRDefault="00857536" w:rsidP="00857536">
      <w:r w:rsidRPr="00857536">
        <w:rPr>
          <w:lang w:val="en-US"/>
        </w:rPr>
        <w:t xml:space="preserve">The department is looking to procure a contractor to cover two stages – to work with the projects to shape the </w:t>
      </w:r>
      <w:proofErr w:type="spellStart"/>
      <w:r w:rsidRPr="00857536">
        <w:rPr>
          <w:lang w:val="en-US"/>
        </w:rPr>
        <w:t>programmes</w:t>
      </w:r>
      <w:proofErr w:type="spellEnd"/>
      <w:r w:rsidRPr="00857536">
        <w:rPr>
          <w:lang w:val="en-US"/>
        </w:rPr>
        <w:t xml:space="preserve"> and data gathering to enable an impact evaluation, where possible, and to then fully evaluate chosen projects. There will be a review clause in the contract where the department will reserve the right to decide whether/ how to take the contract forwards. The review clause will be </w:t>
      </w:r>
      <w:r w:rsidR="00476B11">
        <w:rPr>
          <w:lang w:val="en-US"/>
        </w:rPr>
        <w:t xml:space="preserve">4 weeks following the commencement of the contract </w:t>
      </w:r>
      <w:r w:rsidRPr="00857536">
        <w:rPr>
          <w:lang w:val="en-US"/>
        </w:rPr>
        <w:t xml:space="preserve">where the department will decide whether to proceed to full evaluation, and if </w:t>
      </w:r>
      <w:proofErr w:type="gramStart"/>
      <w:r w:rsidRPr="00857536">
        <w:rPr>
          <w:lang w:val="en-US"/>
        </w:rPr>
        <w:t>so</w:t>
      </w:r>
      <w:proofErr w:type="gramEnd"/>
      <w:r w:rsidRPr="00857536">
        <w:rPr>
          <w:lang w:val="en-US"/>
        </w:rPr>
        <w:t xml:space="preserve"> which projects are taken forward to be fully evaluated.</w:t>
      </w:r>
    </w:p>
    <w:p w14:paraId="6DB3DA3D" w14:textId="23732BAF" w:rsidR="007E0083" w:rsidRPr="007E0083" w:rsidRDefault="00857536" w:rsidP="007E0083">
      <w:pPr>
        <w:pStyle w:val="ListParagraph"/>
        <w:numPr>
          <w:ilvl w:val="0"/>
          <w:numId w:val="18"/>
        </w:numPr>
      </w:pPr>
      <w:r>
        <w:lastRenderedPageBreak/>
        <w:t xml:space="preserve">Deadline for EOIs – </w:t>
      </w:r>
      <w:r w:rsidR="00476B11">
        <w:t>13 November 2019</w:t>
      </w:r>
    </w:p>
    <w:p w14:paraId="1AD7D7F8" w14:textId="3D8572D2" w:rsidR="007E0083" w:rsidRPr="007E0083" w:rsidRDefault="001613C0" w:rsidP="007E0083">
      <w:pPr>
        <w:pStyle w:val="ListParagraph"/>
        <w:numPr>
          <w:ilvl w:val="0"/>
          <w:numId w:val="18"/>
        </w:numPr>
      </w:pPr>
      <w:r>
        <w:t>Invitations to Tender issued</w:t>
      </w:r>
      <w:r w:rsidR="007E0083" w:rsidRPr="007E0083">
        <w:t xml:space="preserve"> – </w:t>
      </w:r>
      <w:r w:rsidR="00332369">
        <w:t>20 November 2019</w:t>
      </w:r>
    </w:p>
    <w:p w14:paraId="658500A9" w14:textId="76A49EC0" w:rsidR="007E0083" w:rsidRDefault="001613C0" w:rsidP="007E0083">
      <w:pPr>
        <w:pStyle w:val="ListParagraph"/>
        <w:numPr>
          <w:ilvl w:val="0"/>
          <w:numId w:val="18"/>
        </w:numPr>
      </w:pPr>
      <w:r>
        <w:t>Deadline for Invitation to Tender submission</w:t>
      </w:r>
      <w:r w:rsidR="00857536">
        <w:t xml:space="preserve"> – </w:t>
      </w:r>
      <w:r w:rsidR="00332369">
        <w:t>11 December 2019</w:t>
      </w:r>
    </w:p>
    <w:p w14:paraId="3A773CBF" w14:textId="5CCBB5EA" w:rsidR="007E0083" w:rsidRPr="007E0083" w:rsidRDefault="00C97766" w:rsidP="00BA7803">
      <w:pPr>
        <w:pStyle w:val="ListParagraph"/>
        <w:numPr>
          <w:ilvl w:val="0"/>
          <w:numId w:val="18"/>
        </w:numPr>
      </w:pPr>
      <w:r>
        <w:t xml:space="preserve">Assessment of ITT submissions – </w:t>
      </w:r>
      <w:r w:rsidR="00BA7803">
        <w:t>12 to 17 December 2019</w:t>
      </w:r>
      <w:r>
        <w:t xml:space="preserve"> </w:t>
      </w:r>
    </w:p>
    <w:p w14:paraId="6CC5A8CB" w14:textId="18CBC670" w:rsidR="00C97766" w:rsidRDefault="00C97766" w:rsidP="007E0083">
      <w:pPr>
        <w:pStyle w:val="ListParagraph"/>
        <w:numPr>
          <w:ilvl w:val="0"/>
          <w:numId w:val="18"/>
        </w:numPr>
      </w:pPr>
      <w:r>
        <w:t xml:space="preserve">Successful bidder contacted – </w:t>
      </w:r>
      <w:r w:rsidR="00BA7803">
        <w:t>18 December 2019</w:t>
      </w:r>
    </w:p>
    <w:p w14:paraId="3A37E5B1" w14:textId="2FE5A2CB" w:rsidR="00C97766" w:rsidRDefault="00C97766" w:rsidP="007E0083">
      <w:pPr>
        <w:pStyle w:val="ListParagraph"/>
        <w:numPr>
          <w:ilvl w:val="0"/>
          <w:numId w:val="18"/>
        </w:numPr>
      </w:pPr>
      <w:r>
        <w:t xml:space="preserve">Contract award / preparation – </w:t>
      </w:r>
      <w:r w:rsidR="00BA7803">
        <w:t>18 December 2019 to 9 January 2020</w:t>
      </w:r>
    </w:p>
    <w:p w14:paraId="0B622DB4" w14:textId="5897A7BA" w:rsidR="007E0083" w:rsidRDefault="001613C0" w:rsidP="007E0083">
      <w:pPr>
        <w:pStyle w:val="ListParagraph"/>
        <w:numPr>
          <w:ilvl w:val="0"/>
          <w:numId w:val="18"/>
        </w:numPr>
      </w:pPr>
      <w:r>
        <w:t xml:space="preserve">Contract </w:t>
      </w:r>
      <w:r w:rsidR="007733CB">
        <w:t xml:space="preserve">agreed and </w:t>
      </w:r>
      <w:r>
        <w:t>signed</w:t>
      </w:r>
      <w:r w:rsidR="007E0083" w:rsidRPr="007E0083">
        <w:t xml:space="preserve"> – </w:t>
      </w:r>
      <w:r w:rsidR="00BA7803">
        <w:t>10 January 2020</w:t>
      </w:r>
    </w:p>
    <w:p w14:paraId="7820946F" w14:textId="75BF8482" w:rsidR="007733CB" w:rsidRPr="007E0083" w:rsidRDefault="007733CB" w:rsidP="007733CB">
      <w:r>
        <w:t>The evaluation is expected to run from Janu</w:t>
      </w:r>
      <w:r w:rsidR="00B158C1">
        <w:t>a</w:t>
      </w:r>
      <w:r>
        <w:t xml:space="preserve">ry 2020 to </w:t>
      </w:r>
      <w:r w:rsidR="001138A8">
        <w:t>September</w:t>
      </w:r>
      <w:r>
        <w:t xml:space="preserve"> 2022.</w:t>
      </w:r>
    </w:p>
    <w:p w14:paraId="0D2B2C65" w14:textId="41DF3DE1" w:rsidR="004A600B" w:rsidRPr="004A600B" w:rsidRDefault="004A600B" w:rsidP="007E0083">
      <w:pPr>
        <w:pStyle w:val="Heading2"/>
      </w:pPr>
      <w:r w:rsidRPr="004A600B">
        <w:t>Assessment criteria</w:t>
      </w:r>
    </w:p>
    <w:p w14:paraId="138307DC" w14:textId="77777777" w:rsidR="006C257E" w:rsidRDefault="00C52191" w:rsidP="006C257E">
      <w:pPr>
        <w:rPr>
          <w:rStyle w:val="CommentReference"/>
        </w:rPr>
      </w:pPr>
      <w:r>
        <w:t xml:space="preserve">Expressions of interest will be assessed against the following criteria: </w:t>
      </w:r>
    </w:p>
    <w:p w14:paraId="00B84D78" w14:textId="77777777" w:rsidR="006C257E" w:rsidRDefault="00C52191" w:rsidP="006C257E">
      <w:pPr>
        <w:pStyle w:val="ListParagraph"/>
        <w:numPr>
          <w:ilvl w:val="0"/>
          <w:numId w:val="24"/>
        </w:numPr>
      </w:pPr>
      <w:r>
        <w:t>Understanding of the department’s requirement</w:t>
      </w:r>
      <w:r w:rsidR="006C257E">
        <w:t>; e</w:t>
      </w:r>
      <w:r w:rsidR="006C257E" w:rsidRPr="00EB42C8">
        <w:t>xperience of designing and undertaking both process and impact evaluations</w:t>
      </w:r>
    </w:p>
    <w:p w14:paraId="351BF017" w14:textId="1B7E3BA0" w:rsidR="004A600B" w:rsidRDefault="006C257E" w:rsidP="006C257E">
      <w:pPr>
        <w:pStyle w:val="ListParagraph"/>
        <w:numPr>
          <w:ilvl w:val="0"/>
          <w:numId w:val="24"/>
        </w:numPr>
      </w:pPr>
      <w:r>
        <w:t>Experience of working with schools</w:t>
      </w:r>
      <w:r w:rsidR="004A600B" w:rsidRPr="00A85EBD">
        <w:t>.</w:t>
      </w:r>
    </w:p>
    <w:p w14:paraId="1E520CDA" w14:textId="63AA52A2" w:rsidR="00C52191" w:rsidRDefault="00C52191" w:rsidP="002F3F6E">
      <w:pPr>
        <w:pStyle w:val="ListParagraph"/>
        <w:numPr>
          <w:ilvl w:val="0"/>
          <w:numId w:val="19"/>
        </w:numPr>
      </w:pPr>
      <w:r>
        <w:t xml:space="preserve">Relevant research experience/expertise </w:t>
      </w:r>
      <w:r w:rsidR="00914FAA">
        <w:t>of the broader methodologies to be used; of research with schools and within the education system and with senior school and education stakeholders</w:t>
      </w:r>
    </w:p>
    <w:p w14:paraId="6AAF336C" w14:textId="476F0B1F" w:rsidR="00C52191" w:rsidRPr="00857536" w:rsidRDefault="002F3F6E" w:rsidP="004A600B">
      <w:pPr>
        <w:pStyle w:val="ListParagraph"/>
        <w:numPr>
          <w:ilvl w:val="0"/>
          <w:numId w:val="19"/>
        </w:numPr>
        <w:rPr>
          <w:rFonts w:cs="Arial"/>
        </w:rPr>
      </w:pPr>
      <w:r>
        <w:t xml:space="preserve">Capacity to </w:t>
      </w:r>
      <w:r w:rsidRPr="00857536">
        <w:rPr>
          <w:rFonts w:cs="Arial"/>
        </w:rPr>
        <w:t xml:space="preserve">undertake </w:t>
      </w:r>
      <w:r w:rsidR="00EB42C8" w:rsidRPr="00857536">
        <w:rPr>
          <w:rFonts w:cs="Arial"/>
          <w:color w:val="000000"/>
        </w:rPr>
        <w:t xml:space="preserve">the research with </w:t>
      </w:r>
      <w:proofErr w:type="gramStart"/>
      <w:r w:rsidR="00EB42C8" w:rsidRPr="00857536">
        <w:rPr>
          <w:rFonts w:cs="Arial"/>
          <w:color w:val="000000"/>
        </w:rPr>
        <w:t>a number of</w:t>
      </w:r>
      <w:proofErr w:type="gramEnd"/>
      <w:r w:rsidR="00EB42C8" w:rsidRPr="00857536">
        <w:rPr>
          <w:rFonts w:cs="Arial"/>
          <w:color w:val="000000"/>
        </w:rPr>
        <w:t xml:space="preserve"> primary and secondary schools in the North East</w:t>
      </w:r>
    </w:p>
    <w:p w14:paraId="25A4CF07" w14:textId="15AD2E5B" w:rsidR="00B14561" w:rsidRPr="00B14561" w:rsidRDefault="00B14561" w:rsidP="00B14561">
      <w:pPr>
        <w:spacing w:after="0" w:line="240" w:lineRule="auto"/>
      </w:pPr>
      <w:r w:rsidRPr="00B14561">
        <w:t xml:space="preserve">Expressions of interests submitted must be no more than </w:t>
      </w:r>
      <w:r w:rsidR="00BA7803">
        <w:t>3000</w:t>
      </w:r>
      <w:r w:rsidRPr="00B14561">
        <w:t xml:space="preserve"> words</w:t>
      </w:r>
      <w:r w:rsidR="00BA7803">
        <w: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1C918BA" w:rsidR="00915C18" w:rsidRDefault="00915C18" w:rsidP="00915C18">
            <w:pPr>
              <w:spacing w:before="160"/>
              <w:rPr>
                <w:b/>
                <w:bCs/>
                <w:sz w:val="28"/>
                <w:szCs w:val="20"/>
              </w:rPr>
            </w:pPr>
            <w:r w:rsidRPr="00915C18">
              <w:rPr>
                <w:b/>
                <w:bCs/>
                <w:sz w:val="28"/>
                <w:szCs w:val="20"/>
              </w:rPr>
              <w:t>Closing date for EOIs:</w:t>
            </w:r>
            <w:r w:rsidR="00BA7803">
              <w:rPr>
                <w:b/>
                <w:bCs/>
                <w:sz w:val="28"/>
                <w:szCs w:val="20"/>
              </w:rPr>
              <w:t xml:space="preserve"> </w:t>
            </w:r>
            <w:r w:rsidR="008E30B6">
              <w:rPr>
                <w:b/>
                <w:bCs/>
                <w:sz w:val="28"/>
                <w:szCs w:val="20"/>
              </w:rPr>
              <w:t xml:space="preserve">23.59 on </w:t>
            </w:r>
            <w:r w:rsidR="00BA7803">
              <w:rPr>
                <w:b/>
                <w:bCs/>
                <w:sz w:val="28"/>
                <w:szCs w:val="20"/>
              </w:rPr>
              <w:t>13</w:t>
            </w:r>
            <w:r w:rsidR="008E30B6" w:rsidRPr="008E30B6">
              <w:rPr>
                <w:b/>
                <w:bCs/>
                <w:sz w:val="28"/>
                <w:szCs w:val="20"/>
                <w:vertAlign w:val="superscript"/>
              </w:rPr>
              <w:t>th</w:t>
            </w:r>
            <w:r w:rsidR="008E30B6">
              <w:rPr>
                <w:b/>
                <w:bCs/>
                <w:sz w:val="28"/>
                <w:szCs w:val="20"/>
              </w:rPr>
              <w:t xml:space="preserve"> </w:t>
            </w:r>
            <w:bookmarkStart w:id="0" w:name="_GoBack"/>
            <w:bookmarkEnd w:id="0"/>
            <w:r w:rsidR="00BA7803">
              <w:rPr>
                <w:b/>
                <w:bCs/>
                <w:sz w:val="28"/>
                <w:szCs w:val="20"/>
              </w:rPr>
              <w:t>November 2019</w:t>
            </w:r>
          </w:p>
          <w:p w14:paraId="5178F3E6" w14:textId="00E5349E" w:rsidR="00A85EBD" w:rsidRDefault="00915C18" w:rsidP="007519C2">
            <w:pPr>
              <w:rPr>
                <w:rFonts w:ascii="Calibri" w:hAnsi="Calibri"/>
              </w:rPr>
            </w:pPr>
            <w:r w:rsidRPr="00915C18">
              <w:rPr>
                <w:b/>
                <w:bCs/>
                <w:sz w:val="28"/>
                <w:szCs w:val="20"/>
              </w:rPr>
              <w:t>Send your EOI form to:</w:t>
            </w:r>
            <w:r w:rsidR="00BA7803">
              <w:rPr>
                <w:b/>
                <w:bCs/>
                <w:sz w:val="28"/>
                <w:szCs w:val="20"/>
              </w:rPr>
              <w:t xml:space="preserve"> </w:t>
            </w:r>
            <w:r w:rsidR="00170215" w:rsidRPr="00170215">
              <w:rPr>
                <w:rFonts w:cs="Arial"/>
                <w:b/>
                <w:sz w:val="28"/>
                <w:szCs w:val="28"/>
              </w:rPr>
              <w:t>OpportunityNorthEast.ENQUIRIES@education.gov.uk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7185F12E" w:rsidR="00915C18" w:rsidRDefault="00814CCF" w:rsidP="00814CCF">
      <w:r>
        <w:t xml:space="preserve">All contracts are let </w:t>
      </w:r>
      <w:proofErr w:type="gramStart"/>
      <w:r>
        <w:t>on the basis of</w:t>
      </w:r>
      <w:proofErr w:type="gramEnd"/>
      <w:r>
        <w:t xml:space="preserve"> t</w:t>
      </w:r>
      <w:r w:rsidR="00803236">
        <w:t xml:space="preserve">he Department’s Terms &amp; Conditions, copy 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666AC849" w:rsidR="005D3B59" w:rsidRPr="00531385" w:rsidRDefault="00C2496D" w:rsidP="005D3B59">
      <w:r w:rsidRPr="00995398">
        <w:t>©</w:t>
      </w:r>
      <w:r w:rsidR="005D3B59" w:rsidRPr="005D3B59">
        <w:t xml:space="preserve"> </w:t>
      </w:r>
      <w:r w:rsidR="00EE71A2">
        <w:t xml:space="preserve">Crown copyright </w:t>
      </w:r>
      <w:r w:rsidR="00C52191">
        <w:t>2019</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3016" w14:textId="77777777" w:rsidR="00F7740A" w:rsidRDefault="00F7740A" w:rsidP="002B6D93">
      <w:r>
        <w:separator/>
      </w:r>
    </w:p>
    <w:p w14:paraId="6EAE8558" w14:textId="77777777" w:rsidR="00F7740A" w:rsidRDefault="00F7740A"/>
  </w:endnote>
  <w:endnote w:type="continuationSeparator" w:id="0">
    <w:p w14:paraId="4FEE7251" w14:textId="77777777" w:rsidR="00F7740A" w:rsidRDefault="00F7740A" w:rsidP="002B6D93">
      <w:r>
        <w:continuationSeparator/>
      </w:r>
    </w:p>
    <w:p w14:paraId="09A463E6" w14:textId="77777777" w:rsidR="00F7740A" w:rsidRDefault="00F7740A"/>
  </w:endnote>
  <w:endnote w:type="continuationNotice" w:id="1">
    <w:p w14:paraId="4582382F" w14:textId="77777777" w:rsidR="00F7740A" w:rsidRDefault="00F77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7D6EE53A"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70215">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A55D890" w:rsidR="00DA0AD5" w:rsidRPr="006E6ADB" w:rsidRDefault="00DA0AD5" w:rsidP="004A3626">
    <w:pPr>
      <w:tabs>
        <w:tab w:val="left" w:pos="7088"/>
      </w:tabs>
      <w:spacing w:before="240"/>
      <w:rPr>
        <w:szCs w:val="20"/>
      </w:rPr>
    </w:pPr>
    <w:r w:rsidRPr="006E6ADB">
      <w:rPr>
        <w:szCs w:val="20"/>
      </w:rPr>
      <w:tab/>
      <w:t xml:space="preserve">Published: </w:t>
    </w:r>
    <w:r w:rsidR="00EF46C9">
      <w:rPr>
        <w:szCs w:val="20"/>
      </w:rPr>
      <w:t xml:space="preserve">October </w:t>
    </w:r>
    <w:r>
      <w:rPr>
        <w:szCs w:val="20"/>
      </w:rPr>
      <w:t>201</w:t>
    </w:r>
    <w:r w:rsidR="00EF46C9">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3B885" w14:textId="77777777" w:rsidR="00F7740A" w:rsidRDefault="00F7740A" w:rsidP="002B6D93">
      <w:r>
        <w:separator/>
      </w:r>
    </w:p>
    <w:p w14:paraId="523AC3D2" w14:textId="77777777" w:rsidR="00F7740A" w:rsidRDefault="00F7740A"/>
  </w:footnote>
  <w:footnote w:type="continuationSeparator" w:id="0">
    <w:p w14:paraId="7EDEB83B" w14:textId="77777777" w:rsidR="00F7740A" w:rsidRDefault="00F7740A" w:rsidP="002B6D93">
      <w:r>
        <w:continuationSeparator/>
      </w:r>
    </w:p>
    <w:p w14:paraId="414EBCE6" w14:textId="77777777" w:rsidR="00F7740A" w:rsidRDefault="00F7740A"/>
  </w:footnote>
  <w:footnote w:type="continuationNotice" w:id="1">
    <w:p w14:paraId="2C940181" w14:textId="77777777" w:rsidR="00F7740A" w:rsidRDefault="00F774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F21"/>
    <w:multiLevelType w:val="hybridMultilevel"/>
    <w:tmpl w:val="D62C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11FDA"/>
    <w:multiLevelType w:val="hybridMultilevel"/>
    <w:tmpl w:val="509A98E4"/>
    <w:lvl w:ilvl="0" w:tplc="68B418B8">
      <w:numFmt w:val="bullet"/>
      <w:lvlText w:val="-"/>
      <w:lvlJc w:val="left"/>
      <w:pPr>
        <w:ind w:left="1146" w:hanging="360"/>
      </w:pPr>
      <w:rPr>
        <w:rFonts w:ascii="Arial" w:eastAsiaTheme="minorEastAsia"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A167452"/>
    <w:multiLevelType w:val="hybridMultilevel"/>
    <w:tmpl w:val="66C0451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A50028"/>
    <w:multiLevelType w:val="hybridMultilevel"/>
    <w:tmpl w:val="FAB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211A4"/>
    <w:multiLevelType w:val="hybridMultilevel"/>
    <w:tmpl w:val="FEC2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8"/>
  </w:num>
  <w:num w:numId="6">
    <w:abstractNumId w:val="13"/>
  </w:num>
  <w:num w:numId="7">
    <w:abstractNumId w:val="3"/>
  </w:num>
  <w:num w:numId="8">
    <w:abstractNumId w:val="1"/>
  </w:num>
  <w:num w:numId="9">
    <w:abstractNumId w:val="0"/>
  </w:num>
  <w:num w:numId="10">
    <w:abstractNumId w:val="15"/>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20"/>
  </w:num>
  <w:num w:numId="20">
    <w:abstractNumId w:val="14"/>
  </w:num>
  <w:num w:numId="21">
    <w:abstractNumId w:val="12"/>
  </w:num>
  <w:num w:numId="22">
    <w:abstractNumId w:val="16"/>
  </w:num>
  <w:num w:numId="23">
    <w:abstractNumId w:val="10"/>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8697B"/>
    <w:rsid w:val="00094338"/>
    <w:rsid w:val="000A10F4"/>
    <w:rsid w:val="000B3DE0"/>
    <w:rsid w:val="000D1D30"/>
    <w:rsid w:val="000D4433"/>
    <w:rsid w:val="000E27AC"/>
    <w:rsid w:val="000E3350"/>
    <w:rsid w:val="000F73F3"/>
    <w:rsid w:val="00103E77"/>
    <w:rsid w:val="001138A8"/>
    <w:rsid w:val="0011494F"/>
    <w:rsid w:val="00121C6C"/>
    <w:rsid w:val="001264D9"/>
    <w:rsid w:val="001272A9"/>
    <w:rsid w:val="00133075"/>
    <w:rsid w:val="00147214"/>
    <w:rsid w:val="00147697"/>
    <w:rsid w:val="001534B2"/>
    <w:rsid w:val="001540AB"/>
    <w:rsid w:val="001612C8"/>
    <w:rsid w:val="001613C0"/>
    <w:rsid w:val="00170215"/>
    <w:rsid w:val="001747E2"/>
    <w:rsid w:val="00176EB9"/>
    <w:rsid w:val="0017793A"/>
    <w:rsid w:val="00182AE6"/>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2724"/>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3F6E"/>
    <w:rsid w:val="002F7128"/>
    <w:rsid w:val="00300F99"/>
    <w:rsid w:val="00332369"/>
    <w:rsid w:val="00342F8B"/>
    <w:rsid w:val="00361752"/>
    <w:rsid w:val="00365691"/>
    <w:rsid w:val="00374981"/>
    <w:rsid w:val="003810D8"/>
    <w:rsid w:val="003853A4"/>
    <w:rsid w:val="0039725F"/>
    <w:rsid w:val="003A1CC2"/>
    <w:rsid w:val="003C60B5"/>
    <w:rsid w:val="003D1EFE"/>
    <w:rsid w:val="003E1329"/>
    <w:rsid w:val="003E3ED2"/>
    <w:rsid w:val="00400E1D"/>
    <w:rsid w:val="00403D1C"/>
    <w:rsid w:val="0041426B"/>
    <w:rsid w:val="004216FF"/>
    <w:rsid w:val="004242C5"/>
    <w:rsid w:val="004339FB"/>
    <w:rsid w:val="004509BE"/>
    <w:rsid w:val="00454463"/>
    <w:rsid w:val="00456560"/>
    <w:rsid w:val="00470223"/>
    <w:rsid w:val="00476B11"/>
    <w:rsid w:val="004809DD"/>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5F731D"/>
    <w:rsid w:val="0060702F"/>
    <w:rsid w:val="006108B3"/>
    <w:rsid w:val="00622501"/>
    <w:rsid w:val="006237FB"/>
    <w:rsid w:val="0062451E"/>
    <w:rsid w:val="00635D57"/>
    <w:rsid w:val="00640032"/>
    <w:rsid w:val="006418B2"/>
    <w:rsid w:val="00642404"/>
    <w:rsid w:val="00647EFA"/>
    <w:rsid w:val="00652973"/>
    <w:rsid w:val="00653AA1"/>
    <w:rsid w:val="006545AC"/>
    <w:rsid w:val="006558CA"/>
    <w:rsid w:val="00657E79"/>
    <w:rsid w:val="006606F5"/>
    <w:rsid w:val="00670ADC"/>
    <w:rsid w:val="0067185E"/>
    <w:rsid w:val="00671D5B"/>
    <w:rsid w:val="006775FA"/>
    <w:rsid w:val="00684973"/>
    <w:rsid w:val="0068544D"/>
    <w:rsid w:val="00695D08"/>
    <w:rsid w:val="006A27AA"/>
    <w:rsid w:val="006A3602"/>
    <w:rsid w:val="006B1F9F"/>
    <w:rsid w:val="006C257E"/>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55B61"/>
    <w:rsid w:val="00760615"/>
    <w:rsid w:val="0076231A"/>
    <w:rsid w:val="00764D03"/>
    <w:rsid w:val="00766597"/>
    <w:rsid w:val="007733CB"/>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3236"/>
    <w:rsid w:val="008136E9"/>
    <w:rsid w:val="00814CCF"/>
    <w:rsid w:val="00816E77"/>
    <w:rsid w:val="00831263"/>
    <w:rsid w:val="00831DB7"/>
    <w:rsid w:val="00832EBF"/>
    <w:rsid w:val="008366CB"/>
    <w:rsid w:val="00837F3A"/>
    <w:rsid w:val="008420D7"/>
    <w:rsid w:val="00857536"/>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0B6"/>
    <w:rsid w:val="008E3F07"/>
    <w:rsid w:val="008E5F36"/>
    <w:rsid w:val="008F2757"/>
    <w:rsid w:val="008F2E4F"/>
    <w:rsid w:val="008F7436"/>
    <w:rsid w:val="009055E4"/>
    <w:rsid w:val="00914FAA"/>
    <w:rsid w:val="00915C18"/>
    <w:rsid w:val="00917E9C"/>
    <w:rsid w:val="00926A3C"/>
    <w:rsid w:val="0093027C"/>
    <w:rsid w:val="0094189B"/>
    <w:rsid w:val="00951C56"/>
    <w:rsid w:val="0095599F"/>
    <w:rsid w:val="0096424B"/>
    <w:rsid w:val="009701C8"/>
    <w:rsid w:val="00972EFD"/>
    <w:rsid w:val="00976439"/>
    <w:rsid w:val="00986616"/>
    <w:rsid w:val="00995398"/>
    <w:rsid w:val="009B32FA"/>
    <w:rsid w:val="009C2C02"/>
    <w:rsid w:val="009C73CF"/>
    <w:rsid w:val="009E00AE"/>
    <w:rsid w:val="009E09D3"/>
    <w:rsid w:val="009E6E74"/>
    <w:rsid w:val="009E7EE1"/>
    <w:rsid w:val="009E7F32"/>
    <w:rsid w:val="00A0541C"/>
    <w:rsid w:val="00A11850"/>
    <w:rsid w:val="00A248DB"/>
    <w:rsid w:val="00A30BA1"/>
    <w:rsid w:val="00A37DEE"/>
    <w:rsid w:val="00A433C3"/>
    <w:rsid w:val="00A45AB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14561"/>
    <w:rsid w:val="00B158C1"/>
    <w:rsid w:val="00B336AF"/>
    <w:rsid w:val="00B3498C"/>
    <w:rsid w:val="00B43CAD"/>
    <w:rsid w:val="00B53333"/>
    <w:rsid w:val="00B55A49"/>
    <w:rsid w:val="00B64265"/>
    <w:rsid w:val="00B67F76"/>
    <w:rsid w:val="00B70EFF"/>
    <w:rsid w:val="00B7558C"/>
    <w:rsid w:val="00B818C3"/>
    <w:rsid w:val="00B9194F"/>
    <w:rsid w:val="00B977E5"/>
    <w:rsid w:val="00BA003B"/>
    <w:rsid w:val="00BA5EEA"/>
    <w:rsid w:val="00BA6073"/>
    <w:rsid w:val="00BA7803"/>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191"/>
    <w:rsid w:val="00C529E8"/>
    <w:rsid w:val="00C5454B"/>
    <w:rsid w:val="00C6013F"/>
    <w:rsid w:val="00C71238"/>
    <w:rsid w:val="00C71561"/>
    <w:rsid w:val="00C76325"/>
    <w:rsid w:val="00C8124F"/>
    <w:rsid w:val="00C81513"/>
    <w:rsid w:val="00C84637"/>
    <w:rsid w:val="00C92AD3"/>
    <w:rsid w:val="00C97766"/>
    <w:rsid w:val="00CA1009"/>
    <w:rsid w:val="00CA1F32"/>
    <w:rsid w:val="00CA30B4"/>
    <w:rsid w:val="00CA610B"/>
    <w:rsid w:val="00CA72FC"/>
    <w:rsid w:val="00CB56F5"/>
    <w:rsid w:val="00CB6E04"/>
    <w:rsid w:val="00CC2512"/>
    <w:rsid w:val="00CC547F"/>
    <w:rsid w:val="00CD5D21"/>
    <w:rsid w:val="00CE2652"/>
    <w:rsid w:val="00CE7906"/>
    <w:rsid w:val="00CF0E19"/>
    <w:rsid w:val="00D0183A"/>
    <w:rsid w:val="00D11353"/>
    <w:rsid w:val="00D245AA"/>
    <w:rsid w:val="00D26476"/>
    <w:rsid w:val="00D27D9B"/>
    <w:rsid w:val="00D376DB"/>
    <w:rsid w:val="00D408A5"/>
    <w:rsid w:val="00D40DE9"/>
    <w:rsid w:val="00D41212"/>
    <w:rsid w:val="00D42B45"/>
    <w:rsid w:val="00D57EE0"/>
    <w:rsid w:val="00D660A1"/>
    <w:rsid w:val="00D67591"/>
    <w:rsid w:val="00D75416"/>
    <w:rsid w:val="00D92274"/>
    <w:rsid w:val="00D94339"/>
    <w:rsid w:val="00D95E8C"/>
    <w:rsid w:val="00D9707F"/>
    <w:rsid w:val="00D97DD2"/>
    <w:rsid w:val="00DA0AD5"/>
    <w:rsid w:val="00DA1B01"/>
    <w:rsid w:val="00DA1F8E"/>
    <w:rsid w:val="00DA57A4"/>
    <w:rsid w:val="00DB0D07"/>
    <w:rsid w:val="00DB56EB"/>
    <w:rsid w:val="00DC39E8"/>
    <w:rsid w:val="00DC4922"/>
    <w:rsid w:val="00DD3A4E"/>
    <w:rsid w:val="00DD51B7"/>
    <w:rsid w:val="00DD788A"/>
    <w:rsid w:val="00DE1368"/>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6FCE"/>
    <w:rsid w:val="00E87A6A"/>
    <w:rsid w:val="00E9232A"/>
    <w:rsid w:val="00EA4D1B"/>
    <w:rsid w:val="00EB1D11"/>
    <w:rsid w:val="00EB42C8"/>
    <w:rsid w:val="00EB6E7D"/>
    <w:rsid w:val="00EC3DC1"/>
    <w:rsid w:val="00ED2F1C"/>
    <w:rsid w:val="00ED3D05"/>
    <w:rsid w:val="00EE64AE"/>
    <w:rsid w:val="00EE71A2"/>
    <w:rsid w:val="00EF46C9"/>
    <w:rsid w:val="00F06445"/>
    <w:rsid w:val="00F07114"/>
    <w:rsid w:val="00F206A7"/>
    <w:rsid w:val="00F3105E"/>
    <w:rsid w:val="00F41591"/>
    <w:rsid w:val="00F41A63"/>
    <w:rsid w:val="00F45BEB"/>
    <w:rsid w:val="00F54523"/>
    <w:rsid w:val="00F54B50"/>
    <w:rsid w:val="00F7740A"/>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96926221">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78062253">
      <w:bodyDiv w:val="1"/>
      <w:marLeft w:val="0"/>
      <w:marRight w:val="0"/>
      <w:marTop w:val="0"/>
      <w:marBottom w:val="0"/>
      <w:divBdr>
        <w:top w:val="none" w:sz="0" w:space="0" w:color="auto"/>
        <w:left w:val="none" w:sz="0" w:space="0" w:color="auto"/>
        <w:bottom w:val="none" w:sz="0" w:space="0" w:color="auto"/>
        <w:right w:val="none" w:sz="0" w:space="0" w:color="auto"/>
      </w:divBdr>
    </w:div>
    <w:div w:id="201722186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d2e71156-a28b-4810-815e-e353e62e4ec2"/>
    <ds:schemaRef ds:uri="7d131341-d497-4f4e-a250-66913a3e45a5"/>
    <ds:schemaRef ds:uri="http://schemas.microsoft.com/office/2006/metadata/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6F33B93-D6CD-4796-B082-8FA36FFE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56C974-924A-473D-AD3E-46D44B69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1522</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9432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4</cp:revision>
  <cp:lastPrinted>2013-07-11T10:35:00Z</cp:lastPrinted>
  <dcterms:created xsi:type="dcterms:W3CDTF">2019-10-29T13:09:00Z</dcterms:created>
  <dcterms:modified xsi:type="dcterms:W3CDTF">2019-10-29T13:12:00Z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