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3A512254" w:rsidR="003A05B7" w:rsidRPr="003A05B7" w:rsidRDefault="003A05B7" w:rsidP="4125DC50">
      <w:pPr>
        <w:pStyle w:val="Norma"/>
        <w:jc w:val="center"/>
        <w:rPr>
          <w:rFonts w:ascii="Century Gothic" w:hAnsi="Century Gothic" w:cs="Arial"/>
          <w:sz w:val="20"/>
          <w:szCs w:val="20"/>
        </w:rPr>
      </w:pPr>
      <w:r w:rsidRPr="5259B4B5">
        <w:rPr>
          <w:rFonts w:ascii="Century Gothic" w:hAnsi="Century Gothic" w:cs="Arial"/>
          <w:b/>
          <w:bCs/>
          <w:sz w:val="20"/>
          <w:szCs w:val="20"/>
        </w:rPr>
        <w:t xml:space="preserve">Specification for </w:t>
      </w:r>
      <w:r w:rsidR="4CC2F268" w:rsidRPr="5259B4B5">
        <w:rPr>
          <w:rFonts w:ascii="Century Gothic" w:hAnsi="Century Gothic" w:cs="Arial"/>
          <w:b/>
          <w:bCs/>
          <w:sz w:val="20"/>
          <w:szCs w:val="20"/>
        </w:rPr>
        <w:t>Review of Attributable Climate Impacts in the UK</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224D67A9"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FB148A">
        <w:rPr>
          <w:rFonts w:ascii="Century Gothic" w:hAnsi="Century Gothic" w:cs="Arial"/>
          <w:sz w:val="20"/>
          <w:szCs w:val="20"/>
        </w:rPr>
        <w:t>RM-1122</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14882020" w14:textId="600FEE70" w:rsidR="4665F61F" w:rsidRDefault="4665F61F" w:rsidP="4665F61F">
      <w:pPr>
        <w:pStyle w:val="Norma"/>
        <w:jc w:val="center"/>
        <w:rPr>
          <w:rFonts w:ascii="Century Gothic" w:hAnsi="Century Gothic"/>
          <w:b/>
          <w:bCs/>
          <w:sz w:val="20"/>
          <w:szCs w:val="20"/>
        </w:rPr>
      </w:pPr>
    </w:p>
    <w:p w14:paraId="4099425E" w14:textId="7EF21D58" w:rsidR="4665F61F" w:rsidRDefault="4665F61F" w:rsidP="4665F61F">
      <w:pPr>
        <w:pStyle w:val="Norma"/>
        <w:jc w:val="center"/>
        <w:rPr>
          <w:rFonts w:ascii="Century Gothic" w:hAnsi="Century Gothic"/>
          <w:b/>
          <w:bCs/>
          <w:sz w:val="20"/>
          <w:szCs w:val="20"/>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4A6B96C2" w14:textId="17F80792" w:rsidR="003A05B7" w:rsidRPr="003A05B7" w:rsidRDefault="003A05B7" w:rsidP="00FB148A">
      <w:pPr>
        <w:pStyle w:val="Norma"/>
        <w:ind w:left="1440"/>
        <w:jc w:val="both"/>
        <w:rPr>
          <w:rFonts w:ascii="Century Gothic" w:hAnsi="Century Gothic" w:cs="Arial"/>
          <w:sz w:val="20"/>
          <w:szCs w:val="20"/>
        </w:rPr>
      </w:pPr>
      <w:r w:rsidRPr="5259B4B5">
        <w:rPr>
          <w:rFonts w:ascii="Century Gothic" w:hAnsi="Century Gothic" w:cs="Arial"/>
          <w:sz w:val="20"/>
          <w:szCs w:val="20"/>
        </w:rPr>
        <w:t xml:space="preserve">Invitation to Tender for </w:t>
      </w:r>
      <w:r w:rsidR="6BBFACC9" w:rsidRPr="5259B4B5">
        <w:rPr>
          <w:rFonts w:ascii="Century Gothic" w:hAnsi="Century Gothic" w:cs="Arial"/>
          <w:b/>
          <w:bCs/>
          <w:sz w:val="20"/>
          <w:szCs w:val="20"/>
        </w:rPr>
        <w:t>Review of Attributable Climate Impacts in the UK</w:t>
      </w:r>
    </w:p>
    <w:p w14:paraId="2BF4D589" w14:textId="0443042C" w:rsidR="003A05B7" w:rsidRPr="003A05B7"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Tender Reference Number:</w:t>
      </w:r>
      <w:r w:rsidR="00FB148A">
        <w:rPr>
          <w:rFonts w:ascii="Century Gothic" w:hAnsi="Century Gothic" w:cs="Arial"/>
          <w:sz w:val="20"/>
          <w:szCs w:val="20"/>
        </w:rPr>
        <w:t xml:space="preserve"> RM-1122</w:t>
      </w:r>
    </w:p>
    <w:p w14:paraId="6AB0AC47" w14:textId="350E2F52" w:rsidR="003A05B7" w:rsidRPr="00F97858" w:rsidRDefault="003A05B7" w:rsidP="22E435CD">
      <w:pPr>
        <w:pStyle w:val="Norma"/>
        <w:ind w:left="720" w:firstLine="720"/>
        <w:jc w:val="both"/>
        <w:rPr>
          <w:rFonts w:ascii="Century Gothic" w:hAnsi="Century Gothic" w:cs="Arial"/>
          <w:sz w:val="20"/>
          <w:szCs w:val="20"/>
        </w:rPr>
      </w:pPr>
      <w:r w:rsidRPr="0D05ACB8">
        <w:rPr>
          <w:rFonts w:ascii="Century Gothic" w:hAnsi="Century Gothic" w:cs="Arial"/>
          <w:sz w:val="20"/>
          <w:szCs w:val="20"/>
        </w:rPr>
        <w:t xml:space="preserve">Deadline for Tender Responses: </w:t>
      </w:r>
      <w:r w:rsidR="1E064529" w:rsidRPr="0D05ACB8">
        <w:rPr>
          <w:rFonts w:ascii="Century Gothic" w:hAnsi="Century Gothic" w:cs="Arial"/>
          <w:b/>
          <w:bCs/>
          <w:sz w:val="20"/>
          <w:szCs w:val="20"/>
        </w:rPr>
        <w:t>5</w:t>
      </w:r>
      <w:r w:rsidR="1E064529" w:rsidRPr="0D05ACB8">
        <w:rPr>
          <w:rFonts w:ascii="Century Gothic" w:hAnsi="Century Gothic" w:cs="Arial"/>
          <w:b/>
          <w:bCs/>
          <w:sz w:val="20"/>
          <w:szCs w:val="20"/>
          <w:vertAlign w:val="superscript"/>
        </w:rPr>
        <w:t>th</w:t>
      </w:r>
      <w:r w:rsidR="757CBF62" w:rsidRPr="0D05ACB8">
        <w:rPr>
          <w:rFonts w:ascii="Century Gothic" w:hAnsi="Century Gothic" w:cs="Arial"/>
          <w:b/>
          <w:bCs/>
          <w:sz w:val="20"/>
          <w:szCs w:val="20"/>
        </w:rPr>
        <w:t xml:space="preserve"> </w:t>
      </w:r>
      <w:r w:rsidR="4BAC8A1F" w:rsidRPr="0D05ACB8">
        <w:rPr>
          <w:rFonts w:ascii="Century Gothic" w:hAnsi="Century Gothic" w:cs="Arial"/>
          <w:b/>
          <w:bCs/>
          <w:sz w:val="20"/>
          <w:szCs w:val="20"/>
        </w:rPr>
        <w:t>December</w:t>
      </w:r>
      <w:r w:rsidR="00F97858" w:rsidRPr="0D05ACB8">
        <w:rPr>
          <w:rFonts w:ascii="Century Gothic" w:hAnsi="Century Gothic" w:cs="Arial"/>
          <w:b/>
          <w:bCs/>
          <w:sz w:val="20"/>
          <w:szCs w:val="20"/>
        </w:rPr>
        <w:t xml:space="preserve"> 2022</w:t>
      </w:r>
      <w:r w:rsidR="00FB148A">
        <w:rPr>
          <w:rFonts w:ascii="Century Gothic" w:hAnsi="Century Gothic" w:cs="Arial"/>
          <w:b/>
          <w:bCs/>
          <w:sz w:val="20"/>
          <w:szCs w:val="20"/>
        </w:rPr>
        <w:t xml:space="preserve"> at 5pm</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68C2F784" w14:textId="7B40D890"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Background</w:t>
      </w:r>
      <w:r>
        <w:tab/>
      </w:r>
    </w:p>
    <w:p w14:paraId="1A9E7AFE" w14:textId="655A9DA9"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2</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Aims and Objectives</w:t>
      </w:r>
      <w:r>
        <w:tab/>
      </w:r>
    </w:p>
    <w:p w14:paraId="4CE1154D" w14:textId="44E36898"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3</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Methodology</w:t>
      </w:r>
      <w:r>
        <w:tab/>
      </w:r>
    </w:p>
    <w:p w14:paraId="71FAF932" w14:textId="53523516"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4</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Outputs Required</w:t>
      </w:r>
      <w:r>
        <w:tab/>
      </w:r>
    </w:p>
    <w:p w14:paraId="4436E548" w14:textId="7DF28283"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5</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Ownership and Publication</w:t>
      </w:r>
      <w:r>
        <w:tab/>
      </w:r>
    </w:p>
    <w:p w14:paraId="0906C736" w14:textId="38B85338"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6</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Quality Assurance</w:t>
      </w:r>
      <w:r>
        <w:tab/>
      </w:r>
    </w:p>
    <w:p w14:paraId="6415241A" w14:textId="22983DEA"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7</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Timetable</w:t>
      </w:r>
      <w:r>
        <w:tab/>
      </w:r>
    </w:p>
    <w:p w14:paraId="1A16F036" w14:textId="2686C42D"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8</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Challenges</w:t>
      </w:r>
      <w:r>
        <w:tab/>
      </w:r>
    </w:p>
    <w:p w14:paraId="7D09F745" w14:textId="45714687"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9</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Ethics</w:t>
      </w:r>
      <w:r>
        <w:tab/>
      </w:r>
    </w:p>
    <w:p w14:paraId="025FFFFE" w14:textId="4121DA41"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0</w:t>
      </w:r>
      <w:r w:rsidRPr="22E435CD">
        <w:rPr>
          <w:rFonts w:asciiTheme="minorHAnsi" w:hAnsiTheme="minorHAnsi" w:cs="Arial"/>
          <w:noProof/>
          <w:sz w:val="20"/>
          <w:szCs w:val="20"/>
        </w:rPr>
        <w:t>.</w:t>
      </w:r>
      <w:r>
        <w:tab/>
      </w:r>
      <w:r w:rsidRPr="22E435CD">
        <w:rPr>
          <w:rFonts w:asciiTheme="minorHAnsi" w:hAnsiTheme="minorHAnsi" w:cs="Arial"/>
          <w:noProof/>
          <w:sz w:val="20"/>
          <w:szCs w:val="20"/>
        </w:rPr>
        <w:t>Working Arrangements</w:t>
      </w:r>
      <w:r>
        <w:tab/>
      </w:r>
    </w:p>
    <w:p w14:paraId="37EC525F" w14:textId="14D2F25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Required Skills</w:t>
      </w:r>
      <w:r>
        <w:tab/>
      </w:r>
    </w:p>
    <w:p w14:paraId="0020C89B" w14:textId="78CD7500"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2</w:t>
      </w:r>
      <w:r w:rsidRPr="22E435CD">
        <w:rPr>
          <w:rFonts w:asciiTheme="minorHAnsi" w:hAnsiTheme="minorHAnsi" w:cs="Arial"/>
          <w:noProof/>
          <w:sz w:val="20"/>
          <w:szCs w:val="20"/>
        </w:rPr>
        <w:t>.</w:t>
      </w:r>
      <w:r>
        <w:tab/>
      </w:r>
      <w:r w:rsidRPr="22E435CD">
        <w:rPr>
          <w:rFonts w:asciiTheme="minorHAnsi" w:hAnsiTheme="minorHAnsi" w:cs="Arial"/>
          <w:noProof/>
          <w:sz w:val="20"/>
          <w:szCs w:val="20"/>
        </w:rPr>
        <w:t>Consortium Bids</w:t>
      </w:r>
      <w:r>
        <w:tab/>
      </w:r>
    </w:p>
    <w:p w14:paraId="04BC8E5F" w14:textId="30C4768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3</w:t>
      </w:r>
      <w:r w:rsidRPr="22E435CD">
        <w:rPr>
          <w:rFonts w:asciiTheme="minorHAnsi" w:hAnsiTheme="minorHAnsi" w:cs="Arial"/>
          <w:noProof/>
          <w:sz w:val="20"/>
          <w:szCs w:val="20"/>
        </w:rPr>
        <w:t>.</w:t>
      </w:r>
      <w:r>
        <w:tab/>
      </w:r>
      <w:r w:rsidRPr="22E435CD">
        <w:rPr>
          <w:rFonts w:asciiTheme="minorHAnsi" w:hAnsiTheme="minorHAnsi" w:cs="Arial"/>
          <w:noProof/>
          <w:sz w:val="20"/>
          <w:szCs w:val="20"/>
        </w:rPr>
        <w:t>Budget</w:t>
      </w:r>
      <w:r>
        <w:tab/>
      </w:r>
    </w:p>
    <w:p w14:paraId="50AE7E7F" w14:textId="47B3303E"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4</w:t>
      </w:r>
      <w:r w:rsidRPr="22E435CD">
        <w:rPr>
          <w:rFonts w:asciiTheme="minorHAnsi" w:hAnsiTheme="minorHAnsi" w:cs="Arial"/>
          <w:noProof/>
          <w:sz w:val="20"/>
          <w:szCs w:val="20"/>
        </w:rPr>
        <w:t>.</w:t>
      </w:r>
      <w:r>
        <w:tab/>
      </w:r>
      <w:r w:rsidRPr="22E435CD">
        <w:rPr>
          <w:rFonts w:asciiTheme="minorHAnsi" w:hAnsiTheme="minorHAnsi" w:cs="Arial"/>
          <w:noProof/>
          <w:sz w:val="20"/>
          <w:szCs w:val="20"/>
        </w:rPr>
        <w:t>Evaluation of Tenders</w:t>
      </w:r>
      <w:r>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489D4427" w14:textId="34B8F490" w:rsidR="003A05B7" w:rsidRDefault="003A05B7" w:rsidP="22E435CD">
      <w:pPr>
        <w:pStyle w:val="Heading1"/>
        <w:widowControl w:val="0"/>
        <w:numPr>
          <w:ilvl w:val="0"/>
          <w:numId w:val="11"/>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sidRPr="22E435CD">
        <w:rPr>
          <w:rFonts w:asciiTheme="minorHAnsi" w:hAnsiTheme="minorHAnsi" w:cs="Arial"/>
          <w:color w:val="auto"/>
          <w:sz w:val="20"/>
          <w:szCs w:val="20"/>
        </w:rPr>
        <w:t>Background</w:t>
      </w:r>
      <w:bookmarkEnd w:id="0"/>
      <w:bookmarkEnd w:id="1"/>
      <w:bookmarkEnd w:id="2"/>
    </w:p>
    <w:p w14:paraId="3A1E3A8D" w14:textId="77777777" w:rsidR="006724AE" w:rsidRPr="006724AE" w:rsidRDefault="006724AE" w:rsidP="22E435CD"/>
    <w:p w14:paraId="57B124F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41E3569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97ECB2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Century Gothic" w:hAnsi="Century Gothic" w:cs="Segoe UI"/>
          <w:sz w:val="20"/>
          <w:szCs w:val="20"/>
        </w:rPr>
        <w:t> </w:t>
      </w:r>
    </w:p>
    <w:p w14:paraId="03392023" w14:textId="2E326FD2"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 xml:space="preserve">The CCC’s full range of past reports are available here: </w:t>
      </w:r>
      <w:r w:rsidRPr="22E435CD">
        <w:rPr>
          <w:rStyle w:val="eop"/>
          <w:rFonts w:ascii="Century Gothic" w:hAnsi="Century Gothic" w:cs="Segoe UI"/>
          <w:sz w:val="20"/>
          <w:szCs w:val="20"/>
        </w:rPr>
        <w:t>  </w:t>
      </w:r>
    </w:p>
    <w:p w14:paraId="41927DCF" w14:textId="77777777" w:rsidR="006724AE" w:rsidRDefault="007848E0" w:rsidP="22E435CD">
      <w:pPr>
        <w:pStyle w:val="paragraph0"/>
        <w:spacing w:before="0" w:beforeAutospacing="0" w:after="0" w:afterAutospacing="0"/>
        <w:ind w:left="1080"/>
        <w:textAlignment w:val="baseline"/>
        <w:rPr>
          <w:rFonts w:ascii="Segoe UI" w:hAnsi="Segoe UI" w:cs="Segoe UI"/>
          <w:sz w:val="18"/>
          <w:szCs w:val="18"/>
        </w:rPr>
      </w:pPr>
      <w:hyperlink r:id="rId12" w:tgtFrame="_blank" w:history="1">
        <w:r w:rsidR="006724AE" w:rsidRPr="22E435CD">
          <w:rPr>
            <w:rStyle w:val="normaltextrun"/>
            <w:rFonts w:ascii="Century Gothic" w:hAnsi="Century Gothic" w:cs="Segoe UI"/>
            <w:sz w:val="20"/>
            <w:szCs w:val="20"/>
            <w:u w:val="single"/>
            <w:shd w:val="clear" w:color="auto" w:fill="E1E3E6"/>
          </w:rPr>
          <w:t>http://www.theccc.org.uk/reports/.</w:t>
        </w:r>
        <w:r w:rsidR="006724AE" w:rsidRPr="22E435CD">
          <w:rPr>
            <w:rStyle w:val="normaltextrun"/>
            <w:rFonts w:ascii="Arial" w:hAnsi="Arial" w:cs="Arial"/>
            <w:sz w:val="20"/>
            <w:szCs w:val="20"/>
            <w:u w:val="single"/>
            <w:shd w:val="clear" w:color="auto" w:fill="E1E3E6"/>
          </w:rPr>
          <w:t> </w:t>
        </w:r>
      </w:hyperlink>
      <w:r w:rsidR="006724AE" w:rsidRPr="22E435CD">
        <w:rPr>
          <w:rStyle w:val="eop"/>
          <w:rFonts w:ascii="Century Gothic" w:hAnsi="Century Gothic" w:cs="Segoe UI"/>
          <w:sz w:val="20"/>
          <w:szCs w:val="20"/>
        </w:rPr>
        <w:t> </w:t>
      </w:r>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UK Climate Change Risk Assessment </w:t>
      </w:r>
      <w:r w:rsidRPr="22E435CD">
        <w:rPr>
          <w:rStyle w:val="eop"/>
          <w:rFonts w:ascii="Century Gothic" w:hAnsi="Century Gothic" w:cs="Segoe UI"/>
          <w:sz w:val="20"/>
          <w:szCs w:val="20"/>
        </w:rPr>
        <w:t> </w:t>
      </w:r>
    </w:p>
    <w:p w14:paraId="6D009FB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Arial" w:hAnsi="Arial" w:cs="Arial"/>
          <w:sz w:val="20"/>
          <w:szCs w:val="20"/>
        </w:rPr>
        <w:t> </w:t>
      </w:r>
      <w:r w:rsidRPr="22E435CD">
        <w:rPr>
          <w:rStyle w:val="normaltextrun"/>
        </w:rPr>
        <w:t>      </w:t>
      </w:r>
      <w:r w:rsidRPr="22E435CD">
        <w:rPr>
          <w:rStyle w:val="eop"/>
        </w:rPr>
        <w:t> </w:t>
      </w:r>
    </w:p>
    <w:p w14:paraId="4BFB87C5"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Under the Climate Change Act 2008 (section 57), an assessment of the risks facing the UK from the current and predicted impact of climate change is required every 5 years. The CCC is responsible for</w:t>
      </w:r>
      <w:r w:rsidRPr="22E435CD">
        <w:rPr>
          <w:rStyle w:val="normaltextrun"/>
          <w:rFonts w:ascii="Arial" w:hAnsi="Arial" w:cs="Arial"/>
          <w:sz w:val="18"/>
          <w:szCs w:val="18"/>
          <w:shd w:val="clear" w:color="auto" w:fill="FFFFFF"/>
        </w:rPr>
        <w:t xml:space="preserve"> </w:t>
      </w:r>
      <w:r w:rsidRPr="22E435CD">
        <w:rPr>
          <w:rStyle w:val="normaltextrun"/>
          <w:rFonts w:ascii="Century Gothic" w:hAnsi="Century Gothic" w:cs="Segoe UI"/>
          <w:sz w:val="20"/>
          <w:szCs w:val="20"/>
        </w:rPr>
        <w:t>providing independent advice to the UK Government to inform that assessment.</w:t>
      </w:r>
      <w:r w:rsidRPr="22E435CD">
        <w:rPr>
          <w:rStyle w:val="normaltextrun"/>
          <w:rFonts w:ascii="Arial" w:hAnsi="Arial" w:cs="Arial"/>
          <w:sz w:val="18"/>
          <w:szCs w:val="18"/>
          <w:shd w:val="clear" w:color="auto" w:fill="FFFFFF"/>
        </w:rPr>
        <w:t> </w:t>
      </w:r>
      <w:r w:rsidRPr="22E435CD">
        <w:rPr>
          <w:rStyle w:val="eop"/>
          <w:rFonts w:ascii="Arial" w:hAnsi="Arial" w:cs="Arial"/>
          <w:sz w:val="18"/>
          <w:szCs w:val="18"/>
        </w:rPr>
        <w:t> </w:t>
      </w:r>
    </w:p>
    <w:p w14:paraId="0B94603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3BFB0A"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Committee has recently provided its advice to the UK Government on the risks and opportunities facing the UK from current and future climate change as part of the third Climate Change Risk Assessment (CCRA3) – this was summarised in its Independent Assessment of UK Climate Risk which was published in summer 2021.</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561A9F6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61F40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fourth UK Climate Change Risk Assessment (CCRA4) is due for completion by June 2026. CCRA4 will assess climate change risks to the UK using a more spatially defined approach than previous CCRAs, giving an assessment of the spatial distribution of climate risks across the UK and a more localised view of adaptation needs. </w:t>
      </w:r>
      <w:r w:rsidRPr="22E435CD">
        <w:rPr>
          <w:rStyle w:val="eop"/>
          <w:rFonts w:ascii="Century Gothic" w:hAnsi="Century Gothic" w:cs="Segoe UI"/>
          <w:sz w:val="20"/>
          <w:szCs w:val="20"/>
        </w:rPr>
        <w:t> </w:t>
      </w:r>
    </w:p>
    <w:p w14:paraId="06DC9B6D"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4125DC50">
        <w:rPr>
          <w:rStyle w:val="eop"/>
          <w:rFonts w:ascii="Century Gothic" w:hAnsi="Century Gothic" w:cs="Segoe UI"/>
          <w:sz w:val="20"/>
          <w:szCs w:val="20"/>
        </w:rPr>
        <w:t> </w:t>
      </w:r>
    </w:p>
    <w:p w14:paraId="361E3FB3" w14:textId="69019C50" w:rsidR="70E9026D" w:rsidRDefault="70E9026D" w:rsidP="5259B4B5">
      <w:pPr>
        <w:pStyle w:val="paragraph0"/>
        <w:spacing w:before="0" w:beforeAutospacing="0" w:after="0" w:afterAutospacing="0"/>
        <w:ind w:left="1080"/>
        <w:rPr>
          <w:rStyle w:val="normaltextrun"/>
          <w:rFonts w:ascii="Century Gothic" w:hAnsi="Century Gothic" w:cs="Segoe UI"/>
          <w:sz w:val="20"/>
          <w:szCs w:val="20"/>
        </w:rPr>
      </w:pPr>
      <w:r w:rsidRPr="5259B4B5">
        <w:rPr>
          <w:rStyle w:val="normaltextrun"/>
          <w:rFonts w:ascii="Century Gothic" w:hAnsi="Century Gothic" w:cs="Segoe UI"/>
          <w:sz w:val="20"/>
          <w:szCs w:val="20"/>
        </w:rPr>
        <w:t xml:space="preserve">To </w:t>
      </w:r>
      <w:r w:rsidR="6E33D819" w:rsidRPr="5259B4B5">
        <w:rPr>
          <w:rStyle w:val="normaltextrun"/>
          <w:rFonts w:ascii="Century Gothic" w:hAnsi="Century Gothic" w:cs="Segoe UI"/>
          <w:sz w:val="20"/>
          <w:szCs w:val="20"/>
        </w:rPr>
        <w:t xml:space="preserve">inform the next CCRA we are looking to commission a review of formally attributable impacts from past and present climate change in the UK. This review will draw on existing literature and </w:t>
      </w:r>
      <w:r w:rsidR="120D9426" w:rsidRPr="5259B4B5">
        <w:rPr>
          <w:rStyle w:val="normaltextrun"/>
          <w:rFonts w:ascii="Century Gothic" w:hAnsi="Century Gothic" w:cs="Segoe UI"/>
          <w:sz w:val="20"/>
          <w:szCs w:val="20"/>
        </w:rPr>
        <w:t xml:space="preserve">cover both the attribution of changes in climate impact drivers as well as attributable impacts on human systems and ecosystems in the UK. </w:t>
      </w:r>
    </w:p>
    <w:p w14:paraId="14DD8AC7" w14:textId="77777777" w:rsidR="003A05B7" w:rsidRPr="0038388A" w:rsidRDefault="003A05B7" w:rsidP="22E435CD">
      <w:pPr>
        <w:pStyle w:val="Norma"/>
        <w:ind w:left="720"/>
        <w:rPr>
          <w:rFonts w:asciiTheme="minorHAnsi" w:hAnsiTheme="minorHAnsi"/>
          <w:b/>
          <w:bCs/>
          <w:sz w:val="20"/>
          <w:szCs w:val="20"/>
        </w:rPr>
      </w:pPr>
    </w:p>
    <w:p w14:paraId="1221AA05" w14:textId="527AC7DD" w:rsidR="003A05B7" w:rsidRPr="006724AE" w:rsidRDefault="003A05B7" w:rsidP="22E435CD">
      <w:pPr>
        <w:pStyle w:val="Heading1"/>
        <w:widowControl w:val="0"/>
        <w:numPr>
          <w:ilvl w:val="0"/>
          <w:numId w:val="11"/>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5259B4B5">
        <w:rPr>
          <w:rFonts w:asciiTheme="minorHAnsi" w:hAnsiTheme="minorHAnsi" w:cs="Arial"/>
          <w:color w:val="auto"/>
          <w:sz w:val="20"/>
          <w:szCs w:val="20"/>
        </w:rPr>
        <w:t>Aims and Objectives</w:t>
      </w:r>
      <w:bookmarkEnd w:id="3"/>
      <w:bookmarkEnd w:id="4"/>
      <w:bookmarkEnd w:id="5"/>
    </w:p>
    <w:p w14:paraId="3F71C5D8" w14:textId="1730FE0E" w:rsidR="5259B4B5" w:rsidRDefault="5259B4B5" w:rsidP="5259B4B5">
      <w:pPr>
        <w:ind w:left="1080"/>
        <w:rPr>
          <w:rFonts w:ascii="Century Gothic" w:eastAsia="Century Gothic" w:hAnsi="Century Gothic" w:cs="Century Gothic"/>
          <w:sz w:val="20"/>
          <w:szCs w:val="20"/>
        </w:rPr>
      </w:pPr>
    </w:p>
    <w:p w14:paraId="5580EDD0" w14:textId="417CEC8F" w:rsidR="58CE1172" w:rsidRDefault="58CE1172" w:rsidP="5259B4B5">
      <w:pPr>
        <w:ind w:left="1080"/>
        <w:rPr>
          <w:rFonts w:ascii="Century Gothic" w:eastAsia="Century Gothic" w:hAnsi="Century Gothic" w:cs="Century Gothic"/>
          <w:sz w:val="20"/>
          <w:szCs w:val="20"/>
        </w:rPr>
      </w:pPr>
      <w:r w:rsidRPr="5259B4B5">
        <w:rPr>
          <w:rFonts w:ascii="Century Gothic" w:eastAsia="Century Gothic" w:hAnsi="Century Gothic" w:cs="Century Gothic"/>
          <w:sz w:val="20"/>
          <w:szCs w:val="20"/>
        </w:rPr>
        <w:t xml:space="preserve">This project is aiming to </w:t>
      </w:r>
      <w:r w:rsidR="5BFA4017" w:rsidRPr="5259B4B5">
        <w:rPr>
          <w:rFonts w:ascii="Century Gothic" w:eastAsia="Century Gothic" w:hAnsi="Century Gothic" w:cs="Century Gothic"/>
          <w:sz w:val="20"/>
          <w:szCs w:val="20"/>
        </w:rPr>
        <w:t>assess</w:t>
      </w:r>
      <w:r w:rsidRPr="5259B4B5">
        <w:rPr>
          <w:rFonts w:ascii="Century Gothic" w:eastAsia="Century Gothic" w:hAnsi="Century Gothic" w:cs="Century Gothic"/>
          <w:sz w:val="20"/>
          <w:szCs w:val="20"/>
        </w:rPr>
        <w:t xml:space="preserve"> the attributable impact of climate change to-date on the UK. This covers both the changes in the physical hazards but should also extend into the attribution of key impacts on human and natural systems. This project seeks to close a gap to extend the formal detection and attribution framework used by the Intergovernmental Panel on Climate Change (IPCC) down to a UK-specific assessment.  </w:t>
      </w:r>
    </w:p>
    <w:p w14:paraId="1FBD7DE3" w14:textId="2DE80835" w:rsidR="4125DC50" w:rsidRDefault="4125DC50" w:rsidP="4125DC50">
      <w:pPr>
        <w:ind w:left="1080"/>
        <w:rPr>
          <w:rFonts w:ascii="Century Gothic" w:eastAsia="Century Gothic" w:hAnsi="Century Gothic" w:cs="Century Gothic"/>
          <w:sz w:val="20"/>
          <w:szCs w:val="20"/>
        </w:rPr>
      </w:pPr>
    </w:p>
    <w:p w14:paraId="1FF1C305" w14:textId="2AA9211F" w:rsidR="1329A085" w:rsidRDefault="1329A085" w:rsidP="4125DC50">
      <w:pPr>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The key tasks in this project will be:</w:t>
      </w:r>
    </w:p>
    <w:p w14:paraId="39C7761E" w14:textId="35D756A1" w:rsidR="1329A085" w:rsidRDefault="1329A085">
      <w:r w:rsidRPr="5259B4B5">
        <w:rPr>
          <w:rFonts w:ascii="Century Gothic" w:eastAsia="Century Gothic" w:hAnsi="Century Gothic" w:cs="Century Gothic"/>
          <w:sz w:val="20"/>
          <w:szCs w:val="20"/>
        </w:rPr>
        <w:t xml:space="preserve"> </w:t>
      </w:r>
    </w:p>
    <w:p w14:paraId="774E81FE" w14:textId="426CE253" w:rsidR="6B7DA27C" w:rsidRDefault="6B7DA27C" w:rsidP="5259B4B5">
      <w:pPr>
        <w:pStyle w:val="ListParagraph"/>
        <w:numPr>
          <w:ilvl w:val="0"/>
          <w:numId w:val="5"/>
        </w:numPr>
        <w:rPr>
          <w:rFonts w:ascii="Century Gothic" w:eastAsia="Century Gothic" w:hAnsi="Century Gothic" w:cs="Century Gothic"/>
          <w:sz w:val="20"/>
          <w:szCs w:val="20"/>
        </w:rPr>
      </w:pPr>
      <w:r w:rsidRPr="5259B4B5">
        <w:rPr>
          <w:rFonts w:ascii="Century Gothic" w:eastAsia="Century Gothic" w:hAnsi="Century Gothic" w:cs="Century Gothic"/>
          <w:sz w:val="20"/>
          <w:szCs w:val="20"/>
        </w:rPr>
        <w:t>Detection and attribution of changes in aspects of the UK’s weather and climate</w:t>
      </w:r>
    </w:p>
    <w:p w14:paraId="38D6A280" w14:textId="74E8429F" w:rsidR="6B7DA27C" w:rsidRDefault="6B7DA27C" w:rsidP="5259B4B5">
      <w:pPr>
        <w:pStyle w:val="ListParagraph"/>
        <w:numPr>
          <w:ilvl w:val="0"/>
          <w:numId w:val="5"/>
        </w:numPr>
        <w:rPr>
          <w:rFonts w:asciiTheme="minorHAnsi" w:eastAsiaTheme="minorEastAsia" w:hAnsiTheme="minorHAnsi" w:cstheme="minorBidi"/>
          <w:sz w:val="20"/>
          <w:szCs w:val="20"/>
        </w:rPr>
      </w:pPr>
      <w:r w:rsidRPr="5259B4B5">
        <w:rPr>
          <w:rFonts w:asciiTheme="minorHAnsi" w:eastAsiaTheme="minorEastAsia" w:hAnsiTheme="minorHAnsi" w:cstheme="minorBidi"/>
          <w:sz w:val="20"/>
          <w:szCs w:val="20"/>
        </w:rPr>
        <w:t>Attribution of impacts on the UK’s human and natural systems to climate change</w:t>
      </w:r>
    </w:p>
    <w:p w14:paraId="5C592045" w14:textId="77777777" w:rsidR="003A05B7" w:rsidRPr="0038388A" w:rsidRDefault="003A05B7" w:rsidP="22E435CD">
      <w:pPr>
        <w:pStyle w:val="Norma"/>
        <w:ind w:left="720"/>
        <w:rPr>
          <w:rFonts w:asciiTheme="minorHAnsi" w:hAnsiTheme="minorHAnsi"/>
          <w:b/>
          <w:bCs/>
          <w:sz w:val="20"/>
          <w:szCs w:val="20"/>
        </w:rPr>
      </w:pPr>
    </w:p>
    <w:p w14:paraId="6237D087" w14:textId="6C652F85" w:rsidR="003A05B7" w:rsidRDefault="003A05B7" w:rsidP="22E435CD">
      <w:pPr>
        <w:pStyle w:val="Heading1"/>
        <w:widowControl w:val="0"/>
        <w:numPr>
          <w:ilvl w:val="0"/>
          <w:numId w:val="10"/>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4125DC50">
        <w:rPr>
          <w:rFonts w:asciiTheme="minorHAnsi" w:hAnsiTheme="minorHAnsi" w:cs="Arial"/>
          <w:color w:val="auto"/>
          <w:sz w:val="20"/>
          <w:szCs w:val="20"/>
        </w:rPr>
        <w:t>Methodology</w:t>
      </w:r>
      <w:bookmarkEnd w:id="6"/>
      <w:bookmarkEnd w:id="7"/>
    </w:p>
    <w:p w14:paraId="0E31F1D7" w14:textId="66B528B0" w:rsidR="003A05B7" w:rsidRPr="0038388A" w:rsidRDefault="003A05B7" w:rsidP="5259B4B5">
      <w:pPr>
        <w:rPr>
          <w:rFonts w:ascii="Century Gothic" w:eastAsia="Century Gothic" w:hAnsi="Century Gothic" w:cs="Century Gothic"/>
          <w:sz w:val="20"/>
          <w:szCs w:val="20"/>
        </w:rPr>
      </w:pPr>
    </w:p>
    <w:p w14:paraId="77279F81" w14:textId="68E2C1B4" w:rsidR="0C1CF6CA" w:rsidRDefault="0C1CF6CA" w:rsidP="5259B4B5">
      <w:pPr>
        <w:spacing w:after="200" w:line="276" w:lineRule="auto"/>
        <w:ind w:left="1080"/>
        <w:rPr>
          <w:rFonts w:ascii="Century Gothic" w:eastAsia="Century Gothic" w:hAnsi="Century Gothic" w:cs="Century Gothic"/>
          <w:i/>
          <w:iCs/>
          <w:sz w:val="20"/>
          <w:szCs w:val="20"/>
        </w:rPr>
      </w:pPr>
      <w:r w:rsidRPr="5259B4B5">
        <w:rPr>
          <w:rFonts w:ascii="Century Gothic" w:eastAsia="Century Gothic" w:hAnsi="Century Gothic" w:cs="Century Gothic"/>
          <w:i/>
          <w:iCs/>
          <w:sz w:val="20"/>
          <w:szCs w:val="20"/>
        </w:rPr>
        <w:lastRenderedPageBreak/>
        <w:t>Task 1: Detection and attribution of changes in aspects of the UK’s weather and climate</w:t>
      </w:r>
    </w:p>
    <w:p w14:paraId="03FB99AA" w14:textId="59716E86" w:rsidR="0C1CF6CA" w:rsidRDefault="0C1CF6CA" w:rsidP="5259B4B5">
      <w:pPr>
        <w:spacing w:after="200" w:line="276" w:lineRule="auto"/>
        <w:ind w:left="1080"/>
      </w:pPr>
      <w:r w:rsidRPr="5259B4B5">
        <w:rPr>
          <w:rFonts w:ascii="Century Gothic" w:eastAsia="Century Gothic" w:hAnsi="Century Gothic" w:cs="Century Gothic"/>
          <w:sz w:val="20"/>
          <w:szCs w:val="20"/>
        </w:rPr>
        <w:t xml:space="preserve">This task should assessment the evidence regarding which aspects of UK weather and climate have currently detectable changes over the observed period and where these changes can be attributed to human activity with confidence. A formal detection and attribution approach – aligned with the methodology used in the IPCC AR6 WG1 report should be deployed here. </w:t>
      </w:r>
    </w:p>
    <w:p w14:paraId="041ED7AD" w14:textId="6AA2EBB6" w:rsidR="0C1CF6CA" w:rsidRDefault="0C1CF6CA" w:rsidP="5259B4B5">
      <w:pPr>
        <w:spacing w:after="200" w:line="276" w:lineRule="auto"/>
        <w:ind w:left="1080"/>
      </w:pPr>
      <w:r w:rsidRPr="5259B4B5">
        <w:rPr>
          <w:rFonts w:ascii="Century Gothic" w:eastAsia="Century Gothic" w:hAnsi="Century Gothic" w:cs="Century Gothic"/>
          <w:sz w:val="20"/>
          <w:szCs w:val="20"/>
        </w:rPr>
        <w:t xml:space="preserve">Requirements from this task: </w:t>
      </w:r>
    </w:p>
    <w:p w14:paraId="38746FF7" w14:textId="3EC4DEA2" w:rsidR="0C1CF6CA" w:rsidRDefault="0C1CF6CA" w:rsidP="5259B4B5">
      <w:pPr>
        <w:pStyle w:val="ListParagraph"/>
        <w:numPr>
          <w:ilvl w:val="1"/>
          <w:numId w:val="2"/>
        </w:numPr>
        <w:rPr>
          <w:rFonts w:ascii="Century Gothic" w:eastAsia="Century Gothic" w:hAnsi="Century Gothic" w:cs="Century Gothic"/>
          <w:sz w:val="20"/>
          <w:szCs w:val="20"/>
        </w:rPr>
      </w:pPr>
      <w:r w:rsidRPr="5259B4B5">
        <w:rPr>
          <w:rFonts w:ascii="Century Gothic" w:eastAsia="Century Gothic" w:hAnsi="Century Gothic" w:cs="Century Gothic"/>
          <w:sz w:val="20"/>
          <w:szCs w:val="20"/>
        </w:rPr>
        <w:t>This task should focus on making an assessment for impact-relevant aspects of the UK’s weather and climate. This should include the groups of climate impact drivers (CIDs) used within the most recent IPCC physical science assessment report (working group 1 – Table 12.1) but may also be extended to additional variables where that is valuable. It is expected that a full approach for this task, including the list of CIDs, should be agreed with the CCC at the project kick-off meeting.</w:t>
      </w:r>
    </w:p>
    <w:p w14:paraId="10710257" w14:textId="44F0D6D6" w:rsidR="0C1CF6CA" w:rsidRDefault="0C1CF6CA" w:rsidP="5259B4B5">
      <w:pPr>
        <w:pStyle w:val="ListParagraph"/>
        <w:numPr>
          <w:ilvl w:val="1"/>
          <w:numId w:val="2"/>
        </w:numPr>
      </w:pPr>
      <w:r w:rsidRPr="0D05ACB8">
        <w:rPr>
          <w:rFonts w:ascii="Century Gothic" w:eastAsia="Century Gothic" w:hAnsi="Century Gothic" w:cs="Century Gothic"/>
          <w:sz w:val="20"/>
          <w:szCs w:val="20"/>
        </w:rPr>
        <w:t xml:space="preserve">We welcome approaches to this task that would rely on expert assessment of existing published literature and/or approaches that propose additional analysis. Where analysis is proposed we would encourage approaches that build on new approaches to national-level attribution in the literature such as </w:t>
      </w:r>
      <w:hyperlink r:id="rId13">
        <w:r w:rsidRPr="0D05ACB8">
          <w:rPr>
            <w:rStyle w:val="Hyperlink"/>
            <w:rFonts w:ascii="Century Gothic" w:eastAsia="Century Gothic" w:hAnsi="Century Gothic" w:cs="Century Gothic"/>
            <w:sz w:val="20"/>
            <w:szCs w:val="20"/>
          </w:rPr>
          <w:t>Hawkins et al. 2020</w:t>
        </w:r>
      </w:hyperlink>
      <w:r w:rsidRPr="0D05ACB8">
        <w:rPr>
          <w:rFonts w:ascii="Century Gothic" w:eastAsia="Century Gothic" w:hAnsi="Century Gothic" w:cs="Century Gothic"/>
          <w:sz w:val="20"/>
          <w:szCs w:val="20"/>
        </w:rPr>
        <w:t xml:space="preserve">. </w:t>
      </w:r>
      <w:r w:rsidR="3B219B21" w:rsidRPr="0D05ACB8">
        <w:rPr>
          <w:rFonts w:ascii="Century Gothic" w:eastAsia="Century Gothic" w:hAnsi="Century Gothic" w:cs="Century Gothic"/>
          <w:sz w:val="20"/>
          <w:szCs w:val="20"/>
        </w:rPr>
        <w:t xml:space="preserve">Analysis approaches should draw on peer-reviewed methods in the literature. </w:t>
      </w:r>
    </w:p>
    <w:p w14:paraId="6F80C1A3" w14:textId="64976B7C" w:rsidR="6DA5D233" w:rsidRDefault="6DA5D233" w:rsidP="5259B4B5">
      <w:pPr>
        <w:pStyle w:val="ListParagraph"/>
        <w:numPr>
          <w:ilvl w:val="1"/>
          <w:numId w:val="2"/>
        </w:numPr>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 xml:space="preserve">We encourage proposals that aim to provide an assessment of attributable changes in CIDs with </w:t>
      </w:r>
      <w:r w:rsidR="3120E175" w:rsidRPr="0D05ACB8">
        <w:rPr>
          <w:rFonts w:ascii="Century Gothic" w:eastAsia="Century Gothic" w:hAnsi="Century Gothic" w:cs="Century Gothic"/>
          <w:sz w:val="20"/>
          <w:szCs w:val="20"/>
        </w:rPr>
        <w:t>spatial</w:t>
      </w:r>
      <w:r w:rsidR="0E2D9B02" w:rsidRPr="0D05ACB8">
        <w:rPr>
          <w:rFonts w:ascii="Century Gothic" w:eastAsia="Century Gothic" w:hAnsi="Century Gothic" w:cs="Century Gothic"/>
          <w:sz w:val="20"/>
          <w:szCs w:val="20"/>
        </w:rPr>
        <w:t xml:space="preserve"> disaggregation across the UK. At a minimum level, assessments for changes in CIDs for England</w:t>
      </w:r>
      <w:r w:rsidR="0A45FF4C" w:rsidRPr="0D05ACB8">
        <w:rPr>
          <w:rFonts w:ascii="Century Gothic" w:eastAsia="Century Gothic" w:hAnsi="Century Gothic" w:cs="Century Gothic"/>
          <w:sz w:val="20"/>
          <w:szCs w:val="20"/>
        </w:rPr>
        <w:t xml:space="preserve">, Scotland, </w:t>
      </w:r>
      <w:proofErr w:type="gramStart"/>
      <w:r w:rsidR="0A45FF4C" w:rsidRPr="0D05ACB8">
        <w:rPr>
          <w:rFonts w:ascii="Century Gothic" w:eastAsia="Century Gothic" w:hAnsi="Century Gothic" w:cs="Century Gothic"/>
          <w:sz w:val="20"/>
          <w:szCs w:val="20"/>
        </w:rPr>
        <w:t>Wales</w:t>
      </w:r>
      <w:proofErr w:type="gramEnd"/>
      <w:r w:rsidR="0A45FF4C" w:rsidRPr="0D05ACB8">
        <w:rPr>
          <w:rFonts w:ascii="Century Gothic" w:eastAsia="Century Gothic" w:hAnsi="Century Gothic" w:cs="Century Gothic"/>
          <w:sz w:val="20"/>
          <w:szCs w:val="20"/>
        </w:rPr>
        <w:t xml:space="preserve"> and Northern Ireland is required, with finer spatial resolution encouraged where possible. </w:t>
      </w:r>
    </w:p>
    <w:p w14:paraId="588C90BA" w14:textId="05BE441D" w:rsidR="0C1CF6CA" w:rsidRDefault="0C1CF6CA" w:rsidP="5259B4B5">
      <w:pPr>
        <w:pStyle w:val="ListParagraph"/>
        <w:numPr>
          <w:ilvl w:val="1"/>
          <w:numId w:val="2"/>
        </w:numPr>
        <w:rPr>
          <w:rFonts w:ascii="Century Gothic" w:eastAsia="Century Gothic" w:hAnsi="Century Gothic" w:cs="Century Gothic"/>
          <w:sz w:val="20"/>
          <w:szCs w:val="20"/>
        </w:rPr>
      </w:pPr>
      <w:r w:rsidRPr="5259B4B5">
        <w:rPr>
          <w:rFonts w:ascii="Century Gothic" w:eastAsia="Century Gothic" w:hAnsi="Century Gothic" w:cs="Century Gothic"/>
          <w:sz w:val="20"/>
          <w:szCs w:val="20"/>
        </w:rPr>
        <w:t xml:space="preserve">The approach used is expected to be consistent with the assessment methodology used in IPCC AR6 WG1 Ch 12 for the European-wide assessment to document historical emergence (Table 12.7). </w:t>
      </w:r>
    </w:p>
    <w:p w14:paraId="3AFE56A8" w14:textId="238E9AC4" w:rsidR="0C1CF6CA" w:rsidRDefault="0C1CF6CA" w:rsidP="5259B4B5">
      <w:pPr>
        <w:pStyle w:val="ListParagraph"/>
        <w:numPr>
          <w:ilvl w:val="1"/>
          <w:numId w:val="2"/>
        </w:numPr>
        <w:rPr>
          <w:rFonts w:ascii="Century Gothic" w:eastAsia="Century Gothic" w:hAnsi="Century Gothic" w:cs="Century Gothic"/>
          <w:sz w:val="20"/>
          <w:szCs w:val="20"/>
        </w:rPr>
      </w:pPr>
      <w:r w:rsidRPr="5259B4B5">
        <w:rPr>
          <w:rFonts w:ascii="Century Gothic" w:eastAsia="Century Gothic" w:hAnsi="Century Gothic" w:cs="Century Gothic"/>
          <w:sz w:val="20"/>
          <w:szCs w:val="20"/>
        </w:rPr>
        <w:t xml:space="preserve">This task should be focused exclusively on observed change and their attribution – a forward look to how these CIDs might change further in future is not required as part of this project. </w:t>
      </w:r>
    </w:p>
    <w:p w14:paraId="50078943" w14:textId="416AEEED" w:rsidR="0C1CF6CA" w:rsidRDefault="0C1CF6CA" w:rsidP="5259B4B5">
      <w:pPr>
        <w:pStyle w:val="ListParagraph"/>
        <w:numPr>
          <w:ilvl w:val="1"/>
          <w:numId w:val="2"/>
        </w:numPr>
        <w:rPr>
          <w:rFonts w:ascii="Century Gothic" w:eastAsia="Century Gothic" w:hAnsi="Century Gothic" w:cs="Century Gothic"/>
          <w:sz w:val="20"/>
          <w:szCs w:val="20"/>
        </w:rPr>
      </w:pPr>
      <w:r w:rsidRPr="5259B4B5">
        <w:rPr>
          <w:rFonts w:ascii="Century Gothic" w:eastAsia="Century Gothic" w:hAnsi="Century Gothic" w:cs="Century Gothic"/>
          <w:sz w:val="20"/>
          <w:szCs w:val="20"/>
        </w:rPr>
        <w:t xml:space="preserve">We are interested in understanding where changes in CIDs cannot currently be attributed to climate change as well as where changes are clear. </w:t>
      </w:r>
      <w:proofErr w:type="gramStart"/>
      <w:r w:rsidRPr="5259B4B5">
        <w:rPr>
          <w:rFonts w:ascii="Century Gothic" w:eastAsia="Century Gothic" w:hAnsi="Century Gothic" w:cs="Century Gothic"/>
          <w:sz w:val="20"/>
          <w:szCs w:val="20"/>
        </w:rPr>
        <w:t>Therefore</w:t>
      </w:r>
      <w:proofErr w:type="gramEnd"/>
      <w:r w:rsidRPr="5259B4B5">
        <w:rPr>
          <w:rFonts w:ascii="Century Gothic" w:eastAsia="Century Gothic" w:hAnsi="Century Gothic" w:cs="Century Gothic"/>
          <w:sz w:val="20"/>
          <w:szCs w:val="20"/>
        </w:rPr>
        <w:t xml:space="preserve"> the likely lack of attributable signal should not be used as a filter for which CIDs are proposed for assessment. </w:t>
      </w:r>
    </w:p>
    <w:p w14:paraId="5E92B359" w14:textId="4384EAFA" w:rsidR="0C1CF6CA" w:rsidRDefault="0C1CF6CA" w:rsidP="5259B4B5">
      <w:pPr>
        <w:spacing w:after="200" w:line="276" w:lineRule="auto"/>
        <w:ind w:left="1080"/>
        <w:rPr>
          <w:rFonts w:ascii="Century Gothic" w:eastAsia="Century Gothic" w:hAnsi="Century Gothic" w:cs="Century Gothic"/>
          <w:i/>
          <w:iCs/>
          <w:sz w:val="20"/>
          <w:szCs w:val="20"/>
        </w:rPr>
      </w:pPr>
      <w:r w:rsidRPr="5259B4B5">
        <w:rPr>
          <w:rFonts w:ascii="Century Gothic" w:eastAsia="Century Gothic" w:hAnsi="Century Gothic" w:cs="Century Gothic"/>
          <w:i/>
          <w:iCs/>
          <w:sz w:val="20"/>
          <w:szCs w:val="20"/>
        </w:rPr>
        <w:t xml:space="preserve">Task 2: Attribution of impacts on the UK’s human and natural systems to climate change </w:t>
      </w:r>
    </w:p>
    <w:p w14:paraId="5014F1EF" w14:textId="291BEE61" w:rsidR="0C1CF6CA" w:rsidRDefault="0C1CF6CA" w:rsidP="0D05ACB8">
      <w:pPr>
        <w:spacing w:after="200" w:line="276" w:lineRule="auto"/>
        <w:ind w:left="1080"/>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This task should focus on assessing the state of the evidence regarding the extent to which to specific impacts on human and natural systems in the UK has been formally linked to global climate change.</w:t>
      </w:r>
      <w:r w:rsidR="56383D75" w:rsidRPr="0D05ACB8">
        <w:rPr>
          <w:rFonts w:ascii="Century Gothic" w:eastAsia="Century Gothic" w:hAnsi="Century Gothic" w:cs="Century Gothic"/>
          <w:sz w:val="20"/>
          <w:szCs w:val="20"/>
        </w:rPr>
        <w:t xml:space="preserve"> A database should be produced documenting where robust linkages have been made in the scientific literature. </w:t>
      </w:r>
    </w:p>
    <w:p w14:paraId="061C74B0" w14:textId="6622557A" w:rsidR="0C1CF6CA" w:rsidRDefault="0C1CF6CA" w:rsidP="5259B4B5">
      <w:pPr>
        <w:spacing w:after="200" w:line="276" w:lineRule="auto"/>
        <w:ind w:left="1080"/>
      </w:pPr>
      <w:r w:rsidRPr="5259B4B5">
        <w:rPr>
          <w:rFonts w:ascii="Century Gothic" w:eastAsia="Century Gothic" w:hAnsi="Century Gothic" w:cs="Century Gothic"/>
          <w:sz w:val="20"/>
          <w:szCs w:val="20"/>
        </w:rPr>
        <w:t xml:space="preserve">Requirements for this task: </w:t>
      </w:r>
    </w:p>
    <w:p w14:paraId="768FEE84" w14:textId="5EF97596" w:rsidR="0C1CF6CA" w:rsidRDefault="0C1CF6CA" w:rsidP="5259B4B5">
      <w:pPr>
        <w:pStyle w:val="ListParagraph"/>
        <w:numPr>
          <w:ilvl w:val="1"/>
          <w:numId w:val="1"/>
        </w:numPr>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 xml:space="preserve">This task should look </w:t>
      </w:r>
      <w:r w:rsidR="5211E3A6" w:rsidRPr="0D05ACB8">
        <w:rPr>
          <w:rFonts w:ascii="Century Gothic" w:eastAsia="Century Gothic" w:hAnsi="Century Gothic" w:cs="Century Gothic"/>
          <w:sz w:val="20"/>
          <w:szCs w:val="20"/>
        </w:rPr>
        <w:t>to document the</w:t>
      </w:r>
      <w:r w:rsidR="6770A191" w:rsidRPr="0D05ACB8">
        <w:rPr>
          <w:rFonts w:ascii="Century Gothic" w:eastAsia="Century Gothic" w:hAnsi="Century Gothic" w:cs="Century Gothic"/>
          <w:sz w:val="20"/>
          <w:szCs w:val="20"/>
        </w:rPr>
        <w:t xml:space="preserve"> evidence for</w:t>
      </w:r>
      <w:r w:rsidR="5211E3A6" w:rsidRPr="0D05ACB8">
        <w:rPr>
          <w:rFonts w:ascii="Century Gothic" w:eastAsia="Century Gothic" w:hAnsi="Century Gothic" w:cs="Century Gothic"/>
          <w:sz w:val="20"/>
          <w:szCs w:val="20"/>
        </w:rPr>
        <w:t xml:space="preserve"> </w:t>
      </w:r>
      <w:r w:rsidRPr="0D05ACB8">
        <w:rPr>
          <w:rFonts w:ascii="Century Gothic" w:eastAsia="Century Gothic" w:hAnsi="Century Gothic" w:cs="Century Gothic"/>
          <w:sz w:val="20"/>
          <w:szCs w:val="20"/>
        </w:rPr>
        <w:t xml:space="preserve">current &amp; past impacts </w:t>
      </w:r>
      <w:r w:rsidR="6DD737F5" w:rsidRPr="0D05ACB8">
        <w:rPr>
          <w:rFonts w:ascii="Century Gothic" w:eastAsia="Century Gothic" w:hAnsi="Century Gothic" w:cs="Century Gothic"/>
          <w:sz w:val="20"/>
          <w:szCs w:val="20"/>
        </w:rPr>
        <w:t>attributable</w:t>
      </w:r>
      <w:r w:rsidRPr="0D05ACB8">
        <w:rPr>
          <w:rFonts w:ascii="Century Gothic" w:eastAsia="Century Gothic" w:hAnsi="Century Gothic" w:cs="Century Gothic"/>
          <w:sz w:val="20"/>
          <w:szCs w:val="20"/>
        </w:rPr>
        <w:t xml:space="preserve"> to </w:t>
      </w:r>
      <w:r w:rsidR="0A81D860" w:rsidRPr="0D05ACB8">
        <w:rPr>
          <w:rFonts w:ascii="Century Gothic" w:eastAsia="Century Gothic" w:hAnsi="Century Gothic" w:cs="Century Gothic"/>
          <w:sz w:val="20"/>
          <w:szCs w:val="20"/>
        </w:rPr>
        <w:t xml:space="preserve">human-induced </w:t>
      </w:r>
      <w:r w:rsidRPr="0D05ACB8">
        <w:rPr>
          <w:rFonts w:ascii="Century Gothic" w:eastAsia="Century Gothic" w:hAnsi="Century Gothic" w:cs="Century Gothic"/>
          <w:sz w:val="20"/>
          <w:szCs w:val="20"/>
        </w:rPr>
        <w:t xml:space="preserve">climate change </w:t>
      </w:r>
      <w:r w:rsidR="60B61877" w:rsidRPr="0D05ACB8">
        <w:rPr>
          <w:rFonts w:ascii="Century Gothic" w:eastAsia="Century Gothic" w:hAnsi="Century Gothic" w:cs="Century Gothic"/>
          <w:sz w:val="20"/>
          <w:szCs w:val="20"/>
        </w:rPr>
        <w:t>o</w:t>
      </w:r>
      <w:r w:rsidRPr="0D05ACB8">
        <w:rPr>
          <w:rFonts w:ascii="Century Gothic" w:eastAsia="Century Gothic" w:hAnsi="Century Gothic" w:cs="Century Gothic"/>
          <w:sz w:val="20"/>
          <w:szCs w:val="20"/>
        </w:rPr>
        <w:t xml:space="preserve">n </w:t>
      </w:r>
      <w:r w:rsidRPr="0D05ACB8">
        <w:rPr>
          <w:rFonts w:ascii="Century Gothic" w:eastAsia="Century Gothic" w:hAnsi="Century Gothic" w:cs="Century Gothic"/>
          <w:sz w:val="20"/>
          <w:szCs w:val="20"/>
        </w:rPr>
        <w:lastRenderedPageBreak/>
        <w:t>multiple natural and human systems</w:t>
      </w:r>
      <w:r w:rsidR="638C27CE" w:rsidRPr="0D05ACB8">
        <w:rPr>
          <w:rFonts w:ascii="Century Gothic" w:eastAsia="Century Gothic" w:hAnsi="Century Gothic" w:cs="Century Gothic"/>
          <w:sz w:val="20"/>
          <w:szCs w:val="20"/>
        </w:rPr>
        <w:t xml:space="preserve"> in the UK</w:t>
      </w:r>
      <w:r w:rsidRPr="0D05ACB8">
        <w:rPr>
          <w:rFonts w:ascii="Century Gothic" w:eastAsia="Century Gothic" w:hAnsi="Century Gothic" w:cs="Century Gothic"/>
          <w:sz w:val="20"/>
          <w:szCs w:val="20"/>
        </w:rPr>
        <w:t xml:space="preserve">. These should </w:t>
      </w:r>
      <w:proofErr w:type="gramStart"/>
      <w:r w:rsidRPr="0D05ACB8">
        <w:rPr>
          <w:rFonts w:ascii="Century Gothic" w:eastAsia="Century Gothic" w:hAnsi="Century Gothic" w:cs="Century Gothic"/>
          <w:sz w:val="20"/>
          <w:szCs w:val="20"/>
        </w:rPr>
        <w:t>include:</w:t>
      </w:r>
      <w:proofErr w:type="gramEnd"/>
      <w:r w:rsidRPr="0D05ACB8">
        <w:rPr>
          <w:rFonts w:ascii="Century Gothic" w:eastAsia="Century Gothic" w:hAnsi="Century Gothic" w:cs="Century Gothic"/>
          <w:sz w:val="20"/>
          <w:szCs w:val="20"/>
        </w:rPr>
        <w:t xml:space="preserve"> nature and ecosystems (freshwater, terrestrial &amp; marine/coastal), working lands and seas (farming, forestry and fisheries), infrastructure systems (energy, transport, telecoms &amp; ICT, water), human health, settlements (flooding, overheating), economic impacts, impacts on society.</w:t>
      </w:r>
      <w:r w:rsidR="30BCC3FB" w:rsidRPr="0D05ACB8">
        <w:rPr>
          <w:rFonts w:ascii="Century Gothic" w:eastAsia="Century Gothic" w:hAnsi="Century Gothic" w:cs="Century Gothic"/>
          <w:sz w:val="20"/>
          <w:szCs w:val="20"/>
        </w:rPr>
        <w:t xml:space="preserve"> A set of systems for examination is expected to be agreed with the CCC at the project kick-off meeting. </w:t>
      </w:r>
    </w:p>
    <w:p w14:paraId="3E765573" w14:textId="616D2B64" w:rsidR="0C1CF6CA" w:rsidRDefault="0C1CF6CA" w:rsidP="5259B4B5">
      <w:pPr>
        <w:pStyle w:val="ListParagraph"/>
        <w:numPr>
          <w:ilvl w:val="1"/>
          <w:numId w:val="1"/>
        </w:numPr>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 xml:space="preserve">It is expected that this task is completed using </w:t>
      </w:r>
      <w:r w:rsidR="0A503274" w:rsidRPr="0D05ACB8">
        <w:rPr>
          <w:rFonts w:ascii="Century Gothic" w:eastAsia="Century Gothic" w:hAnsi="Century Gothic" w:cs="Century Gothic"/>
          <w:sz w:val="20"/>
          <w:szCs w:val="20"/>
        </w:rPr>
        <w:t>literature assessment</w:t>
      </w:r>
      <w:r w:rsidRPr="0D05ACB8">
        <w:rPr>
          <w:rFonts w:ascii="Century Gothic" w:eastAsia="Century Gothic" w:hAnsi="Century Gothic" w:cs="Century Gothic"/>
          <w:sz w:val="20"/>
          <w:szCs w:val="20"/>
        </w:rPr>
        <w:t xml:space="preserve"> and expert judgment.</w:t>
      </w:r>
      <w:r w:rsidR="3D915148" w:rsidRPr="0D05ACB8">
        <w:rPr>
          <w:rFonts w:ascii="Century Gothic" w:eastAsia="Century Gothic" w:hAnsi="Century Gothic" w:cs="Century Gothic"/>
          <w:sz w:val="20"/>
          <w:szCs w:val="20"/>
        </w:rPr>
        <w:t xml:space="preserve"> It is not expected that additional bespoke modelling will take place under this task. </w:t>
      </w:r>
      <w:r w:rsidRPr="0D05ACB8">
        <w:rPr>
          <w:rFonts w:ascii="Century Gothic" w:eastAsia="Century Gothic" w:hAnsi="Century Gothic" w:cs="Century Gothic"/>
          <w:sz w:val="20"/>
          <w:szCs w:val="20"/>
        </w:rPr>
        <w:t xml:space="preserve"> </w:t>
      </w:r>
    </w:p>
    <w:p w14:paraId="07424343" w14:textId="4F5E5167" w:rsidR="0C1CF6CA" w:rsidRDefault="0C1CF6CA" w:rsidP="0D05ACB8">
      <w:pPr>
        <w:pStyle w:val="ListParagraph"/>
        <w:numPr>
          <w:ilvl w:val="1"/>
          <w:numId w:val="1"/>
        </w:numPr>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 xml:space="preserve">An approach to </w:t>
      </w:r>
      <w:r w:rsidR="226525FC" w:rsidRPr="0D05ACB8">
        <w:rPr>
          <w:rFonts w:ascii="Century Gothic" w:eastAsia="Century Gothic" w:hAnsi="Century Gothic" w:cs="Century Gothic"/>
          <w:sz w:val="20"/>
          <w:szCs w:val="20"/>
        </w:rPr>
        <w:t xml:space="preserve">detection and </w:t>
      </w:r>
      <w:r w:rsidRPr="0D05ACB8">
        <w:rPr>
          <w:rFonts w:ascii="Century Gothic" w:eastAsia="Century Gothic" w:hAnsi="Century Gothic" w:cs="Century Gothic"/>
          <w:sz w:val="20"/>
          <w:szCs w:val="20"/>
        </w:rPr>
        <w:t>attribution</w:t>
      </w:r>
      <w:r w:rsidR="5A80396E" w:rsidRPr="0D05ACB8">
        <w:rPr>
          <w:rFonts w:ascii="Century Gothic" w:eastAsia="Century Gothic" w:hAnsi="Century Gothic" w:cs="Century Gothic"/>
          <w:sz w:val="20"/>
          <w:szCs w:val="20"/>
        </w:rPr>
        <w:t xml:space="preserve"> of impacts</w:t>
      </w:r>
      <w:r w:rsidRPr="0D05ACB8">
        <w:rPr>
          <w:rFonts w:ascii="Century Gothic" w:eastAsia="Century Gothic" w:hAnsi="Century Gothic" w:cs="Century Gothic"/>
          <w:sz w:val="20"/>
          <w:szCs w:val="20"/>
        </w:rPr>
        <w:t xml:space="preserve"> consistent with that used in IPCC WG2 should be followed </w:t>
      </w:r>
      <w:r w:rsidR="046DCE32" w:rsidRPr="0D05ACB8">
        <w:rPr>
          <w:rFonts w:ascii="Century Gothic" w:eastAsia="Century Gothic" w:hAnsi="Century Gothic" w:cs="Century Gothic"/>
          <w:sz w:val="20"/>
          <w:szCs w:val="20"/>
        </w:rPr>
        <w:t xml:space="preserve">in this task. </w:t>
      </w:r>
      <w:r w:rsidR="643639D2" w:rsidRPr="0D05ACB8">
        <w:rPr>
          <w:rFonts w:ascii="Century Gothic" w:eastAsia="Century Gothic" w:hAnsi="Century Gothic" w:cs="Century Gothic"/>
          <w:sz w:val="20"/>
          <w:szCs w:val="20"/>
        </w:rPr>
        <w:t xml:space="preserve">Other contributing factors (such as changes in exposure and vulnerability over time) should also be clearly acknowledged where appropriate. </w:t>
      </w:r>
    </w:p>
    <w:p w14:paraId="56EDEA20" w14:textId="395F25CA" w:rsidR="0C1CF6CA" w:rsidRDefault="0C1CF6CA" w:rsidP="5259B4B5">
      <w:pPr>
        <w:pStyle w:val="ListParagraph"/>
        <w:numPr>
          <w:ilvl w:val="1"/>
          <w:numId w:val="1"/>
        </w:numPr>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Impacts assessed can include those d</w:t>
      </w:r>
      <w:r w:rsidR="142B39F6" w:rsidRPr="0D05ACB8">
        <w:rPr>
          <w:rFonts w:ascii="Century Gothic" w:eastAsia="Century Gothic" w:hAnsi="Century Gothic" w:cs="Century Gothic"/>
          <w:sz w:val="20"/>
          <w:szCs w:val="20"/>
        </w:rPr>
        <w:t>riven by human-induced</w:t>
      </w:r>
      <w:r w:rsidRPr="0D05ACB8">
        <w:rPr>
          <w:rFonts w:ascii="Century Gothic" w:eastAsia="Century Gothic" w:hAnsi="Century Gothic" w:cs="Century Gothic"/>
          <w:sz w:val="20"/>
          <w:szCs w:val="20"/>
        </w:rPr>
        <w:t xml:space="preserve"> changes in the statistics of </w:t>
      </w:r>
      <w:r w:rsidR="12F79688" w:rsidRPr="0D05ACB8">
        <w:rPr>
          <w:rFonts w:ascii="Century Gothic" w:eastAsia="Century Gothic" w:hAnsi="Century Gothic" w:cs="Century Gothic"/>
          <w:sz w:val="20"/>
          <w:szCs w:val="20"/>
        </w:rPr>
        <w:t>CID</w:t>
      </w:r>
      <w:r w:rsidRPr="0D05ACB8">
        <w:rPr>
          <w:rFonts w:ascii="Century Gothic" w:eastAsia="Century Gothic" w:hAnsi="Century Gothic" w:cs="Century Gothic"/>
          <w:sz w:val="20"/>
          <w:szCs w:val="20"/>
        </w:rPr>
        <w:t xml:space="preserve">s, as well as the impacts associated with </w:t>
      </w:r>
      <w:bookmarkStart w:id="8" w:name="_Int_2u28qnJW"/>
      <w:r w:rsidR="171D5F3C" w:rsidRPr="0D05ACB8">
        <w:rPr>
          <w:rFonts w:ascii="Century Gothic" w:eastAsia="Century Gothic" w:hAnsi="Century Gothic" w:cs="Century Gothic"/>
          <w:sz w:val="20"/>
          <w:szCs w:val="20"/>
        </w:rPr>
        <w:t>historical</w:t>
      </w:r>
      <w:bookmarkEnd w:id="8"/>
      <w:r w:rsidR="171D5F3C" w:rsidRPr="0D05ACB8">
        <w:rPr>
          <w:rFonts w:ascii="Century Gothic" w:eastAsia="Century Gothic" w:hAnsi="Century Gothic" w:cs="Century Gothic"/>
          <w:sz w:val="20"/>
          <w:szCs w:val="20"/>
        </w:rPr>
        <w:t xml:space="preserve"> </w:t>
      </w:r>
      <w:r w:rsidRPr="0D05ACB8">
        <w:rPr>
          <w:rFonts w:ascii="Century Gothic" w:eastAsia="Century Gothic" w:hAnsi="Century Gothic" w:cs="Century Gothic"/>
          <w:sz w:val="20"/>
          <w:szCs w:val="20"/>
        </w:rPr>
        <w:t>extreme</w:t>
      </w:r>
      <w:r w:rsidR="13890B3B" w:rsidRPr="0D05ACB8">
        <w:rPr>
          <w:rFonts w:ascii="Century Gothic" w:eastAsia="Century Gothic" w:hAnsi="Century Gothic" w:cs="Century Gothic"/>
          <w:sz w:val="20"/>
          <w:szCs w:val="20"/>
        </w:rPr>
        <w:t xml:space="preserve"> weather</w:t>
      </w:r>
      <w:r w:rsidRPr="0D05ACB8">
        <w:rPr>
          <w:rFonts w:ascii="Century Gothic" w:eastAsia="Century Gothic" w:hAnsi="Century Gothic" w:cs="Century Gothic"/>
          <w:sz w:val="20"/>
          <w:szCs w:val="20"/>
        </w:rPr>
        <w:t xml:space="preserve"> events that </w:t>
      </w:r>
      <w:r w:rsidR="64A13F4A" w:rsidRPr="0D05ACB8">
        <w:rPr>
          <w:rFonts w:ascii="Century Gothic" w:eastAsia="Century Gothic" w:hAnsi="Century Gothic" w:cs="Century Gothic"/>
          <w:sz w:val="20"/>
          <w:szCs w:val="20"/>
        </w:rPr>
        <w:t xml:space="preserve">themselves can </w:t>
      </w:r>
      <w:r w:rsidRPr="0D05ACB8">
        <w:rPr>
          <w:rFonts w:ascii="Century Gothic" w:eastAsia="Century Gothic" w:hAnsi="Century Gothic" w:cs="Century Gothic"/>
          <w:sz w:val="20"/>
          <w:szCs w:val="20"/>
        </w:rPr>
        <w:t>be linked to human-influence on the climate system. As such, evidence from the event attribution literature is welcome here.</w:t>
      </w:r>
    </w:p>
    <w:p w14:paraId="0E108A2C" w14:textId="5EDD8DC5" w:rsidR="5E53D590" w:rsidRDefault="5E53D590" w:rsidP="0D05ACB8">
      <w:pPr>
        <w:pStyle w:val="ListParagraph"/>
        <w:numPr>
          <w:ilvl w:val="1"/>
          <w:numId w:val="1"/>
        </w:numPr>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 xml:space="preserve">Attributable UK impacts arising from changes in climate occurring outside of the UK are also within scope of this task.  </w:t>
      </w:r>
    </w:p>
    <w:p w14:paraId="3C9F70DB" w14:textId="36219F40" w:rsidR="0C1CF6CA" w:rsidRDefault="0C1CF6CA" w:rsidP="5259B4B5">
      <w:pPr>
        <w:pStyle w:val="ListParagraph"/>
        <w:numPr>
          <w:ilvl w:val="1"/>
          <w:numId w:val="1"/>
        </w:numPr>
        <w:rPr>
          <w:rFonts w:ascii="Century Gothic" w:eastAsia="Century Gothic" w:hAnsi="Century Gothic" w:cs="Century Gothic"/>
          <w:sz w:val="20"/>
          <w:szCs w:val="20"/>
        </w:rPr>
      </w:pPr>
      <w:r w:rsidRPr="0D05ACB8">
        <w:rPr>
          <w:rFonts w:ascii="Century Gothic" w:eastAsia="Century Gothic" w:hAnsi="Century Gothic" w:cs="Century Gothic"/>
          <w:sz w:val="20"/>
          <w:szCs w:val="20"/>
        </w:rPr>
        <w:t>A key source for this project should be the assessment by IPCC WG2 Chapter 13 (Europe) including its assessment of attributable impacts in Figure 13.27 – this is expected to be a key source for identifying UK-specific literature on attribution of impacts in human and natural systems.</w:t>
      </w:r>
    </w:p>
    <w:p w14:paraId="19713F11" w14:textId="78601A14" w:rsidR="5259B4B5" w:rsidRDefault="4312B363" w:rsidP="0D05ACB8">
      <w:pPr>
        <w:pStyle w:val="ListParagraph"/>
        <w:numPr>
          <w:ilvl w:val="1"/>
          <w:numId w:val="1"/>
        </w:numPr>
        <w:rPr>
          <w:rFonts w:ascii="Century Gothic" w:eastAsia="Century Gothic" w:hAnsi="Century Gothic" w:cs="Century Gothic"/>
          <w:sz w:val="20"/>
          <w:szCs w:val="20"/>
        </w:rPr>
      </w:pPr>
      <w:r w:rsidRPr="4665F61F">
        <w:rPr>
          <w:rFonts w:ascii="Century Gothic" w:eastAsia="Century Gothic" w:hAnsi="Century Gothic" w:cs="Century Gothic"/>
          <w:sz w:val="20"/>
          <w:szCs w:val="20"/>
        </w:rPr>
        <w:t>Where possible, the scale of the</w:t>
      </w:r>
      <w:r w:rsidR="026DBB5E" w:rsidRPr="4665F61F">
        <w:rPr>
          <w:rFonts w:ascii="Century Gothic" w:eastAsia="Century Gothic" w:hAnsi="Century Gothic" w:cs="Century Gothic"/>
          <w:sz w:val="20"/>
          <w:szCs w:val="20"/>
        </w:rPr>
        <w:t xml:space="preserve"> attributed impacts should be clearly documented along with the direction. </w:t>
      </w:r>
      <w:r w:rsidR="7F196FD5" w:rsidRPr="4665F61F">
        <w:rPr>
          <w:rFonts w:ascii="Century Gothic" w:eastAsia="Century Gothic" w:hAnsi="Century Gothic" w:cs="Century Gothic"/>
          <w:sz w:val="20"/>
          <w:szCs w:val="20"/>
        </w:rPr>
        <w:t xml:space="preserve"> </w:t>
      </w:r>
    </w:p>
    <w:p w14:paraId="5B33FF1E" w14:textId="77777777" w:rsidR="003A05B7" w:rsidRPr="006724AE" w:rsidRDefault="003A05B7" w:rsidP="22E435CD">
      <w:pPr>
        <w:pStyle w:val="Heading1"/>
        <w:widowControl w:val="0"/>
        <w:numPr>
          <w:ilvl w:val="0"/>
          <w:numId w:val="7"/>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9" w:name="_Ref357541705"/>
      <w:bookmarkStart w:id="10" w:name="_Toc381969510"/>
      <w:bookmarkStart w:id="11" w:name="_Toc405888459"/>
      <w:r w:rsidRPr="22E435CD">
        <w:rPr>
          <w:rFonts w:asciiTheme="minorHAnsi" w:hAnsiTheme="minorHAnsi" w:cs="Arial"/>
          <w:color w:val="auto"/>
          <w:sz w:val="20"/>
          <w:szCs w:val="20"/>
        </w:rPr>
        <w:t>Outputs Required</w:t>
      </w:r>
      <w:bookmarkEnd w:id="9"/>
      <w:bookmarkEnd w:id="10"/>
      <w:bookmarkEnd w:id="11"/>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5AF0DD1C" w14:textId="711094D0" w:rsidR="006724AE" w:rsidRPr="006724AE" w:rsidRDefault="006724AE" w:rsidP="22E435CD">
      <w:pPr>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outputs of the work should include:</w:t>
      </w:r>
      <w:r w:rsidRPr="4125DC50">
        <w:rPr>
          <w:rFonts w:ascii="Arial" w:eastAsia="Times New Roman" w:hAnsi="Arial" w:cs="Arial"/>
          <w:sz w:val="20"/>
          <w:szCs w:val="20"/>
          <w:lang w:eastAsia="en-GB"/>
        </w:rPr>
        <w:t> </w:t>
      </w:r>
      <w:r w:rsidRPr="4125DC50">
        <w:rPr>
          <w:rFonts w:ascii="Century Gothic" w:eastAsia="Times New Roman" w:hAnsi="Century Gothic" w:cs="Segoe UI"/>
          <w:sz w:val="20"/>
          <w:szCs w:val="20"/>
          <w:lang w:eastAsia="en-GB"/>
        </w:rPr>
        <w:t> </w:t>
      </w:r>
    </w:p>
    <w:p w14:paraId="5262A54A" w14:textId="148E7433" w:rsidR="006724AE" w:rsidRDefault="006724AE" w:rsidP="0D05ACB8">
      <w:pPr>
        <w:pStyle w:val="ListParagraph"/>
        <w:numPr>
          <w:ilvl w:val="0"/>
          <w:numId w:val="32"/>
        </w:numPr>
        <w:rPr>
          <w:rFonts w:ascii="Century Gothic" w:eastAsia="Times New Roman" w:hAnsi="Century Gothic" w:cs="Segoe UI"/>
          <w:sz w:val="20"/>
          <w:szCs w:val="20"/>
          <w:lang w:eastAsia="en-GB"/>
        </w:rPr>
      </w:pPr>
      <w:r w:rsidRPr="0D05ACB8">
        <w:rPr>
          <w:rFonts w:ascii="Century Gothic" w:eastAsia="Times New Roman" w:hAnsi="Century Gothic" w:cs="Segoe UI"/>
          <w:b/>
          <w:bCs/>
          <w:sz w:val="20"/>
          <w:szCs w:val="20"/>
          <w:lang w:eastAsia="en-GB"/>
        </w:rPr>
        <w:t xml:space="preserve">A </w:t>
      </w:r>
      <w:r w:rsidR="334B43ED" w:rsidRPr="0D05ACB8">
        <w:rPr>
          <w:rFonts w:ascii="Century Gothic" w:eastAsia="Times New Roman" w:hAnsi="Century Gothic" w:cs="Segoe UI"/>
          <w:b/>
          <w:bCs/>
          <w:sz w:val="20"/>
          <w:szCs w:val="20"/>
          <w:lang w:eastAsia="en-GB"/>
        </w:rPr>
        <w:t>re</w:t>
      </w:r>
      <w:r w:rsidRPr="0D05ACB8">
        <w:rPr>
          <w:rFonts w:ascii="Century Gothic" w:eastAsia="Times New Roman" w:hAnsi="Century Gothic" w:cs="Segoe UI"/>
          <w:b/>
          <w:bCs/>
          <w:sz w:val="20"/>
          <w:szCs w:val="20"/>
          <w:lang w:eastAsia="en-GB"/>
        </w:rPr>
        <w:t xml:space="preserve">port, </w:t>
      </w:r>
      <w:r w:rsidRPr="0D05ACB8">
        <w:rPr>
          <w:rFonts w:ascii="Century Gothic" w:eastAsia="Times New Roman" w:hAnsi="Century Gothic" w:cs="Segoe UI"/>
          <w:sz w:val="20"/>
          <w:szCs w:val="20"/>
          <w:lang w:eastAsia="en-GB"/>
        </w:rPr>
        <w:t>setting out the scope of work, assumptions, methodology</w:t>
      </w:r>
      <w:r w:rsidR="5A78E449" w:rsidRPr="0D05ACB8">
        <w:rPr>
          <w:rFonts w:ascii="Century Gothic" w:eastAsia="Times New Roman" w:hAnsi="Century Gothic" w:cs="Segoe UI"/>
          <w:sz w:val="20"/>
          <w:szCs w:val="20"/>
          <w:lang w:eastAsia="en-GB"/>
        </w:rPr>
        <w:t xml:space="preserve"> and </w:t>
      </w:r>
      <w:r w:rsidRPr="0D05ACB8">
        <w:rPr>
          <w:rFonts w:ascii="Century Gothic" w:eastAsia="Times New Roman" w:hAnsi="Century Gothic" w:cs="Segoe UI"/>
          <w:sz w:val="20"/>
          <w:szCs w:val="20"/>
          <w:lang w:eastAsia="en-GB"/>
        </w:rPr>
        <w:t xml:space="preserve">findings for </w:t>
      </w:r>
      <w:r w:rsidR="33E5C631" w:rsidRPr="0D05ACB8">
        <w:rPr>
          <w:rFonts w:ascii="Century Gothic" w:eastAsia="Times New Roman" w:hAnsi="Century Gothic" w:cs="Segoe UI"/>
          <w:sz w:val="20"/>
          <w:szCs w:val="20"/>
          <w:lang w:eastAsia="en-GB"/>
        </w:rPr>
        <w:t>all tasks</w:t>
      </w:r>
      <w:r w:rsidRPr="0D05ACB8">
        <w:rPr>
          <w:rFonts w:ascii="Century Gothic" w:eastAsia="Times New Roman" w:hAnsi="Century Gothic" w:cs="Segoe UI"/>
          <w:sz w:val="20"/>
          <w:szCs w:val="20"/>
          <w:lang w:eastAsia="en-GB"/>
        </w:rPr>
        <w:t>.</w:t>
      </w:r>
      <w:r w:rsidR="62043657" w:rsidRPr="0D05ACB8">
        <w:rPr>
          <w:rFonts w:ascii="Century Gothic" w:eastAsia="Times New Roman" w:hAnsi="Century Gothic" w:cs="Segoe UI"/>
          <w:sz w:val="20"/>
          <w:szCs w:val="20"/>
          <w:lang w:eastAsia="en-GB"/>
        </w:rPr>
        <w:t xml:space="preserve"> This report should also highlight where significant evidence gaps remain. </w:t>
      </w:r>
    </w:p>
    <w:p w14:paraId="7674597A" w14:textId="61A19980" w:rsidR="5A8822E5" w:rsidRDefault="5A8822E5" w:rsidP="0D05ACB8">
      <w:pPr>
        <w:pStyle w:val="ListParagraph"/>
        <w:numPr>
          <w:ilvl w:val="0"/>
          <w:numId w:val="32"/>
        </w:numPr>
        <w:rPr>
          <w:rFonts w:ascii="Century Gothic" w:eastAsia="Times New Roman" w:hAnsi="Century Gothic" w:cs="Segoe UI"/>
          <w:sz w:val="20"/>
          <w:szCs w:val="20"/>
          <w:lang w:eastAsia="en-GB"/>
        </w:rPr>
      </w:pPr>
      <w:r w:rsidRPr="0D05ACB8">
        <w:rPr>
          <w:rFonts w:ascii="Century Gothic" w:eastAsia="Times New Roman" w:hAnsi="Century Gothic" w:cs="Segoe UI"/>
          <w:b/>
          <w:bCs/>
          <w:sz w:val="20"/>
          <w:szCs w:val="20"/>
          <w:lang w:eastAsia="en-GB"/>
        </w:rPr>
        <w:t xml:space="preserve">Spreadsheets </w:t>
      </w:r>
      <w:r w:rsidRPr="0D05ACB8">
        <w:rPr>
          <w:rFonts w:ascii="Century Gothic" w:eastAsia="Times New Roman" w:hAnsi="Century Gothic" w:cs="Segoe UI"/>
          <w:sz w:val="20"/>
          <w:szCs w:val="20"/>
          <w:lang w:eastAsia="en-GB"/>
        </w:rPr>
        <w:t>documenting evidence sources relied upon in this project</w:t>
      </w:r>
      <w:r w:rsidR="235F5126" w:rsidRPr="0D05ACB8">
        <w:rPr>
          <w:rFonts w:ascii="Century Gothic" w:eastAsia="Times New Roman" w:hAnsi="Century Gothic" w:cs="Segoe UI"/>
          <w:sz w:val="20"/>
          <w:szCs w:val="20"/>
          <w:lang w:eastAsia="en-GB"/>
        </w:rPr>
        <w:t xml:space="preserve"> and a database on attributable impacts documented in Task 2.</w:t>
      </w:r>
    </w:p>
    <w:p w14:paraId="46853E72" w14:textId="5008B978" w:rsidR="27D19136" w:rsidRDefault="27D19136" w:rsidP="0D05ACB8">
      <w:pPr>
        <w:pStyle w:val="ListParagraph"/>
        <w:numPr>
          <w:ilvl w:val="0"/>
          <w:numId w:val="32"/>
        </w:numPr>
        <w:rPr>
          <w:rFonts w:ascii="Century Gothic" w:eastAsia="Times New Roman" w:hAnsi="Century Gothic" w:cs="Segoe UI"/>
          <w:sz w:val="20"/>
          <w:szCs w:val="20"/>
          <w:lang w:eastAsia="en-GB"/>
        </w:rPr>
      </w:pPr>
      <w:r w:rsidRPr="0D05ACB8">
        <w:rPr>
          <w:rFonts w:ascii="Century Gothic" w:eastAsia="Times New Roman" w:hAnsi="Century Gothic" w:cs="Segoe UI"/>
          <w:b/>
          <w:bCs/>
          <w:sz w:val="20"/>
          <w:szCs w:val="20"/>
          <w:lang w:eastAsia="en-GB"/>
        </w:rPr>
        <w:t xml:space="preserve">Data sets </w:t>
      </w:r>
      <w:r w:rsidRPr="0D05ACB8">
        <w:rPr>
          <w:rFonts w:ascii="Century Gothic" w:eastAsia="Times New Roman" w:hAnsi="Century Gothic" w:cs="Segoe UI"/>
          <w:sz w:val="20"/>
          <w:szCs w:val="20"/>
          <w:lang w:eastAsia="en-GB"/>
        </w:rPr>
        <w:t xml:space="preserve">of the attributable </w:t>
      </w:r>
      <w:r w:rsidR="66767667" w:rsidRPr="0D05ACB8">
        <w:rPr>
          <w:rFonts w:ascii="Century Gothic" w:eastAsia="Times New Roman" w:hAnsi="Century Gothic" w:cs="Segoe UI"/>
          <w:sz w:val="20"/>
          <w:szCs w:val="20"/>
          <w:lang w:eastAsia="en-GB"/>
        </w:rPr>
        <w:t xml:space="preserve">changes in climate impact drivers across the UK provided in an open and accessible format. </w:t>
      </w:r>
    </w:p>
    <w:p w14:paraId="551680CA"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Where excel workbooks are used these should be shared, fully </w:t>
      </w:r>
      <w:proofErr w:type="gramStart"/>
      <w:r w:rsidRPr="22E435CD">
        <w:rPr>
          <w:rFonts w:ascii="Century Gothic" w:eastAsia="Times New Roman" w:hAnsi="Century Gothic" w:cs="Segoe UI"/>
          <w:sz w:val="20"/>
          <w:szCs w:val="20"/>
          <w:lang w:eastAsia="en-GB"/>
        </w:rPr>
        <w:t>unlocked</w:t>
      </w:r>
      <w:proofErr w:type="gramEnd"/>
      <w:r w:rsidRPr="22E435CD">
        <w:rPr>
          <w:rFonts w:ascii="Century Gothic" w:eastAsia="Times New Roman" w:hAnsi="Century Gothic" w:cs="Segoe UI"/>
          <w:sz w:val="20"/>
          <w:szCs w:val="20"/>
          <w:lang w:eastAsia="en-GB"/>
        </w:rPr>
        <w:t xml:space="preserve"> and linked to rest of the excel workbook deliverable above, allowing future capability to update assumptions.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22E435CD">
      <w:pPr>
        <w:pStyle w:val="Heading1"/>
        <w:widowControl w:val="0"/>
        <w:numPr>
          <w:ilvl w:val="0"/>
          <w:numId w:val="7"/>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2" w:name="_Toc381969511"/>
      <w:bookmarkStart w:id="13" w:name="_Toc405888460"/>
      <w:bookmarkStart w:id="14" w:name="_Ref373505205"/>
      <w:bookmarkStart w:id="15" w:name="_Ref357541720"/>
      <w:r w:rsidRPr="22E435CD">
        <w:rPr>
          <w:rFonts w:asciiTheme="minorHAnsi" w:hAnsiTheme="minorHAnsi" w:cs="Arial"/>
          <w:color w:val="auto"/>
          <w:sz w:val="20"/>
          <w:szCs w:val="20"/>
        </w:rPr>
        <w:lastRenderedPageBreak/>
        <w:t>Ownership and Publication</w:t>
      </w:r>
      <w:bookmarkEnd w:id="12"/>
      <w:bookmarkEnd w:id="13"/>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22E435CD">
      <w:pPr>
        <w:pStyle w:val="Heading1"/>
        <w:widowControl w:val="0"/>
        <w:numPr>
          <w:ilvl w:val="1"/>
          <w:numId w:val="25"/>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Quality Assurance </w:t>
      </w:r>
      <w:bookmarkEnd w:id="14"/>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77777777" w:rsidR="00F97858" w:rsidRPr="00F97858" w:rsidRDefault="006724AE" w:rsidP="22E435CD">
      <w:pPr>
        <w:pStyle w:val="ListParagraph"/>
        <w:numPr>
          <w:ilvl w:val="0"/>
          <w:numId w:val="33"/>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proofErr w:type="gramStart"/>
      <w:r w:rsidRPr="22E435CD">
        <w:rPr>
          <w:rFonts w:ascii="Century Gothic" w:eastAsia="Times New Roman" w:hAnsi="Century Gothic" w:cs="Segoe UI"/>
          <w:sz w:val="20"/>
          <w:szCs w:val="20"/>
          <w:lang w:eastAsia="en-GB"/>
        </w:rPr>
        <w:t>all of</w:t>
      </w:r>
      <w:proofErr w:type="gramEnd"/>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22E435CD">
      <w:pPr>
        <w:pStyle w:val="ListParagraph"/>
        <w:numPr>
          <w:ilvl w:val="0"/>
          <w:numId w:val="33"/>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Specify who will take lead responsibility for ensuring quality assurance and ensure that this responsibility rests with an individual not directly involved in the research, </w:t>
      </w:r>
      <w:proofErr w:type="gramStart"/>
      <w:r w:rsidRPr="22E435CD">
        <w:rPr>
          <w:rFonts w:ascii="Century Gothic" w:eastAsia="Times New Roman" w:hAnsi="Century Gothic" w:cs="Segoe UI"/>
          <w:sz w:val="20"/>
          <w:szCs w:val="20"/>
          <w:lang w:eastAsia="en-GB"/>
        </w:rPr>
        <w:t>analysis</w:t>
      </w:r>
      <w:proofErr w:type="gramEnd"/>
      <w:r w:rsidRPr="22E435CD">
        <w:rPr>
          <w:rFonts w:ascii="Century Gothic" w:eastAsia="Times New Roman" w:hAnsi="Century Gothic" w:cs="Segoe UI"/>
          <w:sz w:val="20"/>
          <w:szCs w:val="20"/>
          <w:lang w:eastAsia="en-GB"/>
        </w:rPr>
        <w:t xml:space="preserve">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22E435CD">
      <w:pPr>
        <w:pStyle w:val="ListParagraph"/>
        <w:numPr>
          <w:ilvl w:val="0"/>
          <w:numId w:val="33"/>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w:t>
      </w:r>
      <w:proofErr w:type="spellStart"/>
      <w:r w:rsidRPr="22E435CD">
        <w:rPr>
          <w:rFonts w:ascii="Century Gothic" w:eastAsia="Times New Roman" w:hAnsi="Century Gothic" w:cs="Segoe UI"/>
          <w:sz w:val="20"/>
          <w:szCs w:val="20"/>
          <w:lang w:eastAsia="en-GB"/>
        </w:rPr>
        <w:t>‘the</w:t>
      </w:r>
      <w:proofErr w:type="spellEnd"/>
      <w:r w:rsidRPr="22E435CD">
        <w:rPr>
          <w:rFonts w:ascii="Century Gothic" w:eastAsia="Times New Roman" w:hAnsi="Century Gothic" w:cs="Segoe UI"/>
          <w:sz w:val="20"/>
          <w:szCs w:val="20"/>
          <w:lang w:eastAsia="en-GB"/>
        </w:rPr>
        <w:t xml:space="preserv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22E435CD">
      <w:pPr>
        <w:pStyle w:val="ListParagraph"/>
        <w:numPr>
          <w:ilvl w:val="0"/>
          <w:numId w:val="33"/>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8B4A82E"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0266E8F3" w14:textId="77777777" w:rsidR="003A05B7" w:rsidRPr="0038388A" w:rsidRDefault="003A05B7" w:rsidP="22E435CD">
      <w:pPr>
        <w:pStyle w:val="Norma"/>
        <w:ind w:left="720"/>
        <w:jc w:val="both"/>
        <w:rPr>
          <w:rFonts w:asciiTheme="minorHAnsi" w:hAnsiTheme="minorHAnsi" w:cs="Arial"/>
          <w:b/>
          <w:bCs/>
          <w:sz w:val="20"/>
          <w:szCs w:val="20"/>
        </w:rPr>
      </w:pPr>
    </w:p>
    <w:p w14:paraId="410352B9" w14:textId="5328BFA7" w:rsidR="003A05B7" w:rsidRPr="00F97858" w:rsidRDefault="003A05B7" w:rsidP="22E435CD">
      <w:pPr>
        <w:pStyle w:val="Heading1"/>
        <w:widowControl w:val="0"/>
        <w:numPr>
          <w:ilvl w:val="1"/>
          <w:numId w:val="24"/>
        </w:numPr>
        <w:overflowPunct w:val="0"/>
        <w:autoSpaceDE w:val="0"/>
        <w:autoSpaceDN w:val="0"/>
        <w:adjustRightInd w:val="0"/>
        <w:spacing w:before="240" w:after="60"/>
        <w:textAlignment w:val="baseline"/>
        <w:rPr>
          <w:rFonts w:asciiTheme="minorHAnsi" w:hAnsiTheme="minorHAnsi"/>
          <w:color w:val="auto"/>
          <w:sz w:val="20"/>
          <w:szCs w:val="20"/>
        </w:rPr>
      </w:pPr>
      <w:bookmarkStart w:id="16" w:name="_Ref373505215"/>
      <w:bookmarkStart w:id="17" w:name="_Toc381969513"/>
      <w:bookmarkStart w:id="18" w:name="_Toc405888462"/>
      <w:r w:rsidRPr="22E435CD">
        <w:rPr>
          <w:rFonts w:asciiTheme="minorHAnsi" w:hAnsiTheme="minorHAnsi" w:cs="Arial"/>
          <w:color w:val="auto"/>
          <w:sz w:val="20"/>
          <w:szCs w:val="20"/>
        </w:rPr>
        <w:t>Timetable</w:t>
      </w:r>
      <w:bookmarkEnd w:id="15"/>
      <w:bookmarkEnd w:id="16"/>
      <w:bookmarkEnd w:id="17"/>
      <w:bookmarkEnd w:id="18"/>
    </w:p>
    <w:p w14:paraId="4E3F2D29" w14:textId="57216B17"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0D05ACB8">
        <w:rPr>
          <w:rFonts w:ascii="Century Gothic" w:eastAsia="Times New Roman" w:hAnsi="Century Gothic" w:cs="Segoe UI"/>
          <w:sz w:val="20"/>
          <w:szCs w:val="20"/>
          <w:lang w:eastAsia="en-GB"/>
        </w:rPr>
        <w:t>The proposed timetable for the project is set out in the following table. Ability to start work in</w:t>
      </w:r>
      <w:r w:rsidR="59F78A57" w:rsidRPr="0D05ACB8">
        <w:rPr>
          <w:rFonts w:ascii="Century Gothic" w:eastAsia="Times New Roman" w:hAnsi="Century Gothic" w:cs="Segoe UI"/>
          <w:sz w:val="20"/>
          <w:szCs w:val="20"/>
          <w:lang w:eastAsia="en-GB"/>
        </w:rPr>
        <w:t xml:space="preserve"> early January</w:t>
      </w:r>
      <w:r w:rsidRPr="0D05ACB8">
        <w:rPr>
          <w:rFonts w:ascii="Century Gothic" w:eastAsia="Times New Roman" w:hAnsi="Century Gothic" w:cs="Segoe UI"/>
          <w:sz w:val="20"/>
          <w:szCs w:val="20"/>
          <w:lang w:eastAsia="en-GB"/>
        </w:rPr>
        <w:t xml:space="preserve"> is highly desirable for this project.</w:t>
      </w:r>
      <w:r w:rsidRPr="0D05ACB8">
        <w:rPr>
          <w:rFonts w:eastAsia="Times New Roman" w:cs="Arial"/>
          <w:sz w:val="20"/>
          <w:szCs w:val="20"/>
          <w:lang w:eastAsia="en-GB"/>
        </w:rPr>
        <w:t>   </w:t>
      </w:r>
      <w:r w:rsidRPr="0D05ACB8">
        <w:rPr>
          <w:rFonts w:ascii="Century Gothic" w:eastAsia="Times New Roman" w:hAnsi="Century Gothic" w:cs="Segoe UI"/>
          <w:sz w:val="20"/>
          <w:szCs w:val="20"/>
          <w:lang w:eastAsia="en-GB"/>
        </w:rPr>
        <w:t> </w:t>
      </w:r>
      <w:r w:rsidRPr="0D05ACB8">
        <w:rPr>
          <w:rFonts w:eastAsia="Times New Roman" w:cs="Arial"/>
          <w:sz w:val="20"/>
          <w:szCs w:val="20"/>
          <w:lang w:eastAsia="en-GB"/>
        </w:rPr>
        <w:t> </w:t>
      </w:r>
      <w:r w:rsidRPr="0D05ACB8">
        <w:rPr>
          <w:rFonts w:ascii="Century Gothic" w:eastAsia="Times New Roman" w:hAnsi="Century Gothic" w:cs="Segoe UI"/>
          <w:sz w:val="20"/>
          <w:szCs w:val="20"/>
          <w:lang w:eastAsia="en-GB"/>
        </w:rPr>
        <w:t> </w:t>
      </w:r>
    </w:p>
    <w:tbl>
      <w:tblPr>
        <w:tblW w:w="7069"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4884"/>
      </w:tblGrid>
      <w:tr w:rsidR="006724AE" w:rsidRPr="006724AE" w14:paraId="088AE1E1" w14:textId="77777777" w:rsidTr="0D05ACB8">
        <w:tc>
          <w:tcPr>
            <w:tcW w:w="2185" w:type="dxa"/>
            <w:tcBorders>
              <w:top w:val="single" w:sz="12" w:space="0" w:color="000000"/>
              <w:left w:val="single" w:sz="12" w:space="0" w:color="000000"/>
              <w:bottom w:val="single" w:sz="12" w:space="0" w:color="000000"/>
              <w:right w:val="single" w:sz="6" w:space="0" w:color="000000"/>
            </w:tcBorders>
            <w:shd w:val="clear" w:color="auto" w:fill="auto"/>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12" w:space="0" w:color="000000"/>
              <w:left w:val="single" w:sz="6" w:space="0" w:color="000000"/>
              <w:bottom w:val="single" w:sz="12" w:space="0" w:color="000000"/>
              <w:right w:val="single" w:sz="12" w:space="0" w:color="000000"/>
            </w:tcBorders>
            <w:shd w:val="clear" w:color="auto" w:fill="auto"/>
            <w:hideMark/>
          </w:tcPr>
          <w:p w14:paraId="69F574B3"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0D05ACB8">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530828F6" w14:textId="7B644859" w:rsidR="006724AE" w:rsidRPr="006724AE" w:rsidRDefault="007848E0" w:rsidP="0D05ACB8">
            <w:pPr>
              <w:textAlignment w:val="baseline"/>
              <w:rPr>
                <w:rFonts w:ascii="Arial" w:eastAsia="Times New Roman" w:hAnsi="Arial" w:cs="Arial"/>
                <w:sz w:val="20"/>
                <w:szCs w:val="20"/>
                <w:lang w:eastAsia="en-GB"/>
              </w:rPr>
            </w:pPr>
            <w:r>
              <w:rPr>
                <w:rFonts w:ascii="Century Gothic" w:eastAsia="Times New Roman" w:hAnsi="Century Gothic" w:cs="Times New Roman"/>
                <w:sz w:val="20"/>
                <w:szCs w:val="20"/>
                <w:lang w:eastAsia="en-GB"/>
              </w:rPr>
              <w:t>w/c 2</w:t>
            </w:r>
            <w:r w:rsidR="284E92FA" w:rsidRPr="0D05ACB8">
              <w:rPr>
                <w:rFonts w:ascii="Century Gothic" w:eastAsia="Times New Roman" w:hAnsi="Century Gothic" w:cs="Times New Roman"/>
                <w:sz w:val="20"/>
                <w:szCs w:val="20"/>
                <w:lang w:eastAsia="en-GB"/>
              </w:rPr>
              <w:t xml:space="preserve">Jan </w:t>
            </w:r>
            <w:r w:rsidR="006724AE" w:rsidRPr="0D05ACB8">
              <w:rPr>
                <w:rFonts w:ascii="Century Gothic" w:eastAsia="Times New Roman" w:hAnsi="Century Gothic" w:cs="Times New Roman"/>
                <w:sz w:val="20"/>
                <w:szCs w:val="20"/>
                <w:lang w:eastAsia="en-GB"/>
              </w:rPr>
              <w:t>202</w:t>
            </w:r>
            <w:r w:rsidR="54A578F9" w:rsidRPr="0D05ACB8">
              <w:rPr>
                <w:rFonts w:ascii="Century Gothic" w:eastAsia="Times New Roman" w:hAnsi="Century Gothic" w:cs="Times New Roman"/>
                <w:sz w:val="20"/>
                <w:szCs w:val="20"/>
                <w:lang w:eastAsia="en-GB"/>
              </w:rPr>
              <w:t>3</w:t>
            </w:r>
            <w:r>
              <w:rPr>
                <w:rFonts w:ascii="Century Gothic" w:eastAsia="Times New Roman" w:hAnsi="Century Gothic" w:cs="Times New Roman"/>
                <w:sz w:val="20"/>
                <w:szCs w:val="20"/>
                <w:lang w:eastAsia="en-GB"/>
              </w:rPr>
              <w:t xml:space="preserve"> </w:t>
            </w:r>
            <w:proofErr w:type="spellStart"/>
            <w:r>
              <w:rPr>
                <w:rFonts w:ascii="Century Gothic" w:eastAsia="Times New Roman" w:hAnsi="Century Gothic" w:cs="Times New Roman"/>
                <w:sz w:val="20"/>
                <w:szCs w:val="20"/>
                <w:lang w:eastAsia="en-GB"/>
              </w:rPr>
              <w:t>approx</w:t>
            </w:r>
            <w:proofErr w:type="spellEnd"/>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7B18565B"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0D05ACB8">
        <w:trPr>
          <w:trHeight w:val="855"/>
        </w:trPr>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2F111EC7" w14:textId="4334F314" w:rsidR="006724AE" w:rsidRPr="006724AE" w:rsidRDefault="1E7ED3CB" w:rsidP="0D05ACB8">
            <w:r w:rsidRPr="0D05ACB8">
              <w:rPr>
                <w:rFonts w:ascii="Century Gothic" w:eastAsia="Times New Roman" w:hAnsi="Century Gothic" w:cs="Times New Roman"/>
                <w:sz w:val="20"/>
                <w:szCs w:val="20"/>
                <w:lang w:eastAsia="en-GB"/>
              </w:rPr>
              <w:t>March 2023</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3ED68E3C" w14:textId="1EA721CF" w:rsidR="006724AE" w:rsidRPr="006724AE" w:rsidRDefault="006724AE" w:rsidP="18B58892">
            <w:pPr>
              <w:textAlignment w:val="baseline"/>
              <w:rPr>
                <w:rFonts w:ascii="Arial" w:eastAsia="Times New Roman" w:hAnsi="Arial" w:cs="Arial"/>
                <w:sz w:val="20"/>
                <w:szCs w:val="20"/>
                <w:lang w:eastAsia="en-GB"/>
              </w:rPr>
            </w:pPr>
            <w:r w:rsidRPr="18B58892">
              <w:rPr>
                <w:rFonts w:ascii="Century Gothic" w:eastAsia="Times New Roman" w:hAnsi="Century Gothic" w:cs="Times New Roman"/>
                <w:sz w:val="20"/>
                <w:szCs w:val="20"/>
                <w:lang w:eastAsia="en-GB"/>
              </w:rPr>
              <w:t>First interim presentation/report on progress</w:t>
            </w:r>
          </w:p>
        </w:tc>
      </w:tr>
      <w:tr w:rsidR="006724AE" w:rsidRPr="006724AE" w14:paraId="6EE18B44" w14:textId="77777777" w:rsidTr="0D05ACB8">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6140E141" w14:textId="4CFF9853" w:rsidR="006724AE" w:rsidRPr="006724AE" w:rsidRDefault="56BAAF57" w:rsidP="22E435CD">
            <w:pPr>
              <w:textAlignment w:val="baseline"/>
              <w:rPr>
                <w:rFonts w:ascii="Times New Roman" w:eastAsia="Times New Roman" w:hAnsi="Times New Roman" w:cs="Times New Roman"/>
                <w:sz w:val="24"/>
                <w:szCs w:val="24"/>
                <w:lang w:eastAsia="en-GB"/>
              </w:rPr>
            </w:pPr>
            <w:r w:rsidRPr="0D05ACB8">
              <w:rPr>
                <w:rFonts w:ascii="Century Gothic" w:eastAsia="Times New Roman" w:hAnsi="Century Gothic" w:cs="Times New Roman"/>
                <w:sz w:val="20"/>
                <w:szCs w:val="20"/>
                <w:lang w:eastAsia="en-GB"/>
              </w:rPr>
              <w:t xml:space="preserve">May </w:t>
            </w:r>
            <w:r w:rsidR="006724AE" w:rsidRPr="0D05ACB8">
              <w:rPr>
                <w:rFonts w:ascii="Century Gothic" w:eastAsia="Times New Roman" w:hAnsi="Century Gothic" w:cs="Times New Roman"/>
                <w:sz w:val="20"/>
                <w:szCs w:val="20"/>
                <w:lang w:eastAsia="en-GB"/>
              </w:rPr>
              <w:t>2023</w:t>
            </w:r>
            <w:r w:rsidR="006724AE" w:rsidRPr="0D05ACB8">
              <w:rPr>
                <w:rFonts w:ascii="Arial" w:eastAsia="Times New Roman" w:hAnsi="Arial" w:cs="Arial"/>
                <w:sz w:val="20"/>
                <w:szCs w:val="20"/>
                <w:lang w:eastAsia="en-GB"/>
              </w:rPr>
              <w:t> </w:t>
            </w:r>
            <w:r w:rsidR="006724AE" w:rsidRPr="0D05ACB8">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4F0FF126" w14:textId="77777777" w:rsidR="006724AE" w:rsidRPr="006724AE" w:rsidRDefault="13360151"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Latest date for delivery of final report, analytical </w:t>
            </w:r>
            <w:proofErr w:type="gramStart"/>
            <w:r w:rsidRPr="22E435CD">
              <w:rPr>
                <w:rFonts w:ascii="Century Gothic" w:eastAsia="Times New Roman" w:hAnsi="Century Gothic" w:cs="Times New Roman"/>
                <w:sz w:val="20"/>
                <w:szCs w:val="20"/>
                <w:lang w:eastAsia="en-GB"/>
              </w:rPr>
              <w:t>outputs</w:t>
            </w:r>
            <w:proofErr w:type="gramEnd"/>
            <w:r w:rsidRPr="22E435CD">
              <w:rPr>
                <w:rFonts w:ascii="Century Gothic" w:eastAsia="Times New Roman" w:hAnsi="Century Gothic" w:cs="Times New Roman"/>
                <w:sz w:val="20"/>
                <w:szCs w:val="20"/>
                <w:lang w:eastAsia="en-GB"/>
              </w:rPr>
              <w:t xml:space="preserve">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6724AE" w:rsidRPr="006724AE" w:rsidRDefault="006724AE" w:rsidP="22E435CD">
            <w:pPr>
              <w:textAlignment w:val="baseline"/>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1EE28A07" w:rsidR="006724AE" w:rsidRPr="006724AE" w:rsidRDefault="006724AE" w:rsidP="4125DC50">
      <w:pPr>
        <w:pStyle w:val="ListParagraph"/>
        <w:textAlignment w:val="baseline"/>
        <w:rPr>
          <w:rFonts w:ascii="Segoe UI" w:eastAsia="Times New Roman" w:hAnsi="Segoe UI" w:cs="Segoe UI"/>
          <w:sz w:val="18"/>
          <w:szCs w:val="18"/>
          <w:lang w:eastAsia="en-GB"/>
        </w:rPr>
      </w:pPr>
      <w:r w:rsidRPr="0D05ACB8">
        <w:rPr>
          <w:rFonts w:eastAsia="Times New Roman" w:cs="Arial"/>
          <w:sz w:val="20"/>
          <w:szCs w:val="20"/>
          <w:lang w:eastAsia="en-GB"/>
        </w:rPr>
        <w:t> </w:t>
      </w:r>
      <w:r w:rsidRPr="0D05ACB8">
        <w:rPr>
          <w:rFonts w:ascii="Century Gothic" w:eastAsia="Times New Roman" w:hAnsi="Century Gothic" w:cs="Segoe UI"/>
          <w:sz w:val="20"/>
          <w:szCs w:val="20"/>
          <w:lang w:eastAsia="en-GB"/>
        </w:rPr>
        <w:t> </w:t>
      </w:r>
    </w:p>
    <w:p w14:paraId="2A923174" w14:textId="31CA4AF0" w:rsidR="4125DC50" w:rsidRDefault="4125DC50" w:rsidP="4125DC50">
      <w:pPr>
        <w:pStyle w:val="ListParagraph"/>
        <w:ind w:left="1080"/>
        <w:rPr>
          <w:rFonts w:ascii="Century Gothic" w:eastAsia="Times New Roman" w:hAnsi="Century Gothic" w:cs="Segoe UI"/>
          <w:sz w:val="20"/>
          <w:szCs w:val="20"/>
          <w:lang w:eastAsia="en-GB"/>
        </w:rPr>
      </w:pP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 addition to the formal reporting points, the CCC would expect to have regular scheduled discussions (meetings or calls) to ensure the </w:t>
      </w:r>
      <w:r w:rsidRPr="22E435CD">
        <w:rPr>
          <w:rFonts w:ascii="Century Gothic" w:eastAsia="Times New Roman" w:hAnsi="Century Gothic" w:cs="Segoe UI"/>
          <w:sz w:val="20"/>
          <w:szCs w:val="20"/>
          <w:lang w:eastAsia="en-GB"/>
        </w:rPr>
        <w:lastRenderedPageBreak/>
        <w:t>work is progressing as expected. It is expected a more detailed 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77777777" w:rsidR="006724AE" w:rsidRPr="006724AE" w:rsidRDefault="006724AE" w:rsidP="22E435CD">
      <w:pPr>
        <w:pStyle w:val="ListParagrap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6A8AE529" w14:textId="5E5B8806" w:rsidR="003A05B7" w:rsidRPr="00F97858" w:rsidRDefault="003A05B7" w:rsidP="22E435CD">
      <w:pPr>
        <w:pStyle w:val="Heading1"/>
        <w:widowControl w:val="0"/>
        <w:numPr>
          <w:ilvl w:val="1"/>
          <w:numId w:val="24"/>
        </w:numPr>
        <w:overflowPunct w:val="0"/>
        <w:autoSpaceDE w:val="0"/>
        <w:autoSpaceDN w:val="0"/>
        <w:adjustRightInd w:val="0"/>
        <w:spacing w:before="240" w:after="60"/>
        <w:textAlignment w:val="baseline"/>
        <w:rPr>
          <w:rFonts w:asciiTheme="minorHAnsi" w:hAnsiTheme="minorHAnsi"/>
          <w:color w:val="auto"/>
          <w:sz w:val="20"/>
          <w:szCs w:val="20"/>
        </w:rPr>
      </w:pPr>
      <w:bookmarkStart w:id="19" w:name="_Ref357541731"/>
      <w:bookmarkStart w:id="20" w:name="_Toc381969514"/>
      <w:bookmarkStart w:id="21" w:name="_Toc405888463"/>
      <w:r w:rsidRPr="22E435CD">
        <w:rPr>
          <w:rFonts w:asciiTheme="minorHAnsi" w:hAnsiTheme="minorHAnsi" w:cs="Arial"/>
          <w:color w:val="auto"/>
          <w:sz w:val="20"/>
          <w:szCs w:val="20"/>
        </w:rPr>
        <w:t>Challenges</w:t>
      </w:r>
      <w:bookmarkEnd w:id="19"/>
      <w:bookmarkEnd w:id="20"/>
      <w:bookmarkEnd w:id="21"/>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2" w:name="_Toc381969515"/>
      <w:bookmarkStart w:id="23"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0D05ACB8">
        <w:rPr>
          <w:rFonts w:ascii="Arial" w:eastAsia="Times New Roman" w:hAnsi="Arial" w:cs="Arial"/>
          <w:sz w:val="20"/>
          <w:szCs w:val="20"/>
          <w:lang w:eastAsia="en-GB"/>
        </w:rPr>
        <w:t> </w:t>
      </w:r>
      <w:r w:rsidRPr="0D05ACB8">
        <w:rPr>
          <w:rFonts w:ascii="Century Gothic" w:eastAsia="Times New Roman" w:hAnsi="Century Gothic" w:cs="Segoe UI"/>
          <w:sz w:val="20"/>
          <w:szCs w:val="20"/>
          <w:lang w:eastAsia="en-GB"/>
        </w:rPr>
        <w:t> </w:t>
      </w:r>
    </w:p>
    <w:p w14:paraId="2C371C9B" w14:textId="53C3AF73" w:rsidR="6A95C885" w:rsidRDefault="6A95C885" w:rsidP="0D05ACB8">
      <w:pPr>
        <w:pStyle w:val="ListParagraph"/>
        <w:numPr>
          <w:ilvl w:val="0"/>
          <w:numId w:val="34"/>
        </w:numPr>
        <w:jc w:val="both"/>
        <w:rPr>
          <w:rFonts w:ascii="Century Gothic" w:eastAsia="Times New Roman" w:hAnsi="Century Gothic" w:cs="Segoe UI"/>
          <w:sz w:val="20"/>
          <w:szCs w:val="20"/>
          <w:lang w:eastAsia="en-GB"/>
        </w:rPr>
      </w:pPr>
      <w:r w:rsidRPr="0D05ACB8">
        <w:rPr>
          <w:rFonts w:ascii="Century Gothic" w:eastAsia="Times New Roman" w:hAnsi="Century Gothic" w:cs="Segoe UI"/>
          <w:sz w:val="20"/>
          <w:szCs w:val="20"/>
          <w:lang w:eastAsia="en-GB"/>
        </w:rPr>
        <w:t xml:space="preserve">Data availability for spatially disaggregated assessment. </w:t>
      </w:r>
    </w:p>
    <w:p w14:paraId="3D5B0972" w14:textId="46B3138A" w:rsidR="0A613696" w:rsidRDefault="0A613696" w:rsidP="0D05ACB8">
      <w:pPr>
        <w:pStyle w:val="ListParagraph"/>
        <w:numPr>
          <w:ilvl w:val="0"/>
          <w:numId w:val="34"/>
        </w:numPr>
        <w:jc w:val="both"/>
        <w:rPr>
          <w:rFonts w:ascii="Century Gothic" w:eastAsia="Times New Roman" w:hAnsi="Century Gothic" w:cs="Segoe UI"/>
          <w:sz w:val="20"/>
          <w:szCs w:val="20"/>
          <w:lang w:eastAsia="en-GB"/>
        </w:rPr>
      </w:pPr>
      <w:r w:rsidRPr="0D05ACB8">
        <w:rPr>
          <w:rFonts w:ascii="Century Gothic" w:eastAsia="Times New Roman" w:hAnsi="Century Gothic" w:cs="Segoe UI"/>
          <w:sz w:val="20"/>
          <w:szCs w:val="20"/>
          <w:lang w:eastAsia="en-GB"/>
        </w:rPr>
        <w:t xml:space="preserve">Ensuring consistency of approach </w:t>
      </w:r>
      <w:r w:rsidR="26847DE2" w:rsidRPr="0D05ACB8">
        <w:rPr>
          <w:rFonts w:ascii="Century Gothic" w:eastAsia="Times New Roman" w:hAnsi="Century Gothic" w:cs="Segoe UI"/>
          <w:sz w:val="20"/>
          <w:szCs w:val="20"/>
          <w:lang w:eastAsia="en-GB"/>
        </w:rPr>
        <w:t>across the project</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6724AE">
      <w:pPr>
        <w:pStyle w:val="Heading1"/>
        <w:widowControl w:val="0"/>
        <w:numPr>
          <w:ilvl w:val="1"/>
          <w:numId w:val="24"/>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2"/>
      <w:bookmarkEnd w:id="23"/>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4A1E7377" w14:textId="518ABD95" w:rsidR="0038388A" w:rsidRPr="0038388A" w:rsidRDefault="0038388A" w:rsidP="22E435CD">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7B4C55BC" w14:textId="77777777" w:rsidR="0038388A" w:rsidRPr="0038388A" w:rsidRDefault="0038388A" w:rsidP="22E435CD">
      <w:pPr>
        <w:ind w:left="516" w:firstLine="720"/>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22E435CD">
      <w:pPr>
        <w:pStyle w:val="ListParagraph"/>
        <w:numPr>
          <w:ilvl w:val="0"/>
          <w:numId w:val="8"/>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22E435CD">
      <w:pPr>
        <w:pStyle w:val="ListParagraph"/>
        <w:numPr>
          <w:ilvl w:val="0"/>
          <w:numId w:val="8"/>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22E435CD">
      <w:pPr>
        <w:pStyle w:val="ListParagraph"/>
        <w:numPr>
          <w:ilvl w:val="0"/>
          <w:numId w:val="8"/>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22E435CD">
      <w:pPr>
        <w:pStyle w:val="ListParagraph"/>
        <w:numPr>
          <w:ilvl w:val="0"/>
          <w:numId w:val="8"/>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22E435CD">
      <w:pPr>
        <w:pStyle w:val="ListParagraph"/>
        <w:numPr>
          <w:ilvl w:val="0"/>
          <w:numId w:val="8"/>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22E435CD">
      <w:pPr>
        <w:pStyle w:val="Heading1"/>
        <w:widowControl w:val="0"/>
        <w:numPr>
          <w:ilvl w:val="1"/>
          <w:numId w:val="24"/>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4" w:name="_Ref338852517"/>
      <w:bookmarkStart w:id="25" w:name="_Toc381969516"/>
      <w:bookmarkStart w:id="26" w:name="_Toc405888465"/>
      <w:r w:rsidRPr="22E435CD">
        <w:rPr>
          <w:rFonts w:asciiTheme="minorHAnsi" w:hAnsiTheme="minorHAnsi" w:cs="Arial"/>
          <w:color w:val="auto"/>
          <w:sz w:val="20"/>
          <w:szCs w:val="20"/>
        </w:rPr>
        <w:t>Working Arrangements</w:t>
      </w:r>
      <w:bookmarkEnd w:id="24"/>
      <w:bookmarkEnd w:id="25"/>
      <w:bookmarkEnd w:id="26"/>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7"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22E435CD">
      <w:pPr>
        <w:pStyle w:val="Heading1"/>
        <w:widowControl w:val="0"/>
        <w:numPr>
          <w:ilvl w:val="1"/>
          <w:numId w:val="23"/>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8" w:name="_Ref373505239"/>
      <w:bookmarkStart w:id="29" w:name="_Toc381969518"/>
      <w:bookmarkStart w:id="30" w:name="_Toc405888467"/>
      <w:r w:rsidRPr="22E435CD">
        <w:rPr>
          <w:rFonts w:asciiTheme="minorHAnsi" w:hAnsiTheme="minorHAnsi" w:cs="Arial"/>
          <w:color w:val="auto"/>
          <w:sz w:val="20"/>
          <w:szCs w:val="20"/>
        </w:rPr>
        <w:lastRenderedPageBreak/>
        <w:t>Consortium Bids</w:t>
      </w:r>
      <w:bookmarkEnd w:id="28"/>
      <w:bookmarkEnd w:id="29"/>
      <w:bookmarkEnd w:id="30"/>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w:t>
      </w:r>
      <w:proofErr w:type="gramStart"/>
      <w:r w:rsidRPr="22E435CD">
        <w:rPr>
          <w:rFonts w:asciiTheme="minorHAnsi" w:hAnsiTheme="minorHAnsi" w:cs="Arial"/>
          <w:lang w:eastAsia="en-GB"/>
        </w:rPr>
        <w:t>all of</w:t>
      </w:r>
      <w:proofErr w:type="gramEnd"/>
      <w:r w:rsidRPr="22E435CD">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22E435CD">
      <w:pPr>
        <w:pStyle w:val="Heading1"/>
        <w:widowControl w:val="0"/>
        <w:numPr>
          <w:ilvl w:val="1"/>
          <w:numId w:val="23"/>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1" w:name="_Ref357541811"/>
      <w:bookmarkStart w:id="32" w:name="_Toc381969519"/>
      <w:bookmarkStart w:id="33" w:name="_Toc405888468"/>
      <w:bookmarkStart w:id="34" w:name="_Toc246831559"/>
      <w:bookmarkStart w:id="35" w:name="_Toc271272917"/>
      <w:bookmarkStart w:id="36" w:name="_Ref338852577"/>
      <w:bookmarkEnd w:id="27"/>
      <w:r w:rsidRPr="22E435CD">
        <w:rPr>
          <w:rFonts w:asciiTheme="minorHAnsi" w:hAnsiTheme="minorHAnsi" w:cs="Arial"/>
          <w:color w:val="auto"/>
          <w:sz w:val="20"/>
          <w:szCs w:val="20"/>
        </w:rPr>
        <w:t>Budget</w:t>
      </w:r>
      <w:bookmarkEnd w:id="31"/>
      <w:bookmarkEnd w:id="32"/>
      <w:bookmarkEnd w:id="33"/>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31CB984B" w:rsidR="0038388A" w:rsidRPr="006724AE" w:rsidRDefault="0038388A" w:rsidP="22E435CD">
      <w:pPr>
        <w:pStyle w:val="Paragraph"/>
        <w:ind w:left="1083" w:firstLine="0"/>
        <w:rPr>
          <w:rFonts w:asciiTheme="minorHAnsi" w:eastAsia="Calibri" w:hAnsiTheme="minorHAnsi"/>
          <w:sz w:val="20"/>
          <w:szCs w:val="20"/>
        </w:rPr>
      </w:pPr>
      <w:r w:rsidRPr="0D05ACB8">
        <w:rPr>
          <w:rFonts w:asciiTheme="minorHAnsi" w:hAnsiTheme="minorHAnsi"/>
          <w:sz w:val="20"/>
          <w:szCs w:val="20"/>
        </w:rPr>
        <w:t>The budget for this pro</w:t>
      </w:r>
      <w:r w:rsidRPr="0D05ACB8">
        <w:rPr>
          <w:rFonts w:asciiTheme="minorHAnsi" w:eastAsia="Calibri" w:hAnsiTheme="minorHAnsi"/>
          <w:sz w:val="20"/>
          <w:szCs w:val="20"/>
        </w:rPr>
        <w:t xml:space="preserve">ject is </w:t>
      </w:r>
      <w:r w:rsidR="62E17ABD" w:rsidRPr="0D05ACB8">
        <w:rPr>
          <w:rFonts w:asciiTheme="minorHAnsi" w:eastAsia="Calibri" w:hAnsiTheme="minorHAnsi"/>
          <w:sz w:val="20"/>
          <w:szCs w:val="20"/>
        </w:rPr>
        <w:t>up to £</w:t>
      </w:r>
      <w:r w:rsidR="1E421CFC" w:rsidRPr="0D05ACB8">
        <w:rPr>
          <w:rFonts w:asciiTheme="minorHAnsi" w:eastAsia="Calibri" w:hAnsiTheme="minorHAnsi"/>
          <w:sz w:val="20"/>
          <w:szCs w:val="20"/>
        </w:rPr>
        <w:t>60,000</w:t>
      </w:r>
      <w:r w:rsidR="62E17ABD" w:rsidRPr="0D05ACB8">
        <w:rPr>
          <w:rFonts w:asciiTheme="minorHAnsi" w:eastAsia="Calibri" w:hAnsiTheme="minorHAnsi"/>
          <w:sz w:val="20"/>
          <w:szCs w:val="20"/>
        </w:rPr>
        <w:t xml:space="preserve"> </w:t>
      </w:r>
      <w:r w:rsidRPr="0D05ACB8">
        <w:rPr>
          <w:rFonts w:asciiTheme="minorHAnsi" w:eastAsia="Calibri" w:hAnsiTheme="minorHAnsi"/>
          <w:sz w:val="20"/>
          <w:szCs w:val="20"/>
        </w:rPr>
        <w:t xml:space="preserve">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4"/>
      <w:bookmarkEnd w:id="35"/>
      <w:bookmarkEnd w:id="36"/>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22E435CD">
      <w:pPr>
        <w:pStyle w:val="Heading1"/>
        <w:widowControl w:val="0"/>
        <w:numPr>
          <w:ilvl w:val="1"/>
          <w:numId w:val="23"/>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7" w:name="_Ref357541836"/>
      <w:bookmarkStart w:id="38" w:name="_Toc381969520"/>
      <w:bookmarkStart w:id="39" w:name="_Toc405888469"/>
      <w:r w:rsidRPr="22E435CD">
        <w:rPr>
          <w:rFonts w:asciiTheme="minorHAnsi" w:hAnsiTheme="minorHAnsi" w:cs="Arial"/>
          <w:color w:val="auto"/>
          <w:sz w:val="20"/>
          <w:szCs w:val="20"/>
        </w:rPr>
        <w:t>Evaluation of Tenders</w:t>
      </w:r>
      <w:bookmarkEnd w:id="37"/>
      <w:bookmarkEnd w:id="38"/>
      <w:bookmarkEnd w:id="39"/>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lastRenderedPageBreak/>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4125DC50">
        <w:tc>
          <w:tcPr>
            <w:tcW w:w="1914" w:type="dxa"/>
          </w:tcPr>
          <w:p w14:paraId="5F103605" w14:textId="77777777" w:rsidR="0038388A" w:rsidRPr="0038388A" w:rsidRDefault="0038388A" w:rsidP="22E435CD">
            <w:pPr>
              <w:pStyle w:val="BodyText"/>
              <w:rPr>
                <w:rFonts w:cs="Arial"/>
                <w:color w:val="auto"/>
              </w:rPr>
            </w:pPr>
            <w:bookmarkStart w:id="40" w:name="p2"/>
            <w:r w:rsidRPr="22E435CD">
              <w:rPr>
                <w:rFonts w:cs="Arial"/>
                <w:color w:val="auto"/>
              </w:rPr>
              <w:t>Criterion</w:t>
            </w:r>
            <w:bookmarkEnd w:id="40"/>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4125DC50">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4125DC50">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56C8BAA9" w:rsidR="0038388A" w:rsidRPr="0038388A" w:rsidRDefault="366F24D2"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06E596F8" w14:textId="77777777" w:rsidTr="4125DC50">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5CF94343" w:rsidR="0038388A" w:rsidRPr="0038388A" w:rsidRDefault="7839084A" w:rsidP="22E435CD">
            <w:pPr>
              <w:pStyle w:val="BodyText"/>
              <w:rPr>
                <w:rFonts w:cs="Arial"/>
                <w:color w:val="auto"/>
              </w:rPr>
            </w:pPr>
            <w:r w:rsidRPr="4125DC50">
              <w:rPr>
                <w:rFonts w:cs="Arial"/>
                <w:color w:val="auto"/>
              </w:rPr>
              <w:t>10</w:t>
            </w:r>
            <w:r w:rsidR="0038388A" w:rsidRPr="4125DC50">
              <w:rPr>
                <w:rFonts w:cs="Arial"/>
                <w:color w:val="auto"/>
              </w:rPr>
              <w:t>%</w:t>
            </w:r>
          </w:p>
        </w:tc>
      </w:tr>
      <w:tr w:rsidR="0038388A" w:rsidRPr="0038388A" w14:paraId="0D14FA83" w14:textId="77777777" w:rsidTr="4125DC50">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C80A337" w:rsidR="0038388A" w:rsidRPr="0038388A" w:rsidRDefault="5A895C6A"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5F86DEAC" w14:textId="77777777" w:rsidTr="4125DC50">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A8CCEE8" w:rsidR="0038388A" w:rsidRPr="0038388A" w:rsidRDefault="5C4CBD99"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0A9581F0" w14:textId="77777777" w:rsidTr="4125DC50">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5E783146" w:rsidR="0038388A" w:rsidRPr="0038388A" w:rsidRDefault="0038388A" w:rsidP="22E435CD">
            <w:pPr>
              <w:pStyle w:val="BodyText"/>
              <w:rPr>
                <w:color w:val="auto"/>
              </w:rPr>
            </w:pPr>
            <w:r w:rsidRPr="4125DC50">
              <w:rPr>
                <w:color w:val="auto"/>
              </w:rPr>
              <w:t>METHOD, ABILITY AND TECHNICAL CAPACITY</w:t>
            </w:r>
          </w:p>
        </w:tc>
        <w:tc>
          <w:tcPr>
            <w:tcW w:w="2618" w:type="dxa"/>
            <w:shd w:val="clear" w:color="auto" w:fill="auto"/>
          </w:tcPr>
          <w:p w14:paraId="30C82DE5" w14:textId="39867BB4" w:rsidR="0038388A" w:rsidRPr="0038388A" w:rsidRDefault="05063513" w:rsidP="22E435CD">
            <w:pPr>
              <w:pStyle w:val="BodyText"/>
              <w:rPr>
                <w:rFonts w:cs="Arial"/>
                <w:color w:val="auto"/>
              </w:rPr>
            </w:pPr>
            <w:r w:rsidRPr="4125DC50">
              <w:rPr>
                <w:rFonts w:cs="Arial"/>
                <w:color w:val="auto"/>
              </w:rPr>
              <w:t>2</w:t>
            </w:r>
            <w:r w:rsidR="0038388A" w:rsidRPr="4125DC50">
              <w:rPr>
                <w:rFonts w:cs="Arial"/>
                <w:color w:val="auto"/>
              </w:rPr>
              <w:t>0%</w:t>
            </w:r>
          </w:p>
        </w:tc>
      </w:tr>
      <w:tr w:rsidR="0038388A" w:rsidRPr="0038388A" w14:paraId="77ECC2E5" w14:textId="77777777" w:rsidTr="4125DC50">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414AE963" w:rsidR="0038388A" w:rsidRPr="0038388A" w:rsidRDefault="17EF70F1"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4EA53EE6" w14:textId="77777777" w:rsidTr="4125DC50">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47B82EC1" w:rsidR="0038388A" w:rsidRPr="0038388A" w:rsidRDefault="0038388A" w:rsidP="22E435CD">
            <w:pPr>
              <w:pStyle w:val="BodyText"/>
              <w:rPr>
                <w:rFonts w:cs="Arial"/>
                <w:color w:val="auto"/>
              </w:rPr>
            </w:pPr>
            <w:r w:rsidRPr="4125DC50">
              <w:rPr>
                <w:rFonts w:cs="Arial"/>
                <w:color w:val="auto"/>
              </w:rPr>
              <w:t>1</w:t>
            </w:r>
            <w:r w:rsidR="01DA066E" w:rsidRPr="4125DC50">
              <w:rPr>
                <w:rFonts w:cs="Arial"/>
                <w:color w:val="auto"/>
              </w:rPr>
              <w:t>0</w:t>
            </w:r>
            <w:r w:rsidRPr="4125DC50">
              <w:rPr>
                <w:rFonts w:cs="Arial"/>
                <w:color w:val="auto"/>
              </w:rPr>
              <w:t>%</w:t>
            </w:r>
          </w:p>
        </w:tc>
      </w:tr>
      <w:tr w:rsidR="0038388A" w:rsidRPr="0038388A" w14:paraId="486163E4" w14:textId="77777777" w:rsidTr="4125DC50">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1" w:name="OLE_LINK3"/>
      <w:r w:rsidRPr="22E435CD">
        <w:rPr>
          <w:rFonts w:eastAsia="Calibri" w:cs="Arial"/>
          <w:sz w:val="20"/>
          <w:szCs w:val="20"/>
        </w:rPr>
        <w:t xml:space="preserve">Marking proportionate to the lowest price. </w:t>
      </w:r>
    </w:p>
    <w:bookmarkEnd w:id="41"/>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lastRenderedPageBreak/>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0D05ACB8">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0D05ACB8">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32DD63D4" w:rsidR="004711FD" w:rsidRPr="004711FD" w:rsidRDefault="004711FD" w:rsidP="22E435CD">
            <w:pPr>
              <w:pStyle w:val="BodyText"/>
              <w:rPr>
                <w:rFonts w:eastAsia="Calibri" w:cs="Arial"/>
                <w:color w:val="auto"/>
              </w:rPr>
            </w:pPr>
            <w:r w:rsidRPr="0D05ACB8">
              <w:rPr>
                <w:rFonts w:eastAsia="Calibri" w:cs="Arial"/>
                <w:color w:val="auto"/>
              </w:rPr>
              <w:t>£</w:t>
            </w:r>
            <w:r w:rsidR="659422D3" w:rsidRPr="0D05ACB8">
              <w:rPr>
                <w:rFonts w:eastAsia="Calibri" w:cs="Arial"/>
                <w:color w:val="auto"/>
              </w:rPr>
              <w:t>5</w:t>
            </w:r>
            <w:r w:rsidRPr="0D05ACB8">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0D05ACB8">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0B6E8244" w:rsidR="004711FD" w:rsidRPr="004711FD" w:rsidRDefault="004711FD" w:rsidP="22E435CD">
            <w:pPr>
              <w:pStyle w:val="BodyText"/>
              <w:rPr>
                <w:rFonts w:eastAsia="Calibri" w:cs="Arial"/>
                <w:color w:val="auto"/>
              </w:rPr>
            </w:pPr>
            <w:r w:rsidRPr="0D05ACB8">
              <w:rPr>
                <w:rFonts w:eastAsia="Calibri" w:cs="Arial"/>
                <w:color w:val="auto"/>
              </w:rPr>
              <w:t>£</w:t>
            </w:r>
            <w:r w:rsidR="540895BA" w:rsidRPr="0D05ACB8">
              <w:rPr>
                <w:rFonts w:eastAsia="Calibri" w:cs="Arial"/>
                <w:color w:val="auto"/>
              </w:rPr>
              <w:t>55</w:t>
            </w:r>
            <w:r w:rsidRPr="0D05ACB8">
              <w:rPr>
                <w:rFonts w:eastAsia="Calibri" w:cs="Arial"/>
                <w:color w:val="auto"/>
              </w:rPr>
              <w:t>,000</w:t>
            </w:r>
          </w:p>
        </w:tc>
        <w:tc>
          <w:tcPr>
            <w:tcW w:w="2378" w:type="dxa"/>
            <w:shd w:val="clear" w:color="auto" w:fill="auto"/>
          </w:tcPr>
          <w:p w14:paraId="0501FE2C" w14:textId="1D5BE829" w:rsidR="004711FD" w:rsidRPr="004711FD" w:rsidRDefault="57731012" w:rsidP="22E435CD">
            <w:pPr>
              <w:pStyle w:val="BodyText"/>
              <w:rPr>
                <w:rFonts w:eastAsia="Calibri" w:cs="Arial"/>
                <w:color w:val="auto"/>
              </w:rPr>
            </w:pPr>
            <w:r w:rsidRPr="0D05ACB8">
              <w:rPr>
                <w:rFonts w:eastAsia="Calibri" w:cs="Arial"/>
                <w:color w:val="auto"/>
              </w:rPr>
              <w:t>5</w:t>
            </w:r>
            <w:r w:rsidR="27382A66" w:rsidRPr="0D05ACB8">
              <w:rPr>
                <w:rFonts w:eastAsia="Calibri" w:cs="Arial"/>
                <w:color w:val="auto"/>
              </w:rPr>
              <w:t>0</w:t>
            </w:r>
            <w:r w:rsidR="00EC1AC9" w:rsidRPr="0D05ACB8">
              <w:rPr>
                <w:rFonts w:eastAsia="Calibri" w:cs="Arial"/>
                <w:color w:val="auto"/>
              </w:rPr>
              <w:t>/</w:t>
            </w:r>
            <w:r w:rsidR="0816C9E3" w:rsidRPr="0D05ACB8">
              <w:rPr>
                <w:rFonts w:eastAsia="Calibri" w:cs="Arial"/>
                <w:color w:val="auto"/>
              </w:rPr>
              <w:t>5</w:t>
            </w:r>
            <w:r w:rsidR="469C0187" w:rsidRPr="0D05ACB8">
              <w:rPr>
                <w:rFonts w:eastAsia="Calibri" w:cs="Arial"/>
                <w:color w:val="auto"/>
              </w:rPr>
              <w:t>5</w:t>
            </w:r>
            <w:r w:rsidR="004711FD" w:rsidRPr="0D05ACB8">
              <w:rPr>
                <w:rFonts w:eastAsia="Calibri" w:cs="Arial"/>
                <w:color w:val="auto"/>
              </w:rPr>
              <w:t xml:space="preserve"> * 20 = 1</w:t>
            </w:r>
            <w:r w:rsidR="376668E7" w:rsidRPr="0D05ACB8">
              <w:rPr>
                <w:rFonts w:eastAsia="Calibri" w:cs="Arial"/>
                <w:color w:val="auto"/>
              </w:rPr>
              <w:t>8</w:t>
            </w:r>
          </w:p>
        </w:tc>
      </w:tr>
      <w:tr w:rsidR="004711FD" w14:paraId="350C4DF4" w14:textId="77777777" w:rsidTr="0D05ACB8">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6D8DCE6" w:rsidR="004711FD" w:rsidRPr="004711FD" w:rsidRDefault="004711FD" w:rsidP="22E435CD">
            <w:pPr>
              <w:pStyle w:val="BodyText"/>
              <w:rPr>
                <w:rFonts w:eastAsia="Calibri" w:cs="Arial"/>
                <w:color w:val="auto"/>
              </w:rPr>
            </w:pPr>
            <w:r w:rsidRPr="0D05ACB8">
              <w:rPr>
                <w:rFonts w:eastAsia="Calibri" w:cs="Arial"/>
                <w:color w:val="auto"/>
              </w:rPr>
              <w:t>£</w:t>
            </w:r>
            <w:r w:rsidR="27048FB1" w:rsidRPr="0D05ACB8">
              <w:rPr>
                <w:rFonts w:eastAsia="Calibri" w:cs="Arial"/>
                <w:color w:val="auto"/>
              </w:rPr>
              <w:t>60</w:t>
            </w:r>
            <w:r w:rsidRPr="0D05ACB8">
              <w:rPr>
                <w:rFonts w:eastAsia="Calibri" w:cs="Arial"/>
                <w:color w:val="auto"/>
              </w:rPr>
              <w:t>,000</w:t>
            </w:r>
          </w:p>
        </w:tc>
        <w:tc>
          <w:tcPr>
            <w:tcW w:w="2378" w:type="dxa"/>
            <w:shd w:val="clear" w:color="auto" w:fill="auto"/>
          </w:tcPr>
          <w:p w14:paraId="2AC3CFEC" w14:textId="30DED5E5" w:rsidR="004711FD" w:rsidRPr="004711FD" w:rsidRDefault="60291643" w:rsidP="22E435CD">
            <w:pPr>
              <w:pStyle w:val="BodyText"/>
              <w:rPr>
                <w:rFonts w:eastAsia="Calibri" w:cs="Arial"/>
                <w:color w:val="auto"/>
              </w:rPr>
            </w:pPr>
            <w:r w:rsidRPr="0D05ACB8">
              <w:rPr>
                <w:rFonts w:eastAsia="Calibri" w:cs="Arial"/>
                <w:color w:val="auto"/>
              </w:rPr>
              <w:t>50</w:t>
            </w:r>
            <w:r w:rsidR="00EC1AC9" w:rsidRPr="0D05ACB8">
              <w:rPr>
                <w:rFonts w:eastAsia="Calibri" w:cs="Arial"/>
                <w:color w:val="auto"/>
              </w:rPr>
              <w:t>/</w:t>
            </w:r>
            <w:r w:rsidR="1E4AA17C" w:rsidRPr="0D05ACB8">
              <w:rPr>
                <w:rFonts w:eastAsia="Calibri" w:cs="Arial"/>
                <w:color w:val="auto"/>
              </w:rPr>
              <w:t>6</w:t>
            </w:r>
            <w:r w:rsidR="00EC1AC9" w:rsidRPr="0D05ACB8">
              <w:rPr>
                <w:rFonts w:eastAsia="Calibri" w:cs="Arial"/>
                <w:color w:val="auto"/>
              </w:rPr>
              <w:t>0</w:t>
            </w:r>
            <w:r w:rsidR="004711FD" w:rsidRPr="0D05ACB8">
              <w:rPr>
                <w:rFonts w:eastAsia="Calibri" w:cs="Arial"/>
                <w:color w:val="auto"/>
              </w:rPr>
              <w:t xml:space="preserve"> * 20 = 1</w:t>
            </w:r>
            <w:r w:rsidR="1AA6D191" w:rsidRPr="0D05ACB8">
              <w:rPr>
                <w:rFonts w:eastAsia="Calibri" w:cs="Arial"/>
                <w:color w:val="auto"/>
              </w:rPr>
              <w:t>6.5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4F41D75B" w:rsidR="004711FD" w:rsidRPr="004711FD" w:rsidRDefault="004711FD" w:rsidP="22E435CD">
      <w:pPr>
        <w:pStyle w:val="Norma"/>
        <w:ind w:left="1083"/>
        <w:jc w:val="both"/>
        <w:rPr>
          <w:rFonts w:asciiTheme="minorHAnsi" w:hAnsiTheme="minorHAnsi" w:cs="Arial"/>
          <w:sz w:val="20"/>
          <w:szCs w:val="20"/>
        </w:rPr>
      </w:pPr>
      <w:r w:rsidRPr="4125DC50">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4125DC50">
        <w:rPr>
          <w:rFonts w:asciiTheme="minorHAnsi" w:hAnsiTheme="minorHAnsi" w:cs="Arial"/>
          <w:sz w:val="20"/>
          <w:szCs w:val="20"/>
        </w:rPr>
        <w:t xml:space="preserve"> in the week of </w:t>
      </w:r>
      <w:r w:rsidR="7832F4FF" w:rsidRPr="4125DC50">
        <w:rPr>
          <w:rFonts w:asciiTheme="minorHAnsi" w:hAnsiTheme="minorHAnsi" w:cs="Arial"/>
          <w:sz w:val="20"/>
          <w:szCs w:val="20"/>
        </w:rPr>
        <w:t>5</w:t>
      </w:r>
      <w:r w:rsidR="296AA52B" w:rsidRPr="4125DC50">
        <w:rPr>
          <w:rFonts w:asciiTheme="minorHAnsi" w:hAnsiTheme="minorHAnsi" w:cs="Arial"/>
          <w:sz w:val="20"/>
          <w:szCs w:val="20"/>
        </w:rPr>
        <w:t>th</w:t>
      </w:r>
      <w:r w:rsidR="00EC1AC9" w:rsidRPr="4125DC50">
        <w:rPr>
          <w:rFonts w:asciiTheme="minorHAnsi" w:hAnsiTheme="minorHAnsi" w:cs="Arial"/>
          <w:sz w:val="20"/>
          <w:szCs w:val="20"/>
        </w:rPr>
        <w:t xml:space="preserve"> </w:t>
      </w:r>
      <w:r w:rsidR="0C9787C1" w:rsidRPr="4125DC50">
        <w:rPr>
          <w:rFonts w:asciiTheme="minorHAnsi" w:hAnsiTheme="minorHAnsi" w:cs="Arial"/>
          <w:sz w:val="20"/>
          <w:szCs w:val="20"/>
        </w:rPr>
        <w:t>December</w:t>
      </w:r>
      <w:r w:rsidR="00EC1AC9" w:rsidRPr="4125DC50">
        <w:rPr>
          <w:rFonts w:asciiTheme="minorHAnsi" w:hAnsiTheme="minorHAnsi" w:cs="Arial"/>
          <w:sz w:val="20"/>
          <w:szCs w:val="20"/>
        </w:rPr>
        <w:t xml:space="preserve"> 2022</w:t>
      </w:r>
      <w:r w:rsidR="30FB893A" w:rsidRPr="4125DC50">
        <w:rPr>
          <w:rFonts w:asciiTheme="minorHAnsi" w:hAnsiTheme="minorHAnsi" w:cs="Arial"/>
          <w:sz w:val="20"/>
          <w:szCs w:val="20"/>
        </w:rPr>
        <w:t xml:space="preserve"> or soon after</w:t>
      </w:r>
      <w:r w:rsidRPr="4125DC50">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14"/>
      <w:headerReference w:type="first" r:id="rId15"/>
      <w:footerReference w:type="first" r:id="rId16"/>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2u28qnJW" int2:invalidationBookmarkName="" int2:hashCode="5PeBCKIib6wo6b" int2:id="F1Rs12gv"/>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63B9E"/>
    <w:multiLevelType w:val="multilevel"/>
    <w:tmpl w:val="B8E6D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83927"/>
    <w:multiLevelType w:val="multilevel"/>
    <w:tmpl w:val="7C8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B6DD9"/>
    <w:multiLevelType w:val="multilevel"/>
    <w:tmpl w:val="E1C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71848"/>
    <w:multiLevelType w:val="multilevel"/>
    <w:tmpl w:val="5E8EC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E3FCEB"/>
    <w:multiLevelType w:val="hybridMultilevel"/>
    <w:tmpl w:val="76A402FA"/>
    <w:lvl w:ilvl="0" w:tplc="89E206DC">
      <w:start w:val="1"/>
      <w:numFmt w:val="bullet"/>
      <w:lvlText w:val=""/>
      <w:lvlJc w:val="left"/>
      <w:pPr>
        <w:ind w:left="720" w:hanging="360"/>
      </w:pPr>
      <w:rPr>
        <w:rFonts w:ascii="Symbol" w:hAnsi="Symbol" w:hint="default"/>
      </w:rPr>
    </w:lvl>
    <w:lvl w:ilvl="1" w:tplc="66206CD6">
      <w:start w:val="1"/>
      <w:numFmt w:val="bullet"/>
      <w:lvlText w:val=""/>
      <w:lvlJc w:val="left"/>
      <w:pPr>
        <w:ind w:left="1440" w:hanging="360"/>
      </w:pPr>
      <w:rPr>
        <w:rFonts w:ascii="Symbol" w:hAnsi="Symbol" w:hint="default"/>
      </w:rPr>
    </w:lvl>
    <w:lvl w:ilvl="2" w:tplc="C1B26DCA">
      <w:start w:val="1"/>
      <w:numFmt w:val="bullet"/>
      <w:lvlText w:val=""/>
      <w:lvlJc w:val="left"/>
      <w:pPr>
        <w:ind w:left="2160" w:hanging="360"/>
      </w:pPr>
      <w:rPr>
        <w:rFonts w:ascii="Wingdings" w:hAnsi="Wingdings" w:hint="default"/>
      </w:rPr>
    </w:lvl>
    <w:lvl w:ilvl="3" w:tplc="6F3A740C">
      <w:start w:val="1"/>
      <w:numFmt w:val="bullet"/>
      <w:lvlText w:val=""/>
      <w:lvlJc w:val="left"/>
      <w:pPr>
        <w:ind w:left="2880" w:hanging="360"/>
      </w:pPr>
      <w:rPr>
        <w:rFonts w:ascii="Symbol" w:hAnsi="Symbol" w:hint="default"/>
      </w:rPr>
    </w:lvl>
    <w:lvl w:ilvl="4" w:tplc="8FF661DA">
      <w:start w:val="1"/>
      <w:numFmt w:val="bullet"/>
      <w:lvlText w:val="o"/>
      <w:lvlJc w:val="left"/>
      <w:pPr>
        <w:ind w:left="3600" w:hanging="360"/>
      </w:pPr>
      <w:rPr>
        <w:rFonts w:ascii="Courier New" w:hAnsi="Courier New" w:hint="default"/>
      </w:rPr>
    </w:lvl>
    <w:lvl w:ilvl="5" w:tplc="686EBB7E">
      <w:start w:val="1"/>
      <w:numFmt w:val="bullet"/>
      <w:lvlText w:val=""/>
      <w:lvlJc w:val="left"/>
      <w:pPr>
        <w:ind w:left="4320" w:hanging="360"/>
      </w:pPr>
      <w:rPr>
        <w:rFonts w:ascii="Wingdings" w:hAnsi="Wingdings" w:hint="default"/>
      </w:rPr>
    </w:lvl>
    <w:lvl w:ilvl="6" w:tplc="60BC8F8A">
      <w:start w:val="1"/>
      <w:numFmt w:val="bullet"/>
      <w:lvlText w:val=""/>
      <w:lvlJc w:val="left"/>
      <w:pPr>
        <w:ind w:left="5040" w:hanging="360"/>
      </w:pPr>
      <w:rPr>
        <w:rFonts w:ascii="Symbol" w:hAnsi="Symbol" w:hint="default"/>
      </w:rPr>
    </w:lvl>
    <w:lvl w:ilvl="7" w:tplc="358C8FC2">
      <w:start w:val="1"/>
      <w:numFmt w:val="bullet"/>
      <w:lvlText w:val="o"/>
      <w:lvlJc w:val="left"/>
      <w:pPr>
        <w:ind w:left="5760" w:hanging="360"/>
      </w:pPr>
      <w:rPr>
        <w:rFonts w:ascii="Courier New" w:hAnsi="Courier New" w:hint="default"/>
      </w:rPr>
    </w:lvl>
    <w:lvl w:ilvl="8" w:tplc="99B644EE">
      <w:start w:val="1"/>
      <w:numFmt w:val="bullet"/>
      <w:lvlText w:val=""/>
      <w:lvlJc w:val="left"/>
      <w:pPr>
        <w:ind w:left="6480" w:hanging="360"/>
      </w:pPr>
      <w:rPr>
        <w:rFonts w:ascii="Wingdings" w:hAnsi="Wingdings" w:hint="default"/>
      </w:rPr>
    </w:lvl>
  </w:abstractNum>
  <w:abstractNum w:abstractNumId="7" w15:restartNumberingAfterBreak="0">
    <w:nsid w:val="188C72BA"/>
    <w:multiLevelType w:val="hybridMultilevel"/>
    <w:tmpl w:val="40405DDC"/>
    <w:lvl w:ilvl="0" w:tplc="516E67BC">
      <w:start w:val="1"/>
      <w:numFmt w:val="decimal"/>
      <w:lvlText w:val="%1."/>
      <w:lvlJc w:val="left"/>
      <w:pPr>
        <w:ind w:left="1440" w:hanging="360"/>
      </w:pPr>
    </w:lvl>
    <w:lvl w:ilvl="1" w:tplc="247C27AC">
      <w:start w:val="1"/>
      <w:numFmt w:val="lowerLetter"/>
      <w:lvlText w:val="%2."/>
      <w:lvlJc w:val="left"/>
      <w:pPr>
        <w:ind w:left="2160" w:hanging="360"/>
      </w:pPr>
    </w:lvl>
    <w:lvl w:ilvl="2" w:tplc="4914EFAC">
      <w:start w:val="1"/>
      <w:numFmt w:val="lowerRoman"/>
      <w:lvlText w:val="%3."/>
      <w:lvlJc w:val="right"/>
      <w:pPr>
        <w:ind w:left="2880" w:hanging="180"/>
      </w:pPr>
    </w:lvl>
    <w:lvl w:ilvl="3" w:tplc="183879CA">
      <w:start w:val="1"/>
      <w:numFmt w:val="decimal"/>
      <w:lvlText w:val="%4."/>
      <w:lvlJc w:val="left"/>
      <w:pPr>
        <w:ind w:left="3600" w:hanging="360"/>
      </w:pPr>
    </w:lvl>
    <w:lvl w:ilvl="4" w:tplc="ABEC3270">
      <w:start w:val="1"/>
      <w:numFmt w:val="lowerLetter"/>
      <w:lvlText w:val="%5."/>
      <w:lvlJc w:val="left"/>
      <w:pPr>
        <w:ind w:left="4320" w:hanging="360"/>
      </w:pPr>
    </w:lvl>
    <w:lvl w:ilvl="5" w:tplc="4EC40464">
      <w:start w:val="1"/>
      <w:numFmt w:val="lowerRoman"/>
      <w:lvlText w:val="%6."/>
      <w:lvlJc w:val="right"/>
      <w:pPr>
        <w:ind w:left="5040" w:hanging="180"/>
      </w:pPr>
    </w:lvl>
    <w:lvl w:ilvl="6" w:tplc="E86CF6C6">
      <w:start w:val="1"/>
      <w:numFmt w:val="decimal"/>
      <w:lvlText w:val="%7."/>
      <w:lvlJc w:val="left"/>
      <w:pPr>
        <w:ind w:left="5760" w:hanging="360"/>
      </w:pPr>
    </w:lvl>
    <w:lvl w:ilvl="7" w:tplc="94AC1C16">
      <w:start w:val="1"/>
      <w:numFmt w:val="lowerLetter"/>
      <w:lvlText w:val="%8."/>
      <w:lvlJc w:val="left"/>
      <w:pPr>
        <w:ind w:left="6480" w:hanging="360"/>
      </w:pPr>
    </w:lvl>
    <w:lvl w:ilvl="8" w:tplc="B76AE3D8">
      <w:start w:val="1"/>
      <w:numFmt w:val="lowerRoman"/>
      <w:lvlText w:val="%9."/>
      <w:lvlJc w:val="right"/>
      <w:pPr>
        <w:ind w:left="7200" w:hanging="180"/>
      </w:pPr>
    </w:lvl>
  </w:abstractNum>
  <w:abstractNum w:abstractNumId="8" w15:restartNumberingAfterBreak="0">
    <w:nsid w:val="1B8157A5"/>
    <w:multiLevelType w:val="multilevel"/>
    <w:tmpl w:val="4536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C644FC9"/>
    <w:multiLevelType w:val="hybridMultilevel"/>
    <w:tmpl w:val="C8F4F3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7F2BC1"/>
    <w:multiLevelType w:val="hybridMultilevel"/>
    <w:tmpl w:val="86C6E3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2B11483"/>
    <w:multiLevelType w:val="multilevel"/>
    <w:tmpl w:val="15AA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563F6"/>
    <w:multiLevelType w:val="multilevel"/>
    <w:tmpl w:val="37C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7B5D12"/>
    <w:multiLevelType w:val="multilevel"/>
    <w:tmpl w:val="7220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000228"/>
    <w:multiLevelType w:val="multilevel"/>
    <w:tmpl w:val="C13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B75CCD"/>
    <w:multiLevelType w:val="multilevel"/>
    <w:tmpl w:val="BB042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171AB"/>
    <w:multiLevelType w:val="hybridMultilevel"/>
    <w:tmpl w:val="E62245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3" w15:restartNumberingAfterBreak="0">
    <w:nsid w:val="409619CF"/>
    <w:multiLevelType w:val="hybridMultilevel"/>
    <w:tmpl w:val="973AFBA6"/>
    <w:lvl w:ilvl="0" w:tplc="A9548F04">
      <w:start w:val="1"/>
      <w:numFmt w:val="bullet"/>
      <w:lvlText w:val=""/>
      <w:lvlJc w:val="left"/>
      <w:pPr>
        <w:ind w:left="720" w:hanging="360"/>
      </w:pPr>
      <w:rPr>
        <w:rFonts w:ascii="Symbol" w:hAnsi="Symbol" w:hint="default"/>
      </w:rPr>
    </w:lvl>
    <w:lvl w:ilvl="1" w:tplc="F4F886F8">
      <w:start w:val="1"/>
      <w:numFmt w:val="bullet"/>
      <w:lvlText w:val=""/>
      <w:lvlJc w:val="left"/>
      <w:pPr>
        <w:ind w:left="1440" w:hanging="360"/>
      </w:pPr>
      <w:rPr>
        <w:rFonts w:ascii="Symbol" w:hAnsi="Symbol" w:hint="default"/>
      </w:rPr>
    </w:lvl>
    <w:lvl w:ilvl="2" w:tplc="56F0A7FA">
      <w:start w:val="1"/>
      <w:numFmt w:val="bullet"/>
      <w:lvlText w:val=""/>
      <w:lvlJc w:val="left"/>
      <w:pPr>
        <w:ind w:left="2160" w:hanging="360"/>
      </w:pPr>
      <w:rPr>
        <w:rFonts w:ascii="Wingdings" w:hAnsi="Wingdings" w:hint="default"/>
      </w:rPr>
    </w:lvl>
    <w:lvl w:ilvl="3" w:tplc="B83688B0">
      <w:start w:val="1"/>
      <w:numFmt w:val="bullet"/>
      <w:lvlText w:val=""/>
      <w:lvlJc w:val="left"/>
      <w:pPr>
        <w:ind w:left="2880" w:hanging="360"/>
      </w:pPr>
      <w:rPr>
        <w:rFonts w:ascii="Symbol" w:hAnsi="Symbol" w:hint="default"/>
      </w:rPr>
    </w:lvl>
    <w:lvl w:ilvl="4" w:tplc="4A4E1DDC">
      <w:start w:val="1"/>
      <w:numFmt w:val="bullet"/>
      <w:lvlText w:val="o"/>
      <w:lvlJc w:val="left"/>
      <w:pPr>
        <w:ind w:left="3600" w:hanging="360"/>
      </w:pPr>
      <w:rPr>
        <w:rFonts w:ascii="Courier New" w:hAnsi="Courier New" w:hint="default"/>
      </w:rPr>
    </w:lvl>
    <w:lvl w:ilvl="5" w:tplc="F2787172">
      <w:start w:val="1"/>
      <w:numFmt w:val="bullet"/>
      <w:lvlText w:val=""/>
      <w:lvlJc w:val="left"/>
      <w:pPr>
        <w:ind w:left="4320" w:hanging="360"/>
      </w:pPr>
      <w:rPr>
        <w:rFonts w:ascii="Wingdings" w:hAnsi="Wingdings" w:hint="default"/>
      </w:rPr>
    </w:lvl>
    <w:lvl w:ilvl="6" w:tplc="856E3906">
      <w:start w:val="1"/>
      <w:numFmt w:val="bullet"/>
      <w:lvlText w:val=""/>
      <w:lvlJc w:val="left"/>
      <w:pPr>
        <w:ind w:left="5040" w:hanging="360"/>
      </w:pPr>
      <w:rPr>
        <w:rFonts w:ascii="Symbol" w:hAnsi="Symbol" w:hint="default"/>
      </w:rPr>
    </w:lvl>
    <w:lvl w:ilvl="7" w:tplc="29A61272">
      <w:start w:val="1"/>
      <w:numFmt w:val="bullet"/>
      <w:lvlText w:val="o"/>
      <w:lvlJc w:val="left"/>
      <w:pPr>
        <w:ind w:left="5760" w:hanging="360"/>
      </w:pPr>
      <w:rPr>
        <w:rFonts w:ascii="Courier New" w:hAnsi="Courier New" w:hint="default"/>
      </w:rPr>
    </w:lvl>
    <w:lvl w:ilvl="8" w:tplc="046E4A4A">
      <w:start w:val="1"/>
      <w:numFmt w:val="bullet"/>
      <w:lvlText w:val=""/>
      <w:lvlJc w:val="left"/>
      <w:pPr>
        <w:ind w:left="6480" w:hanging="360"/>
      </w:pPr>
      <w:rPr>
        <w:rFonts w:ascii="Wingdings" w:hAnsi="Wingdings" w:hint="default"/>
      </w:rPr>
    </w:lvl>
  </w:abstractNum>
  <w:abstractNum w:abstractNumId="24" w15:restartNumberingAfterBreak="0">
    <w:nsid w:val="473C14E9"/>
    <w:multiLevelType w:val="multilevel"/>
    <w:tmpl w:val="D2A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E0830"/>
    <w:multiLevelType w:val="hybridMultilevel"/>
    <w:tmpl w:val="88E2C0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D697CE4"/>
    <w:multiLevelType w:val="multilevel"/>
    <w:tmpl w:val="2466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4BC4847"/>
    <w:multiLevelType w:val="hybridMultilevel"/>
    <w:tmpl w:val="EF3C5A24"/>
    <w:lvl w:ilvl="0" w:tplc="8D824EEA">
      <w:start w:val="1"/>
      <w:numFmt w:val="bullet"/>
      <w:lvlText w:val=""/>
      <w:lvlJc w:val="left"/>
      <w:pPr>
        <w:ind w:left="720" w:hanging="360"/>
      </w:pPr>
      <w:rPr>
        <w:rFonts w:ascii="Symbol" w:hAnsi="Symbol" w:hint="default"/>
      </w:rPr>
    </w:lvl>
    <w:lvl w:ilvl="1" w:tplc="EA2C5B4A">
      <w:start w:val="1"/>
      <w:numFmt w:val="bullet"/>
      <w:lvlText w:val=""/>
      <w:lvlJc w:val="left"/>
      <w:pPr>
        <w:ind w:left="1440" w:hanging="360"/>
      </w:pPr>
      <w:rPr>
        <w:rFonts w:ascii="Symbol" w:hAnsi="Symbol" w:hint="default"/>
      </w:rPr>
    </w:lvl>
    <w:lvl w:ilvl="2" w:tplc="8362BB60">
      <w:start w:val="1"/>
      <w:numFmt w:val="bullet"/>
      <w:lvlText w:val=""/>
      <w:lvlJc w:val="left"/>
      <w:pPr>
        <w:ind w:left="2160" w:hanging="360"/>
      </w:pPr>
      <w:rPr>
        <w:rFonts w:ascii="Wingdings" w:hAnsi="Wingdings" w:hint="default"/>
      </w:rPr>
    </w:lvl>
    <w:lvl w:ilvl="3" w:tplc="D5583EF8">
      <w:start w:val="1"/>
      <w:numFmt w:val="bullet"/>
      <w:lvlText w:val=""/>
      <w:lvlJc w:val="left"/>
      <w:pPr>
        <w:ind w:left="2880" w:hanging="360"/>
      </w:pPr>
      <w:rPr>
        <w:rFonts w:ascii="Symbol" w:hAnsi="Symbol" w:hint="default"/>
      </w:rPr>
    </w:lvl>
    <w:lvl w:ilvl="4" w:tplc="3D30EB1E">
      <w:start w:val="1"/>
      <w:numFmt w:val="bullet"/>
      <w:lvlText w:val="o"/>
      <w:lvlJc w:val="left"/>
      <w:pPr>
        <w:ind w:left="3600" w:hanging="360"/>
      </w:pPr>
      <w:rPr>
        <w:rFonts w:ascii="Courier New" w:hAnsi="Courier New" w:hint="default"/>
      </w:rPr>
    </w:lvl>
    <w:lvl w:ilvl="5" w:tplc="69B81D80">
      <w:start w:val="1"/>
      <w:numFmt w:val="bullet"/>
      <w:lvlText w:val=""/>
      <w:lvlJc w:val="left"/>
      <w:pPr>
        <w:ind w:left="4320" w:hanging="360"/>
      </w:pPr>
      <w:rPr>
        <w:rFonts w:ascii="Wingdings" w:hAnsi="Wingdings" w:hint="default"/>
      </w:rPr>
    </w:lvl>
    <w:lvl w:ilvl="6" w:tplc="FAD8FABC">
      <w:start w:val="1"/>
      <w:numFmt w:val="bullet"/>
      <w:lvlText w:val=""/>
      <w:lvlJc w:val="left"/>
      <w:pPr>
        <w:ind w:left="5040" w:hanging="360"/>
      </w:pPr>
      <w:rPr>
        <w:rFonts w:ascii="Symbol" w:hAnsi="Symbol" w:hint="default"/>
      </w:rPr>
    </w:lvl>
    <w:lvl w:ilvl="7" w:tplc="883A86E0">
      <w:start w:val="1"/>
      <w:numFmt w:val="bullet"/>
      <w:lvlText w:val="o"/>
      <w:lvlJc w:val="left"/>
      <w:pPr>
        <w:ind w:left="5760" w:hanging="360"/>
      </w:pPr>
      <w:rPr>
        <w:rFonts w:ascii="Courier New" w:hAnsi="Courier New" w:hint="default"/>
      </w:rPr>
    </w:lvl>
    <w:lvl w:ilvl="8" w:tplc="E3328ED8">
      <w:start w:val="1"/>
      <w:numFmt w:val="bullet"/>
      <w:lvlText w:val=""/>
      <w:lvlJc w:val="left"/>
      <w:pPr>
        <w:ind w:left="6480" w:hanging="360"/>
      </w:pPr>
      <w:rPr>
        <w:rFonts w:ascii="Wingdings" w:hAnsi="Wingdings" w:hint="default"/>
      </w:rPr>
    </w:lvl>
  </w:abstractNum>
  <w:abstractNum w:abstractNumId="30" w15:restartNumberingAfterBreak="0">
    <w:nsid w:val="708D9AA8"/>
    <w:multiLevelType w:val="hybridMultilevel"/>
    <w:tmpl w:val="17463D0E"/>
    <w:lvl w:ilvl="0" w:tplc="99003090">
      <w:start w:val="1"/>
      <w:numFmt w:val="bullet"/>
      <w:lvlText w:val="·"/>
      <w:lvlJc w:val="left"/>
      <w:pPr>
        <w:ind w:left="1800" w:hanging="360"/>
      </w:pPr>
      <w:rPr>
        <w:rFonts w:ascii="Symbol" w:hAnsi="Symbol" w:hint="default"/>
      </w:rPr>
    </w:lvl>
    <w:lvl w:ilvl="1" w:tplc="62B2B2E2">
      <w:start w:val="1"/>
      <w:numFmt w:val="bullet"/>
      <w:lvlText w:val="o"/>
      <w:lvlJc w:val="left"/>
      <w:pPr>
        <w:ind w:left="2520" w:hanging="360"/>
      </w:pPr>
      <w:rPr>
        <w:rFonts w:ascii="Courier New" w:hAnsi="Courier New" w:hint="default"/>
      </w:rPr>
    </w:lvl>
    <w:lvl w:ilvl="2" w:tplc="210E7F8C">
      <w:start w:val="1"/>
      <w:numFmt w:val="bullet"/>
      <w:lvlText w:val=""/>
      <w:lvlJc w:val="left"/>
      <w:pPr>
        <w:ind w:left="3240" w:hanging="360"/>
      </w:pPr>
      <w:rPr>
        <w:rFonts w:ascii="Wingdings" w:hAnsi="Wingdings" w:hint="default"/>
      </w:rPr>
    </w:lvl>
    <w:lvl w:ilvl="3" w:tplc="B8BCB92E">
      <w:start w:val="1"/>
      <w:numFmt w:val="bullet"/>
      <w:lvlText w:val=""/>
      <w:lvlJc w:val="left"/>
      <w:pPr>
        <w:ind w:left="3960" w:hanging="360"/>
      </w:pPr>
      <w:rPr>
        <w:rFonts w:ascii="Symbol" w:hAnsi="Symbol" w:hint="default"/>
      </w:rPr>
    </w:lvl>
    <w:lvl w:ilvl="4" w:tplc="8B0EFA88">
      <w:start w:val="1"/>
      <w:numFmt w:val="bullet"/>
      <w:lvlText w:val="o"/>
      <w:lvlJc w:val="left"/>
      <w:pPr>
        <w:ind w:left="4680" w:hanging="360"/>
      </w:pPr>
      <w:rPr>
        <w:rFonts w:ascii="Courier New" w:hAnsi="Courier New" w:hint="default"/>
      </w:rPr>
    </w:lvl>
    <w:lvl w:ilvl="5" w:tplc="F11EA6B4">
      <w:start w:val="1"/>
      <w:numFmt w:val="bullet"/>
      <w:lvlText w:val=""/>
      <w:lvlJc w:val="left"/>
      <w:pPr>
        <w:ind w:left="5400" w:hanging="360"/>
      </w:pPr>
      <w:rPr>
        <w:rFonts w:ascii="Wingdings" w:hAnsi="Wingdings" w:hint="default"/>
      </w:rPr>
    </w:lvl>
    <w:lvl w:ilvl="6" w:tplc="FBC8DF98">
      <w:start w:val="1"/>
      <w:numFmt w:val="bullet"/>
      <w:lvlText w:val=""/>
      <w:lvlJc w:val="left"/>
      <w:pPr>
        <w:ind w:left="6120" w:hanging="360"/>
      </w:pPr>
      <w:rPr>
        <w:rFonts w:ascii="Symbol" w:hAnsi="Symbol" w:hint="default"/>
      </w:rPr>
    </w:lvl>
    <w:lvl w:ilvl="7" w:tplc="71B0E5EE">
      <w:start w:val="1"/>
      <w:numFmt w:val="bullet"/>
      <w:lvlText w:val="o"/>
      <w:lvlJc w:val="left"/>
      <w:pPr>
        <w:ind w:left="6840" w:hanging="360"/>
      </w:pPr>
      <w:rPr>
        <w:rFonts w:ascii="Courier New" w:hAnsi="Courier New" w:hint="default"/>
      </w:rPr>
    </w:lvl>
    <w:lvl w:ilvl="8" w:tplc="6CE056DA">
      <w:start w:val="1"/>
      <w:numFmt w:val="bullet"/>
      <w:lvlText w:val=""/>
      <w:lvlJc w:val="left"/>
      <w:pPr>
        <w:ind w:left="7560" w:hanging="360"/>
      </w:pPr>
      <w:rPr>
        <w:rFonts w:ascii="Wingdings" w:hAnsi="Wingdings" w:hint="default"/>
      </w:rPr>
    </w:lvl>
  </w:abstractNum>
  <w:abstractNum w:abstractNumId="31" w15:restartNumberingAfterBreak="0">
    <w:nsid w:val="712F6FC5"/>
    <w:multiLevelType w:val="multilevel"/>
    <w:tmpl w:val="6C625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7647CE2"/>
    <w:multiLevelType w:val="multilevel"/>
    <w:tmpl w:val="80D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7BCE93"/>
    <w:multiLevelType w:val="hybridMultilevel"/>
    <w:tmpl w:val="5A18E14E"/>
    <w:lvl w:ilvl="0" w:tplc="ED4C153A">
      <w:start w:val="1"/>
      <w:numFmt w:val="bullet"/>
      <w:lvlText w:val=""/>
      <w:lvlJc w:val="left"/>
      <w:pPr>
        <w:ind w:left="720" w:hanging="360"/>
      </w:pPr>
      <w:rPr>
        <w:rFonts w:ascii="Symbol" w:hAnsi="Symbol" w:hint="default"/>
      </w:rPr>
    </w:lvl>
    <w:lvl w:ilvl="1" w:tplc="A20AEE1C">
      <w:start w:val="1"/>
      <w:numFmt w:val="bullet"/>
      <w:lvlText w:val=""/>
      <w:lvlJc w:val="left"/>
      <w:pPr>
        <w:ind w:left="1440" w:hanging="360"/>
      </w:pPr>
      <w:rPr>
        <w:rFonts w:ascii="Symbol" w:hAnsi="Symbol" w:hint="default"/>
      </w:rPr>
    </w:lvl>
    <w:lvl w:ilvl="2" w:tplc="3BD0FF78">
      <w:start w:val="1"/>
      <w:numFmt w:val="bullet"/>
      <w:lvlText w:val=""/>
      <w:lvlJc w:val="left"/>
      <w:pPr>
        <w:ind w:left="2160" w:hanging="360"/>
      </w:pPr>
      <w:rPr>
        <w:rFonts w:ascii="Wingdings" w:hAnsi="Wingdings" w:hint="default"/>
      </w:rPr>
    </w:lvl>
    <w:lvl w:ilvl="3" w:tplc="45564856">
      <w:start w:val="1"/>
      <w:numFmt w:val="bullet"/>
      <w:lvlText w:val=""/>
      <w:lvlJc w:val="left"/>
      <w:pPr>
        <w:ind w:left="2880" w:hanging="360"/>
      </w:pPr>
      <w:rPr>
        <w:rFonts w:ascii="Symbol" w:hAnsi="Symbol" w:hint="default"/>
      </w:rPr>
    </w:lvl>
    <w:lvl w:ilvl="4" w:tplc="875A2C6A">
      <w:start w:val="1"/>
      <w:numFmt w:val="bullet"/>
      <w:lvlText w:val="o"/>
      <w:lvlJc w:val="left"/>
      <w:pPr>
        <w:ind w:left="3600" w:hanging="360"/>
      </w:pPr>
      <w:rPr>
        <w:rFonts w:ascii="Courier New" w:hAnsi="Courier New" w:hint="default"/>
      </w:rPr>
    </w:lvl>
    <w:lvl w:ilvl="5" w:tplc="430EC8BA">
      <w:start w:val="1"/>
      <w:numFmt w:val="bullet"/>
      <w:lvlText w:val=""/>
      <w:lvlJc w:val="left"/>
      <w:pPr>
        <w:ind w:left="4320" w:hanging="360"/>
      </w:pPr>
      <w:rPr>
        <w:rFonts w:ascii="Wingdings" w:hAnsi="Wingdings" w:hint="default"/>
      </w:rPr>
    </w:lvl>
    <w:lvl w:ilvl="6" w:tplc="3DAEC74E">
      <w:start w:val="1"/>
      <w:numFmt w:val="bullet"/>
      <w:lvlText w:val=""/>
      <w:lvlJc w:val="left"/>
      <w:pPr>
        <w:ind w:left="5040" w:hanging="360"/>
      </w:pPr>
      <w:rPr>
        <w:rFonts w:ascii="Symbol" w:hAnsi="Symbol" w:hint="default"/>
      </w:rPr>
    </w:lvl>
    <w:lvl w:ilvl="7" w:tplc="75EAFF4A">
      <w:start w:val="1"/>
      <w:numFmt w:val="bullet"/>
      <w:lvlText w:val="o"/>
      <w:lvlJc w:val="left"/>
      <w:pPr>
        <w:ind w:left="5760" w:hanging="360"/>
      </w:pPr>
      <w:rPr>
        <w:rFonts w:ascii="Courier New" w:hAnsi="Courier New" w:hint="default"/>
      </w:rPr>
    </w:lvl>
    <w:lvl w:ilvl="8" w:tplc="5B320FB0">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33"/>
  </w:num>
  <w:num w:numId="4">
    <w:abstractNumId w:val="30"/>
  </w:num>
  <w:num w:numId="5">
    <w:abstractNumId w:val="7"/>
  </w:num>
  <w:num w:numId="6">
    <w:abstractNumId w:val="23"/>
  </w:num>
  <w:num w:numId="7">
    <w:abstractNumId w:val="27"/>
  </w:num>
  <w:num w:numId="8">
    <w:abstractNumId w:val="22"/>
  </w:num>
  <w:num w:numId="9">
    <w:abstractNumId w:val="0"/>
  </w:num>
  <w:num w:numId="10">
    <w:abstractNumId w:val="18"/>
  </w:num>
  <w:num w:numId="11">
    <w:abstractNumId w:val="19"/>
  </w:num>
  <w:num w:numId="12">
    <w:abstractNumId w:val="15"/>
  </w:num>
  <w:num w:numId="13">
    <w:abstractNumId w:val="2"/>
  </w:num>
  <w:num w:numId="14">
    <w:abstractNumId w:val="5"/>
  </w:num>
  <w:num w:numId="15">
    <w:abstractNumId w:val="3"/>
  </w:num>
  <w:num w:numId="16">
    <w:abstractNumId w:val="17"/>
  </w:num>
  <w:num w:numId="17">
    <w:abstractNumId w:val="24"/>
  </w:num>
  <w:num w:numId="18">
    <w:abstractNumId w:val="16"/>
  </w:num>
  <w:num w:numId="19">
    <w:abstractNumId w:val="31"/>
  </w:num>
  <w:num w:numId="20">
    <w:abstractNumId w:val="4"/>
  </w:num>
  <w:num w:numId="21">
    <w:abstractNumId w:val="11"/>
  </w:num>
  <w:num w:numId="22">
    <w:abstractNumId w:val="8"/>
  </w:num>
  <w:num w:numId="23">
    <w:abstractNumId w:val="1"/>
  </w:num>
  <w:num w:numId="24">
    <w:abstractNumId w:val="20"/>
  </w:num>
  <w:num w:numId="25">
    <w:abstractNumId w:val="14"/>
  </w:num>
  <w:num w:numId="26">
    <w:abstractNumId w:val="26"/>
  </w:num>
  <w:num w:numId="27">
    <w:abstractNumId w:val="12"/>
  </w:num>
  <w:num w:numId="28">
    <w:abstractNumId w:val="32"/>
  </w:num>
  <w:num w:numId="29">
    <w:abstractNumId w:val="9"/>
  </w:num>
  <w:num w:numId="30">
    <w:abstractNumId w:val="25"/>
  </w:num>
  <w:num w:numId="31">
    <w:abstractNumId w:val="21"/>
  </w:num>
  <w:num w:numId="32">
    <w:abstractNumId w:val="10"/>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760B6"/>
    <w:rsid w:val="002F41A0"/>
    <w:rsid w:val="0038388A"/>
    <w:rsid w:val="003A05B7"/>
    <w:rsid w:val="003C0907"/>
    <w:rsid w:val="003F38EA"/>
    <w:rsid w:val="004711FD"/>
    <w:rsid w:val="004C7CD3"/>
    <w:rsid w:val="004D5310"/>
    <w:rsid w:val="004E6806"/>
    <w:rsid w:val="00520FAC"/>
    <w:rsid w:val="00521506"/>
    <w:rsid w:val="00538FBA"/>
    <w:rsid w:val="00566354"/>
    <w:rsid w:val="005904D3"/>
    <w:rsid w:val="005C2437"/>
    <w:rsid w:val="005C519D"/>
    <w:rsid w:val="006724AE"/>
    <w:rsid w:val="006A1EA9"/>
    <w:rsid w:val="006D763E"/>
    <w:rsid w:val="006F0AEC"/>
    <w:rsid w:val="007848E0"/>
    <w:rsid w:val="007A1A80"/>
    <w:rsid w:val="00817334"/>
    <w:rsid w:val="00822490"/>
    <w:rsid w:val="00823518"/>
    <w:rsid w:val="0083151A"/>
    <w:rsid w:val="00841B40"/>
    <w:rsid w:val="008960A9"/>
    <w:rsid w:val="008A2514"/>
    <w:rsid w:val="00987C55"/>
    <w:rsid w:val="00994C96"/>
    <w:rsid w:val="0099611F"/>
    <w:rsid w:val="00A67B13"/>
    <w:rsid w:val="00A9730B"/>
    <w:rsid w:val="00C122F6"/>
    <w:rsid w:val="00C3753B"/>
    <w:rsid w:val="00D2323E"/>
    <w:rsid w:val="00D259BB"/>
    <w:rsid w:val="00DA2FBB"/>
    <w:rsid w:val="00DB5892"/>
    <w:rsid w:val="00EC1AC9"/>
    <w:rsid w:val="00F70157"/>
    <w:rsid w:val="00F871C8"/>
    <w:rsid w:val="00F97858"/>
    <w:rsid w:val="00FB148A"/>
    <w:rsid w:val="013AD129"/>
    <w:rsid w:val="01987896"/>
    <w:rsid w:val="01DA066E"/>
    <w:rsid w:val="01F233B5"/>
    <w:rsid w:val="023C050F"/>
    <w:rsid w:val="026DBB5E"/>
    <w:rsid w:val="0316366F"/>
    <w:rsid w:val="0319D7EF"/>
    <w:rsid w:val="038505EC"/>
    <w:rsid w:val="038B307C"/>
    <w:rsid w:val="03C6D41E"/>
    <w:rsid w:val="03F106C6"/>
    <w:rsid w:val="046DCE32"/>
    <w:rsid w:val="04A4F8A2"/>
    <w:rsid w:val="04BA608B"/>
    <w:rsid w:val="05063513"/>
    <w:rsid w:val="052371EE"/>
    <w:rsid w:val="052700DD"/>
    <w:rsid w:val="054B55FC"/>
    <w:rsid w:val="05598E05"/>
    <w:rsid w:val="06136DC2"/>
    <w:rsid w:val="06C5A4D8"/>
    <w:rsid w:val="0734DFFA"/>
    <w:rsid w:val="07676011"/>
    <w:rsid w:val="079D6BD4"/>
    <w:rsid w:val="07A81E4B"/>
    <w:rsid w:val="0816C9E3"/>
    <w:rsid w:val="082580CF"/>
    <w:rsid w:val="083B215A"/>
    <w:rsid w:val="0876669A"/>
    <w:rsid w:val="08D0B05B"/>
    <w:rsid w:val="08F96F95"/>
    <w:rsid w:val="092DFE38"/>
    <w:rsid w:val="09850BA8"/>
    <w:rsid w:val="099A4110"/>
    <w:rsid w:val="09AD21FC"/>
    <w:rsid w:val="0A45FF4C"/>
    <w:rsid w:val="0A503274"/>
    <w:rsid w:val="0A613696"/>
    <w:rsid w:val="0A81D860"/>
    <w:rsid w:val="0A86167D"/>
    <w:rsid w:val="0A8A7A76"/>
    <w:rsid w:val="0AA86830"/>
    <w:rsid w:val="0BE14DF3"/>
    <w:rsid w:val="0BE1CFAD"/>
    <w:rsid w:val="0C1CF6CA"/>
    <w:rsid w:val="0C2D082B"/>
    <w:rsid w:val="0C443891"/>
    <w:rsid w:val="0C56E2F9"/>
    <w:rsid w:val="0C8BE2F3"/>
    <w:rsid w:val="0C9787C1"/>
    <w:rsid w:val="0CA1D1ED"/>
    <w:rsid w:val="0CB50383"/>
    <w:rsid w:val="0D05ACB8"/>
    <w:rsid w:val="0D789565"/>
    <w:rsid w:val="0DBDB73F"/>
    <w:rsid w:val="0DE1F7AF"/>
    <w:rsid w:val="0E2D9B02"/>
    <w:rsid w:val="0E340BB6"/>
    <w:rsid w:val="0EACBBC0"/>
    <w:rsid w:val="0EB5DAE8"/>
    <w:rsid w:val="0F37470B"/>
    <w:rsid w:val="0F69763C"/>
    <w:rsid w:val="106BE92B"/>
    <w:rsid w:val="110C5C1D"/>
    <w:rsid w:val="1117A9B4"/>
    <w:rsid w:val="11EA56C4"/>
    <w:rsid w:val="120D9426"/>
    <w:rsid w:val="123F2C67"/>
    <w:rsid w:val="12C81640"/>
    <w:rsid w:val="12E80C01"/>
    <w:rsid w:val="12EEE6B9"/>
    <w:rsid w:val="12F79688"/>
    <w:rsid w:val="131B1E26"/>
    <w:rsid w:val="1320A8B9"/>
    <w:rsid w:val="1329A085"/>
    <w:rsid w:val="13360151"/>
    <w:rsid w:val="13802CE3"/>
    <w:rsid w:val="13890B3B"/>
    <w:rsid w:val="13B777CD"/>
    <w:rsid w:val="142B39F6"/>
    <w:rsid w:val="14342E0E"/>
    <w:rsid w:val="1456D960"/>
    <w:rsid w:val="14575DD2"/>
    <w:rsid w:val="154FB95C"/>
    <w:rsid w:val="161FACC3"/>
    <w:rsid w:val="1671BE9B"/>
    <w:rsid w:val="16B45CEF"/>
    <w:rsid w:val="16B7CDA5"/>
    <w:rsid w:val="16C8DA53"/>
    <w:rsid w:val="171D5F3C"/>
    <w:rsid w:val="1787785C"/>
    <w:rsid w:val="17AB0C03"/>
    <w:rsid w:val="17EF70F1"/>
    <w:rsid w:val="18847691"/>
    <w:rsid w:val="18B58892"/>
    <w:rsid w:val="190C686F"/>
    <w:rsid w:val="1923F64F"/>
    <w:rsid w:val="192C0295"/>
    <w:rsid w:val="1960C59B"/>
    <w:rsid w:val="1988D6AB"/>
    <w:rsid w:val="19F42CD9"/>
    <w:rsid w:val="1A11B5EC"/>
    <w:rsid w:val="1A1B56EA"/>
    <w:rsid w:val="1A224356"/>
    <w:rsid w:val="1AA6D191"/>
    <w:rsid w:val="1ADA937C"/>
    <w:rsid w:val="1AF31DE6"/>
    <w:rsid w:val="1AF96661"/>
    <w:rsid w:val="1B482B54"/>
    <w:rsid w:val="1B7C8BCE"/>
    <w:rsid w:val="1B87637C"/>
    <w:rsid w:val="1B987A39"/>
    <w:rsid w:val="1BED2954"/>
    <w:rsid w:val="1C01F840"/>
    <w:rsid w:val="1C0CB10C"/>
    <w:rsid w:val="1C958087"/>
    <w:rsid w:val="1CDAF95B"/>
    <w:rsid w:val="1D2333DD"/>
    <w:rsid w:val="1D471DA9"/>
    <w:rsid w:val="1D52F7AC"/>
    <w:rsid w:val="1D5F2B7D"/>
    <w:rsid w:val="1E064529"/>
    <w:rsid w:val="1E0AC635"/>
    <w:rsid w:val="1E23F144"/>
    <w:rsid w:val="1E2ABEA8"/>
    <w:rsid w:val="1E421CFC"/>
    <w:rsid w:val="1E4AA17C"/>
    <w:rsid w:val="1E7ED3CB"/>
    <w:rsid w:val="1F0E66D7"/>
    <w:rsid w:val="1F24CA16"/>
    <w:rsid w:val="1FC68F09"/>
    <w:rsid w:val="1FDA78F5"/>
    <w:rsid w:val="1FFE0C0C"/>
    <w:rsid w:val="205DFF93"/>
    <w:rsid w:val="20B38498"/>
    <w:rsid w:val="20F0C7BD"/>
    <w:rsid w:val="210D21E0"/>
    <w:rsid w:val="214269A9"/>
    <w:rsid w:val="214F0D10"/>
    <w:rsid w:val="21D22954"/>
    <w:rsid w:val="22003116"/>
    <w:rsid w:val="226525FC"/>
    <w:rsid w:val="22E435CD"/>
    <w:rsid w:val="22FE2FCB"/>
    <w:rsid w:val="235F1453"/>
    <w:rsid w:val="235F5126"/>
    <w:rsid w:val="23BFAF8A"/>
    <w:rsid w:val="23C23930"/>
    <w:rsid w:val="2428687F"/>
    <w:rsid w:val="24380527"/>
    <w:rsid w:val="2490D087"/>
    <w:rsid w:val="25650ADC"/>
    <w:rsid w:val="25983D72"/>
    <w:rsid w:val="26847DE2"/>
    <w:rsid w:val="269746EF"/>
    <w:rsid w:val="26AF3882"/>
    <w:rsid w:val="27048FB1"/>
    <w:rsid w:val="272CD2A5"/>
    <w:rsid w:val="27382A66"/>
    <w:rsid w:val="277A1117"/>
    <w:rsid w:val="27A1988E"/>
    <w:rsid w:val="27B1A87B"/>
    <w:rsid w:val="27D19136"/>
    <w:rsid w:val="2814ED78"/>
    <w:rsid w:val="284E92FA"/>
    <w:rsid w:val="285886F9"/>
    <w:rsid w:val="28C88EB7"/>
    <w:rsid w:val="28CFDE34"/>
    <w:rsid w:val="28D9595C"/>
    <w:rsid w:val="290552D9"/>
    <w:rsid w:val="296AA52B"/>
    <w:rsid w:val="296D714F"/>
    <w:rsid w:val="2ACE8AF5"/>
    <w:rsid w:val="2B551D57"/>
    <w:rsid w:val="2CACDA20"/>
    <w:rsid w:val="2D3236DE"/>
    <w:rsid w:val="2D47A974"/>
    <w:rsid w:val="2D6C2E5E"/>
    <w:rsid w:val="2DC5585C"/>
    <w:rsid w:val="2EB178D2"/>
    <w:rsid w:val="2FBCBD12"/>
    <w:rsid w:val="301703A3"/>
    <w:rsid w:val="3077A6C9"/>
    <w:rsid w:val="309A9FF8"/>
    <w:rsid w:val="30B74D69"/>
    <w:rsid w:val="30BCC3FB"/>
    <w:rsid w:val="30FB893A"/>
    <w:rsid w:val="3120E175"/>
    <w:rsid w:val="31607AF9"/>
    <w:rsid w:val="31DEBFEE"/>
    <w:rsid w:val="321D83E7"/>
    <w:rsid w:val="327A7C28"/>
    <w:rsid w:val="328ECCE4"/>
    <w:rsid w:val="32B6B90A"/>
    <w:rsid w:val="32CC7166"/>
    <w:rsid w:val="32DB961C"/>
    <w:rsid w:val="32F45DD4"/>
    <w:rsid w:val="33364439"/>
    <w:rsid w:val="3343BEFF"/>
    <w:rsid w:val="334B43ED"/>
    <w:rsid w:val="33A7BC9E"/>
    <w:rsid w:val="33C363DC"/>
    <w:rsid w:val="33E5C631"/>
    <w:rsid w:val="34818554"/>
    <w:rsid w:val="34981BBB"/>
    <w:rsid w:val="359E2F0A"/>
    <w:rsid w:val="35DBC96E"/>
    <w:rsid w:val="3636C759"/>
    <w:rsid w:val="366F24D2"/>
    <w:rsid w:val="36BC2F6F"/>
    <w:rsid w:val="36DD0B10"/>
    <w:rsid w:val="36E82773"/>
    <w:rsid w:val="374DED4B"/>
    <w:rsid w:val="376668E7"/>
    <w:rsid w:val="377E1A91"/>
    <w:rsid w:val="37BA9C64"/>
    <w:rsid w:val="385A40D8"/>
    <w:rsid w:val="3879B86E"/>
    <w:rsid w:val="38A936F1"/>
    <w:rsid w:val="38DC4916"/>
    <w:rsid w:val="38E315E2"/>
    <w:rsid w:val="38F3E874"/>
    <w:rsid w:val="398397B2"/>
    <w:rsid w:val="398668B3"/>
    <w:rsid w:val="3A3E373C"/>
    <w:rsid w:val="3A658EAA"/>
    <w:rsid w:val="3AA181C7"/>
    <w:rsid w:val="3AE8F0C3"/>
    <w:rsid w:val="3B075D3F"/>
    <w:rsid w:val="3B219B21"/>
    <w:rsid w:val="3B6AF2C6"/>
    <w:rsid w:val="3B6C79D7"/>
    <w:rsid w:val="3BACBC84"/>
    <w:rsid w:val="3BDA079D"/>
    <w:rsid w:val="3BDC58DE"/>
    <w:rsid w:val="3BE2F6A3"/>
    <w:rsid w:val="3C200543"/>
    <w:rsid w:val="3C2A1935"/>
    <w:rsid w:val="3CAAAAEC"/>
    <w:rsid w:val="3D01B87E"/>
    <w:rsid w:val="3D2B9B69"/>
    <w:rsid w:val="3D2DB1FB"/>
    <w:rsid w:val="3D915148"/>
    <w:rsid w:val="3E04AE61"/>
    <w:rsid w:val="3E35DED9"/>
    <w:rsid w:val="3ECBF9EA"/>
    <w:rsid w:val="3EE7CD7E"/>
    <w:rsid w:val="3F027F72"/>
    <w:rsid w:val="3FABBC4A"/>
    <w:rsid w:val="4125DC50"/>
    <w:rsid w:val="41818D86"/>
    <w:rsid w:val="4203F62F"/>
    <w:rsid w:val="427B9C8D"/>
    <w:rsid w:val="4312B363"/>
    <w:rsid w:val="435C62A6"/>
    <w:rsid w:val="43AA394C"/>
    <w:rsid w:val="43AB1A44"/>
    <w:rsid w:val="43ED09BA"/>
    <w:rsid w:val="441730EC"/>
    <w:rsid w:val="4445B150"/>
    <w:rsid w:val="446271D2"/>
    <w:rsid w:val="449937C3"/>
    <w:rsid w:val="451FCBEC"/>
    <w:rsid w:val="457F8F12"/>
    <w:rsid w:val="4587B9F9"/>
    <w:rsid w:val="459A14F2"/>
    <w:rsid w:val="45EEE245"/>
    <w:rsid w:val="46199925"/>
    <w:rsid w:val="4665F61F"/>
    <w:rsid w:val="468F4091"/>
    <w:rsid w:val="469C0187"/>
    <w:rsid w:val="46A3EDF4"/>
    <w:rsid w:val="46ADA56B"/>
    <w:rsid w:val="46BAAA7C"/>
    <w:rsid w:val="46F589D1"/>
    <w:rsid w:val="471B5F73"/>
    <w:rsid w:val="47ECC598"/>
    <w:rsid w:val="48567ADD"/>
    <w:rsid w:val="48675737"/>
    <w:rsid w:val="4886450E"/>
    <w:rsid w:val="48D88318"/>
    <w:rsid w:val="48F47F0F"/>
    <w:rsid w:val="49491978"/>
    <w:rsid w:val="494C207E"/>
    <w:rsid w:val="49E0F8E2"/>
    <w:rsid w:val="49F9146C"/>
    <w:rsid w:val="4A0F6417"/>
    <w:rsid w:val="4A5B2B1C"/>
    <w:rsid w:val="4A6A2D6E"/>
    <w:rsid w:val="4A772713"/>
    <w:rsid w:val="4AB14E14"/>
    <w:rsid w:val="4AD90922"/>
    <w:rsid w:val="4AE02676"/>
    <w:rsid w:val="4B192053"/>
    <w:rsid w:val="4B62E38A"/>
    <w:rsid w:val="4B8E2556"/>
    <w:rsid w:val="4B9604FD"/>
    <w:rsid w:val="4BAC8A1F"/>
    <w:rsid w:val="4BAFF2EA"/>
    <w:rsid w:val="4BBEE419"/>
    <w:rsid w:val="4BCA5717"/>
    <w:rsid w:val="4BDBDC8A"/>
    <w:rsid w:val="4C499A86"/>
    <w:rsid w:val="4C823296"/>
    <w:rsid w:val="4C9BA804"/>
    <w:rsid w:val="4CC2F268"/>
    <w:rsid w:val="4D0683E0"/>
    <w:rsid w:val="4D29EC00"/>
    <w:rsid w:val="4DC7523F"/>
    <w:rsid w:val="4E32DA46"/>
    <w:rsid w:val="4EE793AC"/>
    <w:rsid w:val="4F8E1569"/>
    <w:rsid w:val="4F90A98F"/>
    <w:rsid w:val="4F9351E8"/>
    <w:rsid w:val="50478F46"/>
    <w:rsid w:val="50CB8CC2"/>
    <w:rsid w:val="50E2494E"/>
    <w:rsid w:val="50E4B51F"/>
    <w:rsid w:val="5103E34C"/>
    <w:rsid w:val="51623C51"/>
    <w:rsid w:val="519FBFF1"/>
    <w:rsid w:val="51B8540D"/>
    <w:rsid w:val="51F4BBBA"/>
    <w:rsid w:val="5211E3A6"/>
    <w:rsid w:val="5259B4B5"/>
    <w:rsid w:val="52675D23"/>
    <w:rsid w:val="52C337F5"/>
    <w:rsid w:val="5361A215"/>
    <w:rsid w:val="538B891A"/>
    <w:rsid w:val="53BB04CF"/>
    <w:rsid w:val="53C647A9"/>
    <w:rsid w:val="53CB936E"/>
    <w:rsid w:val="53E67A88"/>
    <w:rsid w:val="540895BA"/>
    <w:rsid w:val="5427F95F"/>
    <w:rsid w:val="544D9425"/>
    <w:rsid w:val="5463831F"/>
    <w:rsid w:val="548FA76B"/>
    <w:rsid w:val="54A578F9"/>
    <w:rsid w:val="54D73F98"/>
    <w:rsid w:val="5521608B"/>
    <w:rsid w:val="5534339C"/>
    <w:rsid w:val="5588B0C5"/>
    <w:rsid w:val="55956FC7"/>
    <w:rsid w:val="55D7546F"/>
    <w:rsid w:val="55F40E74"/>
    <w:rsid w:val="56383D75"/>
    <w:rsid w:val="56BAAF57"/>
    <w:rsid w:val="56FBF4BD"/>
    <w:rsid w:val="570F606B"/>
    <w:rsid w:val="57731012"/>
    <w:rsid w:val="57995924"/>
    <w:rsid w:val="579E63CD"/>
    <w:rsid w:val="5805AACC"/>
    <w:rsid w:val="586FABFA"/>
    <w:rsid w:val="58C3720D"/>
    <w:rsid w:val="58CE1172"/>
    <w:rsid w:val="58F98013"/>
    <w:rsid w:val="59D77779"/>
    <w:rsid w:val="59F78A57"/>
    <w:rsid w:val="5A2170FF"/>
    <w:rsid w:val="5A726F08"/>
    <w:rsid w:val="5A78E449"/>
    <w:rsid w:val="5A7CCE3C"/>
    <w:rsid w:val="5A80396E"/>
    <w:rsid w:val="5A8822E5"/>
    <w:rsid w:val="5A895C6A"/>
    <w:rsid w:val="5B02FB29"/>
    <w:rsid w:val="5B194AD4"/>
    <w:rsid w:val="5B4CDED6"/>
    <w:rsid w:val="5BB311C8"/>
    <w:rsid w:val="5BC7CD98"/>
    <w:rsid w:val="5BFA4017"/>
    <w:rsid w:val="5C4CBD99"/>
    <w:rsid w:val="5CA9B5CF"/>
    <w:rsid w:val="5CC0513C"/>
    <w:rsid w:val="5CC92920"/>
    <w:rsid w:val="5D00E23A"/>
    <w:rsid w:val="5D0F183B"/>
    <w:rsid w:val="5D2D8F16"/>
    <w:rsid w:val="5E53D590"/>
    <w:rsid w:val="5E84AA60"/>
    <w:rsid w:val="5E903FAE"/>
    <w:rsid w:val="5E9CB29B"/>
    <w:rsid w:val="5F223AD6"/>
    <w:rsid w:val="5F34A554"/>
    <w:rsid w:val="5F3799B1"/>
    <w:rsid w:val="5F45E02B"/>
    <w:rsid w:val="5F5F0888"/>
    <w:rsid w:val="5F6B2172"/>
    <w:rsid w:val="60291643"/>
    <w:rsid w:val="60407082"/>
    <w:rsid w:val="60B61877"/>
    <w:rsid w:val="60C61D05"/>
    <w:rsid w:val="6122FB53"/>
    <w:rsid w:val="61B30019"/>
    <w:rsid w:val="62043657"/>
    <w:rsid w:val="627D80ED"/>
    <w:rsid w:val="62E17ABD"/>
    <w:rsid w:val="62EECE9F"/>
    <w:rsid w:val="631E2110"/>
    <w:rsid w:val="63291B2B"/>
    <w:rsid w:val="6343795E"/>
    <w:rsid w:val="638C27CE"/>
    <w:rsid w:val="6391FB0C"/>
    <w:rsid w:val="643639D2"/>
    <w:rsid w:val="64587263"/>
    <w:rsid w:val="647641AA"/>
    <w:rsid w:val="64826EEE"/>
    <w:rsid w:val="6490B512"/>
    <w:rsid w:val="64A13F4A"/>
    <w:rsid w:val="64BC61E7"/>
    <w:rsid w:val="64F33EB7"/>
    <w:rsid w:val="6501C61F"/>
    <w:rsid w:val="650B002F"/>
    <w:rsid w:val="652A57B3"/>
    <w:rsid w:val="65694974"/>
    <w:rsid w:val="659422D3"/>
    <w:rsid w:val="65D7EB0A"/>
    <w:rsid w:val="65D8E662"/>
    <w:rsid w:val="66271570"/>
    <w:rsid w:val="66767667"/>
    <w:rsid w:val="6770A191"/>
    <w:rsid w:val="67F6C9A6"/>
    <w:rsid w:val="6859B868"/>
    <w:rsid w:val="68618538"/>
    <w:rsid w:val="68C2F0DC"/>
    <w:rsid w:val="68CF3F6B"/>
    <w:rsid w:val="68D8EEC5"/>
    <w:rsid w:val="69043579"/>
    <w:rsid w:val="69EAE125"/>
    <w:rsid w:val="6A18DBEE"/>
    <w:rsid w:val="6A6ABFB7"/>
    <w:rsid w:val="6A95C885"/>
    <w:rsid w:val="6AE16B8E"/>
    <w:rsid w:val="6AF2637B"/>
    <w:rsid w:val="6AFFF696"/>
    <w:rsid w:val="6B7DA27C"/>
    <w:rsid w:val="6BB11EB8"/>
    <w:rsid w:val="6BBFACC9"/>
    <w:rsid w:val="6BEC8EA5"/>
    <w:rsid w:val="6C32F439"/>
    <w:rsid w:val="6C6E3835"/>
    <w:rsid w:val="6D031E64"/>
    <w:rsid w:val="6DA5D233"/>
    <w:rsid w:val="6DB1D3FA"/>
    <w:rsid w:val="6DD737F5"/>
    <w:rsid w:val="6E33D819"/>
    <w:rsid w:val="6EBAC3EB"/>
    <w:rsid w:val="6F26665F"/>
    <w:rsid w:val="6F2855B8"/>
    <w:rsid w:val="6F3F8529"/>
    <w:rsid w:val="6F6D7888"/>
    <w:rsid w:val="6FEA9FE4"/>
    <w:rsid w:val="7037A3AE"/>
    <w:rsid w:val="70A0C159"/>
    <w:rsid w:val="70E9026D"/>
    <w:rsid w:val="710948E9"/>
    <w:rsid w:val="7302CD4F"/>
    <w:rsid w:val="73BFF00A"/>
    <w:rsid w:val="73D74D5C"/>
    <w:rsid w:val="7440E9AB"/>
    <w:rsid w:val="749C46C4"/>
    <w:rsid w:val="7511FD34"/>
    <w:rsid w:val="7523380B"/>
    <w:rsid w:val="7529450E"/>
    <w:rsid w:val="75689A8C"/>
    <w:rsid w:val="757CBF62"/>
    <w:rsid w:val="75B9DF47"/>
    <w:rsid w:val="761DED2A"/>
    <w:rsid w:val="764F7034"/>
    <w:rsid w:val="765F8195"/>
    <w:rsid w:val="768A4C88"/>
    <w:rsid w:val="76ACAD73"/>
    <w:rsid w:val="76BE5C5D"/>
    <w:rsid w:val="7734C863"/>
    <w:rsid w:val="773F8DE3"/>
    <w:rsid w:val="77BAF79B"/>
    <w:rsid w:val="77F935C3"/>
    <w:rsid w:val="7832F4FF"/>
    <w:rsid w:val="7839084A"/>
    <w:rsid w:val="78CF63DF"/>
    <w:rsid w:val="78E88C3C"/>
    <w:rsid w:val="78F1AB64"/>
    <w:rsid w:val="7993CC6B"/>
    <w:rsid w:val="7A03AF94"/>
    <w:rsid w:val="7A0FE25C"/>
    <w:rsid w:val="7A767304"/>
    <w:rsid w:val="7A813E0F"/>
    <w:rsid w:val="7B4D2830"/>
    <w:rsid w:val="7B586CE6"/>
    <w:rsid w:val="7B68165B"/>
    <w:rsid w:val="7B696DD0"/>
    <w:rsid w:val="7C343AE9"/>
    <w:rsid w:val="7C59958B"/>
    <w:rsid w:val="7C85B3D8"/>
    <w:rsid w:val="7CA7C95B"/>
    <w:rsid w:val="7D8C6461"/>
    <w:rsid w:val="7DA6DB39"/>
    <w:rsid w:val="7DC20C9F"/>
    <w:rsid w:val="7DE1789C"/>
    <w:rsid w:val="7E23C05B"/>
    <w:rsid w:val="7EF10085"/>
    <w:rsid w:val="7EFB17EB"/>
    <w:rsid w:val="7F196FD5"/>
    <w:rsid w:val="7F455961"/>
    <w:rsid w:val="7F801B15"/>
    <w:rsid w:val="7F8B8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 w:type="character" w:styleId="Hyperlink">
    <w:name w:val="Hyperlink"/>
    <w:basedOn w:val="DefaultParagraphFont"/>
    <w:uiPriority w:val="99"/>
    <w:unhideWhenUsed/>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1718818949">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98718806">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2028749987">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1296254128">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1460956144">
          <w:marLeft w:val="0"/>
          <w:marRight w:val="0"/>
          <w:marTop w:val="0"/>
          <w:marBottom w:val="0"/>
          <w:divBdr>
            <w:top w:val="none" w:sz="0" w:space="0" w:color="auto"/>
            <w:left w:val="none" w:sz="0" w:space="0" w:color="auto"/>
            <w:bottom w:val="none" w:sz="0" w:space="0" w:color="auto"/>
            <w:right w:val="none" w:sz="0" w:space="0" w:color="auto"/>
          </w:divBdr>
        </w:div>
        <w:div w:id="69036379">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711997555">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252951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689722082">
          <w:marLeft w:val="0"/>
          <w:marRight w:val="0"/>
          <w:marTop w:val="0"/>
          <w:marBottom w:val="0"/>
          <w:divBdr>
            <w:top w:val="none" w:sz="0" w:space="0" w:color="auto"/>
            <w:left w:val="none" w:sz="0" w:space="0" w:color="auto"/>
            <w:bottom w:val="none" w:sz="0" w:space="0" w:color="auto"/>
            <w:right w:val="none" w:sz="0" w:space="0" w:color="auto"/>
          </w:divBdr>
          <w:divsChild>
            <w:div w:id="2042780307">
              <w:marLeft w:val="0"/>
              <w:marRight w:val="0"/>
              <w:marTop w:val="0"/>
              <w:marBottom w:val="0"/>
              <w:divBdr>
                <w:top w:val="none" w:sz="0" w:space="0" w:color="auto"/>
                <w:left w:val="none" w:sz="0" w:space="0" w:color="auto"/>
                <w:bottom w:val="none" w:sz="0" w:space="0" w:color="auto"/>
                <w:right w:val="none" w:sz="0" w:space="0" w:color="auto"/>
              </w:divBdr>
            </w:div>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sChild>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1941547">
          <w:marLeft w:val="0"/>
          <w:marRight w:val="0"/>
          <w:marTop w:val="0"/>
          <w:marBottom w:val="0"/>
          <w:divBdr>
            <w:top w:val="none" w:sz="0" w:space="0" w:color="auto"/>
            <w:left w:val="none" w:sz="0" w:space="0" w:color="auto"/>
            <w:bottom w:val="none" w:sz="0" w:space="0" w:color="auto"/>
            <w:right w:val="none" w:sz="0" w:space="0" w:color="auto"/>
          </w:divBdr>
          <w:divsChild>
            <w:div w:id="2082556830">
              <w:marLeft w:val="0"/>
              <w:marRight w:val="0"/>
              <w:marTop w:val="0"/>
              <w:marBottom w:val="0"/>
              <w:divBdr>
                <w:top w:val="none" w:sz="0" w:space="0" w:color="auto"/>
                <w:left w:val="none" w:sz="0" w:space="0" w:color="auto"/>
                <w:bottom w:val="none" w:sz="0" w:space="0" w:color="auto"/>
                <w:right w:val="none" w:sz="0" w:space="0" w:color="auto"/>
              </w:divBdr>
            </w:div>
            <w:div w:id="119156636">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1809665098">
          <w:marLeft w:val="0"/>
          <w:marRight w:val="0"/>
          <w:marTop w:val="0"/>
          <w:marBottom w:val="0"/>
          <w:divBdr>
            <w:top w:val="none" w:sz="0" w:space="0" w:color="auto"/>
            <w:left w:val="none" w:sz="0" w:space="0" w:color="auto"/>
            <w:bottom w:val="none" w:sz="0" w:space="0" w:color="auto"/>
            <w:right w:val="none" w:sz="0" w:space="0" w:color="auto"/>
          </w:divBdr>
        </w:div>
        <w:div w:id="1430467407">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724523659">
              <w:marLeft w:val="0"/>
              <w:marRight w:val="0"/>
              <w:marTop w:val="0"/>
              <w:marBottom w:val="0"/>
              <w:divBdr>
                <w:top w:val="none" w:sz="0" w:space="0" w:color="auto"/>
                <w:left w:val="none" w:sz="0" w:space="0" w:color="auto"/>
                <w:bottom w:val="none" w:sz="0" w:space="0" w:color="auto"/>
                <w:right w:val="none" w:sz="0" w:space="0" w:color="auto"/>
              </w:divBdr>
            </w:div>
            <w:div w:id="15757821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sChild>
        </w:div>
        <w:div w:id="83791">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487289176">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2133136466">
              <w:marLeft w:val="0"/>
              <w:marRight w:val="0"/>
              <w:marTop w:val="0"/>
              <w:marBottom w:val="0"/>
              <w:divBdr>
                <w:top w:val="none" w:sz="0" w:space="0" w:color="auto"/>
                <w:left w:val="none" w:sz="0" w:space="0" w:color="auto"/>
                <w:bottom w:val="none" w:sz="0" w:space="0" w:color="auto"/>
                <w:right w:val="none" w:sz="0" w:space="0" w:color="auto"/>
              </w:divBdr>
            </w:div>
            <w:div w:id="1294674835">
              <w:marLeft w:val="0"/>
              <w:marRight w:val="0"/>
              <w:marTop w:val="0"/>
              <w:marBottom w:val="0"/>
              <w:divBdr>
                <w:top w:val="none" w:sz="0" w:space="0" w:color="auto"/>
                <w:left w:val="none" w:sz="0" w:space="0" w:color="auto"/>
                <w:bottom w:val="none" w:sz="0" w:space="0" w:color="auto"/>
                <w:right w:val="none" w:sz="0" w:space="0" w:color="auto"/>
              </w:divBdr>
            </w:div>
          </w:divsChild>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1135951045">
              <w:marLeft w:val="0"/>
              <w:marRight w:val="0"/>
              <w:marTop w:val="0"/>
              <w:marBottom w:val="0"/>
              <w:divBdr>
                <w:top w:val="none" w:sz="0" w:space="0" w:color="auto"/>
                <w:left w:val="none" w:sz="0" w:space="0" w:color="auto"/>
                <w:bottom w:val="none" w:sz="0" w:space="0" w:color="auto"/>
                <w:right w:val="none" w:sz="0" w:space="0" w:color="auto"/>
              </w:divBdr>
            </w:div>
            <w:div w:id="945387544">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42682021">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13970507">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74330185">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285623999">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120548456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507184507">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998189039">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803423745">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089933798">
              <w:marLeft w:val="0"/>
              <w:marRight w:val="0"/>
              <w:marTop w:val="0"/>
              <w:marBottom w:val="0"/>
              <w:divBdr>
                <w:top w:val="none" w:sz="0" w:space="0" w:color="auto"/>
                <w:left w:val="none" w:sz="0" w:space="0" w:color="auto"/>
                <w:bottom w:val="none" w:sz="0" w:space="0" w:color="auto"/>
                <w:right w:val="none" w:sz="0" w:space="0" w:color="auto"/>
              </w:divBdr>
            </w:div>
            <w:div w:id="124585305">
              <w:marLeft w:val="0"/>
              <w:marRight w:val="0"/>
              <w:marTop w:val="0"/>
              <w:marBottom w:val="0"/>
              <w:divBdr>
                <w:top w:val="none" w:sz="0" w:space="0" w:color="auto"/>
                <w:left w:val="none" w:sz="0" w:space="0" w:color="auto"/>
                <w:bottom w:val="none" w:sz="0" w:space="0" w:color="auto"/>
                <w:right w:val="none" w:sz="0" w:space="0" w:color="auto"/>
              </w:divBdr>
            </w:div>
          </w:divsChild>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343121368">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 w:id="1092582386">
              <w:marLeft w:val="0"/>
              <w:marRight w:val="0"/>
              <w:marTop w:val="0"/>
              <w:marBottom w:val="0"/>
              <w:divBdr>
                <w:top w:val="none" w:sz="0" w:space="0" w:color="auto"/>
                <w:left w:val="none" w:sz="0" w:space="0" w:color="auto"/>
                <w:bottom w:val="none" w:sz="0" w:space="0" w:color="auto"/>
                <w:right w:val="none" w:sz="0" w:space="0" w:color="auto"/>
              </w:divBdr>
            </w:div>
          </w:divsChild>
        </w:div>
        <w:div w:id="960234023">
          <w:marLeft w:val="0"/>
          <w:marRight w:val="0"/>
          <w:marTop w:val="0"/>
          <w:marBottom w:val="0"/>
          <w:divBdr>
            <w:top w:val="none" w:sz="0" w:space="0" w:color="auto"/>
            <w:left w:val="none" w:sz="0" w:space="0" w:color="auto"/>
            <w:bottom w:val="none" w:sz="0" w:space="0" w:color="auto"/>
            <w:right w:val="none" w:sz="0" w:space="0" w:color="auto"/>
          </w:divBdr>
        </w:div>
        <w:div w:id="12944053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779521606">
          <w:marLeft w:val="0"/>
          <w:marRight w:val="0"/>
          <w:marTop w:val="0"/>
          <w:marBottom w:val="0"/>
          <w:divBdr>
            <w:top w:val="none" w:sz="0" w:space="0" w:color="auto"/>
            <w:left w:val="none" w:sz="0" w:space="0" w:color="auto"/>
            <w:bottom w:val="none" w:sz="0" w:space="0" w:color="auto"/>
            <w:right w:val="none" w:sz="0" w:space="0" w:color="auto"/>
          </w:divBdr>
        </w:div>
        <w:div w:id="117645101">
          <w:marLeft w:val="0"/>
          <w:marRight w:val="0"/>
          <w:marTop w:val="0"/>
          <w:marBottom w:val="0"/>
          <w:divBdr>
            <w:top w:val="none" w:sz="0" w:space="0" w:color="auto"/>
            <w:left w:val="none" w:sz="0" w:space="0" w:color="auto"/>
            <w:bottom w:val="none" w:sz="0" w:space="0" w:color="auto"/>
            <w:right w:val="none" w:sz="0" w:space="0" w:color="auto"/>
          </w:divBdr>
          <w:divsChild>
            <w:div w:id="639961750">
              <w:marLeft w:val="0"/>
              <w:marRight w:val="0"/>
              <w:marTop w:val="0"/>
              <w:marBottom w:val="0"/>
              <w:divBdr>
                <w:top w:val="none" w:sz="0" w:space="0" w:color="auto"/>
                <w:left w:val="none" w:sz="0" w:space="0" w:color="auto"/>
                <w:bottom w:val="none" w:sz="0" w:space="0" w:color="auto"/>
                <w:right w:val="none" w:sz="0" w:space="0" w:color="auto"/>
              </w:divBdr>
            </w:div>
            <w:div w:id="30805673">
              <w:marLeft w:val="0"/>
              <w:marRight w:val="0"/>
              <w:marTop w:val="0"/>
              <w:marBottom w:val="0"/>
              <w:divBdr>
                <w:top w:val="none" w:sz="0" w:space="0" w:color="auto"/>
                <w:left w:val="none" w:sz="0" w:space="0" w:color="auto"/>
                <w:bottom w:val="none" w:sz="0" w:space="0" w:color="auto"/>
                <w:right w:val="none" w:sz="0" w:space="0" w:color="auto"/>
              </w:divBdr>
            </w:div>
          </w:divsChild>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1166752692">
          <w:marLeft w:val="0"/>
          <w:marRight w:val="0"/>
          <w:marTop w:val="0"/>
          <w:marBottom w:val="0"/>
          <w:divBdr>
            <w:top w:val="none" w:sz="0" w:space="0" w:color="auto"/>
            <w:left w:val="none" w:sz="0" w:space="0" w:color="auto"/>
            <w:bottom w:val="none" w:sz="0" w:space="0" w:color="auto"/>
            <w:right w:val="none" w:sz="0" w:space="0" w:color="auto"/>
          </w:divBdr>
        </w:div>
        <w:div w:id="337849517">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 w:id="793862447">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1571769742">
          <w:marLeft w:val="0"/>
          <w:marRight w:val="0"/>
          <w:marTop w:val="0"/>
          <w:marBottom w:val="0"/>
          <w:divBdr>
            <w:top w:val="none" w:sz="0" w:space="0" w:color="auto"/>
            <w:left w:val="none" w:sz="0" w:space="0" w:color="auto"/>
            <w:bottom w:val="none" w:sz="0" w:space="0" w:color="auto"/>
            <w:right w:val="none" w:sz="0" w:space="0" w:color="auto"/>
          </w:divBdr>
          <w:divsChild>
            <w:div w:id="975452849">
              <w:marLeft w:val="0"/>
              <w:marRight w:val="0"/>
              <w:marTop w:val="0"/>
              <w:marBottom w:val="0"/>
              <w:divBdr>
                <w:top w:val="none" w:sz="0" w:space="0" w:color="auto"/>
                <w:left w:val="none" w:sz="0" w:space="0" w:color="auto"/>
                <w:bottom w:val="none" w:sz="0" w:space="0" w:color="auto"/>
                <w:right w:val="none" w:sz="0" w:space="0" w:color="auto"/>
              </w:divBdr>
            </w:div>
            <w:div w:id="386416630">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1630084609">
              <w:marLeft w:val="0"/>
              <w:marRight w:val="0"/>
              <w:marTop w:val="0"/>
              <w:marBottom w:val="0"/>
              <w:divBdr>
                <w:top w:val="none" w:sz="0" w:space="0" w:color="auto"/>
                <w:left w:val="none" w:sz="0" w:space="0" w:color="auto"/>
                <w:bottom w:val="none" w:sz="0" w:space="0" w:color="auto"/>
                <w:right w:val="none" w:sz="0" w:space="0" w:color="auto"/>
              </w:divBdr>
            </w:div>
            <w:div w:id="703822256">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gupubs.onlinelibrary.wiley.com/doi/full/10.1029/2019GL08625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reports/.%C2%A0%20HYPERLINK%20%22http:/www.theccc.org.uk/reports/.%C2%A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2.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customXml/itemProps3.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4.xml><?xml version="1.0" encoding="utf-8"?>
<ds:datastoreItem xmlns:ds="http://schemas.openxmlformats.org/officeDocument/2006/customXml" ds:itemID="{4B43873B-0ED7-45B2-9611-55CA81A1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FCEFFA-25AB-4D29-B990-B3631CBFECDD}">
  <ds:schemaRefs>
    <ds:schemaRef ds:uri="http://purl.org/dc/elements/1.1/"/>
    <ds:schemaRef ds:uri="662745e8-e224-48e8-a2e3-254862b8c2f5"/>
    <ds:schemaRef ds:uri="http://schemas.microsoft.com/office/2006/documentManagement/types"/>
    <ds:schemaRef ds:uri="http://schemas.microsoft.com/sharepoint/v3"/>
    <ds:schemaRef ds:uri="http://purl.org/dc/dcmitype/"/>
    <ds:schemaRef ds:uri="http://purl.org/dc/terms/"/>
    <ds:schemaRef ds:uri="http://www.w3.org/XML/1998/namespace"/>
    <ds:schemaRef ds:uri="3964904f-5f85-4184-bdfc-bbe062de5a69"/>
    <ds:schemaRef ds:uri="http://schemas.microsoft.com/office/infopath/2007/PartnerControls"/>
    <ds:schemaRef ds:uri="http://schemas.openxmlformats.org/package/2006/metadata/core-properties"/>
    <ds:schemaRef ds:uri="b7969ffa-e39d-471d-bbf2-6dac38a71bc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2885</Words>
  <Characters>16446</Characters>
  <Application>Microsoft Office Word</Application>
  <DocSecurity>0</DocSecurity>
  <Lines>137</Lines>
  <Paragraphs>38</Paragraphs>
  <ScaleCrop>false</ScaleCrop>
  <Company>Microsoft</Company>
  <LinksUpToDate>false</LinksUpToDate>
  <CharactersWithSpaces>19293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3</cp:revision>
  <dcterms:created xsi:type="dcterms:W3CDTF">2022-11-10T08:54:00Z</dcterms:created>
  <dcterms:modified xsi:type="dcterms:W3CDTF">2022-11-10T08:55:00Z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