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978FE" w14:textId="77777777" w:rsidR="00150309" w:rsidRDefault="00150309">
      <w:r>
        <w:rPr>
          <w:noProof/>
        </w:rPr>
        <w:drawing>
          <wp:anchor distT="0" distB="0" distL="114300" distR="114300" simplePos="0" relativeHeight="251659264" behindDoc="0" locked="0" layoutInCell="1" allowOverlap="1" wp14:anchorId="566D3772" wp14:editId="36F4F98A">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06E35935" w14:textId="77777777" w:rsidR="00150309" w:rsidRDefault="00150309">
      <w:pPr>
        <w:pStyle w:val="Heading1"/>
      </w:pPr>
      <w:bookmarkStart w:id="0" w:name="_Toc32303547"/>
    </w:p>
    <w:p w14:paraId="5AE1EAD1" w14:textId="77777777" w:rsidR="00150309" w:rsidRDefault="00150309">
      <w:pPr>
        <w:pStyle w:val="Heading1"/>
      </w:pPr>
      <w:bookmarkStart w:id="1" w:name="_Toc33176231"/>
      <w:r>
        <w:t>G-Cloud 12 Call-Off Contract</w:t>
      </w:r>
      <w:bookmarkEnd w:id="0"/>
      <w:bookmarkEnd w:id="1"/>
      <w:r>
        <w:t xml:space="preserve"> </w:t>
      </w:r>
    </w:p>
    <w:p w14:paraId="27FA4658" w14:textId="77777777" w:rsidR="00150309" w:rsidRDefault="00150309">
      <w:pPr>
        <w:rPr>
          <w:sz w:val="28"/>
          <w:szCs w:val="28"/>
        </w:rPr>
      </w:pPr>
    </w:p>
    <w:p w14:paraId="47695F75" w14:textId="77777777" w:rsidR="00150309" w:rsidRDefault="00150309">
      <w:pPr>
        <w:rPr>
          <w:sz w:val="28"/>
          <w:szCs w:val="28"/>
        </w:rPr>
      </w:pPr>
    </w:p>
    <w:p w14:paraId="307FDBE7" w14:textId="77777777" w:rsidR="00150309" w:rsidRDefault="00150309">
      <w:pPr>
        <w:rPr>
          <w:rFonts w:eastAsia="Times New Roman"/>
          <w:lang w:eastAsia="en-US"/>
        </w:rPr>
      </w:pPr>
      <w:r>
        <w:rPr>
          <w:rFonts w:eastAsia="Times New Roman"/>
          <w:lang w:eastAsia="en-US"/>
        </w:rPr>
        <w:t>This Call-Off Contract for the G-Cloud 12 Framework Agreement (RM1557.12) includes:</w:t>
      </w:r>
    </w:p>
    <w:p w14:paraId="342402F0" w14:textId="77777777" w:rsidR="00150309" w:rsidRDefault="00150309">
      <w:pPr>
        <w:pStyle w:val="TOC1"/>
      </w:pPr>
      <w:r>
        <w:rPr>
          <w:rFonts w:ascii="Arial" w:hAnsi="Arial"/>
          <w:b w:val="0"/>
          <w:bCs w:val="0"/>
          <w:i w:val="0"/>
          <w:iCs w:val="0"/>
          <w:sz w:val="22"/>
          <w:szCs w:val="22"/>
        </w:rPr>
        <w:fldChar w:fldCharType="begin"/>
      </w:r>
      <w:r>
        <w:instrText xml:space="preserve"> TOC \o "1-2" </w:instrText>
      </w:r>
      <w:r>
        <w:rPr>
          <w:rFonts w:ascii="Arial" w:hAnsi="Arial"/>
          <w:b w:val="0"/>
          <w:bCs w:val="0"/>
          <w:i w:val="0"/>
          <w:iCs w:val="0"/>
          <w:sz w:val="22"/>
          <w:szCs w:val="22"/>
        </w:rPr>
        <w:fldChar w:fldCharType="separate"/>
      </w:r>
    </w:p>
    <w:p w14:paraId="649178BE" w14:textId="77777777" w:rsidR="00150309" w:rsidRDefault="00150309">
      <w:pPr>
        <w:pStyle w:val="TOC2"/>
      </w:pPr>
      <w:r>
        <w:rPr>
          <w:rFonts w:ascii="Arial" w:hAnsi="Arial"/>
          <w:b w:val="0"/>
        </w:rPr>
        <w:t>Part A: Order Form</w:t>
      </w:r>
      <w:r>
        <w:rPr>
          <w:rFonts w:ascii="Arial" w:hAnsi="Arial"/>
          <w:b w:val="0"/>
        </w:rPr>
        <w:tab/>
        <w:t>2</w:t>
      </w:r>
    </w:p>
    <w:p w14:paraId="3BD1FCC5" w14:textId="77777777" w:rsidR="00150309" w:rsidRDefault="00150309">
      <w:pPr>
        <w:pStyle w:val="TOC2"/>
      </w:pPr>
      <w:r>
        <w:rPr>
          <w:rFonts w:ascii="Arial" w:hAnsi="Arial"/>
          <w:b w:val="0"/>
        </w:rPr>
        <w:t>Schedule 1: Services</w:t>
      </w:r>
      <w:r>
        <w:rPr>
          <w:rFonts w:ascii="Arial" w:hAnsi="Arial"/>
          <w:b w:val="0"/>
        </w:rPr>
        <w:tab/>
        <w:t>12</w:t>
      </w:r>
    </w:p>
    <w:p w14:paraId="01DAF30D" w14:textId="77777777" w:rsidR="00150309" w:rsidRDefault="00150309">
      <w:pPr>
        <w:pStyle w:val="TOC2"/>
      </w:pPr>
      <w:r>
        <w:rPr>
          <w:rFonts w:ascii="Arial" w:hAnsi="Arial"/>
          <w:b w:val="0"/>
        </w:rPr>
        <w:t>Schedule 2: Call-Off Contract charges</w:t>
      </w:r>
      <w:r>
        <w:rPr>
          <w:rFonts w:ascii="Arial" w:hAnsi="Arial"/>
          <w:b w:val="0"/>
        </w:rPr>
        <w:tab/>
        <w:t>12</w:t>
      </w:r>
    </w:p>
    <w:p w14:paraId="47AAF943" w14:textId="77777777" w:rsidR="00150309" w:rsidRDefault="00150309">
      <w:pPr>
        <w:pStyle w:val="TOC2"/>
      </w:pPr>
      <w:r>
        <w:rPr>
          <w:rFonts w:ascii="Arial" w:hAnsi="Arial"/>
          <w:b w:val="0"/>
        </w:rPr>
        <w:t>Part B: Terms and conditions</w:t>
      </w:r>
      <w:r>
        <w:rPr>
          <w:rFonts w:ascii="Arial" w:hAnsi="Arial"/>
          <w:b w:val="0"/>
        </w:rPr>
        <w:tab/>
        <w:t>15</w:t>
      </w:r>
    </w:p>
    <w:p w14:paraId="05295A62" w14:textId="77777777" w:rsidR="00150309" w:rsidRDefault="00150309">
      <w:pPr>
        <w:pStyle w:val="TOC2"/>
      </w:pPr>
      <w:r>
        <w:rPr>
          <w:rFonts w:ascii="Arial" w:hAnsi="Arial"/>
          <w:b w:val="0"/>
        </w:rPr>
        <w:t>Schedule 3: Collaboration agreement</w:t>
      </w:r>
      <w:r>
        <w:rPr>
          <w:rFonts w:ascii="Arial" w:hAnsi="Arial"/>
          <w:b w:val="0"/>
        </w:rPr>
        <w:tab/>
        <w:t>34</w:t>
      </w:r>
    </w:p>
    <w:p w14:paraId="1E7D2052" w14:textId="77777777" w:rsidR="00150309" w:rsidRDefault="00150309">
      <w:pPr>
        <w:pStyle w:val="TOC2"/>
      </w:pPr>
      <w:r>
        <w:rPr>
          <w:rFonts w:ascii="Arial" w:hAnsi="Arial"/>
          <w:b w:val="0"/>
        </w:rPr>
        <w:t>Schedule 4: Alternative clauses</w:t>
      </w:r>
      <w:r>
        <w:rPr>
          <w:rFonts w:ascii="Arial" w:hAnsi="Arial"/>
          <w:b w:val="0"/>
        </w:rPr>
        <w:tab/>
        <w:t>34</w:t>
      </w:r>
    </w:p>
    <w:p w14:paraId="414D9E8A" w14:textId="77777777" w:rsidR="00150309" w:rsidRDefault="00150309">
      <w:pPr>
        <w:pStyle w:val="TOC2"/>
      </w:pPr>
      <w:r>
        <w:rPr>
          <w:rFonts w:ascii="Arial" w:hAnsi="Arial"/>
          <w:b w:val="0"/>
        </w:rPr>
        <w:t>Schedule 5: Guarantee</w:t>
      </w:r>
      <w:r>
        <w:rPr>
          <w:rFonts w:ascii="Arial" w:hAnsi="Arial"/>
          <w:b w:val="0"/>
        </w:rPr>
        <w:tab/>
        <w:t>34</w:t>
      </w:r>
    </w:p>
    <w:p w14:paraId="59C7E92D" w14:textId="77777777" w:rsidR="00150309" w:rsidRDefault="00150309">
      <w:pPr>
        <w:pStyle w:val="TOC2"/>
        <w:rPr>
          <w:rFonts w:ascii="Arial" w:hAnsi="Arial"/>
          <w:b w:val="0"/>
        </w:rPr>
      </w:pPr>
      <w:r>
        <w:rPr>
          <w:rFonts w:ascii="Arial" w:hAnsi="Arial"/>
          <w:b w:val="0"/>
        </w:rPr>
        <w:t>Schedule 6: Glossary and interpretations</w:t>
      </w:r>
      <w:r>
        <w:rPr>
          <w:rFonts w:ascii="Arial" w:hAnsi="Arial"/>
          <w:b w:val="0"/>
        </w:rPr>
        <w:tab/>
        <w:t>34</w:t>
      </w:r>
      <w:r w:rsidRPr="00B03D55">
        <w:rPr>
          <w:rFonts w:ascii="Arial" w:hAnsi="Arial"/>
          <w:b w:val="0"/>
        </w:rPr>
        <w:t xml:space="preserve"> </w:t>
      </w:r>
    </w:p>
    <w:p w14:paraId="65494367" w14:textId="77777777" w:rsidR="00150309" w:rsidRDefault="00150309">
      <w:pPr>
        <w:pStyle w:val="TOC2"/>
      </w:pPr>
      <w:r>
        <w:rPr>
          <w:rFonts w:ascii="Arial" w:hAnsi="Arial"/>
          <w:b w:val="0"/>
        </w:rPr>
        <w:t>Schedule 7: GDPR Information</w:t>
      </w:r>
      <w:r>
        <w:rPr>
          <w:rFonts w:ascii="Arial" w:hAnsi="Arial"/>
          <w:b w:val="0"/>
        </w:rPr>
        <w:tab/>
        <w:t>45</w:t>
      </w:r>
    </w:p>
    <w:p w14:paraId="46ABC160" w14:textId="77777777" w:rsidR="00150309" w:rsidRDefault="00150309">
      <w:pPr>
        <w:pStyle w:val="TOC2"/>
      </w:pPr>
      <w:r w:rsidRPr="00B03D55">
        <w:rPr>
          <w:rFonts w:ascii="Arial" w:hAnsi="Arial"/>
          <w:b w:val="0"/>
        </w:rPr>
        <w:t>Appendix 1: HMRC Mandatory Clauses</w:t>
      </w:r>
      <w:r>
        <w:rPr>
          <w:rFonts w:ascii="Arial" w:hAnsi="Arial"/>
          <w:b w:val="0"/>
        </w:rPr>
        <w:tab/>
        <w:t>46</w:t>
      </w:r>
    </w:p>
    <w:p w14:paraId="46265C7C" w14:textId="77777777" w:rsidR="00150309" w:rsidRDefault="00150309" w:rsidP="00B03D55">
      <w:pPr>
        <w:pStyle w:val="Heading2"/>
      </w:pPr>
      <w:r>
        <w:rPr>
          <w:rFonts w:ascii="Cambria" w:hAnsi="Cambria"/>
          <w:b/>
          <w:bCs/>
        </w:rPr>
        <w:fldChar w:fldCharType="end"/>
      </w:r>
    </w:p>
    <w:p w14:paraId="48B6EE5E" w14:textId="77777777" w:rsidR="00150309" w:rsidRDefault="00150309">
      <w:pPr>
        <w:pStyle w:val="Heading2"/>
      </w:pPr>
    </w:p>
    <w:p w14:paraId="2CE36683" w14:textId="77777777" w:rsidR="00150309" w:rsidRDefault="00150309">
      <w:pPr>
        <w:pageBreakBefore/>
      </w:pPr>
    </w:p>
    <w:p w14:paraId="2AE08BAE" w14:textId="77777777" w:rsidR="00150309" w:rsidRDefault="00150309">
      <w:pPr>
        <w:pStyle w:val="Heading2"/>
      </w:pPr>
      <w:bookmarkStart w:id="2" w:name="_Toc33176232"/>
      <w:r>
        <w:t>Part A: Order Form</w:t>
      </w:r>
      <w:bookmarkEnd w:id="2"/>
    </w:p>
    <w:p w14:paraId="035B4EC2" w14:textId="77777777" w:rsidR="00150309" w:rsidRDefault="00150309">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150309" w14:paraId="74890092"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12F6" w14:textId="77777777" w:rsidR="00150309" w:rsidRDefault="00150309">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940D4" w14:textId="77777777" w:rsidR="00150309" w:rsidRDefault="00150309">
            <w:pPr>
              <w:spacing w:before="240"/>
            </w:pPr>
            <w:r w:rsidRPr="00CC70C1">
              <w:t>763732625280670</w:t>
            </w:r>
          </w:p>
        </w:tc>
      </w:tr>
      <w:tr w:rsidR="00150309" w14:paraId="499AA91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7CF09" w14:textId="77777777" w:rsidR="00150309" w:rsidRDefault="00150309">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5FE589F" w14:textId="2A727831" w:rsidR="00150309" w:rsidRDefault="00150309">
            <w:pPr>
              <w:spacing w:before="240"/>
            </w:pPr>
            <w:r w:rsidRPr="00A45CD5">
              <w:t>SR977698846</w:t>
            </w:r>
          </w:p>
        </w:tc>
      </w:tr>
      <w:tr w:rsidR="00150309" w14:paraId="6883812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6F08A" w14:textId="77777777" w:rsidR="00150309" w:rsidRDefault="00150309">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56B5A7" w14:textId="0DBB7A9A" w:rsidR="00150309" w:rsidRDefault="00A45CD5">
            <w:pPr>
              <w:spacing w:before="240"/>
            </w:pPr>
            <w:r>
              <w:t>Electronic Payments Software</w:t>
            </w:r>
          </w:p>
        </w:tc>
      </w:tr>
      <w:tr w:rsidR="00150309" w14:paraId="5C4B9B8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E01C5" w14:textId="77777777" w:rsidR="00150309" w:rsidRDefault="00150309">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696A52E" w14:textId="77777777" w:rsidR="00150309" w:rsidRDefault="00150309">
            <w:pPr>
              <w:spacing w:before="240"/>
            </w:pPr>
            <w:r w:rsidRPr="00415083">
              <w:t>PTX BACS Cloud</w:t>
            </w:r>
            <w:r>
              <w:t xml:space="preserve"> Solution</w:t>
            </w:r>
          </w:p>
        </w:tc>
      </w:tr>
      <w:tr w:rsidR="00150309" w14:paraId="216D2B3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B086C" w14:textId="77777777" w:rsidR="00150309" w:rsidRDefault="00150309">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59F0AC6" w14:textId="77777777" w:rsidR="00150309" w:rsidRDefault="00150309">
            <w:pPr>
              <w:spacing w:before="240"/>
            </w:pPr>
            <w:r>
              <w:t>30</w:t>
            </w:r>
            <w:r w:rsidRPr="00C775DB">
              <w:rPr>
                <w:vertAlign w:val="superscript"/>
              </w:rPr>
              <w:t>th</w:t>
            </w:r>
            <w:r>
              <w:t xml:space="preserve"> May 2022</w:t>
            </w:r>
          </w:p>
        </w:tc>
      </w:tr>
      <w:tr w:rsidR="00150309" w14:paraId="5F7653D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FBC49" w14:textId="77777777" w:rsidR="00150309" w:rsidRDefault="00150309">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873E86" w14:textId="77777777" w:rsidR="00150309" w:rsidRDefault="00150309">
            <w:pPr>
              <w:spacing w:before="240"/>
            </w:pPr>
            <w:r>
              <w:t>29</w:t>
            </w:r>
            <w:r w:rsidRPr="00C775DB">
              <w:rPr>
                <w:vertAlign w:val="superscript"/>
              </w:rPr>
              <w:t>th</w:t>
            </w:r>
            <w:r>
              <w:t xml:space="preserve"> May 2024</w:t>
            </w:r>
          </w:p>
        </w:tc>
      </w:tr>
      <w:tr w:rsidR="00150309" w14:paraId="67E39E0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B9C60" w14:textId="77777777" w:rsidR="00150309" w:rsidRDefault="00150309">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2AED6E" w14:textId="77777777" w:rsidR="00150309" w:rsidRDefault="00150309" w:rsidP="00D711CD">
            <w:pPr>
              <w:spacing w:before="240"/>
            </w:pPr>
            <w:r>
              <w:t xml:space="preserve"> £390,000</w:t>
            </w:r>
          </w:p>
        </w:tc>
      </w:tr>
      <w:tr w:rsidR="00150309" w14:paraId="0739573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16EBF" w14:textId="77777777" w:rsidR="00150309" w:rsidRDefault="00150309">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D725BD1" w14:textId="77777777" w:rsidR="00150309" w:rsidRDefault="00150309">
            <w:pPr>
              <w:spacing w:before="240"/>
            </w:pPr>
            <w:r w:rsidRPr="00B72B1C">
              <w:t>Annually in Advance</w:t>
            </w:r>
          </w:p>
        </w:tc>
      </w:tr>
      <w:tr w:rsidR="00150309" w14:paraId="35078E7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491BB" w14:textId="77777777" w:rsidR="00150309" w:rsidRDefault="00150309">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EE79338" w14:textId="77777777" w:rsidR="00150309" w:rsidRDefault="00150309">
            <w:pPr>
              <w:spacing w:before="240"/>
            </w:pPr>
            <w:r w:rsidRPr="00CC70C1">
              <w:t>TBA: The HMRC system generates the PO once the purchase requisition is submitted and approved.</w:t>
            </w:r>
          </w:p>
        </w:tc>
      </w:tr>
    </w:tbl>
    <w:p w14:paraId="7DF1D4EE" w14:textId="77777777" w:rsidR="00150309" w:rsidRDefault="00150309">
      <w:pPr>
        <w:spacing w:before="240"/>
      </w:pPr>
      <w:r>
        <w:t xml:space="preserve"> </w:t>
      </w:r>
    </w:p>
    <w:p w14:paraId="41829CE8" w14:textId="77777777" w:rsidR="00150309" w:rsidRDefault="00150309">
      <w:pPr>
        <w:spacing w:before="240" w:after="240"/>
      </w:pPr>
      <w:r>
        <w:t>This Order Form is issued under the G-Cloud 12 Framework Agreement (RM1557.12).</w:t>
      </w:r>
    </w:p>
    <w:p w14:paraId="4ACA403B" w14:textId="77777777" w:rsidR="00150309" w:rsidRDefault="00150309">
      <w:pPr>
        <w:spacing w:before="240"/>
      </w:pPr>
      <w:r>
        <w:t>Buyers can use this Order Form to specify their G-Cloud service requirements when placing an Order.</w:t>
      </w:r>
    </w:p>
    <w:p w14:paraId="4C0EEA01" w14:textId="77777777" w:rsidR="00150309" w:rsidRDefault="00150309">
      <w:pPr>
        <w:spacing w:before="240"/>
      </w:pPr>
      <w:r>
        <w:t>The Order Form cannot be used to alter existing terms or add any extra terms that materially change the Deliverables offered by the Supplier and defined in the Application.</w:t>
      </w:r>
    </w:p>
    <w:p w14:paraId="733408A5" w14:textId="77777777" w:rsidR="00150309" w:rsidRDefault="00150309">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50309" w14:paraId="2EE4F907" w14:textId="77777777" w:rsidTr="00CC70C1">
        <w:trPr>
          <w:trHeight w:val="1865"/>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C8B71" w14:textId="77777777" w:rsidR="00150309" w:rsidRDefault="00150309">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E3E4C" w14:textId="77777777" w:rsidR="00150309" w:rsidRDefault="00150309" w:rsidP="00D8739A">
            <w:pPr>
              <w:spacing w:before="240"/>
            </w:pPr>
            <w:r w:rsidRPr="00253374">
              <w:t>HM Revenue and Customs</w:t>
            </w:r>
          </w:p>
          <w:p w14:paraId="1468D80F" w14:textId="77777777" w:rsidR="00150309" w:rsidRDefault="00150309" w:rsidP="00D8739A">
            <w:pPr>
              <w:spacing w:before="240"/>
            </w:pPr>
            <w:r>
              <w:t>Via MyBuy</w:t>
            </w:r>
          </w:p>
          <w:p w14:paraId="153560E3" w14:textId="77777777" w:rsidR="00150309" w:rsidRDefault="00150309" w:rsidP="00D8739A">
            <w:pPr>
              <w:spacing w:before="240"/>
            </w:pPr>
            <w:r>
              <w:t>100 Parliament Street</w:t>
            </w:r>
          </w:p>
          <w:p w14:paraId="3BD2A91A" w14:textId="77777777" w:rsidR="00150309" w:rsidRDefault="00150309" w:rsidP="00D8739A">
            <w:pPr>
              <w:spacing w:before="240"/>
            </w:pPr>
            <w:r>
              <w:t>London</w:t>
            </w:r>
          </w:p>
          <w:p w14:paraId="1BAE0C9C" w14:textId="77777777" w:rsidR="00150309" w:rsidRDefault="00150309" w:rsidP="00D8739A">
            <w:pPr>
              <w:spacing w:before="240"/>
            </w:pPr>
            <w:r>
              <w:t>SW1A 2BQ</w:t>
            </w:r>
          </w:p>
          <w:p w14:paraId="7F267F0E" w14:textId="77777777" w:rsidR="00150309" w:rsidRDefault="00150309" w:rsidP="00D8739A">
            <w:pPr>
              <w:spacing w:before="240"/>
            </w:pPr>
          </w:p>
          <w:p w14:paraId="02E539BF" w14:textId="77777777" w:rsidR="00150309" w:rsidRDefault="00150309">
            <w:pPr>
              <w:spacing w:before="240"/>
            </w:pPr>
          </w:p>
        </w:tc>
      </w:tr>
      <w:tr w:rsidR="00150309" w14:paraId="28913E4C"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25491" w14:textId="77777777" w:rsidR="00150309" w:rsidRDefault="00150309">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2E3130C" w14:textId="77777777" w:rsidR="00150309" w:rsidRDefault="00150309">
            <w:pPr>
              <w:spacing w:before="240"/>
            </w:pPr>
            <w:r w:rsidRPr="00CC70C1">
              <w:t xml:space="preserve">Bottomline Technologies Limited </w:t>
            </w:r>
          </w:p>
          <w:p w14:paraId="7C5E7B10" w14:textId="77777777" w:rsidR="00150309" w:rsidRDefault="00150309">
            <w:pPr>
              <w:spacing w:before="240"/>
            </w:pPr>
            <w:r>
              <w:t xml:space="preserve"> 0</w:t>
            </w:r>
            <w:r w:rsidRPr="00CC70C1">
              <w:t>870 081 8250</w:t>
            </w:r>
          </w:p>
          <w:p w14:paraId="4FA40E7F" w14:textId="77777777" w:rsidR="00150309" w:rsidRDefault="00150309">
            <w:pPr>
              <w:spacing w:before="240"/>
            </w:pPr>
            <w:r w:rsidRPr="00CC70C1">
              <w:t xml:space="preserve">1600  Arlington Business Park, </w:t>
            </w:r>
          </w:p>
          <w:p w14:paraId="63CCF760" w14:textId="77777777" w:rsidR="00150309" w:rsidRDefault="00150309">
            <w:pPr>
              <w:spacing w:before="240"/>
            </w:pPr>
            <w:r w:rsidRPr="00CC70C1">
              <w:t xml:space="preserve">Theale, </w:t>
            </w:r>
          </w:p>
          <w:p w14:paraId="493B0487" w14:textId="77777777" w:rsidR="00150309" w:rsidRDefault="00150309">
            <w:pPr>
              <w:spacing w:before="240"/>
            </w:pPr>
            <w:r w:rsidRPr="00CC70C1">
              <w:t xml:space="preserve">Reading, </w:t>
            </w:r>
          </w:p>
          <w:p w14:paraId="78298309" w14:textId="77777777" w:rsidR="00150309" w:rsidRDefault="00150309">
            <w:pPr>
              <w:spacing w:before="240"/>
            </w:pPr>
            <w:r w:rsidRPr="00CC70C1">
              <w:t xml:space="preserve">Berkshire, </w:t>
            </w:r>
          </w:p>
          <w:p w14:paraId="6B94E1DC" w14:textId="77777777" w:rsidR="00150309" w:rsidRDefault="00150309">
            <w:pPr>
              <w:spacing w:before="240"/>
            </w:pPr>
            <w:r w:rsidRPr="00CC70C1">
              <w:t xml:space="preserve">England, </w:t>
            </w:r>
          </w:p>
          <w:p w14:paraId="49A99CD9" w14:textId="77777777" w:rsidR="00150309" w:rsidRDefault="00150309">
            <w:pPr>
              <w:spacing w:before="240"/>
            </w:pPr>
            <w:r w:rsidRPr="00CC70C1">
              <w:t>RG7 4SA</w:t>
            </w:r>
          </w:p>
          <w:p w14:paraId="0AF30847" w14:textId="77777777" w:rsidR="00150309" w:rsidRDefault="00150309">
            <w:pPr>
              <w:spacing w:before="240"/>
            </w:pPr>
            <w:r>
              <w:t xml:space="preserve">Company number: </w:t>
            </w:r>
            <w:r w:rsidRPr="00CC70C1">
              <w:t>8098450</w:t>
            </w:r>
          </w:p>
        </w:tc>
      </w:tr>
      <w:tr w:rsidR="00150309" w14:paraId="5F7CCA7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FAD6B" w14:textId="77777777" w:rsidR="00150309" w:rsidRDefault="00150309">
            <w:pPr>
              <w:spacing w:before="240" w:after="240"/>
              <w:rPr>
                <w:b/>
              </w:rPr>
            </w:pPr>
            <w:r>
              <w:rPr>
                <w:b/>
              </w:rPr>
              <w:t>Together the ‘Parties’</w:t>
            </w:r>
          </w:p>
        </w:tc>
      </w:tr>
    </w:tbl>
    <w:p w14:paraId="51704D50" w14:textId="77777777" w:rsidR="00150309" w:rsidRDefault="00150309">
      <w:pPr>
        <w:spacing w:before="240" w:after="240"/>
        <w:rPr>
          <w:b/>
        </w:rPr>
      </w:pPr>
    </w:p>
    <w:p w14:paraId="5C52C93B" w14:textId="77777777" w:rsidR="00150309" w:rsidRDefault="00150309">
      <w:pPr>
        <w:pStyle w:val="Heading3"/>
      </w:pPr>
      <w:r>
        <w:t>Principal contact details</w:t>
      </w:r>
    </w:p>
    <w:p w14:paraId="6EFECE19" w14:textId="77777777" w:rsidR="00150309" w:rsidRDefault="00150309">
      <w:pPr>
        <w:spacing w:before="240" w:after="120" w:line="480" w:lineRule="auto"/>
        <w:rPr>
          <w:b/>
        </w:rPr>
      </w:pPr>
      <w:r>
        <w:rPr>
          <w:b/>
        </w:rPr>
        <w:t>For the Buyer:</w:t>
      </w:r>
    </w:p>
    <w:p w14:paraId="403583FA" w14:textId="5EE274FB" w:rsidR="00150309" w:rsidRPr="00B72B1C" w:rsidRDefault="00150309">
      <w:pPr>
        <w:spacing w:after="120" w:line="240" w:lineRule="auto"/>
      </w:pPr>
      <w:r w:rsidRPr="00B72B1C">
        <w:t xml:space="preserve">Name: </w:t>
      </w:r>
      <w:r w:rsidR="00D9320F" w:rsidRPr="00D9320F">
        <w:rPr>
          <w:highlight w:val="black"/>
        </w:rPr>
        <w:t>XXXXXXXXXXXX</w:t>
      </w:r>
    </w:p>
    <w:p w14:paraId="6014E110" w14:textId="77EEF66E" w:rsidR="00150309" w:rsidRPr="00B72B1C" w:rsidRDefault="00150309">
      <w:pPr>
        <w:spacing w:after="120" w:line="240" w:lineRule="auto"/>
      </w:pPr>
      <w:r w:rsidRPr="00B72B1C">
        <w:lastRenderedPageBreak/>
        <w:t>Email:</w:t>
      </w:r>
      <w:r w:rsidR="00D9320F" w:rsidRPr="00D9320F">
        <w:rPr>
          <w:highlight w:val="black"/>
        </w:rPr>
        <w:t xml:space="preserve"> </w:t>
      </w:r>
      <w:r w:rsidR="00D9320F" w:rsidRPr="00D9320F">
        <w:rPr>
          <w:highlight w:val="black"/>
        </w:rPr>
        <w:t>XXXXXXXXXXXX</w:t>
      </w:r>
    </w:p>
    <w:p w14:paraId="7128CF2F" w14:textId="73C21946" w:rsidR="00150309" w:rsidRDefault="00150309" w:rsidP="00D9320F">
      <w:pPr>
        <w:spacing w:after="120" w:line="360" w:lineRule="auto"/>
        <w:rPr>
          <w:b/>
        </w:rPr>
      </w:pPr>
      <w:r w:rsidRPr="00B72B1C">
        <w:t>Phone:</w:t>
      </w:r>
      <w:r>
        <w:t xml:space="preserve"> </w:t>
      </w:r>
      <w:r w:rsidR="00AA7AF9">
        <w:t xml:space="preserve"> </w:t>
      </w:r>
      <w:r w:rsidR="00D9320F" w:rsidRPr="00D9320F">
        <w:rPr>
          <w:highlight w:val="black"/>
        </w:rPr>
        <w:t>XXXXXXXXXXXX</w:t>
      </w:r>
    </w:p>
    <w:p w14:paraId="45A1380F" w14:textId="77777777" w:rsidR="00150309" w:rsidRPr="00B72B1C" w:rsidRDefault="00150309" w:rsidP="00B72B1C">
      <w:pPr>
        <w:spacing w:line="480" w:lineRule="auto"/>
        <w:rPr>
          <w:b/>
        </w:rPr>
      </w:pPr>
      <w:r>
        <w:rPr>
          <w:b/>
        </w:rPr>
        <w:t>For the Supplier:</w:t>
      </w:r>
    </w:p>
    <w:p w14:paraId="54F06633" w14:textId="7FB07588" w:rsidR="00150309" w:rsidRPr="00B72B1C" w:rsidRDefault="00150309" w:rsidP="00AE2D56">
      <w:pPr>
        <w:spacing w:after="120" w:line="240" w:lineRule="auto"/>
      </w:pPr>
      <w:r w:rsidRPr="00B72B1C">
        <w:t>Name:</w:t>
      </w:r>
      <w:r w:rsidR="00D9320F" w:rsidRPr="00D9320F">
        <w:rPr>
          <w:highlight w:val="black"/>
        </w:rPr>
        <w:t xml:space="preserve"> </w:t>
      </w:r>
      <w:r w:rsidR="00D9320F" w:rsidRPr="00D9320F">
        <w:rPr>
          <w:highlight w:val="black"/>
        </w:rPr>
        <w:t>XXXXXXXXXXXX</w:t>
      </w:r>
    </w:p>
    <w:p w14:paraId="258D88B2" w14:textId="41DB2756" w:rsidR="00150309" w:rsidRPr="00B72B1C" w:rsidRDefault="00150309" w:rsidP="00AE2D56">
      <w:pPr>
        <w:spacing w:after="120" w:line="240" w:lineRule="auto"/>
      </w:pPr>
      <w:r w:rsidRPr="00B72B1C">
        <w:t>Email:</w:t>
      </w:r>
      <w:r w:rsidR="00D9320F">
        <w:t xml:space="preserve"> </w:t>
      </w:r>
      <w:r w:rsidR="00D9320F" w:rsidRPr="00D9320F">
        <w:rPr>
          <w:highlight w:val="black"/>
        </w:rPr>
        <w:t>XXXXXXXXXXXX</w:t>
      </w:r>
      <w:r w:rsidR="00D9320F" w:rsidRPr="00D9320F">
        <w:rPr>
          <w:highlight w:val="black"/>
        </w:rPr>
        <w:t xml:space="preserve"> </w:t>
      </w:r>
      <w:r w:rsidR="00D9320F" w:rsidRPr="00D9320F">
        <w:rPr>
          <w:highlight w:val="black"/>
        </w:rPr>
        <w:t>XXXXXXXXXXXX</w:t>
      </w:r>
    </w:p>
    <w:p w14:paraId="41C1EA28" w14:textId="4C52562F" w:rsidR="00150309" w:rsidRDefault="00150309" w:rsidP="00AE2D56">
      <w:pPr>
        <w:spacing w:after="120" w:line="360" w:lineRule="auto"/>
      </w:pPr>
      <w:r w:rsidRPr="00B72B1C">
        <w:t xml:space="preserve">Phone: </w:t>
      </w:r>
      <w:r>
        <w:t xml:space="preserve"> </w:t>
      </w:r>
      <w:r w:rsidR="00D9320F" w:rsidRPr="00D9320F">
        <w:rPr>
          <w:highlight w:val="black"/>
        </w:rPr>
        <w:t>XXXXXXXXXXXX</w:t>
      </w:r>
      <w:r w:rsidR="00D9320F" w:rsidRPr="00D9320F">
        <w:rPr>
          <w:highlight w:val="black"/>
        </w:rPr>
        <w:t xml:space="preserve"> </w:t>
      </w:r>
      <w:r w:rsidR="00D9320F" w:rsidRPr="00D9320F">
        <w:rPr>
          <w:highlight w:val="black"/>
        </w:rPr>
        <w:t>XXXXXXXXXXXX</w:t>
      </w:r>
    </w:p>
    <w:p w14:paraId="4740E409" w14:textId="77777777" w:rsidR="00150309" w:rsidRDefault="00150309">
      <w:pPr>
        <w:spacing w:before="240" w:after="240"/>
      </w:pPr>
    </w:p>
    <w:p w14:paraId="1F790F81" w14:textId="77777777" w:rsidR="00150309" w:rsidRDefault="00150309">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50309" w14:paraId="7BDDB0F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4805D" w14:textId="77777777" w:rsidR="00150309" w:rsidRDefault="00150309">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D219C" w14:textId="6C4B7AEE" w:rsidR="00150309" w:rsidRDefault="00150309">
            <w:pPr>
              <w:spacing w:before="240"/>
            </w:pPr>
            <w:r>
              <w:t xml:space="preserve">This Call-Off Contract Starts on </w:t>
            </w:r>
            <w:r>
              <w:rPr>
                <w:b/>
              </w:rPr>
              <w:t>30</w:t>
            </w:r>
            <w:r w:rsidRPr="00E100D3">
              <w:rPr>
                <w:b/>
                <w:vertAlign w:val="superscript"/>
              </w:rPr>
              <w:t>th</w:t>
            </w:r>
            <w:r>
              <w:rPr>
                <w:b/>
              </w:rPr>
              <w:t xml:space="preserve"> May 2022</w:t>
            </w:r>
            <w:r>
              <w:t xml:space="preserve"> and is valid for </w:t>
            </w:r>
            <w:r w:rsidR="00AA7AF9" w:rsidRPr="00F85A2F">
              <w:rPr>
                <w:b/>
                <w:bCs/>
              </w:rPr>
              <w:t>24 Months.</w:t>
            </w:r>
          </w:p>
          <w:p w14:paraId="1E8F55DD" w14:textId="77777777" w:rsidR="00150309" w:rsidRDefault="00150309">
            <w:pPr>
              <w:spacing w:before="240"/>
            </w:pPr>
          </w:p>
        </w:tc>
      </w:tr>
      <w:tr w:rsidR="00150309" w14:paraId="32986ED4"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AB79F" w14:textId="77777777" w:rsidR="00150309" w:rsidRDefault="00150309">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C2F1C1" w14:textId="77777777" w:rsidR="00150309" w:rsidRDefault="00150309">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20C14C4A" w14:textId="77777777" w:rsidR="00150309" w:rsidRDefault="00150309" w:rsidP="00522540">
            <w:pPr>
              <w:spacing w:before="240"/>
            </w:pPr>
            <w:r>
              <w:t xml:space="preserve">The notice period for the Buyer is a maximum of </w:t>
            </w:r>
            <w:r>
              <w:rPr>
                <w:b/>
              </w:rPr>
              <w:t>30</w:t>
            </w:r>
            <w:r>
              <w:t xml:space="preserve"> days from the date of written notice for Ending without cause (as per clause 18.1).</w:t>
            </w:r>
          </w:p>
        </w:tc>
      </w:tr>
      <w:tr w:rsidR="00150309" w14:paraId="466DF494"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07A7B" w14:textId="77777777" w:rsidR="00150309" w:rsidRDefault="00150309">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AC794C0" w14:textId="7BCC52D8" w:rsidR="00150309" w:rsidRDefault="00150309">
            <w:pPr>
              <w:spacing w:before="240"/>
            </w:pPr>
            <w:r>
              <w:t xml:space="preserve">This Call-off Contract can be extended by the Buyer for </w:t>
            </w:r>
            <w:r w:rsidR="00CB3945">
              <w:rPr>
                <w:b/>
              </w:rPr>
              <w:t xml:space="preserve">2 </w:t>
            </w:r>
            <w:r>
              <w:t>period</w:t>
            </w:r>
            <w:r w:rsidR="00CB3945">
              <w:t>s</w:t>
            </w:r>
            <w:r>
              <w:t xml:space="preserve"> of [up to] </w:t>
            </w:r>
            <w:r w:rsidRPr="000E6E74">
              <w:rPr>
                <w:b/>
              </w:rPr>
              <w:t>12</w:t>
            </w:r>
            <w:r>
              <w:t xml:space="preserve"> months, by giving the Supplier </w:t>
            </w:r>
            <w:r w:rsidRPr="000E6E74">
              <w:rPr>
                <w:b/>
              </w:rPr>
              <w:t>30</w:t>
            </w:r>
            <w:r w:rsidRPr="000E6E74">
              <w:t xml:space="preserve"> days </w:t>
            </w:r>
            <w:r>
              <w:t>written notice before its expiry. The extension periods are subject to clauses 1.3 and 1.4 in Part B below.</w:t>
            </w:r>
          </w:p>
          <w:p w14:paraId="05A28250" w14:textId="77777777" w:rsidR="00150309" w:rsidRDefault="00150309">
            <w:pPr>
              <w:spacing w:before="240"/>
            </w:pPr>
            <w:r>
              <w:t>Extensions which extend the Term beyond 24 months are only permitted if the Supplier complies with the additional exit plan requirements at clauses 21.3 to 21.8.</w:t>
            </w:r>
          </w:p>
        </w:tc>
      </w:tr>
    </w:tbl>
    <w:p w14:paraId="034CB07B" w14:textId="77777777" w:rsidR="00150309" w:rsidRDefault="00150309">
      <w:pPr>
        <w:pStyle w:val="Heading3"/>
      </w:pPr>
      <w:r>
        <w:lastRenderedPageBreak/>
        <w:t>Buyer contractual details</w:t>
      </w:r>
    </w:p>
    <w:p w14:paraId="301B0293" w14:textId="77777777" w:rsidR="00150309" w:rsidRDefault="00150309">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150309" w14:paraId="581EA0DA" w14:textId="77777777" w:rsidTr="006233C4">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E9B79" w14:textId="77777777" w:rsidR="00150309" w:rsidRDefault="00150309">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F21CF" w14:textId="77777777" w:rsidR="00150309" w:rsidRDefault="00150309" w:rsidP="00522540">
            <w:pPr>
              <w:spacing w:before="240"/>
            </w:pPr>
            <w:r>
              <w:t>This Call-Off Contract is for the provision of Services under:</w:t>
            </w:r>
          </w:p>
          <w:p w14:paraId="2620EC86" w14:textId="77777777" w:rsidR="00150309" w:rsidRDefault="00150309" w:rsidP="00522540">
            <w:pPr>
              <w:pStyle w:val="ListParagraph"/>
              <w:numPr>
                <w:ilvl w:val="0"/>
                <w:numId w:val="1"/>
              </w:numPr>
              <w:spacing w:before="240"/>
            </w:pPr>
            <w:r>
              <w:t xml:space="preserve">Lot 2: Cloud software </w:t>
            </w:r>
          </w:p>
        </w:tc>
      </w:tr>
      <w:tr w:rsidR="00150309" w14:paraId="1C0C81AF" w14:textId="77777777" w:rsidTr="006233C4">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DB2AC" w14:textId="77777777" w:rsidR="00150309" w:rsidRDefault="00150309">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A8C4467" w14:textId="77777777" w:rsidR="00150309" w:rsidRPr="00885509" w:rsidRDefault="00150309">
            <w:pPr>
              <w:spacing w:before="240"/>
            </w:pPr>
            <w:r>
              <w:t xml:space="preserve">The Services to be provided by the Supplier under the above Lot are </w:t>
            </w:r>
            <w:r w:rsidRPr="00885509">
              <w:t>listed in Framework Section 2 and outlined below:</w:t>
            </w:r>
          </w:p>
          <w:p w14:paraId="22290E0B" w14:textId="77777777" w:rsidR="00150309" w:rsidRPr="00D711CD" w:rsidRDefault="00150309" w:rsidP="00680260">
            <w:pPr>
              <w:pStyle w:val="ListParagraph"/>
              <w:numPr>
                <w:ilvl w:val="0"/>
                <w:numId w:val="2"/>
              </w:numPr>
              <w:rPr>
                <w:b/>
              </w:rPr>
            </w:pPr>
            <w:r>
              <w:t>PT-X(R)</w:t>
            </w:r>
            <w:r w:rsidRPr="00680260">
              <w:t xml:space="preserve"> cloud-based Payment service</w:t>
            </w:r>
            <w:r>
              <w:t xml:space="preserve"> - </w:t>
            </w:r>
            <w:r w:rsidRPr="00885509">
              <w:t>Bacs payments software with a Test suite</w:t>
            </w:r>
          </w:p>
        </w:tc>
      </w:tr>
      <w:tr w:rsidR="00150309" w14:paraId="47AD123C" w14:textId="77777777" w:rsidTr="006233C4">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7C734" w14:textId="77777777" w:rsidR="00150309" w:rsidRDefault="00150309">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F01EB4F" w14:textId="77777777" w:rsidR="00150309" w:rsidRPr="00885509" w:rsidRDefault="00150309">
            <w:pPr>
              <w:spacing w:before="240"/>
            </w:pPr>
            <w:r w:rsidRPr="00885509">
              <w:t>None</w:t>
            </w:r>
          </w:p>
        </w:tc>
      </w:tr>
      <w:tr w:rsidR="00150309" w14:paraId="5ABCCDA5" w14:textId="77777777" w:rsidTr="006233C4">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16E26" w14:textId="77777777" w:rsidR="00150309" w:rsidRDefault="00150309">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D0B864A" w14:textId="77777777" w:rsidR="00150309" w:rsidRDefault="00150309">
            <w:pPr>
              <w:spacing w:before="240"/>
            </w:pPr>
            <w:r>
              <w:t xml:space="preserve">The Services will be delivered to </w:t>
            </w:r>
            <w:r w:rsidRPr="00B72B1C">
              <w:t>various HMRC locations electronically</w:t>
            </w:r>
          </w:p>
          <w:p w14:paraId="2E2BA099" w14:textId="77777777" w:rsidR="00150309" w:rsidRDefault="00150309">
            <w:pPr>
              <w:spacing w:before="240"/>
            </w:pPr>
          </w:p>
        </w:tc>
      </w:tr>
      <w:tr w:rsidR="00150309" w14:paraId="062F9C2D" w14:textId="77777777" w:rsidTr="006233C4">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A1866" w14:textId="77777777" w:rsidR="00150309" w:rsidRDefault="00150309">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1F6B249" w14:textId="77777777" w:rsidR="00150309" w:rsidRDefault="00150309">
            <w:pPr>
              <w:spacing w:before="240"/>
            </w:pPr>
            <w:r>
              <w:t xml:space="preserve">The quality standards required for this Call-Off Contract are </w:t>
            </w:r>
            <w:r>
              <w:rPr>
                <w:b/>
                <w:highlight w:val="yellow"/>
              </w:rPr>
              <w:t xml:space="preserve"> </w:t>
            </w:r>
            <w:r w:rsidRPr="00885509">
              <w:t>None</w:t>
            </w:r>
          </w:p>
          <w:p w14:paraId="10225AF6" w14:textId="77777777" w:rsidR="00150309" w:rsidRDefault="00150309">
            <w:pPr>
              <w:spacing w:before="240"/>
            </w:pPr>
          </w:p>
        </w:tc>
        <w:tc>
          <w:tcPr>
            <w:tcW w:w="40" w:type="dxa"/>
          </w:tcPr>
          <w:p w14:paraId="11084AF0" w14:textId="77777777" w:rsidR="00150309" w:rsidRDefault="00150309">
            <w:pPr>
              <w:spacing w:before="240"/>
            </w:pPr>
          </w:p>
        </w:tc>
      </w:tr>
      <w:tr w:rsidR="00150309" w14:paraId="52EA2005" w14:textId="77777777" w:rsidTr="006233C4">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72CA8" w14:textId="77777777" w:rsidR="00150309" w:rsidRDefault="00150309">
            <w:pPr>
              <w:spacing w:before="240"/>
              <w:rPr>
                <w:b/>
              </w:rPr>
            </w:pPr>
            <w:r>
              <w:rPr>
                <w:b/>
              </w:rPr>
              <w:lastRenderedPageBreak/>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91FB8" w14:textId="77777777" w:rsidR="00150309" w:rsidRDefault="00150309">
            <w:pPr>
              <w:spacing w:before="240"/>
            </w:pPr>
            <w:r>
              <w:t>The technical standards used as a requirement for this Call-Off Contract are a</w:t>
            </w:r>
            <w:r w:rsidRPr="00B72B1C">
              <w:t>s stated in the Bottomline entry for GCloud 12</w:t>
            </w:r>
          </w:p>
          <w:p w14:paraId="2DD2A4E5" w14:textId="77777777" w:rsidR="00150309" w:rsidRDefault="00150309" w:rsidP="00D711CD">
            <w:pPr>
              <w:spacing w:before="240"/>
            </w:pPr>
            <w:r w:rsidRPr="00B72B1C">
              <w:t>https://www.digitalmarketplace.service.gov.uk/g-cloud/services/763732625280670</w:t>
            </w:r>
          </w:p>
        </w:tc>
        <w:tc>
          <w:tcPr>
            <w:tcW w:w="40" w:type="dxa"/>
          </w:tcPr>
          <w:p w14:paraId="050CB0DF" w14:textId="77777777" w:rsidR="00150309" w:rsidRDefault="00150309">
            <w:pPr>
              <w:spacing w:before="240"/>
            </w:pPr>
          </w:p>
        </w:tc>
      </w:tr>
      <w:tr w:rsidR="00150309" w14:paraId="17A8F6CD" w14:textId="77777777" w:rsidTr="006233C4">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44D1" w14:textId="77777777" w:rsidR="00150309" w:rsidRDefault="00150309">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EC006F" w14:textId="77777777" w:rsidR="00150309" w:rsidRDefault="00150309">
            <w:pPr>
              <w:spacing w:before="240"/>
            </w:pPr>
            <w:r>
              <w:t>The service level and availability criteria required for this Call-Off Contract are a</w:t>
            </w:r>
            <w:r w:rsidRPr="00ED4F74">
              <w:t>s stated in the Bottomline entry for GCloud 12</w:t>
            </w:r>
          </w:p>
          <w:p w14:paraId="20D97B91" w14:textId="77777777" w:rsidR="00150309" w:rsidRDefault="00150309">
            <w:pPr>
              <w:spacing w:before="240"/>
            </w:pPr>
          </w:p>
          <w:p w14:paraId="526629F7" w14:textId="77777777" w:rsidR="00150309" w:rsidRDefault="00150309" w:rsidP="00ED4F74">
            <w:r w:rsidRPr="00ED4F74">
              <w:t>https://www.digitalmarketplace.service.gov.uk/g-cloud/services/763732625280670</w:t>
            </w:r>
          </w:p>
        </w:tc>
        <w:tc>
          <w:tcPr>
            <w:tcW w:w="40" w:type="dxa"/>
          </w:tcPr>
          <w:p w14:paraId="3464BCBA" w14:textId="77777777" w:rsidR="00150309" w:rsidRDefault="00150309">
            <w:pPr>
              <w:pStyle w:val="ListParagraph"/>
            </w:pPr>
          </w:p>
        </w:tc>
      </w:tr>
      <w:tr w:rsidR="00150309" w14:paraId="71B2903D" w14:textId="77777777" w:rsidTr="006233C4">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0D809" w14:textId="77777777" w:rsidR="00150309" w:rsidRDefault="00150309">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93CA8A3" w14:textId="77777777" w:rsidR="00150309" w:rsidRDefault="00150309">
            <w:pPr>
              <w:spacing w:before="240"/>
            </w:pPr>
            <w:r>
              <w:t xml:space="preserve">The onboarding plan for this Call-Off Contract is </w:t>
            </w:r>
            <w:r w:rsidRPr="00885509">
              <w:t>to be agreed at the start of the project</w:t>
            </w:r>
            <w:r>
              <w:t xml:space="preserve"> and that on signature of the contract the supplier will begin the onboarding plan outlined in the Gcloud service offering:</w:t>
            </w:r>
          </w:p>
          <w:p w14:paraId="371E471D" w14:textId="77777777" w:rsidR="00150309" w:rsidRDefault="00150309" w:rsidP="00A845D6">
            <w:pPr>
              <w:pStyle w:val="ListParagraph"/>
              <w:numPr>
                <w:ilvl w:val="0"/>
                <w:numId w:val="23"/>
              </w:numPr>
              <w:spacing w:before="240"/>
            </w:pPr>
            <w:r>
              <w:t>Installation of linking module</w:t>
            </w:r>
          </w:p>
          <w:p w14:paraId="1F9AEB78" w14:textId="77777777" w:rsidR="00150309" w:rsidRDefault="00150309" w:rsidP="00A845D6">
            <w:pPr>
              <w:pStyle w:val="ListParagraph"/>
              <w:numPr>
                <w:ilvl w:val="0"/>
                <w:numId w:val="23"/>
              </w:numPr>
              <w:spacing w:before="240"/>
            </w:pPr>
            <w:r>
              <w:t>Set-up of Approval matrix (done by Customer or Bottomline)</w:t>
            </w:r>
          </w:p>
          <w:p w14:paraId="15481C75" w14:textId="77777777" w:rsidR="00150309" w:rsidRDefault="00150309" w:rsidP="00A845D6">
            <w:pPr>
              <w:pStyle w:val="ListParagraph"/>
              <w:numPr>
                <w:ilvl w:val="0"/>
                <w:numId w:val="23"/>
              </w:numPr>
              <w:spacing w:before="240"/>
            </w:pPr>
            <w:r>
              <w:t>Customer Self Training through Online Videos</w:t>
            </w:r>
          </w:p>
          <w:p w14:paraId="0A788162" w14:textId="77777777" w:rsidR="00150309" w:rsidRDefault="00150309" w:rsidP="00A845D6">
            <w:pPr>
              <w:pStyle w:val="ListParagraph"/>
              <w:numPr>
                <w:ilvl w:val="0"/>
                <w:numId w:val="23"/>
              </w:numPr>
              <w:spacing w:before="240"/>
            </w:pPr>
            <w:r>
              <w:t>End-to-End testing</w:t>
            </w:r>
          </w:p>
          <w:p w14:paraId="4C084E03" w14:textId="77777777" w:rsidR="00150309" w:rsidRDefault="00150309" w:rsidP="00CB19A3">
            <w:pPr>
              <w:pStyle w:val="ListParagraph"/>
            </w:pPr>
          </w:p>
        </w:tc>
        <w:tc>
          <w:tcPr>
            <w:tcW w:w="40" w:type="dxa"/>
          </w:tcPr>
          <w:p w14:paraId="75A5B8E1" w14:textId="77777777" w:rsidR="00150309" w:rsidRDefault="00150309">
            <w:pPr>
              <w:pStyle w:val="ListParagraph"/>
            </w:pPr>
          </w:p>
        </w:tc>
      </w:tr>
      <w:tr w:rsidR="00150309" w14:paraId="73B46663" w14:textId="77777777" w:rsidTr="006233C4">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461C7" w14:textId="77777777" w:rsidR="00150309" w:rsidRDefault="00150309">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238059B" w14:textId="77777777" w:rsidR="00150309" w:rsidRDefault="00150309" w:rsidP="001D3D15">
            <w:pPr>
              <w:spacing w:before="240"/>
            </w:pPr>
            <w:r>
              <w:t xml:space="preserve">The offboarding plan for this Call-Off Contract is </w:t>
            </w:r>
            <w:r w:rsidRPr="00B03D55">
              <w:t>to be agreed 90 days before the end of the contract.</w:t>
            </w:r>
            <w:r>
              <w:t xml:space="preserve"> At the end of the contract, the Customer may choose to download their data. When this has been done, Customer access to the service is rescinded.</w:t>
            </w:r>
          </w:p>
          <w:p w14:paraId="7A3BDDE0" w14:textId="77777777" w:rsidR="00150309" w:rsidRDefault="00150309" w:rsidP="001D3D15">
            <w:pPr>
              <w:spacing w:before="240"/>
            </w:pPr>
            <w:r>
              <w:t>There is no extra cost at the end of the contract.</w:t>
            </w:r>
          </w:p>
        </w:tc>
        <w:tc>
          <w:tcPr>
            <w:tcW w:w="40" w:type="dxa"/>
          </w:tcPr>
          <w:p w14:paraId="65BBE105" w14:textId="77777777" w:rsidR="00150309" w:rsidRDefault="00150309">
            <w:pPr>
              <w:pStyle w:val="ListParagraph"/>
            </w:pPr>
          </w:p>
        </w:tc>
      </w:tr>
      <w:tr w:rsidR="00150309" w14:paraId="7E603136" w14:textId="77777777" w:rsidTr="006233C4">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8E18B" w14:textId="77777777" w:rsidR="00150309" w:rsidRDefault="00150309">
            <w:pPr>
              <w:spacing w:before="240"/>
              <w:rPr>
                <w:b/>
              </w:rPr>
            </w:pPr>
            <w:r>
              <w:rPr>
                <w:b/>
              </w:rPr>
              <w:lastRenderedPageBreak/>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7817BD2" w14:textId="77777777" w:rsidR="00150309" w:rsidRDefault="00150309">
            <w:pPr>
              <w:spacing w:before="240"/>
            </w:pPr>
            <w:r w:rsidRPr="000E6E74">
              <w:t>To be mutually agree if/when required</w:t>
            </w:r>
          </w:p>
        </w:tc>
        <w:tc>
          <w:tcPr>
            <w:tcW w:w="40" w:type="dxa"/>
          </w:tcPr>
          <w:p w14:paraId="7D77F789" w14:textId="77777777" w:rsidR="00150309" w:rsidRDefault="00150309">
            <w:pPr>
              <w:spacing w:before="240"/>
            </w:pPr>
          </w:p>
        </w:tc>
      </w:tr>
      <w:tr w:rsidR="00150309" w14:paraId="16385B24" w14:textId="77777777" w:rsidTr="006233C4">
        <w:trPr>
          <w:trHeight w:val="385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CDAEE" w14:textId="77777777" w:rsidR="00150309" w:rsidRDefault="00150309">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7AF1B" w14:textId="77777777" w:rsidR="00150309" w:rsidRDefault="00150309" w:rsidP="00522540">
            <w:pPr>
              <w:spacing w:before="240"/>
            </w:pPr>
            <w:r>
              <w:t xml:space="preserve">The annual total liability of either Party for all Property defaults will not exceed the charges paid by the Buyer to the supplier during the Call-Off Contract Term. </w:t>
            </w:r>
          </w:p>
          <w:p w14:paraId="30858610" w14:textId="0F6254B8" w:rsidR="00150309" w:rsidRDefault="00150309" w:rsidP="00522540">
            <w:pPr>
              <w:spacing w:before="240"/>
            </w:pPr>
            <w:r>
              <w:t xml:space="preserve">The annual total liability for Buyer Data Defaults will not exceed the Charges paid by the Buyer to the Supplier during the Call-Off Contract Term. </w:t>
            </w:r>
          </w:p>
          <w:p w14:paraId="0D74D2D5" w14:textId="4B567D76" w:rsidR="00150309" w:rsidRDefault="00150309" w:rsidP="00522540">
            <w:pPr>
              <w:spacing w:before="240"/>
            </w:pPr>
            <w:r>
              <w:t>The annual total liability for all other Defaults will not exceed 125% of the Charges payable by the Buyer to the Supplier during the Call-Off Contract Term.</w:t>
            </w:r>
          </w:p>
        </w:tc>
        <w:tc>
          <w:tcPr>
            <w:tcW w:w="40" w:type="dxa"/>
          </w:tcPr>
          <w:p w14:paraId="55C8DFA3" w14:textId="77777777" w:rsidR="00150309" w:rsidRDefault="00150309">
            <w:pPr>
              <w:spacing w:before="240"/>
            </w:pPr>
          </w:p>
        </w:tc>
      </w:tr>
      <w:tr w:rsidR="00150309" w14:paraId="2A5E9506" w14:textId="77777777" w:rsidTr="006233C4">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D2F46" w14:textId="77777777" w:rsidR="00150309" w:rsidRDefault="00150309">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3DB56F1" w14:textId="77777777" w:rsidR="00150309" w:rsidRDefault="00150309" w:rsidP="00522540">
            <w:pPr>
              <w:spacing w:before="240"/>
            </w:pPr>
            <w:r>
              <w:t>The insurance(s) required will be:</w:t>
            </w:r>
          </w:p>
          <w:p w14:paraId="60A30C1A" w14:textId="77777777" w:rsidR="00150309" w:rsidRDefault="00150309" w:rsidP="00522540">
            <w:pPr>
              <w:spacing w:before="240"/>
            </w:pPr>
            <w:r>
              <w:t>● A minimum insurance period of 6 years following the expiration or Ending of this Call-Off Contract</w:t>
            </w:r>
          </w:p>
          <w:p w14:paraId="6A143642" w14:textId="77777777" w:rsidR="00150309" w:rsidRDefault="00150309" w:rsidP="00522540">
            <w:pPr>
              <w:spacing w:before="240"/>
            </w:pPr>
            <w:r>
              <w:t>●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47262A3" w14:textId="77777777" w:rsidR="00150309" w:rsidRDefault="00150309" w:rsidP="00522540">
            <w:pPr>
              <w:spacing w:before="240"/>
            </w:pPr>
            <w:r>
              <w:t>● Employers' liability insurance with a minimum limit of £5,000,000 or any higher minimum limit required by Law</w:t>
            </w:r>
          </w:p>
        </w:tc>
        <w:tc>
          <w:tcPr>
            <w:tcW w:w="40" w:type="dxa"/>
          </w:tcPr>
          <w:p w14:paraId="533EC6D4" w14:textId="77777777" w:rsidR="00150309" w:rsidRDefault="00150309">
            <w:pPr>
              <w:spacing w:before="240"/>
            </w:pPr>
          </w:p>
        </w:tc>
      </w:tr>
      <w:tr w:rsidR="00150309" w14:paraId="258D1DB7" w14:textId="77777777" w:rsidTr="006233C4">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7D123" w14:textId="77777777" w:rsidR="00150309" w:rsidRDefault="00150309">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EE9E8" w14:textId="77777777" w:rsidR="00150309" w:rsidRDefault="00150309">
            <w:pPr>
              <w:spacing w:before="240"/>
            </w:pPr>
            <w:r>
              <w:t xml:space="preserve">A Party may End this Call-Off Contract if the Other Party is affected by a Force Majeure Event that lasts for more than 60 consecutive days. </w:t>
            </w:r>
          </w:p>
        </w:tc>
        <w:tc>
          <w:tcPr>
            <w:tcW w:w="40" w:type="dxa"/>
          </w:tcPr>
          <w:p w14:paraId="4C1039FB" w14:textId="77777777" w:rsidR="00150309" w:rsidRDefault="00150309">
            <w:pPr>
              <w:spacing w:before="240"/>
            </w:pPr>
          </w:p>
        </w:tc>
      </w:tr>
      <w:tr w:rsidR="00150309" w14:paraId="3B2A336E" w14:textId="77777777" w:rsidTr="006233C4">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9AC8E" w14:textId="77777777" w:rsidR="00150309" w:rsidRDefault="00150309">
            <w:pPr>
              <w:spacing w:before="240"/>
              <w:rPr>
                <w:b/>
              </w:rPr>
            </w:pPr>
            <w:r>
              <w:rPr>
                <w:b/>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B1D8A78" w14:textId="77777777" w:rsidR="00150309" w:rsidRDefault="00150309" w:rsidP="00522540">
            <w:pPr>
              <w:spacing w:before="240"/>
            </w:pPr>
            <w:r>
              <w:t>The following Framework Agreement audit provisions will be incorporated under clause 2.1 of this Call-Off Contract to enable the Buyer to carry out audits:</w:t>
            </w:r>
          </w:p>
          <w:p w14:paraId="7755F0FC" w14:textId="77777777" w:rsidR="00150309" w:rsidRDefault="00150309" w:rsidP="00A845D6">
            <w:pPr>
              <w:pStyle w:val="ListParagraph"/>
              <w:numPr>
                <w:ilvl w:val="0"/>
                <w:numId w:val="20"/>
              </w:numPr>
              <w:spacing w:before="240"/>
            </w:pPr>
            <w:r>
              <w:t>Audit provisions from clauses 7.4 to 7.13 of the Framework Agreement.</w:t>
            </w:r>
          </w:p>
        </w:tc>
        <w:tc>
          <w:tcPr>
            <w:tcW w:w="40" w:type="dxa"/>
          </w:tcPr>
          <w:p w14:paraId="370AFA1E" w14:textId="77777777" w:rsidR="00150309" w:rsidRDefault="00150309">
            <w:pPr>
              <w:spacing w:before="240"/>
            </w:pPr>
          </w:p>
        </w:tc>
      </w:tr>
      <w:tr w:rsidR="00150309" w14:paraId="6948DE45" w14:textId="77777777" w:rsidTr="006233C4">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3D754" w14:textId="77777777" w:rsidR="00150309" w:rsidRDefault="00150309" w:rsidP="006233C4">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7689F95" w14:textId="77777777" w:rsidR="00150309" w:rsidRPr="001D3D15" w:rsidRDefault="00150309" w:rsidP="006233C4">
            <w:pPr>
              <w:widowControl w:val="0"/>
              <w:spacing w:line="240" w:lineRule="auto"/>
              <w:contextualSpacing/>
            </w:pPr>
            <w:r w:rsidRPr="001D3D15">
              <w:t xml:space="preserve">The Buyer is responsible for </w:t>
            </w:r>
          </w:p>
          <w:p w14:paraId="03BF10D1" w14:textId="77777777" w:rsidR="00150309" w:rsidRPr="001D3D15" w:rsidRDefault="00150309" w:rsidP="006233C4">
            <w:pPr>
              <w:widowControl w:val="0"/>
              <w:spacing w:line="240" w:lineRule="auto"/>
              <w:contextualSpacing/>
              <w:rPr>
                <w:rFonts w:ascii="Helvetica Neue" w:eastAsia="Helvetica Neue" w:hAnsi="Helvetica Neue" w:cs="Helvetica Neue"/>
              </w:rPr>
            </w:pPr>
          </w:p>
          <w:p w14:paraId="53F4D4CD" w14:textId="77777777" w:rsidR="00150309" w:rsidRPr="001D3D15" w:rsidRDefault="00150309" w:rsidP="00A845D6">
            <w:pPr>
              <w:pStyle w:val="ListParagraph"/>
              <w:widowControl w:val="0"/>
              <w:numPr>
                <w:ilvl w:val="0"/>
                <w:numId w:val="22"/>
              </w:numPr>
              <w:suppressAutoHyphens w:val="0"/>
              <w:autoSpaceDN/>
              <w:spacing w:line="240" w:lineRule="auto"/>
              <w:contextualSpacing/>
              <w:textAlignment w:val="auto"/>
              <w:rPr>
                <w:rFonts w:eastAsia="Helvetica Neue"/>
              </w:rPr>
            </w:pPr>
            <w:r w:rsidRPr="001D3D15">
              <w:rPr>
                <w:rFonts w:eastAsia="Helvetica Neue"/>
              </w:rPr>
              <w:t>Ensuring that all devices used by the Buyer to access the Services are accessible only by Authorised Users, and that such devices are secured when not in use through such means as screen locks, shutting power controls off, or other reasonable security procedures; and any passwords that the Buyer may use, to those individuals with a need to know; and</w:t>
            </w:r>
          </w:p>
          <w:p w14:paraId="7294A31F" w14:textId="77777777" w:rsidR="00150309" w:rsidRPr="001D3D15" w:rsidRDefault="00150309" w:rsidP="00A845D6">
            <w:pPr>
              <w:pStyle w:val="ListParagraph"/>
              <w:widowControl w:val="0"/>
              <w:numPr>
                <w:ilvl w:val="0"/>
                <w:numId w:val="22"/>
              </w:numPr>
              <w:suppressAutoHyphens w:val="0"/>
              <w:autoSpaceDN/>
              <w:spacing w:line="240" w:lineRule="auto"/>
              <w:contextualSpacing/>
              <w:textAlignment w:val="auto"/>
              <w:rPr>
                <w:rFonts w:eastAsia="Helvetica Neue"/>
              </w:rPr>
            </w:pPr>
            <w:r w:rsidRPr="001D3D15">
              <w:rPr>
                <w:rFonts w:eastAsia="Helvetica Neue"/>
              </w:rPr>
              <w:t>Changing User passwords at least every ninety (90) days, or sooner if an authorised user in no longer responsible for accessing the Services, or if the Buyer  suspects an unauthorised person has learned the password, and using all security features in the software and hardware the Buyer uses to order or access the Services; and</w:t>
            </w:r>
          </w:p>
          <w:p w14:paraId="4B42D69F" w14:textId="77777777" w:rsidR="00150309" w:rsidRPr="001D3D15" w:rsidRDefault="00150309" w:rsidP="00A845D6">
            <w:pPr>
              <w:pStyle w:val="ListParagraph"/>
              <w:widowControl w:val="0"/>
              <w:numPr>
                <w:ilvl w:val="0"/>
                <w:numId w:val="22"/>
              </w:numPr>
              <w:suppressAutoHyphens w:val="0"/>
              <w:autoSpaceDN/>
              <w:spacing w:line="240" w:lineRule="auto"/>
              <w:contextualSpacing/>
              <w:textAlignment w:val="auto"/>
              <w:rPr>
                <w:rFonts w:eastAsia="Helvetica Neue"/>
              </w:rPr>
            </w:pPr>
            <w:r w:rsidRPr="001D3D15">
              <w:rPr>
                <w:rFonts w:eastAsia="Helvetica Neue"/>
              </w:rPr>
              <w:t>Buyer acknowledges that any unused transactions remaining upon expiry of any month or annual period may not be carried forward for use in a subsequent month or annual period and are not refundable.</w:t>
            </w:r>
          </w:p>
          <w:p w14:paraId="5E305D10" w14:textId="77777777" w:rsidR="00150309" w:rsidRDefault="00150309" w:rsidP="006233C4">
            <w:pPr>
              <w:spacing w:before="240"/>
            </w:pPr>
          </w:p>
          <w:p w14:paraId="006F1DB6" w14:textId="77777777" w:rsidR="00150309" w:rsidRDefault="00150309" w:rsidP="006233C4">
            <w:pPr>
              <w:spacing w:before="240"/>
            </w:pPr>
          </w:p>
        </w:tc>
        <w:tc>
          <w:tcPr>
            <w:tcW w:w="40" w:type="dxa"/>
          </w:tcPr>
          <w:p w14:paraId="41D37C00" w14:textId="77777777" w:rsidR="00150309" w:rsidRDefault="00150309" w:rsidP="006233C4">
            <w:pPr>
              <w:spacing w:before="240"/>
            </w:pPr>
          </w:p>
        </w:tc>
      </w:tr>
      <w:tr w:rsidR="00150309" w14:paraId="138D00AB" w14:textId="77777777" w:rsidTr="006233C4">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3F34E" w14:textId="77777777" w:rsidR="00150309" w:rsidRDefault="00150309" w:rsidP="006233C4">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19C2F1" w14:textId="77777777" w:rsidR="00150309" w:rsidRPr="008B6A2A" w:rsidRDefault="00150309" w:rsidP="00ED4F74">
            <w:pPr>
              <w:spacing w:before="240"/>
            </w:pPr>
            <w:r w:rsidRPr="008B6A2A">
              <w:t>N/A</w:t>
            </w:r>
          </w:p>
          <w:p w14:paraId="77585597" w14:textId="77777777" w:rsidR="00150309" w:rsidRDefault="00150309" w:rsidP="006233C4">
            <w:pPr>
              <w:spacing w:before="240"/>
            </w:pPr>
          </w:p>
        </w:tc>
        <w:tc>
          <w:tcPr>
            <w:tcW w:w="40" w:type="dxa"/>
          </w:tcPr>
          <w:p w14:paraId="12D86AFC" w14:textId="77777777" w:rsidR="00150309" w:rsidRDefault="00150309" w:rsidP="006233C4">
            <w:pPr>
              <w:spacing w:before="240"/>
            </w:pPr>
          </w:p>
        </w:tc>
      </w:tr>
    </w:tbl>
    <w:p w14:paraId="235F5FAA" w14:textId="77777777" w:rsidR="00150309" w:rsidRDefault="00150309">
      <w:pPr>
        <w:spacing w:before="240" w:after="120"/>
      </w:pPr>
    </w:p>
    <w:p w14:paraId="1CE5B16F" w14:textId="77777777" w:rsidR="00150309" w:rsidRDefault="00150309">
      <w:pPr>
        <w:pStyle w:val="Heading3"/>
      </w:pPr>
      <w:r>
        <w:lastRenderedPageBreak/>
        <w:t>Supplier’s information</w:t>
      </w:r>
    </w:p>
    <w:tbl>
      <w:tblPr>
        <w:tblW w:w="8777" w:type="dxa"/>
        <w:tblInd w:w="2" w:type="dxa"/>
        <w:tblLayout w:type="fixed"/>
        <w:tblCellMar>
          <w:left w:w="10" w:type="dxa"/>
          <w:right w:w="10" w:type="dxa"/>
        </w:tblCellMar>
        <w:tblLook w:val="0000" w:firstRow="0" w:lastRow="0" w:firstColumn="0" w:lastColumn="0" w:noHBand="0" w:noVBand="0"/>
      </w:tblPr>
      <w:tblGrid>
        <w:gridCol w:w="2610"/>
        <w:gridCol w:w="6167"/>
      </w:tblGrid>
      <w:tr w:rsidR="00150309" w14:paraId="61CD22BA" w14:textId="77777777" w:rsidTr="00ED4F74">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4BD67" w14:textId="77777777" w:rsidR="00150309" w:rsidRDefault="00150309">
            <w:pPr>
              <w:spacing w:before="240"/>
              <w:rPr>
                <w:b/>
              </w:rPr>
            </w:pPr>
            <w:r>
              <w:rPr>
                <w:b/>
              </w:rPr>
              <w:t>Subcontractors or partners</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2D63C" w14:textId="77777777" w:rsidR="00150309" w:rsidRDefault="00150309">
            <w:pPr>
              <w:spacing w:before="240"/>
              <w:rPr>
                <w:highlight w:val="yellow"/>
              </w:rPr>
            </w:pPr>
            <w:r>
              <w:t xml:space="preserve">The following is a list of the Supplier’s Subcontractors or Partners </w:t>
            </w:r>
          </w:p>
          <w:tbl>
            <w:tblPr>
              <w:tblW w:w="59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660"/>
              <w:gridCol w:w="3260"/>
            </w:tblGrid>
            <w:tr w:rsidR="00150309" w:rsidRPr="00330C5D" w14:paraId="75DB96EC" w14:textId="77777777" w:rsidTr="00ED4F74">
              <w:tc>
                <w:tcPr>
                  <w:tcW w:w="2660" w:type="dxa"/>
                </w:tcPr>
                <w:p w14:paraId="514EC996" w14:textId="4B5E3222" w:rsidR="00150309" w:rsidRDefault="00D9320F" w:rsidP="0036101C">
                  <w:r w:rsidRPr="00D9320F">
                    <w:rPr>
                      <w:highlight w:val="black"/>
                    </w:rPr>
                    <w:t>XXXXXXXXXXXX</w:t>
                  </w:r>
                  <w:r>
                    <w:t xml:space="preserve"> </w:t>
                  </w:r>
                  <w:r w:rsidRPr="00D9320F">
                    <w:rPr>
                      <w:highlight w:val="black"/>
                    </w:rPr>
                    <w:t>XXXXXXXXXXXX</w:t>
                  </w:r>
                </w:p>
                <w:p w14:paraId="56985B0E" w14:textId="77777777" w:rsidR="00150309" w:rsidRPr="00330C5D" w:rsidRDefault="00150309" w:rsidP="0036101C">
                  <w:r>
                    <w:t>United Kingdom</w:t>
                  </w:r>
                </w:p>
              </w:tc>
              <w:tc>
                <w:tcPr>
                  <w:tcW w:w="3260" w:type="dxa"/>
                </w:tcPr>
                <w:p w14:paraId="2DEA0094" w14:textId="77777777" w:rsidR="00150309" w:rsidRPr="00330C5D" w:rsidRDefault="00150309" w:rsidP="0036101C">
                  <w:r w:rsidRPr="00330C5D">
                    <w:t>Co-location hosting of</w:t>
                  </w:r>
                  <w:r>
                    <w:t xml:space="preserve"> </w:t>
                  </w:r>
                  <w:r w:rsidRPr="00330C5D">
                    <w:t>dis</w:t>
                  </w:r>
                  <w:r>
                    <w:t xml:space="preserve">aster recovery infrastructure. </w:t>
                  </w:r>
                  <w:r w:rsidRPr="00330C5D">
                    <w:t>No access to personal data.</w:t>
                  </w:r>
                </w:p>
                <w:p w14:paraId="0524F51A" w14:textId="77777777" w:rsidR="00150309" w:rsidRPr="00330C5D" w:rsidRDefault="00150309" w:rsidP="0036101C"/>
              </w:tc>
            </w:tr>
            <w:tr w:rsidR="00150309" w:rsidRPr="00330C5D" w14:paraId="7FB8F0A2" w14:textId="77777777" w:rsidTr="00ED4F74">
              <w:tc>
                <w:tcPr>
                  <w:tcW w:w="2660" w:type="dxa"/>
                </w:tcPr>
                <w:p w14:paraId="37F717B2" w14:textId="6DE3CA14" w:rsidR="00150309" w:rsidRDefault="00D9320F" w:rsidP="0036101C">
                  <w:r w:rsidRPr="00D9320F">
                    <w:rPr>
                      <w:highlight w:val="black"/>
                    </w:rPr>
                    <w:t>XXXXXXXXXXXX</w:t>
                  </w:r>
                  <w:r>
                    <w:t xml:space="preserve"> </w:t>
                  </w:r>
                  <w:r w:rsidRPr="00D9320F">
                    <w:rPr>
                      <w:highlight w:val="black"/>
                    </w:rPr>
                    <w:t>XXXXXXXXXXXX</w:t>
                  </w:r>
                </w:p>
                <w:p w14:paraId="1D54D4D8" w14:textId="77777777" w:rsidR="00150309" w:rsidRPr="00330C5D" w:rsidRDefault="00150309" w:rsidP="0036101C">
                  <w:r>
                    <w:t>United Kingdom</w:t>
                  </w:r>
                </w:p>
              </w:tc>
              <w:tc>
                <w:tcPr>
                  <w:tcW w:w="3260" w:type="dxa"/>
                </w:tcPr>
                <w:p w14:paraId="5A761964" w14:textId="77777777" w:rsidR="00150309" w:rsidRPr="00330C5D" w:rsidRDefault="00150309" w:rsidP="0036101C">
                  <w:r>
                    <w:t xml:space="preserve">Co-location hosting </w:t>
                  </w:r>
                  <w:r w:rsidRPr="00330C5D">
                    <w:t>of</w:t>
                  </w:r>
                  <w:r>
                    <w:t xml:space="preserve"> production infrastructure. </w:t>
                  </w:r>
                  <w:r w:rsidRPr="00330C5D">
                    <w:t>No access to personal data.</w:t>
                  </w:r>
                </w:p>
              </w:tc>
            </w:tr>
          </w:tbl>
          <w:p w14:paraId="74F478D9" w14:textId="77777777" w:rsidR="00150309" w:rsidRDefault="00150309">
            <w:pPr>
              <w:spacing w:before="240"/>
            </w:pPr>
          </w:p>
        </w:tc>
      </w:tr>
    </w:tbl>
    <w:p w14:paraId="15BA2A31" w14:textId="77777777" w:rsidR="00150309" w:rsidRDefault="00150309">
      <w:pPr>
        <w:spacing w:before="240" w:after="120"/>
      </w:pPr>
    </w:p>
    <w:p w14:paraId="21F14D81" w14:textId="77777777" w:rsidR="00150309" w:rsidRDefault="00150309">
      <w:pPr>
        <w:pStyle w:val="Heading3"/>
      </w:pPr>
      <w:r>
        <w:t>Call-Off Contract charges and payment</w:t>
      </w:r>
    </w:p>
    <w:p w14:paraId="41370E14" w14:textId="77777777" w:rsidR="00150309" w:rsidRDefault="00150309">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50309" w14:paraId="74AE7CD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3E24A" w14:textId="77777777" w:rsidR="00150309" w:rsidRDefault="00150309">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D2699" w14:textId="77777777" w:rsidR="00150309" w:rsidRDefault="00150309" w:rsidP="00ED4F74">
            <w:pPr>
              <w:spacing w:before="240"/>
            </w:pPr>
            <w:r>
              <w:t xml:space="preserve">The payment method for this Call-Off Contract is </w:t>
            </w:r>
            <w:r w:rsidRPr="00ED4F74">
              <w:t>annual Invoice in advance</w:t>
            </w:r>
          </w:p>
        </w:tc>
      </w:tr>
      <w:tr w:rsidR="00150309" w14:paraId="02F3A2A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84C53" w14:textId="77777777" w:rsidR="00150309" w:rsidRDefault="00150309">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4EEAF" w14:textId="77777777" w:rsidR="00150309" w:rsidRDefault="00150309">
            <w:pPr>
              <w:spacing w:before="240"/>
            </w:pPr>
            <w:r>
              <w:t>The payment profile for this Call-Off Contract is annual invoice in advance</w:t>
            </w:r>
          </w:p>
          <w:p w14:paraId="009583F3" w14:textId="77777777" w:rsidR="00150309" w:rsidRDefault="00150309">
            <w:pPr>
              <w:spacing w:before="240"/>
            </w:pPr>
          </w:p>
        </w:tc>
      </w:tr>
      <w:tr w:rsidR="00150309" w14:paraId="34CEDF7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28115" w14:textId="77777777" w:rsidR="00150309" w:rsidRDefault="00150309">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EE75D" w14:textId="77777777" w:rsidR="00150309" w:rsidRDefault="00150309" w:rsidP="00522540">
            <w:pPr>
              <w:spacing w:before="240"/>
            </w:pPr>
            <w:r>
              <w:t xml:space="preserve">The Supplier will issue electronic invoices annually in advance. The Buyer will pay the Supplier within </w:t>
            </w:r>
            <w:r w:rsidRPr="00522540">
              <w:rPr>
                <w:b/>
              </w:rPr>
              <w:t>30</w:t>
            </w:r>
            <w:r>
              <w:rPr>
                <w:b/>
              </w:rPr>
              <w:t xml:space="preserve"> </w:t>
            </w:r>
            <w:r>
              <w:t>days of receipt of a valid invoice.</w:t>
            </w:r>
          </w:p>
        </w:tc>
      </w:tr>
      <w:tr w:rsidR="00150309" w14:paraId="07FD60C0"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065E5" w14:textId="77777777" w:rsidR="00150309" w:rsidRDefault="00150309">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1F7D5" w14:textId="77777777" w:rsidR="00150309" w:rsidRDefault="00150309" w:rsidP="00BC67B1">
            <w:pPr>
              <w:spacing w:before="240"/>
            </w:pPr>
            <w:r w:rsidRPr="00522540">
              <w:t xml:space="preserve">Invoices will be sent to </w:t>
            </w:r>
            <w:r w:rsidRPr="00BC67B1">
              <w:t>accountsreceivable@hmrc.gov.uk</w:t>
            </w:r>
          </w:p>
        </w:tc>
      </w:tr>
      <w:tr w:rsidR="00150309" w14:paraId="6F748FB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56C56" w14:textId="77777777" w:rsidR="00150309" w:rsidRDefault="00150309">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9D6C4" w14:textId="77777777" w:rsidR="00150309" w:rsidRDefault="00150309" w:rsidP="00522540">
            <w:r>
              <w:t xml:space="preserve">All invoices must include: </w:t>
            </w:r>
          </w:p>
          <w:p w14:paraId="6F40E788" w14:textId="77777777" w:rsidR="00150309" w:rsidRDefault="00150309" w:rsidP="00A845D6">
            <w:pPr>
              <w:pStyle w:val="ListParagraph"/>
              <w:numPr>
                <w:ilvl w:val="0"/>
                <w:numId w:val="21"/>
              </w:numPr>
              <w:suppressAutoHyphens w:val="0"/>
              <w:autoSpaceDN/>
              <w:spacing w:line="259" w:lineRule="auto"/>
              <w:contextualSpacing/>
              <w:textAlignment w:val="auto"/>
            </w:pPr>
            <w:r>
              <w:t xml:space="preserve">the Purchase Order number; </w:t>
            </w:r>
          </w:p>
          <w:p w14:paraId="27FF2D71" w14:textId="77777777" w:rsidR="00150309" w:rsidRDefault="00150309" w:rsidP="00A845D6">
            <w:pPr>
              <w:pStyle w:val="ListParagraph"/>
              <w:numPr>
                <w:ilvl w:val="0"/>
                <w:numId w:val="21"/>
              </w:numPr>
              <w:suppressAutoHyphens w:val="0"/>
              <w:autoSpaceDN/>
              <w:spacing w:line="259" w:lineRule="auto"/>
              <w:contextualSpacing/>
              <w:textAlignment w:val="auto"/>
            </w:pPr>
            <w:r>
              <w:t xml:space="preserve">total value excluding Value Added Tax (VAT); </w:t>
            </w:r>
          </w:p>
          <w:p w14:paraId="037F0439" w14:textId="77777777" w:rsidR="00150309" w:rsidRDefault="00150309" w:rsidP="00A845D6">
            <w:pPr>
              <w:pStyle w:val="ListParagraph"/>
              <w:numPr>
                <w:ilvl w:val="0"/>
                <w:numId w:val="21"/>
              </w:numPr>
              <w:suppressAutoHyphens w:val="0"/>
              <w:autoSpaceDN/>
              <w:spacing w:line="259" w:lineRule="auto"/>
              <w:contextualSpacing/>
              <w:textAlignment w:val="auto"/>
            </w:pPr>
            <w:r>
              <w:t xml:space="preserve">the VAT percentage; </w:t>
            </w:r>
          </w:p>
          <w:p w14:paraId="3AD1ACB7" w14:textId="77777777" w:rsidR="00150309" w:rsidRDefault="00150309" w:rsidP="00A845D6">
            <w:pPr>
              <w:pStyle w:val="ListParagraph"/>
              <w:numPr>
                <w:ilvl w:val="0"/>
                <w:numId w:val="21"/>
              </w:numPr>
              <w:suppressAutoHyphens w:val="0"/>
              <w:autoSpaceDN/>
              <w:spacing w:line="259" w:lineRule="auto"/>
              <w:contextualSpacing/>
              <w:textAlignment w:val="auto"/>
            </w:pPr>
            <w:r>
              <w:lastRenderedPageBreak/>
              <w:t xml:space="preserve">the total value including VAT; </w:t>
            </w:r>
          </w:p>
          <w:p w14:paraId="18DBB031" w14:textId="77777777" w:rsidR="00150309" w:rsidRDefault="00150309" w:rsidP="00A845D6">
            <w:pPr>
              <w:pStyle w:val="ListParagraph"/>
              <w:numPr>
                <w:ilvl w:val="0"/>
                <w:numId w:val="21"/>
              </w:numPr>
              <w:suppressAutoHyphens w:val="0"/>
              <w:autoSpaceDN/>
              <w:spacing w:line="259" w:lineRule="auto"/>
              <w:contextualSpacing/>
              <w:textAlignment w:val="auto"/>
            </w:pPr>
            <w:r>
              <w:t xml:space="preserve">a contact name and telephone number of an appropriate individual in the Supplier's finance department in the event of administrative queries; and </w:t>
            </w:r>
          </w:p>
          <w:p w14:paraId="3F02F4C2" w14:textId="77777777" w:rsidR="00150309" w:rsidRDefault="00150309" w:rsidP="00522540">
            <w:r>
              <w:t>The banking details for payment to the Supplier via electronic transfer of funds (name and address of bank, sort code, account name and number).</w:t>
            </w:r>
          </w:p>
        </w:tc>
      </w:tr>
      <w:tr w:rsidR="00150309" w14:paraId="3899934D"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A4621" w14:textId="77777777" w:rsidR="00150309" w:rsidRDefault="00150309">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15A7F" w14:textId="77777777" w:rsidR="00150309" w:rsidRDefault="00150309">
            <w:pPr>
              <w:spacing w:before="240"/>
            </w:pPr>
            <w:r>
              <w:t>Invoice will be sent to the Buyer Annually</w:t>
            </w:r>
          </w:p>
        </w:tc>
      </w:tr>
      <w:tr w:rsidR="00150309" w14:paraId="7E279DA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4D0A7" w14:textId="77777777" w:rsidR="00150309" w:rsidRDefault="00150309">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59526" w14:textId="77777777" w:rsidR="00150309" w:rsidRDefault="00150309" w:rsidP="001D3D15">
            <w:pPr>
              <w:spacing w:before="240"/>
            </w:pPr>
            <w:r>
              <w:t xml:space="preserve">The total value of this Call-Off Contract is </w:t>
            </w:r>
            <w:r w:rsidRPr="00E4771B">
              <w:t>£</w:t>
            </w:r>
            <w:r>
              <w:t>390,000</w:t>
            </w:r>
          </w:p>
        </w:tc>
      </w:tr>
      <w:tr w:rsidR="00150309" w14:paraId="403A9A0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8217A" w14:textId="77777777" w:rsidR="00150309" w:rsidRDefault="00150309">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93172" w14:textId="77777777" w:rsidR="00150309" w:rsidRDefault="00150309">
            <w:pPr>
              <w:spacing w:before="240"/>
            </w:pPr>
            <w:r>
              <w:t xml:space="preserve">The breakdown of the Charges </w:t>
            </w:r>
            <w:r w:rsidRPr="00E4771B">
              <w:t>is shown in Schedule 2</w:t>
            </w:r>
          </w:p>
        </w:tc>
      </w:tr>
    </w:tbl>
    <w:p w14:paraId="23333664" w14:textId="77777777" w:rsidR="00150309" w:rsidRDefault="00150309"/>
    <w:p w14:paraId="7EBA50DF" w14:textId="77777777" w:rsidR="00150309" w:rsidRDefault="00150309">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150309" w14:paraId="4CAA4C15"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D8434" w14:textId="77777777" w:rsidR="00150309" w:rsidRDefault="00150309">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5AF36" w14:textId="77777777" w:rsidR="00150309" w:rsidRDefault="00150309" w:rsidP="0036101C">
            <w:pPr>
              <w:spacing w:before="240"/>
            </w:pPr>
            <w:r>
              <w:t>This Call-Off Contract will include the following Implementation Plan, exit and offboarding plans and milestones:</w:t>
            </w:r>
          </w:p>
          <w:p w14:paraId="2C9F68CF" w14:textId="77777777" w:rsidR="00150309" w:rsidRPr="001D3D15" w:rsidRDefault="00150309" w:rsidP="00E4771B">
            <w:pPr>
              <w:spacing w:before="240"/>
            </w:pPr>
            <w:r w:rsidRPr="001D3D15">
              <w:t>As per Bottomline's entry on GCloud 12</w:t>
            </w:r>
          </w:p>
          <w:p w14:paraId="7A849DE5" w14:textId="77777777" w:rsidR="00150309" w:rsidRDefault="00150309" w:rsidP="0036101C">
            <w:pPr>
              <w:spacing w:before="240"/>
            </w:pPr>
            <w:r w:rsidRPr="001D3D15">
              <w:t>https://www.digitalmarketplace.service.gov.uk/g-cloud/services/763732625280670</w:t>
            </w:r>
          </w:p>
        </w:tc>
      </w:tr>
      <w:tr w:rsidR="00150309" w14:paraId="336F10D8"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59F11" w14:textId="77777777" w:rsidR="00150309" w:rsidRDefault="00150309">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4160E" w14:textId="77777777" w:rsidR="00150309" w:rsidRDefault="00150309">
            <w:pPr>
              <w:spacing w:before="240"/>
            </w:pPr>
            <w:r>
              <w:t>N/A</w:t>
            </w:r>
          </w:p>
        </w:tc>
      </w:tr>
      <w:tr w:rsidR="00150309" w14:paraId="1E2BF880"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60EC0" w14:textId="77777777" w:rsidR="00150309" w:rsidRDefault="00150309">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0C541" w14:textId="77777777" w:rsidR="00150309" w:rsidRDefault="00150309">
            <w:pPr>
              <w:spacing w:before="240"/>
            </w:pPr>
            <w:r>
              <w:t>N/A</w:t>
            </w:r>
          </w:p>
        </w:tc>
      </w:tr>
      <w:tr w:rsidR="00150309" w14:paraId="78EA9C64"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90E96" w14:textId="77777777" w:rsidR="00150309" w:rsidRDefault="00150309">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150EE" w14:textId="77777777" w:rsidR="00150309" w:rsidRPr="001D3D15" w:rsidRDefault="00150309">
            <w:pPr>
              <w:spacing w:before="240"/>
            </w:pPr>
            <w:r w:rsidRPr="001D3D15">
              <w:t xml:space="preserve">N/A </w:t>
            </w:r>
          </w:p>
        </w:tc>
      </w:tr>
      <w:tr w:rsidR="00150309" w14:paraId="324CDEBF"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E91AD" w14:textId="77777777" w:rsidR="00150309" w:rsidRDefault="00150309">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782AD" w14:textId="77777777" w:rsidR="00150309" w:rsidRDefault="00150309">
            <w:pPr>
              <w:spacing w:before="240"/>
            </w:pPr>
            <w:r>
              <w:t>N/A</w:t>
            </w:r>
          </w:p>
        </w:tc>
      </w:tr>
      <w:tr w:rsidR="00150309" w14:paraId="753DD32E"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A0C32" w14:textId="77777777" w:rsidR="00150309" w:rsidRDefault="00150309">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A696" w14:textId="77777777" w:rsidR="00150309" w:rsidRDefault="00150309" w:rsidP="00B03D55">
            <w:pPr>
              <w:spacing w:before="240"/>
            </w:pPr>
            <w:r>
              <w:t>Within the scope of the Call-Off Contract, t</w:t>
            </w:r>
            <w:r w:rsidRPr="007C3284">
              <w:t xml:space="preserve">he supplier has agreed to adhere to </w:t>
            </w:r>
            <w:r w:rsidRPr="00B03D55">
              <w:t>HMRC Mandatory Clauses in appendix 1</w:t>
            </w:r>
          </w:p>
        </w:tc>
      </w:tr>
      <w:tr w:rsidR="00150309" w14:paraId="63E85D39"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B944E" w14:textId="77777777" w:rsidR="00150309" w:rsidRDefault="00150309">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55346" w14:textId="77777777" w:rsidR="00150309" w:rsidRDefault="00150309">
            <w:pPr>
              <w:spacing w:before="240"/>
            </w:pPr>
            <w:r w:rsidRPr="00E4771B">
              <w:t xml:space="preserve">The PSN Network is not used. </w:t>
            </w:r>
          </w:p>
        </w:tc>
      </w:tr>
      <w:tr w:rsidR="00150309" w14:paraId="0CC67188"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D47C5" w14:textId="77777777" w:rsidR="00150309" w:rsidRDefault="00150309">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73845" w14:textId="77777777" w:rsidR="00150309" w:rsidRDefault="00150309" w:rsidP="00D711CD">
            <w:pPr>
              <w:spacing w:before="240"/>
            </w:pPr>
            <w:r w:rsidRPr="00D711CD">
              <w:t>Confirm whether Annex 1 (and Annex 2, if applicable) of Schedule 7 is being used: Annex 1</w:t>
            </w:r>
          </w:p>
        </w:tc>
      </w:tr>
    </w:tbl>
    <w:p w14:paraId="33FE264E" w14:textId="77777777" w:rsidR="00150309" w:rsidRDefault="00150309">
      <w:pPr>
        <w:spacing w:before="240" w:after="240"/>
      </w:pPr>
      <w:r>
        <w:t xml:space="preserve"> </w:t>
      </w:r>
    </w:p>
    <w:p w14:paraId="38104525" w14:textId="77777777" w:rsidR="00150309" w:rsidRDefault="00150309">
      <w:pPr>
        <w:pStyle w:val="Heading3"/>
      </w:pPr>
      <w:r>
        <w:t xml:space="preserve">1. </w:t>
      </w:r>
      <w:r>
        <w:tab/>
        <w:t>Formation of contract</w:t>
      </w:r>
    </w:p>
    <w:p w14:paraId="633968DE" w14:textId="77777777" w:rsidR="00150309" w:rsidRDefault="00150309">
      <w:pPr>
        <w:ind w:left="720" w:hanging="720"/>
      </w:pPr>
      <w:r>
        <w:t>1.1</w:t>
      </w:r>
      <w:r>
        <w:tab/>
        <w:t>By signing and returning this Order Form (Part A), the Supplier agrees to enter into a Call-Off Contract with the Buyer.</w:t>
      </w:r>
    </w:p>
    <w:p w14:paraId="2C78F0FB" w14:textId="77777777" w:rsidR="00150309" w:rsidRDefault="00150309">
      <w:pPr>
        <w:ind w:firstLine="720"/>
      </w:pPr>
    </w:p>
    <w:p w14:paraId="36C188FA" w14:textId="77777777" w:rsidR="00150309" w:rsidRDefault="00150309">
      <w:pPr>
        <w:ind w:left="720" w:hanging="720"/>
      </w:pPr>
      <w:r>
        <w:lastRenderedPageBreak/>
        <w:t>1.2</w:t>
      </w:r>
      <w:r>
        <w:tab/>
        <w:t>The Parties agree that they have read the Order Form (Part A) and the Call-Off Contract terms and by signing below agree to be bound by this Call-Off Contract.</w:t>
      </w:r>
    </w:p>
    <w:p w14:paraId="39B0B6B6" w14:textId="77777777" w:rsidR="00150309" w:rsidRDefault="00150309">
      <w:pPr>
        <w:ind w:firstLine="720"/>
      </w:pPr>
    </w:p>
    <w:p w14:paraId="4B5E406E" w14:textId="77777777" w:rsidR="00150309" w:rsidRDefault="00150309">
      <w:pPr>
        <w:ind w:left="720" w:hanging="720"/>
      </w:pPr>
      <w:r>
        <w:t>1.3</w:t>
      </w:r>
      <w:r>
        <w:tab/>
        <w:t>This Call-Off Contract will be formed when the Buyer acknowledges receipt of the signed copy of the Order Form from the Supplier.</w:t>
      </w:r>
    </w:p>
    <w:p w14:paraId="79DA8D68" w14:textId="77777777" w:rsidR="00150309" w:rsidRDefault="00150309">
      <w:pPr>
        <w:ind w:firstLine="720"/>
      </w:pPr>
    </w:p>
    <w:p w14:paraId="506FB9A1" w14:textId="77777777" w:rsidR="00150309" w:rsidRDefault="00150309">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9313039" w14:textId="77777777" w:rsidR="00150309" w:rsidRDefault="00150309"/>
    <w:p w14:paraId="1F13F9A3" w14:textId="77777777" w:rsidR="00150309" w:rsidRDefault="00150309">
      <w:pPr>
        <w:pStyle w:val="Heading3"/>
      </w:pPr>
      <w:r>
        <w:t xml:space="preserve">2. </w:t>
      </w:r>
      <w:r>
        <w:tab/>
        <w:t>Background to the agreement</w:t>
      </w:r>
    </w:p>
    <w:p w14:paraId="5C5CB083" w14:textId="77777777" w:rsidR="00150309" w:rsidRDefault="00150309">
      <w:pPr>
        <w:ind w:left="720" w:hanging="720"/>
      </w:pPr>
      <w:r>
        <w:t>2.1</w:t>
      </w:r>
      <w:r>
        <w:tab/>
        <w:t>The Supplier is a provider of G-Cloud Services and agreed to provide the Services under the terms of Framework Agreement number RM1557.12.</w:t>
      </w:r>
    </w:p>
    <w:p w14:paraId="6AEC8AAC" w14:textId="77777777" w:rsidR="00150309" w:rsidRDefault="00150309">
      <w:pPr>
        <w:ind w:left="720"/>
      </w:pPr>
    </w:p>
    <w:p w14:paraId="0F90D6B5" w14:textId="77777777" w:rsidR="00150309" w:rsidRDefault="00150309">
      <w:r>
        <w:t>2.2</w:t>
      </w:r>
      <w:r>
        <w:tab/>
        <w:t>The Buyer provided an Order Form for Services to the Supplier.</w:t>
      </w:r>
    </w:p>
    <w:p w14:paraId="428998B9" w14:textId="77777777" w:rsidR="00150309" w:rsidRDefault="00150309"/>
    <w:p w14:paraId="33B4C92D" w14:textId="77777777" w:rsidR="00150309" w:rsidRDefault="00150309">
      <w:pPr>
        <w:pageBreakBefore/>
      </w:pPr>
    </w:p>
    <w:p w14:paraId="39968044" w14:textId="77777777" w:rsidR="00150309" w:rsidRDefault="00150309"/>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150309" w14:paraId="7D04367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37E07" w14:textId="77777777" w:rsidR="00150309" w:rsidRDefault="00150309">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6BDC4" w14:textId="77777777" w:rsidR="00150309" w:rsidRDefault="00150309">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DF44" w14:textId="77777777" w:rsidR="00150309" w:rsidRDefault="00150309">
            <w:pPr>
              <w:spacing w:before="240"/>
            </w:pPr>
            <w:r>
              <w:t>Buyer</w:t>
            </w:r>
          </w:p>
        </w:tc>
      </w:tr>
      <w:tr w:rsidR="00150309" w14:paraId="65945BB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9D8A2" w14:textId="77777777" w:rsidR="00150309" w:rsidRDefault="00150309">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88641" w14:textId="77777777" w:rsidR="00150309" w:rsidRDefault="00150309">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36FCA" w14:textId="77777777" w:rsidR="00150309" w:rsidRDefault="00150309" w:rsidP="00B03D55">
            <w:pPr>
              <w:spacing w:before="240"/>
            </w:pPr>
          </w:p>
        </w:tc>
      </w:tr>
      <w:tr w:rsidR="00150309" w14:paraId="3F9E1B8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06D2E" w14:textId="77777777" w:rsidR="00150309" w:rsidRDefault="00150309">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9396E" w14:textId="77777777" w:rsidR="00150309" w:rsidRDefault="00150309">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D01E2" w14:textId="77777777" w:rsidR="00150309" w:rsidRDefault="00150309">
            <w:pPr>
              <w:spacing w:before="240"/>
            </w:pPr>
          </w:p>
        </w:tc>
      </w:tr>
      <w:tr w:rsidR="00150309" w14:paraId="20BA66E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327D8" w14:textId="77777777" w:rsidR="00150309" w:rsidRDefault="00150309">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C517A" w14:textId="77777777" w:rsidR="00150309" w:rsidRDefault="00150309"/>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E7E27" w14:textId="77777777" w:rsidR="00150309" w:rsidRDefault="00150309">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150309" w14:paraId="28D9463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B53E3" w14:textId="77777777" w:rsidR="00150309" w:rsidRDefault="00150309">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DF160" w14:textId="77777777" w:rsidR="00150309" w:rsidRDefault="00150309">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1B569" w14:textId="77777777" w:rsidR="00150309" w:rsidRDefault="00150309">
            <w:pPr>
              <w:spacing w:before="240"/>
            </w:pPr>
          </w:p>
        </w:tc>
      </w:tr>
    </w:tbl>
    <w:p w14:paraId="3266F030" w14:textId="77777777" w:rsidR="00150309" w:rsidRDefault="00150309">
      <w:pPr>
        <w:spacing w:before="240"/>
        <w:rPr>
          <w:b/>
        </w:rPr>
      </w:pPr>
      <w:r>
        <w:rPr>
          <w:b/>
        </w:rPr>
        <w:t xml:space="preserve"> </w:t>
      </w:r>
    </w:p>
    <w:p w14:paraId="32193D3A" w14:textId="77777777" w:rsidR="00150309" w:rsidRDefault="00150309">
      <w:pPr>
        <w:pStyle w:val="Heading2"/>
      </w:pPr>
      <w:bookmarkStart w:id="3" w:name="_Toc33176233"/>
      <w:r>
        <w:t>Schedule 1: Services</w:t>
      </w:r>
      <w:bookmarkEnd w:id="3"/>
    </w:p>
    <w:p w14:paraId="0D4EA11B" w14:textId="77777777" w:rsidR="00150309" w:rsidRDefault="00150309">
      <w:pPr>
        <w:spacing w:before="240"/>
      </w:pPr>
      <w:r w:rsidRPr="00650B05">
        <w:t>See Schedule 2</w:t>
      </w:r>
    </w:p>
    <w:p w14:paraId="1C8743C8" w14:textId="77777777" w:rsidR="00150309" w:rsidRDefault="00150309">
      <w:pPr>
        <w:spacing w:before="240"/>
        <w:rPr>
          <w:b/>
        </w:rPr>
      </w:pPr>
      <w:r>
        <w:rPr>
          <w:b/>
        </w:rPr>
        <w:t xml:space="preserve"> </w:t>
      </w:r>
    </w:p>
    <w:p w14:paraId="0C400143" w14:textId="77777777" w:rsidR="00150309" w:rsidRDefault="00150309">
      <w:pPr>
        <w:pStyle w:val="Heading2"/>
      </w:pPr>
      <w:bookmarkStart w:id="4" w:name="_Toc33176234"/>
      <w:r>
        <w:t>Schedule 2: Call-Off Contract charges</w:t>
      </w:r>
      <w:bookmarkEnd w:id="4"/>
    </w:p>
    <w:p w14:paraId="0E7D2443" w14:textId="77777777" w:rsidR="00150309" w:rsidRDefault="00150309" w:rsidP="007A344F">
      <w:pPr>
        <w:spacing w:before="240"/>
        <w:rPr>
          <w:b/>
        </w:rPr>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r>
        <w:rPr>
          <w:b/>
        </w:rPr>
        <w:t>:</w:t>
      </w:r>
    </w:p>
    <w:p w14:paraId="38C98615" w14:textId="0320074A" w:rsidR="00150309" w:rsidRPr="007A344F" w:rsidRDefault="00D9320F" w:rsidP="007A344F">
      <w:pPr>
        <w:spacing w:before="240"/>
      </w:pP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lastRenderedPageBreak/>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r w:rsidRPr="00D9320F">
        <w:rPr>
          <w:highlight w:val="black"/>
        </w:rPr>
        <w:t xml:space="preserve"> </w:t>
      </w:r>
      <w:r w:rsidRPr="00D9320F">
        <w:rPr>
          <w:highlight w:val="black"/>
        </w:rPr>
        <w:t>XXXXXXXXXXXX</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30"/>
        <w:gridCol w:w="2930"/>
      </w:tblGrid>
      <w:tr w:rsidR="00D9320F" w:rsidRPr="00D9320F" w14:paraId="2B7B4000" w14:textId="77777777">
        <w:tblPrEx>
          <w:tblCellMar>
            <w:top w:w="0" w:type="dxa"/>
            <w:bottom w:w="0" w:type="dxa"/>
          </w:tblCellMar>
        </w:tblPrEx>
        <w:trPr>
          <w:trHeight w:val="80"/>
        </w:trPr>
        <w:tc>
          <w:tcPr>
            <w:tcW w:w="2930" w:type="dxa"/>
          </w:tcPr>
          <w:p w14:paraId="408F9C37" w14:textId="77777777" w:rsidR="00D9320F" w:rsidRPr="00D9320F" w:rsidRDefault="00D9320F" w:rsidP="00D9320F">
            <w:pPr>
              <w:autoSpaceDE w:val="0"/>
              <w:autoSpaceDN w:val="0"/>
              <w:adjustRightInd w:val="0"/>
              <w:spacing w:after="0" w:line="240" w:lineRule="auto"/>
              <w:rPr>
                <w:rFonts w:ascii="Calibri" w:hAnsi="Calibri" w:cs="Calibri"/>
                <w:color w:val="000000"/>
                <w:sz w:val="16"/>
                <w:szCs w:val="16"/>
              </w:rPr>
            </w:pPr>
            <w:r w:rsidRPr="00D9320F">
              <w:rPr>
                <w:rFonts w:ascii="Calibri" w:hAnsi="Calibri" w:cs="Calibri"/>
                <w:b/>
                <w:bCs/>
                <w:color w:val="000000"/>
                <w:sz w:val="16"/>
                <w:szCs w:val="16"/>
              </w:rPr>
              <w:t xml:space="preserve">Subtotal for Yearly Subscription &amp; Service Charges </w:t>
            </w:r>
          </w:p>
        </w:tc>
        <w:tc>
          <w:tcPr>
            <w:tcW w:w="2930" w:type="dxa"/>
          </w:tcPr>
          <w:p w14:paraId="6068B1D6" w14:textId="77777777" w:rsidR="00D9320F" w:rsidRPr="00D9320F" w:rsidRDefault="00D9320F" w:rsidP="00D9320F">
            <w:pPr>
              <w:autoSpaceDE w:val="0"/>
              <w:autoSpaceDN w:val="0"/>
              <w:adjustRightInd w:val="0"/>
              <w:spacing w:after="0" w:line="240" w:lineRule="auto"/>
              <w:rPr>
                <w:rFonts w:ascii="Calibri" w:hAnsi="Calibri" w:cs="Calibri"/>
                <w:color w:val="000000"/>
                <w:sz w:val="16"/>
                <w:szCs w:val="16"/>
              </w:rPr>
            </w:pPr>
            <w:r w:rsidRPr="00D9320F">
              <w:rPr>
                <w:rFonts w:ascii="Calibri" w:hAnsi="Calibri" w:cs="Calibri"/>
                <w:b/>
                <w:bCs/>
                <w:color w:val="000000"/>
                <w:sz w:val="16"/>
                <w:szCs w:val="16"/>
              </w:rPr>
              <w:t xml:space="preserve">195,000.00 </w:t>
            </w:r>
          </w:p>
        </w:tc>
      </w:tr>
      <w:tr w:rsidR="00D9320F" w:rsidRPr="00D9320F" w14:paraId="591BC295" w14:textId="77777777" w:rsidTr="00D9320F">
        <w:tblPrEx>
          <w:tblCellMar>
            <w:top w:w="0" w:type="dxa"/>
            <w:bottom w:w="0" w:type="dxa"/>
          </w:tblCellMar>
        </w:tblPrEx>
        <w:trPr>
          <w:trHeight w:val="620"/>
        </w:trPr>
        <w:tc>
          <w:tcPr>
            <w:tcW w:w="2930" w:type="dxa"/>
          </w:tcPr>
          <w:p w14:paraId="32531100" w14:textId="77777777" w:rsidR="00D9320F" w:rsidRPr="00D9320F" w:rsidRDefault="00D9320F" w:rsidP="00D9320F">
            <w:pPr>
              <w:autoSpaceDE w:val="0"/>
              <w:autoSpaceDN w:val="0"/>
              <w:adjustRightInd w:val="0"/>
              <w:spacing w:after="0" w:line="240" w:lineRule="auto"/>
              <w:rPr>
                <w:rFonts w:ascii="Calibri" w:hAnsi="Calibri" w:cs="Calibri"/>
                <w:color w:val="000000"/>
                <w:sz w:val="16"/>
                <w:szCs w:val="16"/>
              </w:rPr>
            </w:pPr>
            <w:r w:rsidRPr="00D9320F">
              <w:rPr>
                <w:rFonts w:ascii="Calibri" w:hAnsi="Calibri" w:cs="Calibri"/>
                <w:b/>
                <w:bCs/>
                <w:color w:val="000000"/>
                <w:sz w:val="16"/>
                <w:szCs w:val="16"/>
              </w:rPr>
              <w:t xml:space="preserve">Subtotal for Monthly Subscription &amp; Service Charges </w:t>
            </w:r>
          </w:p>
        </w:tc>
        <w:tc>
          <w:tcPr>
            <w:tcW w:w="2930" w:type="dxa"/>
          </w:tcPr>
          <w:p w14:paraId="37BFEE0A" w14:textId="77777777" w:rsidR="00D9320F" w:rsidRPr="00D9320F" w:rsidRDefault="00D9320F" w:rsidP="00D9320F">
            <w:pPr>
              <w:autoSpaceDE w:val="0"/>
              <w:autoSpaceDN w:val="0"/>
              <w:adjustRightInd w:val="0"/>
              <w:spacing w:after="0" w:line="240" w:lineRule="auto"/>
              <w:rPr>
                <w:rFonts w:ascii="Calibri" w:hAnsi="Calibri" w:cs="Calibri"/>
                <w:color w:val="000000"/>
                <w:sz w:val="16"/>
                <w:szCs w:val="16"/>
              </w:rPr>
            </w:pPr>
            <w:r w:rsidRPr="00D9320F">
              <w:rPr>
                <w:rFonts w:ascii="Calibri" w:hAnsi="Calibri" w:cs="Calibri"/>
                <w:b/>
                <w:bCs/>
                <w:color w:val="000000"/>
                <w:sz w:val="16"/>
                <w:szCs w:val="16"/>
              </w:rPr>
              <w:t xml:space="preserve">0.00 </w:t>
            </w:r>
          </w:p>
        </w:tc>
      </w:tr>
    </w:tbl>
    <w:p w14:paraId="2629A29B" w14:textId="77777777" w:rsidR="00150309" w:rsidRDefault="00150309">
      <w:pPr>
        <w:rPr>
          <w:b/>
        </w:rPr>
      </w:pPr>
    </w:p>
    <w:p w14:paraId="264FD905" w14:textId="77777777" w:rsidR="00150309" w:rsidRDefault="00150309">
      <w:pPr>
        <w:rPr>
          <w:sz w:val="32"/>
          <w:szCs w:val="32"/>
        </w:rPr>
      </w:pPr>
    </w:p>
    <w:p w14:paraId="60455DF2" w14:textId="77777777" w:rsidR="00150309" w:rsidRDefault="00150309">
      <w:pPr>
        <w:rPr>
          <w:sz w:val="32"/>
          <w:szCs w:val="32"/>
        </w:rPr>
      </w:pPr>
      <w:r>
        <w:rPr>
          <w:sz w:val="32"/>
          <w:szCs w:val="32"/>
        </w:rPr>
        <w:br w:type="page"/>
      </w:r>
    </w:p>
    <w:p w14:paraId="6031F18B" w14:textId="77777777" w:rsidR="00150309" w:rsidRDefault="00150309">
      <w:pPr>
        <w:rPr>
          <w:sz w:val="32"/>
          <w:szCs w:val="32"/>
        </w:rPr>
      </w:pPr>
      <w:r>
        <w:rPr>
          <w:sz w:val="32"/>
          <w:szCs w:val="32"/>
        </w:rPr>
        <w:lastRenderedPageBreak/>
        <w:t>Customer Benefits</w:t>
      </w:r>
    </w:p>
    <w:p w14:paraId="770C3929" w14:textId="77777777" w:rsidR="00150309" w:rsidRDefault="00150309">
      <w:pPr>
        <w:rPr>
          <w:sz w:val="32"/>
          <w:szCs w:val="32"/>
        </w:rPr>
      </w:pPr>
    </w:p>
    <w:p w14:paraId="2AF9C7AB" w14:textId="77777777" w:rsidR="00150309" w:rsidRDefault="00150309">
      <w:bookmarkStart w:id="5" w:name="_Toc33176235"/>
      <w:r>
        <w:t>For each Call-Off Contract please complete a customer benefits record, by following this link;</w:t>
      </w:r>
    </w:p>
    <w:p w14:paraId="4B6DA2A5" w14:textId="77777777" w:rsidR="00150309" w:rsidRDefault="00150309"/>
    <w:p w14:paraId="48055E45" w14:textId="77777777" w:rsidR="00150309" w:rsidRDefault="00D9320F">
      <w:hyperlink r:id="rId9" w:history="1">
        <w:r w:rsidR="00150309">
          <w:rPr>
            <w:rStyle w:val="Hyperlink"/>
          </w:rPr>
          <w:t>G-Cloud 12 Customer Benefits Record</w:t>
        </w:r>
      </w:hyperlink>
      <w:r w:rsidR="00150309">
        <w:t xml:space="preserve"> </w:t>
      </w:r>
    </w:p>
    <w:p w14:paraId="10FE5E1A" w14:textId="77777777" w:rsidR="00150309" w:rsidRDefault="00150309">
      <w:pPr>
        <w:pStyle w:val="Heading2"/>
        <w:pageBreakBefore/>
      </w:pPr>
      <w:r>
        <w:lastRenderedPageBreak/>
        <w:t>Part B: Terms and conditions</w:t>
      </w:r>
      <w:bookmarkEnd w:id="5"/>
    </w:p>
    <w:p w14:paraId="096CC78B" w14:textId="77777777" w:rsidR="00150309" w:rsidRDefault="00150309">
      <w:pPr>
        <w:pStyle w:val="Heading3"/>
        <w:spacing w:after="100"/>
      </w:pPr>
      <w:r>
        <w:t>1.</w:t>
      </w:r>
      <w:r>
        <w:tab/>
        <w:t>Call-Off Contract Start date and length</w:t>
      </w:r>
    </w:p>
    <w:p w14:paraId="2D2FC689" w14:textId="77777777" w:rsidR="00150309" w:rsidRDefault="00150309">
      <w:r>
        <w:t>1.1</w:t>
      </w:r>
      <w:r>
        <w:tab/>
        <w:t>The Supplier must start providing the Services on the date specified in the Order Form.</w:t>
      </w:r>
    </w:p>
    <w:p w14:paraId="1CE04199" w14:textId="77777777" w:rsidR="00150309" w:rsidRDefault="00150309">
      <w:pPr>
        <w:ind w:firstLine="720"/>
      </w:pPr>
    </w:p>
    <w:p w14:paraId="62415D87" w14:textId="77777777" w:rsidR="00150309" w:rsidRDefault="00150309">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0ADE0CF" w14:textId="77777777" w:rsidR="00150309" w:rsidRDefault="00150309">
      <w:pPr>
        <w:ind w:left="720"/>
      </w:pPr>
    </w:p>
    <w:p w14:paraId="299613BB" w14:textId="77777777" w:rsidR="00150309" w:rsidRDefault="00150309">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D7FBF0E" w14:textId="77777777" w:rsidR="00150309" w:rsidRDefault="00150309">
      <w:pPr>
        <w:ind w:left="720"/>
      </w:pPr>
    </w:p>
    <w:p w14:paraId="28D1646D" w14:textId="77777777" w:rsidR="00150309" w:rsidRDefault="00150309">
      <w:pPr>
        <w:ind w:left="720" w:hanging="720"/>
      </w:pPr>
      <w:r>
        <w:t>1.4</w:t>
      </w:r>
      <w:r>
        <w:tab/>
        <w:t>The Parties must comply with the requirements under clauses 21.3 to 21.8 if the Buyer reserves the right in the Order Form to extend the contract beyond 24 months.</w:t>
      </w:r>
    </w:p>
    <w:p w14:paraId="04066DDC" w14:textId="77777777" w:rsidR="00150309" w:rsidRDefault="00150309">
      <w:pPr>
        <w:spacing w:before="240" w:after="240"/>
      </w:pPr>
    </w:p>
    <w:p w14:paraId="05B1569C" w14:textId="77777777" w:rsidR="00150309" w:rsidRDefault="00150309">
      <w:pPr>
        <w:pStyle w:val="Heading3"/>
        <w:spacing w:after="100"/>
      </w:pPr>
      <w:r>
        <w:t>2.</w:t>
      </w:r>
      <w:r>
        <w:tab/>
        <w:t>Incorporation of terms</w:t>
      </w:r>
    </w:p>
    <w:p w14:paraId="7F544F4C" w14:textId="77777777" w:rsidR="00150309" w:rsidRDefault="00150309">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0731264" w14:textId="77777777" w:rsidR="00150309" w:rsidRDefault="00150309" w:rsidP="00A845D6">
      <w:pPr>
        <w:pStyle w:val="ListParagraph"/>
        <w:numPr>
          <w:ilvl w:val="0"/>
          <w:numId w:val="3"/>
        </w:numPr>
      </w:pPr>
      <w:r>
        <w:rPr>
          <w:sz w:val="14"/>
          <w:szCs w:val="14"/>
        </w:rPr>
        <w:t xml:space="preserve"> </w:t>
      </w:r>
      <w:r>
        <w:t>4.1 (Warranties and representations)</w:t>
      </w:r>
    </w:p>
    <w:p w14:paraId="399562DE" w14:textId="77777777" w:rsidR="00150309" w:rsidRDefault="00150309" w:rsidP="00A845D6">
      <w:pPr>
        <w:pStyle w:val="ListParagraph"/>
        <w:numPr>
          <w:ilvl w:val="0"/>
          <w:numId w:val="3"/>
        </w:numPr>
      </w:pPr>
      <w:r>
        <w:t>4.2 to 4.7 (Liability)</w:t>
      </w:r>
    </w:p>
    <w:p w14:paraId="32FE9EA3" w14:textId="77777777" w:rsidR="00150309" w:rsidRDefault="00150309" w:rsidP="00A845D6">
      <w:pPr>
        <w:pStyle w:val="ListParagraph"/>
        <w:numPr>
          <w:ilvl w:val="0"/>
          <w:numId w:val="3"/>
        </w:numPr>
      </w:pPr>
      <w:r>
        <w:t>4.11 to 4.12 (IR35)</w:t>
      </w:r>
    </w:p>
    <w:p w14:paraId="6D18B1B2" w14:textId="77777777" w:rsidR="00150309" w:rsidRDefault="00150309" w:rsidP="00A845D6">
      <w:pPr>
        <w:pStyle w:val="ListParagraph"/>
        <w:numPr>
          <w:ilvl w:val="0"/>
          <w:numId w:val="3"/>
        </w:numPr>
      </w:pPr>
      <w:r>
        <w:t>5.4 to 5.5 (Force majeure)</w:t>
      </w:r>
    </w:p>
    <w:p w14:paraId="6765FBBD" w14:textId="77777777" w:rsidR="00150309" w:rsidRDefault="00150309" w:rsidP="00A845D6">
      <w:pPr>
        <w:pStyle w:val="ListParagraph"/>
        <w:numPr>
          <w:ilvl w:val="0"/>
          <w:numId w:val="3"/>
        </w:numPr>
      </w:pPr>
      <w:r>
        <w:t>5.8 (Continuing rights)</w:t>
      </w:r>
    </w:p>
    <w:p w14:paraId="4E776816" w14:textId="77777777" w:rsidR="00150309" w:rsidRDefault="00150309" w:rsidP="00A845D6">
      <w:pPr>
        <w:pStyle w:val="ListParagraph"/>
        <w:numPr>
          <w:ilvl w:val="0"/>
          <w:numId w:val="3"/>
        </w:numPr>
      </w:pPr>
      <w:r>
        <w:t>5.9 to 5.11 (Change of control)</w:t>
      </w:r>
    </w:p>
    <w:p w14:paraId="55E0F972" w14:textId="77777777" w:rsidR="00150309" w:rsidRDefault="00150309" w:rsidP="00A845D6">
      <w:pPr>
        <w:pStyle w:val="ListParagraph"/>
        <w:numPr>
          <w:ilvl w:val="0"/>
          <w:numId w:val="3"/>
        </w:numPr>
      </w:pPr>
      <w:r>
        <w:t>5.12 (Fraud)</w:t>
      </w:r>
    </w:p>
    <w:p w14:paraId="32CE6202" w14:textId="77777777" w:rsidR="00150309" w:rsidRDefault="00150309" w:rsidP="00A845D6">
      <w:pPr>
        <w:pStyle w:val="ListParagraph"/>
        <w:numPr>
          <w:ilvl w:val="0"/>
          <w:numId w:val="3"/>
        </w:numPr>
      </w:pPr>
      <w:r>
        <w:t>5.13 (Notice of fraud)</w:t>
      </w:r>
    </w:p>
    <w:p w14:paraId="3292A72B" w14:textId="77777777" w:rsidR="00150309" w:rsidRDefault="00150309" w:rsidP="00A845D6">
      <w:pPr>
        <w:pStyle w:val="ListParagraph"/>
        <w:numPr>
          <w:ilvl w:val="0"/>
          <w:numId w:val="3"/>
        </w:numPr>
      </w:pPr>
      <w:r>
        <w:t>7.1 to 7.2 (Transparency)</w:t>
      </w:r>
    </w:p>
    <w:p w14:paraId="3F23D831" w14:textId="77777777" w:rsidR="00150309" w:rsidRDefault="00150309" w:rsidP="00A845D6">
      <w:pPr>
        <w:pStyle w:val="ListParagraph"/>
        <w:numPr>
          <w:ilvl w:val="0"/>
          <w:numId w:val="3"/>
        </w:numPr>
      </w:pPr>
      <w:r>
        <w:t>8.3 (Order of precedence)</w:t>
      </w:r>
    </w:p>
    <w:p w14:paraId="5D2992C9" w14:textId="77777777" w:rsidR="00150309" w:rsidRDefault="00150309" w:rsidP="00A845D6">
      <w:pPr>
        <w:pStyle w:val="ListParagraph"/>
        <w:numPr>
          <w:ilvl w:val="0"/>
          <w:numId w:val="3"/>
        </w:numPr>
      </w:pPr>
      <w:r>
        <w:t>8.6 (Relationship)</w:t>
      </w:r>
    </w:p>
    <w:p w14:paraId="1EF111B2" w14:textId="77777777" w:rsidR="00150309" w:rsidRDefault="00150309" w:rsidP="00A845D6">
      <w:pPr>
        <w:pStyle w:val="ListParagraph"/>
        <w:numPr>
          <w:ilvl w:val="0"/>
          <w:numId w:val="3"/>
        </w:numPr>
      </w:pPr>
      <w:r>
        <w:t>8.9 to 8.11 (Entire agreement)</w:t>
      </w:r>
    </w:p>
    <w:p w14:paraId="2140A9FD" w14:textId="77777777" w:rsidR="00150309" w:rsidRDefault="00150309" w:rsidP="00A845D6">
      <w:pPr>
        <w:pStyle w:val="ListParagraph"/>
        <w:numPr>
          <w:ilvl w:val="0"/>
          <w:numId w:val="3"/>
        </w:numPr>
      </w:pPr>
      <w:r>
        <w:t>8.12 (Law and jurisdiction)</w:t>
      </w:r>
    </w:p>
    <w:p w14:paraId="48C61DF6" w14:textId="77777777" w:rsidR="00150309" w:rsidRDefault="00150309" w:rsidP="00A845D6">
      <w:pPr>
        <w:pStyle w:val="ListParagraph"/>
        <w:numPr>
          <w:ilvl w:val="0"/>
          <w:numId w:val="3"/>
        </w:numPr>
      </w:pPr>
      <w:r>
        <w:t>8.13 to 8.14 (Legislative change)</w:t>
      </w:r>
    </w:p>
    <w:p w14:paraId="7378320B" w14:textId="77777777" w:rsidR="00150309" w:rsidRDefault="00150309" w:rsidP="00A845D6">
      <w:pPr>
        <w:pStyle w:val="ListParagraph"/>
        <w:numPr>
          <w:ilvl w:val="0"/>
          <w:numId w:val="3"/>
        </w:numPr>
      </w:pPr>
      <w:r>
        <w:t>8.15 to 8.19 (Bribery and corruption)</w:t>
      </w:r>
    </w:p>
    <w:p w14:paraId="6524BB5E" w14:textId="77777777" w:rsidR="00150309" w:rsidRDefault="00150309" w:rsidP="00A845D6">
      <w:pPr>
        <w:pStyle w:val="ListParagraph"/>
        <w:numPr>
          <w:ilvl w:val="0"/>
          <w:numId w:val="3"/>
        </w:numPr>
      </w:pPr>
      <w:r>
        <w:t>8.20 to 8.29 (Freedom of Information Act)</w:t>
      </w:r>
    </w:p>
    <w:p w14:paraId="4D34EA3A" w14:textId="77777777" w:rsidR="00150309" w:rsidRDefault="00150309" w:rsidP="00A845D6">
      <w:pPr>
        <w:pStyle w:val="ListParagraph"/>
        <w:numPr>
          <w:ilvl w:val="0"/>
          <w:numId w:val="3"/>
        </w:numPr>
      </w:pPr>
      <w:r>
        <w:t>8.30 to 8.31 (Promoting tax compliance)</w:t>
      </w:r>
    </w:p>
    <w:p w14:paraId="020A8E30" w14:textId="77777777" w:rsidR="00150309" w:rsidRDefault="00150309" w:rsidP="00A845D6">
      <w:pPr>
        <w:pStyle w:val="ListParagraph"/>
        <w:numPr>
          <w:ilvl w:val="0"/>
          <w:numId w:val="3"/>
        </w:numPr>
      </w:pPr>
      <w:r>
        <w:t>8.32 to 8.33 (Official Secrets Act)</w:t>
      </w:r>
    </w:p>
    <w:p w14:paraId="69FD761E" w14:textId="77777777" w:rsidR="00150309" w:rsidRDefault="00150309" w:rsidP="00A845D6">
      <w:pPr>
        <w:pStyle w:val="ListParagraph"/>
        <w:numPr>
          <w:ilvl w:val="0"/>
          <w:numId w:val="3"/>
        </w:numPr>
      </w:pPr>
      <w:r>
        <w:t>8.34 to 8.37 (Transfer and subcontracting)</w:t>
      </w:r>
    </w:p>
    <w:p w14:paraId="3BA93CF6" w14:textId="77777777" w:rsidR="00150309" w:rsidRDefault="00150309" w:rsidP="00A845D6">
      <w:pPr>
        <w:pStyle w:val="ListParagraph"/>
        <w:numPr>
          <w:ilvl w:val="0"/>
          <w:numId w:val="3"/>
        </w:numPr>
      </w:pPr>
      <w:r>
        <w:lastRenderedPageBreak/>
        <w:t>8.40 to 8.43 (Complaints handling and resolution)</w:t>
      </w:r>
    </w:p>
    <w:p w14:paraId="66946E99" w14:textId="77777777" w:rsidR="00150309" w:rsidRDefault="00150309" w:rsidP="00A845D6">
      <w:pPr>
        <w:pStyle w:val="ListParagraph"/>
        <w:numPr>
          <w:ilvl w:val="0"/>
          <w:numId w:val="3"/>
        </w:numPr>
      </w:pPr>
      <w:r>
        <w:t>8.44 to 8.50 (Conflicts of interest and ethical walls)</w:t>
      </w:r>
    </w:p>
    <w:p w14:paraId="6763DD7D" w14:textId="77777777" w:rsidR="00150309" w:rsidRDefault="00150309" w:rsidP="00A845D6">
      <w:pPr>
        <w:pStyle w:val="ListParagraph"/>
        <w:numPr>
          <w:ilvl w:val="0"/>
          <w:numId w:val="3"/>
        </w:numPr>
      </w:pPr>
      <w:r>
        <w:t>8.51 to 8.53 (Publicity and branding)</w:t>
      </w:r>
    </w:p>
    <w:p w14:paraId="7D34F28D" w14:textId="77777777" w:rsidR="00150309" w:rsidRDefault="00150309" w:rsidP="00A845D6">
      <w:pPr>
        <w:pStyle w:val="ListParagraph"/>
        <w:numPr>
          <w:ilvl w:val="0"/>
          <w:numId w:val="3"/>
        </w:numPr>
      </w:pPr>
      <w:r>
        <w:t>8.54 to 8.56 (Equality and diversity)</w:t>
      </w:r>
    </w:p>
    <w:p w14:paraId="734A0BDF" w14:textId="77777777" w:rsidR="00150309" w:rsidRDefault="00150309" w:rsidP="00A845D6">
      <w:pPr>
        <w:pStyle w:val="ListParagraph"/>
        <w:numPr>
          <w:ilvl w:val="0"/>
          <w:numId w:val="3"/>
        </w:numPr>
      </w:pPr>
      <w:r>
        <w:t>8.59 to 8.60 (Data protection</w:t>
      </w:r>
    </w:p>
    <w:p w14:paraId="7AB66591" w14:textId="77777777" w:rsidR="00150309" w:rsidRDefault="00150309" w:rsidP="00A845D6">
      <w:pPr>
        <w:pStyle w:val="ListParagraph"/>
        <w:numPr>
          <w:ilvl w:val="0"/>
          <w:numId w:val="3"/>
        </w:numPr>
      </w:pPr>
      <w:r>
        <w:t>8.64 to 8.65 (Severability)</w:t>
      </w:r>
    </w:p>
    <w:p w14:paraId="426359BF" w14:textId="77777777" w:rsidR="00150309" w:rsidRDefault="00150309" w:rsidP="00A845D6">
      <w:pPr>
        <w:pStyle w:val="ListParagraph"/>
        <w:numPr>
          <w:ilvl w:val="0"/>
          <w:numId w:val="3"/>
        </w:numPr>
      </w:pPr>
      <w:r>
        <w:t>8.66 to 8.69 (Managing disputes and Mediation)</w:t>
      </w:r>
    </w:p>
    <w:p w14:paraId="7876C7C7" w14:textId="77777777" w:rsidR="00150309" w:rsidRDefault="00150309" w:rsidP="00A845D6">
      <w:pPr>
        <w:pStyle w:val="ListParagraph"/>
        <w:numPr>
          <w:ilvl w:val="0"/>
          <w:numId w:val="3"/>
        </w:numPr>
      </w:pPr>
      <w:r>
        <w:t>8.80 to 8.88 (Confidentiality)</w:t>
      </w:r>
    </w:p>
    <w:p w14:paraId="7FDB23DC" w14:textId="77777777" w:rsidR="00150309" w:rsidRDefault="00150309" w:rsidP="00A845D6">
      <w:pPr>
        <w:pStyle w:val="ListParagraph"/>
        <w:numPr>
          <w:ilvl w:val="0"/>
          <w:numId w:val="3"/>
        </w:numPr>
      </w:pPr>
      <w:r>
        <w:t>8.89 to 8.90 (Waiver and cumulative remedies)</w:t>
      </w:r>
    </w:p>
    <w:p w14:paraId="14FBB7D2" w14:textId="77777777" w:rsidR="00150309" w:rsidRDefault="00150309" w:rsidP="00A845D6">
      <w:pPr>
        <w:pStyle w:val="ListParagraph"/>
        <w:numPr>
          <w:ilvl w:val="0"/>
          <w:numId w:val="3"/>
        </w:numPr>
      </w:pPr>
      <w:r>
        <w:t>8.91 to 8.101 (Corporate Social Responsibility)</w:t>
      </w:r>
    </w:p>
    <w:p w14:paraId="17C7A15F" w14:textId="77777777" w:rsidR="00150309" w:rsidRDefault="00150309" w:rsidP="00A845D6">
      <w:pPr>
        <w:pStyle w:val="ListParagraph"/>
        <w:numPr>
          <w:ilvl w:val="0"/>
          <w:numId w:val="3"/>
        </w:numPr>
      </w:pPr>
      <w:r>
        <w:t>paragraphs 1 to 10 of the Framework Agreement glossary and interpretation</w:t>
      </w:r>
    </w:p>
    <w:p w14:paraId="6086882F" w14:textId="77777777" w:rsidR="00150309" w:rsidRDefault="00150309" w:rsidP="00A845D6">
      <w:pPr>
        <w:pStyle w:val="ListParagraph"/>
        <w:numPr>
          <w:ilvl w:val="0"/>
          <w:numId w:val="4"/>
        </w:numPr>
      </w:pPr>
      <w:r>
        <w:t>any audit provisions from the Framework Agreement set out by the Buyer in the Order Form</w:t>
      </w:r>
    </w:p>
    <w:p w14:paraId="242368A4" w14:textId="77777777" w:rsidR="00150309" w:rsidRDefault="00150309">
      <w:pPr>
        <w:ind w:left="720"/>
      </w:pPr>
      <w:r>
        <w:t xml:space="preserve"> </w:t>
      </w:r>
    </w:p>
    <w:p w14:paraId="7D720ED3" w14:textId="77777777" w:rsidR="00150309" w:rsidRDefault="00150309">
      <w:pPr>
        <w:spacing w:after="240"/>
      </w:pPr>
      <w:r>
        <w:t>2.2</w:t>
      </w:r>
      <w:r>
        <w:tab/>
        <w:t xml:space="preserve">The Framework Agreement provisions in clause 2.1 will be modified as follows: </w:t>
      </w:r>
    </w:p>
    <w:p w14:paraId="1BAFBE26" w14:textId="77777777" w:rsidR="00150309" w:rsidRDefault="00150309">
      <w:pPr>
        <w:ind w:left="1440" w:hanging="720"/>
      </w:pPr>
      <w:r>
        <w:t>2.2.1</w:t>
      </w:r>
      <w:r>
        <w:tab/>
        <w:t>a reference to the ‘Framework Agreement’ will be a reference to the ‘Call-Off Contract’</w:t>
      </w:r>
    </w:p>
    <w:p w14:paraId="401E7745" w14:textId="77777777" w:rsidR="00150309" w:rsidRDefault="00150309">
      <w:pPr>
        <w:ind w:firstLine="720"/>
      </w:pPr>
      <w:r>
        <w:t>2.2.2</w:t>
      </w:r>
      <w:r>
        <w:tab/>
        <w:t>a reference to ‘CCS’ will be a reference to ‘the Buyer’</w:t>
      </w:r>
    </w:p>
    <w:p w14:paraId="6BD26622" w14:textId="77777777" w:rsidR="00150309" w:rsidRDefault="00150309">
      <w:pPr>
        <w:ind w:left="1440" w:hanging="720"/>
      </w:pPr>
      <w:r>
        <w:t>2.2.3</w:t>
      </w:r>
      <w:r>
        <w:tab/>
        <w:t>a reference to the ‘Parties’ and a ‘Party’ will be a reference to the Buyer and Supplier as Parties under this Call-Off Contract</w:t>
      </w:r>
    </w:p>
    <w:p w14:paraId="01A51EEA" w14:textId="77777777" w:rsidR="00150309" w:rsidRDefault="00150309"/>
    <w:p w14:paraId="369FB486" w14:textId="77777777" w:rsidR="00150309" w:rsidRDefault="00150309">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7DD5764" w14:textId="77777777" w:rsidR="00150309" w:rsidRDefault="00150309">
      <w:pPr>
        <w:ind w:left="720"/>
      </w:pPr>
    </w:p>
    <w:p w14:paraId="716E6D0B" w14:textId="77777777" w:rsidR="00150309" w:rsidRDefault="00150309">
      <w:pPr>
        <w:ind w:left="720" w:hanging="720"/>
      </w:pPr>
      <w:r>
        <w:t>2.4</w:t>
      </w:r>
      <w:r>
        <w:tab/>
        <w:t>The Framework Agreement incorporated clauses will be referred to as incorporated Framework clause ‘XX’, where ‘XX’ is the Framework Agreement clause number.</w:t>
      </w:r>
    </w:p>
    <w:p w14:paraId="345A3768" w14:textId="77777777" w:rsidR="00150309" w:rsidRDefault="00150309">
      <w:pPr>
        <w:ind w:firstLine="720"/>
      </w:pPr>
    </w:p>
    <w:p w14:paraId="040C66BA" w14:textId="77777777" w:rsidR="00150309" w:rsidRDefault="00150309">
      <w:pPr>
        <w:ind w:left="720" w:hanging="720"/>
      </w:pPr>
      <w:r>
        <w:t>2.5</w:t>
      </w:r>
      <w:r>
        <w:tab/>
        <w:t>When an Order Form is signed, the terms and conditions agreed in it will be incorporated into this Call-Off Contract.</w:t>
      </w:r>
    </w:p>
    <w:p w14:paraId="6ACDAE28" w14:textId="77777777" w:rsidR="00150309" w:rsidRDefault="00150309"/>
    <w:p w14:paraId="6F9F2466" w14:textId="77777777" w:rsidR="00150309" w:rsidRDefault="00150309">
      <w:pPr>
        <w:pStyle w:val="Heading3"/>
        <w:spacing w:after="100"/>
      </w:pPr>
      <w:r>
        <w:t>3.</w:t>
      </w:r>
      <w:r>
        <w:tab/>
        <w:t>Supply of services</w:t>
      </w:r>
    </w:p>
    <w:p w14:paraId="47443E3D" w14:textId="77777777" w:rsidR="00150309" w:rsidRDefault="00150309">
      <w:pPr>
        <w:spacing w:before="240" w:after="240"/>
        <w:ind w:left="720" w:hanging="720"/>
      </w:pPr>
      <w:r>
        <w:t>3.1</w:t>
      </w:r>
      <w:r>
        <w:tab/>
        <w:t>The Supplier agrees to supply the G-Cloud Services and any Additional Services under the terms of the Call-Off Contract and the Supplier’s Application.</w:t>
      </w:r>
    </w:p>
    <w:p w14:paraId="20147444" w14:textId="77777777" w:rsidR="00150309" w:rsidRDefault="00150309">
      <w:pPr>
        <w:ind w:left="720" w:hanging="720"/>
      </w:pPr>
      <w:r>
        <w:t>3.2</w:t>
      </w:r>
      <w:r>
        <w:tab/>
        <w:t>The Supplier undertakes that each G-Cloud Service will meet the Buyer’s acceptance criteria, as defined in the Order Form.</w:t>
      </w:r>
    </w:p>
    <w:p w14:paraId="4BBD20D4" w14:textId="77777777" w:rsidR="00150309" w:rsidRDefault="00150309"/>
    <w:p w14:paraId="31A153D6" w14:textId="77777777" w:rsidR="00150309" w:rsidRDefault="00150309">
      <w:pPr>
        <w:pStyle w:val="Heading3"/>
        <w:spacing w:after="100"/>
      </w:pPr>
      <w:r>
        <w:t>4.</w:t>
      </w:r>
      <w:r>
        <w:tab/>
        <w:t>Supplier staff</w:t>
      </w:r>
    </w:p>
    <w:p w14:paraId="151A0506" w14:textId="77777777" w:rsidR="00150309" w:rsidRDefault="00150309">
      <w:pPr>
        <w:spacing w:before="240" w:after="240"/>
      </w:pPr>
      <w:r>
        <w:t>4.1</w:t>
      </w:r>
      <w:r>
        <w:tab/>
        <w:t xml:space="preserve">The Supplier Staff must: </w:t>
      </w:r>
    </w:p>
    <w:p w14:paraId="223F6736" w14:textId="77777777" w:rsidR="00150309" w:rsidRDefault="00150309">
      <w:pPr>
        <w:ind w:firstLine="720"/>
      </w:pPr>
      <w:r>
        <w:t>4.1.1</w:t>
      </w:r>
      <w:r>
        <w:tab/>
        <w:t>be appropriately experienced, qualified and trained to supply the Services</w:t>
      </w:r>
    </w:p>
    <w:p w14:paraId="756746A6" w14:textId="77777777" w:rsidR="00150309" w:rsidRDefault="00150309"/>
    <w:p w14:paraId="160E4BD0" w14:textId="77777777" w:rsidR="00150309" w:rsidRDefault="00150309">
      <w:pPr>
        <w:ind w:firstLine="720"/>
      </w:pPr>
      <w:r>
        <w:t>4.1.2</w:t>
      </w:r>
      <w:r>
        <w:tab/>
        <w:t>apply all due skill, care and diligence in faithfully performing those duties</w:t>
      </w:r>
    </w:p>
    <w:p w14:paraId="3D7F27A1" w14:textId="77777777" w:rsidR="00150309" w:rsidRDefault="00150309"/>
    <w:p w14:paraId="522026C0" w14:textId="77777777" w:rsidR="00150309" w:rsidRDefault="00150309">
      <w:pPr>
        <w:ind w:left="720"/>
      </w:pPr>
      <w:r>
        <w:t>4.1.3</w:t>
      </w:r>
      <w:r>
        <w:tab/>
        <w:t>obey all lawful instructions and reasonable directions of the Buyer and provide the Services to the reasonable satisfaction of the Buyer</w:t>
      </w:r>
    </w:p>
    <w:p w14:paraId="367B76BB" w14:textId="77777777" w:rsidR="00150309" w:rsidRDefault="00150309"/>
    <w:p w14:paraId="3986BBC0" w14:textId="77777777" w:rsidR="00150309" w:rsidRDefault="00150309">
      <w:pPr>
        <w:ind w:firstLine="720"/>
      </w:pPr>
      <w:r>
        <w:t>4.1.4</w:t>
      </w:r>
      <w:r>
        <w:tab/>
        <w:t>respond to any enquiries about the Services as soon as reasonably possible</w:t>
      </w:r>
    </w:p>
    <w:p w14:paraId="00DD8A19" w14:textId="77777777" w:rsidR="00150309" w:rsidRDefault="00150309"/>
    <w:p w14:paraId="4E079049" w14:textId="77777777" w:rsidR="00150309" w:rsidRDefault="00150309">
      <w:pPr>
        <w:ind w:firstLine="720"/>
      </w:pPr>
      <w:r>
        <w:t>4.1.5</w:t>
      </w:r>
      <w:r>
        <w:tab/>
        <w:t>complete any necessary Supplier Staff vetting as specified by the Buyer</w:t>
      </w:r>
    </w:p>
    <w:p w14:paraId="13372AFF" w14:textId="77777777" w:rsidR="00150309" w:rsidRDefault="00150309"/>
    <w:p w14:paraId="46793BD9" w14:textId="77777777" w:rsidR="00150309" w:rsidRDefault="00150309">
      <w:pPr>
        <w:ind w:left="720" w:hanging="720"/>
      </w:pPr>
      <w:r>
        <w:t>4.2</w:t>
      </w:r>
      <w:r>
        <w:tab/>
        <w:t>The Supplier must retain overall control of the Supplier Staff so that they are not considered to be employees, workers, agents or contractors of the Buyer.</w:t>
      </w:r>
    </w:p>
    <w:p w14:paraId="33F9CB0D" w14:textId="77777777" w:rsidR="00150309" w:rsidRDefault="00150309">
      <w:pPr>
        <w:ind w:firstLine="720"/>
      </w:pPr>
    </w:p>
    <w:p w14:paraId="10EF75B0" w14:textId="77777777" w:rsidR="00150309" w:rsidRDefault="00150309">
      <w:pPr>
        <w:ind w:left="720" w:hanging="720"/>
      </w:pPr>
      <w:r>
        <w:t>4.3</w:t>
      </w:r>
      <w:r>
        <w:tab/>
        <w:t>The Supplier may substitute any Supplier Staff as long as they have the equivalent experience and qualifications to the substituted staff member.</w:t>
      </w:r>
    </w:p>
    <w:p w14:paraId="4D828ABF" w14:textId="77777777" w:rsidR="00150309" w:rsidRDefault="00150309">
      <w:pPr>
        <w:ind w:firstLine="720"/>
      </w:pPr>
    </w:p>
    <w:p w14:paraId="2411A8DD" w14:textId="77777777" w:rsidR="00150309" w:rsidRDefault="00150309">
      <w:pPr>
        <w:ind w:left="720" w:hanging="720"/>
      </w:pPr>
      <w:r>
        <w:t>4.4</w:t>
      </w:r>
      <w:r>
        <w:tab/>
        <w:t>The Buyer may conduct IR35 Assessments using the ESI tool to assess whether the Supplier’s engagement under the Call-Off Contract is Inside or Outside IR35.</w:t>
      </w:r>
    </w:p>
    <w:p w14:paraId="5487FA34" w14:textId="77777777" w:rsidR="00150309" w:rsidRDefault="00150309">
      <w:pPr>
        <w:ind w:firstLine="720"/>
      </w:pPr>
    </w:p>
    <w:p w14:paraId="7F968783" w14:textId="77777777" w:rsidR="00150309" w:rsidRDefault="00150309">
      <w:pPr>
        <w:ind w:left="720" w:hanging="720"/>
      </w:pPr>
      <w:r>
        <w:t>4.5</w:t>
      </w:r>
      <w:r>
        <w:tab/>
        <w:t>The Buyer may End this Call-Off Contract for Material Breach as per clause 18.5 hereunder if the Supplier is delivering the Services Inside IR35.</w:t>
      </w:r>
    </w:p>
    <w:p w14:paraId="4CD998A3" w14:textId="77777777" w:rsidR="00150309" w:rsidRDefault="00150309">
      <w:pPr>
        <w:ind w:firstLine="720"/>
      </w:pPr>
    </w:p>
    <w:p w14:paraId="52C17C5B" w14:textId="77777777" w:rsidR="00150309" w:rsidRDefault="00150309">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3CC9269" w14:textId="77777777" w:rsidR="00150309" w:rsidRDefault="00150309">
      <w:pPr>
        <w:ind w:left="720"/>
      </w:pPr>
    </w:p>
    <w:p w14:paraId="3A19C0CE" w14:textId="77777777" w:rsidR="00150309" w:rsidRDefault="00150309">
      <w:pPr>
        <w:ind w:left="720" w:hanging="720"/>
      </w:pPr>
      <w:r>
        <w:lastRenderedPageBreak/>
        <w:t>4.7</w:t>
      </w:r>
      <w:r>
        <w:tab/>
        <w:t>If the Indicative Test indicates the delivery of the Services could potentially be Inside IR35, the Supplier must provide the Buyer with all relevant information needed to enable the Buyer to conduct its own IR35 Assessment.</w:t>
      </w:r>
    </w:p>
    <w:p w14:paraId="09065F94" w14:textId="77777777" w:rsidR="00150309" w:rsidRDefault="00150309">
      <w:pPr>
        <w:ind w:left="720"/>
      </w:pPr>
    </w:p>
    <w:p w14:paraId="548D61D8" w14:textId="77777777" w:rsidR="00150309" w:rsidRDefault="00150309">
      <w:pPr>
        <w:ind w:left="720" w:hanging="720"/>
      </w:pPr>
      <w:r>
        <w:t>4.8</w:t>
      </w:r>
      <w:r>
        <w:tab/>
        <w:t>If it is determined by the Buyer that the Supplier is Outside IR35, the Buyer will provide the ESI reference number and a copy of the PDF to the Supplier.</w:t>
      </w:r>
    </w:p>
    <w:p w14:paraId="4EEF7455" w14:textId="77777777" w:rsidR="00150309" w:rsidRDefault="00150309">
      <w:pPr>
        <w:spacing w:before="240" w:after="240"/>
        <w:ind w:left="720"/>
      </w:pPr>
    </w:p>
    <w:p w14:paraId="534ECB0D" w14:textId="77777777" w:rsidR="00150309" w:rsidRDefault="00150309">
      <w:pPr>
        <w:pStyle w:val="Heading3"/>
        <w:spacing w:after="100"/>
      </w:pPr>
      <w:r>
        <w:t>5.</w:t>
      </w:r>
      <w:r>
        <w:tab/>
        <w:t>Due diligence</w:t>
      </w:r>
    </w:p>
    <w:p w14:paraId="10D09A53" w14:textId="77777777" w:rsidR="00150309" w:rsidRDefault="00150309">
      <w:pPr>
        <w:spacing w:before="240" w:after="120"/>
      </w:pPr>
      <w:r>
        <w:t xml:space="preserve"> 5.1</w:t>
      </w:r>
      <w:r>
        <w:tab/>
        <w:t>Both Parties agree that when entering into a Call-Off Contract they:</w:t>
      </w:r>
    </w:p>
    <w:p w14:paraId="2DBD2B82" w14:textId="77777777" w:rsidR="00150309" w:rsidRDefault="00150309">
      <w:pPr>
        <w:spacing w:after="120"/>
        <w:ind w:left="1440" w:hanging="720"/>
      </w:pPr>
      <w:r>
        <w:t>5.1.1</w:t>
      </w:r>
      <w:r>
        <w:tab/>
        <w:t>have made their own enquiries and are satisfied by the accuracy of any information supplied by the other Party</w:t>
      </w:r>
    </w:p>
    <w:p w14:paraId="4D3AED66" w14:textId="77777777" w:rsidR="00150309" w:rsidRDefault="00150309">
      <w:pPr>
        <w:spacing w:after="120"/>
        <w:ind w:left="1440" w:hanging="720"/>
      </w:pPr>
      <w:r>
        <w:t>5.1.2</w:t>
      </w:r>
      <w:r>
        <w:tab/>
        <w:t>are confident that they can fulfil their obligations according to the Call-Off Contract terms</w:t>
      </w:r>
    </w:p>
    <w:p w14:paraId="68B22D5B" w14:textId="77777777" w:rsidR="00150309" w:rsidRDefault="00150309">
      <w:pPr>
        <w:spacing w:after="120"/>
        <w:ind w:firstLine="720"/>
      </w:pPr>
      <w:r>
        <w:t>5.1.3</w:t>
      </w:r>
      <w:r>
        <w:tab/>
        <w:t>have raised all due diligence questions before signing the Call-Off Contract</w:t>
      </w:r>
    </w:p>
    <w:p w14:paraId="1682EAF5" w14:textId="77777777" w:rsidR="00150309" w:rsidRDefault="00150309">
      <w:pPr>
        <w:ind w:firstLine="720"/>
      </w:pPr>
      <w:r>
        <w:t>5.1.4</w:t>
      </w:r>
      <w:r>
        <w:tab/>
        <w:t>have entered into the Call-Off Contract relying on its own due diligence</w:t>
      </w:r>
    </w:p>
    <w:p w14:paraId="377C65E3" w14:textId="77777777" w:rsidR="00150309" w:rsidRDefault="00150309">
      <w:pPr>
        <w:spacing w:before="240"/>
      </w:pPr>
    </w:p>
    <w:p w14:paraId="3A5D87BD" w14:textId="77777777" w:rsidR="00150309" w:rsidRDefault="00150309">
      <w:pPr>
        <w:pStyle w:val="Heading3"/>
        <w:spacing w:after="100"/>
      </w:pPr>
      <w:r>
        <w:t xml:space="preserve">6. </w:t>
      </w:r>
      <w:r>
        <w:tab/>
        <w:t>Business continuity and disaster recovery</w:t>
      </w:r>
    </w:p>
    <w:p w14:paraId="312D2212" w14:textId="77777777" w:rsidR="00150309" w:rsidRDefault="00150309">
      <w:pPr>
        <w:ind w:left="720" w:hanging="720"/>
      </w:pPr>
      <w:r>
        <w:t>6.1</w:t>
      </w:r>
      <w:r>
        <w:tab/>
        <w:t>The Supplier will have a clear business continuity and disaster recovery plan in their service descriptions.</w:t>
      </w:r>
    </w:p>
    <w:p w14:paraId="2B80E029" w14:textId="77777777" w:rsidR="00150309" w:rsidRDefault="00150309"/>
    <w:p w14:paraId="0A2453A6" w14:textId="77777777" w:rsidR="00150309" w:rsidRDefault="00150309">
      <w:pPr>
        <w:ind w:left="720" w:hanging="720"/>
      </w:pPr>
      <w:r>
        <w:t>6.2</w:t>
      </w:r>
      <w:r>
        <w:tab/>
        <w:t>The Supplier’s business continuity and disaster recovery services are part of the Services and will be performed by the Supplier when required.</w:t>
      </w:r>
    </w:p>
    <w:p w14:paraId="2EA9B71C" w14:textId="77777777" w:rsidR="00150309" w:rsidRDefault="00150309">
      <w:pPr>
        <w:ind w:left="720" w:hanging="720"/>
      </w:pPr>
      <w:r>
        <w:t>6.3</w:t>
      </w:r>
      <w:r>
        <w:tab/>
        <w:t>If requested by the Buyer prior to entering into this Call-Off Contract, the Supplier must ensure that its business continuity and disaster recovery plan is consistent with the Buyer’s own plans.</w:t>
      </w:r>
    </w:p>
    <w:p w14:paraId="3FE282AA" w14:textId="77777777" w:rsidR="00150309" w:rsidRDefault="00150309"/>
    <w:p w14:paraId="6FBB9743" w14:textId="77777777" w:rsidR="00150309" w:rsidRDefault="00150309">
      <w:pPr>
        <w:pStyle w:val="Heading3"/>
        <w:spacing w:after="100"/>
      </w:pPr>
      <w:r>
        <w:t>7.</w:t>
      </w:r>
      <w:r>
        <w:tab/>
        <w:t>Payment, VAT and Call-Off Contract charges</w:t>
      </w:r>
    </w:p>
    <w:p w14:paraId="0AA6C793" w14:textId="77777777" w:rsidR="00150309" w:rsidRDefault="00150309">
      <w:pPr>
        <w:spacing w:after="120"/>
        <w:ind w:left="720" w:hanging="720"/>
      </w:pPr>
      <w:r>
        <w:t>7.1</w:t>
      </w:r>
      <w:r>
        <w:tab/>
        <w:t>The Buyer must pay the Charges following clauses 7.2 to 7.11 for the Supplier’s delivery of the Services.</w:t>
      </w:r>
    </w:p>
    <w:p w14:paraId="3B430AF9" w14:textId="77777777" w:rsidR="00150309" w:rsidRDefault="00150309">
      <w:pPr>
        <w:ind w:left="720" w:hanging="720"/>
      </w:pPr>
      <w:r>
        <w:t>7.2</w:t>
      </w:r>
      <w:r>
        <w:tab/>
        <w:t>The Buyer will pay the Supplier within the number of days specified in the Order Form on receipt of a valid invoice.</w:t>
      </w:r>
    </w:p>
    <w:p w14:paraId="1608D19E" w14:textId="77777777" w:rsidR="00150309" w:rsidRDefault="00150309">
      <w:pPr>
        <w:spacing w:after="120"/>
        <w:ind w:left="720" w:hanging="720"/>
      </w:pPr>
      <w:r>
        <w:t>7.3</w:t>
      </w:r>
      <w:r>
        <w:tab/>
        <w:t>The Call-Off Contract Charges include all Charges for payment Processing. All invoices submitted to the Buyer for the Services will be exclusive of any Management Charge.</w:t>
      </w:r>
    </w:p>
    <w:p w14:paraId="6B5E6819" w14:textId="77777777" w:rsidR="00150309" w:rsidRDefault="00150309">
      <w:pPr>
        <w:spacing w:after="120"/>
        <w:ind w:left="720" w:hanging="720"/>
      </w:pPr>
      <w:r>
        <w:lastRenderedPageBreak/>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FCC6EC9" w14:textId="77777777" w:rsidR="00150309" w:rsidRDefault="00150309">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C2D77C" w14:textId="77777777" w:rsidR="00150309" w:rsidRDefault="00150309">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DD167F1" w14:textId="77777777" w:rsidR="00150309" w:rsidRDefault="00150309">
      <w:pPr>
        <w:spacing w:after="120"/>
      </w:pPr>
      <w:r>
        <w:t>7.7</w:t>
      </w:r>
      <w:r>
        <w:tab/>
        <w:t>All Charges payable by the Buyer to the Supplier will include VAT at the appropriate Rate.</w:t>
      </w:r>
    </w:p>
    <w:p w14:paraId="758D75B8" w14:textId="77777777" w:rsidR="00150309" w:rsidRDefault="00150309">
      <w:pPr>
        <w:spacing w:after="120"/>
        <w:ind w:left="720" w:hanging="720"/>
      </w:pPr>
      <w:r>
        <w:t>7.8</w:t>
      </w:r>
      <w:r>
        <w:tab/>
        <w:t>The Supplier must add VAT to the Charges at the appropriate rate with visibility of the amount as a separate line item.</w:t>
      </w:r>
    </w:p>
    <w:p w14:paraId="4EEA1219" w14:textId="77777777" w:rsidR="00150309" w:rsidRDefault="00150309">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4C52579" w14:textId="77777777" w:rsidR="00150309" w:rsidRDefault="0015030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A3B4503" w14:textId="77777777" w:rsidR="00150309" w:rsidRDefault="00150309">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D34473" w14:textId="77777777" w:rsidR="00150309" w:rsidRDefault="00150309">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9F5F11B" w14:textId="77777777" w:rsidR="00150309" w:rsidRDefault="00150309">
      <w:pPr>
        <w:ind w:left="720"/>
      </w:pPr>
    </w:p>
    <w:p w14:paraId="2B2F6011" w14:textId="77777777" w:rsidR="00150309" w:rsidRDefault="00150309">
      <w:pPr>
        <w:pStyle w:val="Heading3"/>
      </w:pPr>
      <w:r>
        <w:t>8.</w:t>
      </w:r>
      <w:r>
        <w:tab/>
        <w:t>Recovery of sums due and right of set-off</w:t>
      </w:r>
    </w:p>
    <w:p w14:paraId="53853C0C" w14:textId="77777777" w:rsidR="00150309" w:rsidRDefault="00150309">
      <w:pPr>
        <w:spacing w:before="240" w:after="240"/>
        <w:ind w:left="720" w:hanging="720"/>
      </w:pPr>
      <w:r>
        <w:t>8.1</w:t>
      </w:r>
      <w:r>
        <w:tab/>
        <w:t>If a Supplier owes money to the Buyer, the Buyer may deduct that sum from the Call-Off Contract Charges.</w:t>
      </w:r>
    </w:p>
    <w:p w14:paraId="395D8A53" w14:textId="77777777" w:rsidR="00150309" w:rsidRDefault="00150309">
      <w:pPr>
        <w:spacing w:before="240" w:after="240"/>
        <w:ind w:left="720" w:hanging="720"/>
      </w:pPr>
    </w:p>
    <w:p w14:paraId="5490768E" w14:textId="77777777" w:rsidR="00150309" w:rsidRDefault="00150309">
      <w:pPr>
        <w:pStyle w:val="Heading3"/>
      </w:pPr>
      <w:r>
        <w:t>9.</w:t>
      </w:r>
      <w:r>
        <w:tab/>
        <w:t>Insurance</w:t>
      </w:r>
    </w:p>
    <w:p w14:paraId="45210EB6" w14:textId="77777777" w:rsidR="00150309" w:rsidRDefault="00150309">
      <w:pPr>
        <w:spacing w:before="240" w:after="240"/>
        <w:ind w:left="660" w:hanging="660"/>
      </w:pPr>
      <w:r>
        <w:t>9.1</w:t>
      </w:r>
      <w:r>
        <w:tab/>
        <w:t>The Supplier will maintain the insurances required by the Buyer including those in this clause.</w:t>
      </w:r>
    </w:p>
    <w:p w14:paraId="203E2FE4" w14:textId="77777777" w:rsidR="00150309" w:rsidRDefault="00150309">
      <w:r>
        <w:t>9.2</w:t>
      </w:r>
      <w:r>
        <w:tab/>
        <w:t>The Supplier will ensure that:</w:t>
      </w:r>
    </w:p>
    <w:p w14:paraId="0CBFF428" w14:textId="77777777" w:rsidR="00150309" w:rsidRDefault="00150309"/>
    <w:p w14:paraId="3B064A18" w14:textId="77777777" w:rsidR="00150309" w:rsidRDefault="00150309">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B5550F5" w14:textId="77777777" w:rsidR="00150309" w:rsidRDefault="00150309">
      <w:pPr>
        <w:ind w:firstLine="720"/>
      </w:pPr>
    </w:p>
    <w:p w14:paraId="130FC9D5" w14:textId="77777777" w:rsidR="00150309" w:rsidRDefault="00150309">
      <w:pPr>
        <w:ind w:left="1440" w:hanging="720"/>
      </w:pPr>
      <w:r>
        <w:t>9.2.2</w:t>
      </w:r>
      <w:r>
        <w:tab/>
        <w:t>the third-party public and products liability insurance contains an ‘indemnity to principals’ clause for the Buyer’s benefit</w:t>
      </w:r>
    </w:p>
    <w:p w14:paraId="5FBEA98C" w14:textId="77777777" w:rsidR="00150309" w:rsidRDefault="00150309">
      <w:pPr>
        <w:ind w:firstLine="720"/>
      </w:pPr>
    </w:p>
    <w:p w14:paraId="307B5067" w14:textId="77777777" w:rsidR="00150309" w:rsidRDefault="00150309">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5C85284" w14:textId="77777777" w:rsidR="00150309" w:rsidRDefault="00150309">
      <w:pPr>
        <w:ind w:firstLine="720"/>
      </w:pPr>
    </w:p>
    <w:p w14:paraId="71125649" w14:textId="77777777" w:rsidR="00150309" w:rsidRDefault="00150309">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7852188" w14:textId="77777777" w:rsidR="00150309" w:rsidRDefault="00150309">
      <w:pPr>
        <w:ind w:left="720"/>
      </w:pPr>
    </w:p>
    <w:p w14:paraId="796457B6" w14:textId="77777777" w:rsidR="00150309" w:rsidRDefault="00150309">
      <w:pPr>
        <w:ind w:left="720" w:hanging="720"/>
      </w:pPr>
      <w:r>
        <w:t>9.3</w:t>
      </w:r>
      <w:r>
        <w:tab/>
        <w:t>If requested by the Buyer, the Supplier will obtain additional insurance policies, or extend existing policies bought under the Framework Agreement.</w:t>
      </w:r>
    </w:p>
    <w:p w14:paraId="1985E43F" w14:textId="77777777" w:rsidR="00150309" w:rsidRDefault="00150309">
      <w:pPr>
        <w:ind w:left="720" w:firstLine="720"/>
      </w:pPr>
    </w:p>
    <w:p w14:paraId="4091F391" w14:textId="77777777" w:rsidR="00150309" w:rsidRDefault="00150309">
      <w:pPr>
        <w:ind w:left="720" w:hanging="720"/>
      </w:pPr>
      <w:r>
        <w:t>9.4</w:t>
      </w:r>
      <w:r>
        <w:tab/>
        <w:t>If requested by the Buyer, the Supplier will provide the following to show compliance with this clause:</w:t>
      </w:r>
    </w:p>
    <w:p w14:paraId="3A39E1BC" w14:textId="77777777" w:rsidR="00150309" w:rsidRDefault="00150309">
      <w:pPr>
        <w:ind w:firstLine="720"/>
      </w:pPr>
    </w:p>
    <w:p w14:paraId="5995BDE4" w14:textId="77777777" w:rsidR="00150309" w:rsidRDefault="00150309">
      <w:pPr>
        <w:ind w:firstLine="720"/>
      </w:pPr>
      <w:r>
        <w:t>9.4.1</w:t>
      </w:r>
      <w:r>
        <w:tab/>
        <w:t>a broker's verification of insurance</w:t>
      </w:r>
    </w:p>
    <w:p w14:paraId="60A2B070" w14:textId="77777777" w:rsidR="00150309" w:rsidRDefault="00150309">
      <w:pPr>
        <w:ind w:firstLine="720"/>
      </w:pPr>
    </w:p>
    <w:p w14:paraId="5C57A602" w14:textId="77777777" w:rsidR="00150309" w:rsidRDefault="00150309">
      <w:pPr>
        <w:ind w:firstLine="720"/>
      </w:pPr>
      <w:r>
        <w:t>9.4.2</w:t>
      </w:r>
      <w:r>
        <w:tab/>
        <w:t>receipts for the insurance premium</w:t>
      </w:r>
    </w:p>
    <w:p w14:paraId="29887517" w14:textId="77777777" w:rsidR="00150309" w:rsidRDefault="00150309">
      <w:pPr>
        <w:ind w:firstLine="720"/>
      </w:pPr>
    </w:p>
    <w:p w14:paraId="7300CF71" w14:textId="77777777" w:rsidR="00150309" w:rsidRDefault="00150309">
      <w:pPr>
        <w:ind w:firstLine="720"/>
      </w:pPr>
      <w:r>
        <w:t>9.4.3</w:t>
      </w:r>
      <w:r>
        <w:tab/>
        <w:t>evidence of payment of the latest premiums due</w:t>
      </w:r>
    </w:p>
    <w:p w14:paraId="012304F6" w14:textId="77777777" w:rsidR="00150309" w:rsidRDefault="00150309">
      <w:pPr>
        <w:ind w:firstLine="720"/>
      </w:pPr>
    </w:p>
    <w:p w14:paraId="3781FBDA" w14:textId="77777777" w:rsidR="00150309" w:rsidRDefault="00150309">
      <w:pPr>
        <w:ind w:left="720" w:hanging="720"/>
      </w:pPr>
      <w:r>
        <w:t>9.5</w:t>
      </w:r>
      <w:r>
        <w:tab/>
        <w:t>Insurance will not relieve the Supplier of any liabilities under the Framework Agreement or this Call-Off Contract and the Supplier will:</w:t>
      </w:r>
    </w:p>
    <w:p w14:paraId="10A7B3AA" w14:textId="77777777" w:rsidR="00150309" w:rsidRDefault="00150309">
      <w:pPr>
        <w:ind w:firstLine="720"/>
      </w:pPr>
    </w:p>
    <w:p w14:paraId="0CA43B0E" w14:textId="77777777" w:rsidR="00150309" w:rsidRDefault="00150309">
      <w:pPr>
        <w:ind w:left="1440" w:hanging="720"/>
      </w:pPr>
      <w:r>
        <w:t>9.5.1</w:t>
      </w:r>
      <w:r>
        <w:tab/>
        <w:t>take all risk control measures using Good Industry Practice, including the investigation and reports of claims to insurers</w:t>
      </w:r>
    </w:p>
    <w:p w14:paraId="137A47B4" w14:textId="77777777" w:rsidR="00150309" w:rsidRDefault="00150309">
      <w:pPr>
        <w:ind w:left="720" w:firstLine="720"/>
      </w:pPr>
    </w:p>
    <w:p w14:paraId="551D8008" w14:textId="77777777" w:rsidR="00150309" w:rsidRDefault="00150309">
      <w:pPr>
        <w:ind w:left="1440" w:hanging="720"/>
      </w:pPr>
      <w:r>
        <w:lastRenderedPageBreak/>
        <w:t>9.5.2</w:t>
      </w:r>
      <w:r>
        <w:tab/>
        <w:t>promptly notify the insurers in writing of any relevant material fact under any Insurances</w:t>
      </w:r>
    </w:p>
    <w:p w14:paraId="67C5A339" w14:textId="77777777" w:rsidR="00150309" w:rsidRDefault="00150309">
      <w:pPr>
        <w:ind w:firstLine="720"/>
      </w:pPr>
    </w:p>
    <w:p w14:paraId="2413A643" w14:textId="77777777" w:rsidR="00150309" w:rsidRDefault="00150309">
      <w:pPr>
        <w:ind w:left="1440" w:hanging="720"/>
      </w:pPr>
      <w:r>
        <w:t>9.5.3</w:t>
      </w:r>
      <w:r>
        <w:tab/>
        <w:t>hold all insurance policies and require any broker arranging the insurance to hold any insurance slips and other evidence of insurance</w:t>
      </w:r>
    </w:p>
    <w:p w14:paraId="20DE290A" w14:textId="77777777" w:rsidR="00150309" w:rsidRDefault="00150309">
      <w:r>
        <w:t xml:space="preserve"> </w:t>
      </w:r>
    </w:p>
    <w:p w14:paraId="05D9302A" w14:textId="77777777" w:rsidR="00150309" w:rsidRDefault="00150309">
      <w:pPr>
        <w:ind w:left="720" w:hanging="720"/>
      </w:pPr>
      <w:r>
        <w:t>9.6</w:t>
      </w:r>
      <w:r>
        <w:tab/>
        <w:t>The Supplier will not do or omit to do anything, which would destroy or impair the legal validity of the insurance.</w:t>
      </w:r>
    </w:p>
    <w:p w14:paraId="78197254" w14:textId="77777777" w:rsidR="00150309" w:rsidRDefault="00150309">
      <w:pPr>
        <w:ind w:firstLine="720"/>
      </w:pPr>
    </w:p>
    <w:p w14:paraId="0343EDC4" w14:textId="77777777" w:rsidR="00150309" w:rsidRDefault="00150309">
      <w:pPr>
        <w:ind w:left="720" w:hanging="720"/>
      </w:pPr>
      <w:r>
        <w:t>9.7</w:t>
      </w:r>
      <w:r>
        <w:tab/>
        <w:t>The Supplier will notify CCS and the Buyer as soon as possible if any insurance policies have been, or are due to be, cancelled, suspended, Ended or not renewed.</w:t>
      </w:r>
    </w:p>
    <w:p w14:paraId="60052562" w14:textId="77777777" w:rsidR="00150309" w:rsidRDefault="00150309">
      <w:pPr>
        <w:ind w:firstLine="720"/>
      </w:pPr>
    </w:p>
    <w:p w14:paraId="40780EC0" w14:textId="77777777" w:rsidR="00150309" w:rsidRDefault="00150309">
      <w:r>
        <w:t>9.8</w:t>
      </w:r>
      <w:r>
        <w:tab/>
        <w:t>The Supplier will be liable for the payment of any:</w:t>
      </w:r>
    </w:p>
    <w:p w14:paraId="58DAA6AD" w14:textId="77777777" w:rsidR="00150309" w:rsidRDefault="00150309"/>
    <w:p w14:paraId="57392D43" w14:textId="77777777" w:rsidR="00150309" w:rsidRDefault="00150309">
      <w:pPr>
        <w:ind w:firstLine="720"/>
      </w:pPr>
      <w:r>
        <w:t>9.8.1</w:t>
      </w:r>
      <w:r>
        <w:tab/>
        <w:t>premiums, which it will pay promptly</w:t>
      </w:r>
    </w:p>
    <w:p w14:paraId="478A4B31" w14:textId="77777777" w:rsidR="00150309" w:rsidRDefault="00150309">
      <w:pPr>
        <w:ind w:firstLine="720"/>
      </w:pPr>
      <w:r>
        <w:t>9.8.2</w:t>
      </w:r>
      <w:r>
        <w:tab/>
        <w:t>excess or deductibles and will not be entitled to recover this from the Buyer</w:t>
      </w:r>
    </w:p>
    <w:p w14:paraId="1F736733" w14:textId="77777777" w:rsidR="00150309" w:rsidRDefault="00150309">
      <w:pPr>
        <w:ind w:firstLine="720"/>
      </w:pPr>
    </w:p>
    <w:p w14:paraId="294AE58C" w14:textId="77777777" w:rsidR="00150309" w:rsidRDefault="00150309">
      <w:pPr>
        <w:pStyle w:val="Heading3"/>
        <w:spacing w:after="100"/>
      </w:pPr>
      <w:r>
        <w:t>10.</w:t>
      </w:r>
      <w:r>
        <w:tab/>
        <w:t>Confidentiality</w:t>
      </w:r>
    </w:p>
    <w:p w14:paraId="3954F36B" w14:textId="77777777" w:rsidR="00150309" w:rsidRDefault="00150309">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B0B1542" w14:textId="77777777" w:rsidR="00150309" w:rsidRDefault="00150309">
      <w:pPr>
        <w:ind w:left="720" w:hanging="720"/>
      </w:pPr>
    </w:p>
    <w:p w14:paraId="433B4018" w14:textId="77777777" w:rsidR="00150309" w:rsidRDefault="00150309">
      <w:pPr>
        <w:pStyle w:val="Heading3"/>
        <w:spacing w:after="100"/>
      </w:pPr>
      <w:r>
        <w:t>11.</w:t>
      </w:r>
      <w:r>
        <w:tab/>
        <w:t>Intellectual Property Rights</w:t>
      </w:r>
    </w:p>
    <w:p w14:paraId="5316BE9F" w14:textId="77777777" w:rsidR="00150309" w:rsidRDefault="00150309">
      <w:pPr>
        <w:ind w:left="720" w:hanging="720"/>
      </w:pPr>
      <w:r>
        <w:t>11.1</w:t>
      </w:r>
      <w:r>
        <w:tab/>
        <w:t>Unless otherwise specified in this Call-Off Contract, a Party will not acquire any right, title or interest in or to the Intellectual Property Rights (IPRs) of the other Party or its Licensors.</w:t>
      </w:r>
    </w:p>
    <w:p w14:paraId="2A9BB4CD" w14:textId="77777777" w:rsidR="00150309" w:rsidRDefault="00150309">
      <w:pPr>
        <w:ind w:left="720"/>
      </w:pPr>
    </w:p>
    <w:p w14:paraId="3273EA8D" w14:textId="77777777" w:rsidR="00150309" w:rsidRDefault="00150309">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3F9E10A" w14:textId="77777777" w:rsidR="00150309" w:rsidRDefault="00150309">
      <w:pPr>
        <w:ind w:left="720"/>
      </w:pPr>
    </w:p>
    <w:p w14:paraId="443B10DA" w14:textId="77777777" w:rsidR="00150309" w:rsidRDefault="00150309">
      <w:pPr>
        <w:ind w:left="720" w:hanging="720"/>
      </w:pPr>
      <w:r>
        <w:lastRenderedPageBreak/>
        <w:t>11.3</w:t>
      </w:r>
      <w:r>
        <w:tab/>
        <w:t>The Supplier must obtain the grant of any third-party IPRs and Background IPRs so the Buyer can enjoy full use of the Project Specific IPRs, including the Buyer’s right to publish the IPR as open source.</w:t>
      </w:r>
    </w:p>
    <w:p w14:paraId="29025B54" w14:textId="77777777" w:rsidR="00150309" w:rsidRDefault="00150309">
      <w:pPr>
        <w:ind w:left="720"/>
      </w:pPr>
    </w:p>
    <w:p w14:paraId="5A768114" w14:textId="77777777" w:rsidR="00150309" w:rsidRDefault="00150309">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F42B4C2" w14:textId="77777777" w:rsidR="00150309" w:rsidRDefault="00150309">
      <w:pPr>
        <w:ind w:left="720"/>
      </w:pPr>
    </w:p>
    <w:p w14:paraId="0D1D3DD0" w14:textId="77777777" w:rsidR="00150309" w:rsidRDefault="00150309">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5D9050B" w14:textId="77777777" w:rsidR="00150309" w:rsidRDefault="00150309">
      <w:pPr>
        <w:ind w:firstLine="720"/>
      </w:pPr>
    </w:p>
    <w:p w14:paraId="61A33E7A" w14:textId="77777777" w:rsidR="00150309" w:rsidRDefault="00150309">
      <w:pPr>
        <w:ind w:firstLine="720"/>
      </w:pPr>
      <w:r>
        <w:t>11.5.1</w:t>
      </w:r>
      <w:r>
        <w:tab/>
        <w:t>rights granted to the Buyer under this Call-Off Contract</w:t>
      </w:r>
    </w:p>
    <w:p w14:paraId="4EA0B319" w14:textId="77777777" w:rsidR="00150309" w:rsidRDefault="00150309"/>
    <w:p w14:paraId="0603ABB0" w14:textId="77777777" w:rsidR="00150309" w:rsidRDefault="00150309">
      <w:pPr>
        <w:ind w:firstLine="720"/>
      </w:pPr>
      <w:r>
        <w:t>11.5.2</w:t>
      </w:r>
      <w:r>
        <w:tab/>
        <w:t>Supplier’s performance of the Services</w:t>
      </w:r>
    </w:p>
    <w:p w14:paraId="55DE3E1A" w14:textId="77777777" w:rsidR="00150309" w:rsidRDefault="00150309">
      <w:pPr>
        <w:ind w:firstLine="720"/>
      </w:pPr>
    </w:p>
    <w:p w14:paraId="4A014A01" w14:textId="77777777" w:rsidR="00150309" w:rsidRDefault="00150309">
      <w:pPr>
        <w:ind w:firstLine="720"/>
      </w:pPr>
      <w:r>
        <w:t>11.5.3</w:t>
      </w:r>
      <w:r>
        <w:tab/>
        <w:t>use by the Buyer of the Services</w:t>
      </w:r>
    </w:p>
    <w:p w14:paraId="2E80EB0C" w14:textId="77777777" w:rsidR="00150309" w:rsidRDefault="00150309">
      <w:pPr>
        <w:ind w:firstLine="720"/>
      </w:pPr>
    </w:p>
    <w:p w14:paraId="22C5E74E" w14:textId="77777777" w:rsidR="00150309" w:rsidRDefault="00150309">
      <w:pPr>
        <w:ind w:left="720" w:hanging="720"/>
      </w:pPr>
      <w:r>
        <w:t>11.6</w:t>
      </w:r>
      <w:r>
        <w:tab/>
        <w:t>If an IPR Claim is made, or is likely to be made, the Supplier will immediately notify the Buyer in writing and must at its own expense after written approval from the Buyer, either:</w:t>
      </w:r>
    </w:p>
    <w:p w14:paraId="1D475ACD" w14:textId="77777777" w:rsidR="00150309" w:rsidRDefault="00150309">
      <w:pPr>
        <w:ind w:firstLine="720"/>
      </w:pPr>
    </w:p>
    <w:p w14:paraId="55733E8B" w14:textId="77777777" w:rsidR="00150309" w:rsidRDefault="00150309">
      <w:pPr>
        <w:ind w:left="1440" w:hanging="720"/>
      </w:pPr>
      <w:r>
        <w:t>11.6.1</w:t>
      </w:r>
      <w:r>
        <w:tab/>
        <w:t>modify the relevant part of the Services without reducing its functionality or performance</w:t>
      </w:r>
    </w:p>
    <w:p w14:paraId="41332CB1" w14:textId="77777777" w:rsidR="00150309" w:rsidRDefault="00150309">
      <w:pPr>
        <w:ind w:left="720" w:firstLine="720"/>
      </w:pPr>
    </w:p>
    <w:p w14:paraId="6346661A" w14:textId="77777777" w:rsidR="00150309" w:rsidRDefault="00150309">
      <w:pPr>
        <w:ind w:left="1440" w:hanging="720"/>
      </w:pPr>
      <w:r>
        <w:t>11.6.2</w:t>
      </w:r>
      <w:r>
        <w:tab/>
        <w:t>substitute Services of equivalent functionality and performance, to avoid the infringement or the alleged infringement, as long as there is no additional cost or burden to the Buyer</w:t>
      </w:r>
    </w:p>
    <w:p w14:paraId="1EC7F18D" w14:textId="77777777" w:rsidR="00150309" w:rsidRDefault="00150309">
      <w:pPr>
        <w:ind w:left="1440"/>
      </w:pPr>
    </w:p>
    <w:p w14:paraId="778A7C98" w14:textId="77777777" w:rsidR="00150309" w:rsidRDefault="00150309">
      <w:pPr>
        <w:ind w:left="1440" w:hanging="720"/>
      </w:pPr>
      <w:r>
        <w:t>11.6.3</w:t>
      </w:r>
      <w:r>
        <w:tab/>
        <w:t>buy a licence to use and supply the Services which are the subject of the alleged infringement, on terms acceptable to the Buyer</w:t>
      </w:r>
    </w:p>
    <w:p w14:paraId="16DAD346" w14:textId="77777777" w:rsidR="00150309" w:rsidRDefault="00150309">
      <w:pPr>
        <w:ind w:left="720" w:firstLine="720"/>
      </w:pPr>
    </w:p>
    <w:p w14:paraId="63E7E83D" w14:textId="77777777" w:rsidR="00150309" w:rsidRDefault="00150309">
      <w:r>
        <w:t>11.7</w:t>
      </w:r>
      <w:r>
        <w:tab/>
        <w:t>Clause 11.5 will not apply if the IPR Claim is from:</w:t>
      </w:r>
    </w:p>
    <w:p w14:paraId="52C554C2" w14:textId="77777777" w:rsidR="00150309" w:rsidRDefault="00150309"/>
    <w:p w14:paraId="77518631" w14:textId="77777777" w:rsidR="00150309" w:rsidRDefault="00150309">
      <w:pPr>
        <w:ind w:left="1440" w:hanging="720"/>
      </w:pPr>
      <w:r>
        <w:t>11.7.2</w:t>
      </w:r>
      <w:r>
        <w:tab/>
        <w:t>the use of data supplied by the Buyer which the Supplier isn’t required to verify under this Call-Off Contract</w:t>
      </w:r>
    </w:p>
    <w:p w14:paraId="0D95FF56" w14:textId="77777777" w:rsidR="00150309" w:rsidRDefault="00150309">
      <w:pPr>
        <w:ind w:left="720" w:firstLine="720"/>
      </w:pPr>
    </w:p>
    <w:p w14:paraId="4E7151B2" w14:textId="77777777" w:rsidR="00150309" w:rsidRDefault="00150309">
      <w:pPr>
        <w:ind w:firstLine="720"/>
      </w:pPr>
      <w:r>
        <w:t>11.7.3</w:t>
      </w:r>
      <w:r>
        <w:tab/>
        <w:t>other material provided by the Buyer necessary for the Services</w:t>
      </w:r>
    </w:p>
    <w:p w14:paraId="6C57F021" w14:textId="77777777" w:rsidR="00150309" w:rsidRDefault="00150309">
      <w:pPr>
        <w:ind w:firstLine="720"/>
      </w:pPr>
    </w:p>
    <w:p w14:paraId="04A4135C" w14:textId="77777777" w:rsidR="00150309" w:rsidRDefault="00150309">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5875D28" w14:textId="77777777" w:rsidR="00150309" w:rsidRDefault="00150309">
      <w:pPr>
        <w:ind w:left="720" w:hanging="720"/>
      </w:pPr>
    </w:p>
    <w:p w14:paraId="550D8BDD" w14:textId="77777777" w:rsidR="00150309" w:rsidRDefault="00150309">
      <w:pPr>
        <w:pStyle w:val="Heading3"/>
      </w:pPr>
      <w:r>
        <w:t>12.</w:t>
      </w:r>
      <w:r>
        <w:tab/>
        <w:t>Protection of information</w:t>
      </w:r>
    </w:p>
    <w:p w14:paraId="03BB904E" w14:textId="77777777" w:rsidR="00150309" w:rsidRDefault="00150309">
      <w:pPr>
        <w:spacing w:before="240" w:after="240"/>
      </w:pPr>
      <w:r>
        <w:t>12.1</w:t>
      </w:r>
      <w:r>
        <w:tab/>
        <w:t>The Supplier must:</w:t>
      </w:r>
    </w:p>
    <w:p w14:paraId="4D9BACD8" w14:textId="77777777" w:rsidR="00150309" w:rsidRDefault="00150309">
      <w:pPr>
        <w:ind w:left="1440" w:hanging="720"/>
      </w:pPr>
      <w:r>
        <w:t>12.1.1</w:t>
      </w:r>
      <w:r>
        <w:tab/>
        <w:t>comply with the Buyer’s written instructions and this Call-Off Contract when Processing Buyer Personal Data</w:t>
      </w:r>
    </w:p>
    <w:p w14:paraId="6842B042" w14:textId="77777777" w:rsidR="00150309" w:rsidRDefault="00150309">
      <w:pPr>
        <w:ind w:left="720" w:firstLine="720"/>
      </w:pPr>
    </w:p>
    <w:p w14:paraId="6170D35A" w14:textId="77777777" w:rsidR="00150309" w:rsidRDefault="00150309">
      <w:pPr>
        <w:ind w:left="1440" w:hanging="720"/>
      </w:pPr>
      <w:r>
        <w:t>12.1.2</w:t>
      </w:r>
      <w:r>
        <w:tab/>
        <w:t>only Process the Buyer Personal Data as necessary for the provision of the G-Cloud Services or as required by Law or any Regulatory Body</w:t>
      </w:r>
    </w:p>
    <w:p w14:paraId="40691BCE" w14:textId="77777777" w:rsidR="00150309" w:rsidRDefault="00150309">
      <w:pPr>
        <w:ind w:left="720" w:firstLine="720"/>
      </w:pPr>
    </w:p>
    <w:p w14:paraId="1B5C8E32" w14:textId="77777777" w:rsidR="00150309" w:rsidRDefault="00150309">
      <w:pPr>
        <w:ind w:left="1440" w:hanging="720"/>
      </w:pPr>
      <w:r>
        <w:t>12.1.3</w:t>
      </w:r>
      <w:r>
        <w:tab/>
        <w:t>take reasonable steps to ensure that any Supplier Staff who have access to Buyer Personal Data act in compliance with Supplier's security processes</w:t>
      </w:r>
    </w:p>
    <w:p w14:paraId="48C7DE45" w14:textId="77777777" w:rsidR="00150309" w:rsidRDefault="00150309">
      <w:pPr>
        <w:ind w:left="720" w:firstLine="720"/>
      </w:pPr>
    </w:p>
    <w:p w14:paraId="36A6C932" w14:textId="77777777" w:rsidR="00150309" w:rsidRDefault="00150309">
      <w:pPr>
        <w:ind w:left="720" w:hanging="720"/>
      </w:pPr>
      <w:r>
        <w:t>12.2</w:t>
      </w:r>
      <w:r>
        <w:tab/>
        <w:t>The Supplier must fully assist with any complaint or request for Buyer Personal Data including by:</w:t>
      </w:r>
    </w:p>
    <w:p w14:paraId="37814B9F" w14:textId="77777777" w:rsidR="00150309" w:rsidRDefault="00150309">
      <w:pPr>
        <w:ind w:firstLine="720"/>
      </w:pPr>
    </w:p>
    <w:p w14:paraId="763EDF09" w14:textId="77777777" w:rsidR="00150309" w:rsidRDefault="00150309">
      <w:pPr>
        <w:ind w:firstLine="720"/>
      </w:pPr>
      <w:r>
        <w:t>12.2.1</w:t>
      </w:r>
      <w:r>
        <w:tab/>
        <w:t>providing the Buyer with full details of the complaint or request</w:t>
      </w:r>
    </w:p>
    <w:p w14:paraId="64FF5906" w14:textId="77777777" w:rsidR="00150309" w:rsidRDefault="00150309">
      <w:pPr>
        <w:ind w:firstLine="720"/>
      </w:pPr>
    </w:p>
    <w:p w14:paraId="330725A7" w14:textId="77777777" w:rsidR="00150309" w:rsidRDefault="00150309">
      <w:pPr>
        <w:ind w:left="1440" w:hanging="720"/>
      </w:pPr>
      <w:r>
        <w:t>12.2.2</w:t>
      </w:r>
      <w:r>
        <w:tab/>
        <w:t>complying with a data access request within the timescales in the Data Protection Legislation and following the Buyer’s instructions</w:t>
      </w:r>
    </w:p>
    <w:p w14:paraId="343C55C7" w14:textId="77777777" w:rsidR="00150309" w:rsidRDefault="00150309"/>
    <w:p w14:paraId="09B39288" w14:textId="77777777" w:rsidR="00150309" w:rsidRDefault="00150309">
      <w:pPr>
        <w:ind w:left="1440" w:hanging="720"/>
      </w:pPr>
      <w:r>
        <w:t>12.2.3</w:t>
      </w:r>
      <w:r>
        <w:tab/>
        <w:t>providing the Buyer with any Buyer Personal Data it holds about a Data Subject (within the timescales required by the Buyer)</w:t>
      </w:r>
    </w:p>
    <w:p w14:paraId="490919B6" w14:textId="77777777" w:rsidR="00150309" w:rsidRDefault="00150309">
      <w:pPr>
        <w:ind w:left="720" w:firstLine="720"/>
      </w:pPr>
    </w:p>
    <w:p w14:paraId="7D2C3EB2" w14:textId="77777777" w:rsidR="00150309" w:rsidRDefault="00150309">
      <w:pPr>
        <w:ind w:firstLine="720"/>
      </w:pPr>
      <w:r>
        <w:t>12.2.4</w:t>
      </w:r>
      <w:r>
        <w:tab/>
        <w:t>providing the Buyer with any information requested by the Data Subject</w:t>
      </w:r>
    </w:p>
    <w:p w14:paraId="256E1BDE" w14:textId="77777777" w:rsidR="00150309" w:rsidRDefault="00150309">
      <w:pPr>
        <w:ind w:firstLine="720"/>
      </w:pPr>
    </w:p>
    <w:p w14:paraId="0C2FC807" w14:textId="77777777" w:rsidR="00150309" w:rsidRDefault="00150309">
      <w:pPr>
        <w:ind w:left="720" w:hanging="720"/>
      </w:pPr>
      <w:r>
        <w:t>12.3</w:t>
      </w:r>
      <w:r>
        <w:tab/>
        <w:t>The Supplier must get prior written consent from the Buyer to transfer Buyer Personal Data to any other person (including any Subcontractors) for the provision of the G-Cloud Services.</w:t>
      </w:r>
    </w:p>
    <w:p w14:paraId="201966BF" w14:textId="77777777" w:rsidR="00150309" w:rsidRDefault="00150309">
      <w:pPr>
        <w:ind w:left="720" w:hanging="720"/>
      </w:pPr>
    </w:p>
    <w:p w14:paraId="09877BB1" w14:textId="77777777" w:rsidR="00150309" w:rsidRDefault="00150309">
      <w:pPr>
        <w:pStyle w:val="Heading3"/>
      </w:pPr>
      <w:r>
        <w:t>13.</w:t>
      </w:r>
      <w:r>
        <w:tab/>
        <w:t>Buyer data</w:t>
      </w:r>
    </w:p>
    <w:p w14:paraId="2DA0E1A9" w14:textId="77777777" w:rsidR="00150309" w:rsidRDefault="00150309">
      <w:pPr>
        <w:spacing w:before="240" w:after="240"/>
      </w:pPr>
      <w:r>
        <w:t>13.1</w:t>
      </w:r>
      <w:r>
        <w:tab/>
        <w:t>The Supplier must not remove any proprietary notices in the Buyer Data.</w:t>
      </w:r>
    </w:p>
    <w:p w14:paraId="0FFDD841" w14:textId="77777777" w:rsidR="00150309" w:rsidRDefault="00150309">
      <w:r>
        <w:t>13.2</w:t>
      </w:r>
      <w:r>
        <w:tab/>
        <w:t xml:space="preserve">The Supplier will not store or use Buyer Data except if necessary to fulfil its </w:t>
      </w:r>
    </w:p>
    <w:p w14:paraId="185DF082" w14:textId="77777777" w:rsidR="00150309" w:rsidRDefault="00150309">
      <w:pPr>
        <w:ind w:firstLine="720"/>
      </w:pPr>
      <w:r>
        <w:t>obligations.</w:t>
      </w:r>
    </w:p>
    <w:p w14:paraId="66E07C39" w14:textId="77777777" w:rsidR="00150309" w:rsidRDefault="00150309"/>
    <w:p w14:paraId="4D0A7E1C" w14:textId="77777777" w:rsidR="00150309" w:rsidRDefault="00150309">
      <w:pPr>
        <w:ind w:left="720" w:hanging="720"/>
      </w:pPr>
      <w:r>
        <w:t>13.3</w:t>
      </w:r>
      <w:r>
        <w:tab/>
        <w:t>If Buyer Data is processed by the Supplier, the Supplier will supply the data to the Buyer as requested.</w:t>
      </w:r>
    </w:p>
    <w:p w14:paraId="2694C520" w14:textId="77777777" w:rsidR="00150309" w:rsidRDefault="00150309"/>
    <w:p w14:paraId="345B2502" w14:textId="77777777" w:rsidR="00150309" w:rsidRDefault="00150309">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7A78309" w14:textId="77777777" w:rsidR="00150309" w:rsidRDefault="00150309">
      <w:pPr>
        <w:ind w:left="720"/>
      </w:pPr>
    </w:p>
    <w:p w14:paraId="605ACAC8" w14:textId="77777777" w:rsidR="00150309" w:rsidRDefault="00150309">
      <w:pPr>
        <w:ind w:left="720" w:hanging="720"/>
      </w:pPr>
      <w:r>
        <w:t>13.5</w:t>
      </w:r>
      <w:r>
        <w:tab/>
        <w:t>The Supplier will preserve the integrity of Buyer Data processed by the Supplier and prevent its corruption and loss.</w:t>
      </w:r>
    </w:p>
    <w:p w14:paraId="162244AF" w14:textId="77777777" w:rsidR="00150309" w:rsidRDefault="00150309">
      <w:pPr>
        <w:ind w:firstLine="720"/>
      </w:pPr>
    </w:p>
    <w:p w14:paraId="3BB1A1E0" w14:textId="77777777" w:rsidR="00150309" w:rsidRDefault="00150309">
      <w:pPr>
        <w:ind w:left="720" w:hanging="720"/>
      </w:pPr>
      <w:r>
        <w:t>13.6</w:t>
      </w:r>
      <w:r>
        <w:tab/>
        <w:t>The Supplier will ensure that any Supplier system which holds any protectively marked Buyer Data or other government data will comply with:</w:t>
      </w:r>
    </w:p>
    <w:p w14:paraId="289BDFF9" w14:textId="77777777" w:rsidR="00150309" w:rsidRDefault="00150309">
      <w:pPr>
        <w:ind w:firstLine="720"/>
      </w:pPr>
    </w:p>
    <w:p w14:paraId="7EEC25E0" w14:textId="77777777" w:rsidR="00150309" w:rsidRDefault="00150309">
      <w:pPr>
        <w:ind w:firstLine="720"/>
      </w:pPr>
      <w:r>
        <w:t>13.6.1</w:t>
      </w:r>
      <w:r>
        <w:tab/>
        <w:t>the principles in the Security Policy Framework:</w:t>
      </w:r>
      <w:hyperlink r:id="rId10" w:history="1">
        <w:r>
          <w:rPr>
            <w:color w:val="1155CC"/>
            <w:u w:val="single"/>
          </w:rPr>
          <w:t xml:space="preserve"> </w:t>
        </w:r>
      </w:hyperlink>
    </w:p>
    <w:p w14:paraId="4475FB16" w14:textId="77777777" w:rsidR="00150309" w:rsidRDefault="00D9320F">
      <w:pPr>
        <w:ind w:left="1440"/>
      </w:pPr>
      <w:hyperlink r:id="rId11" w:history="1">
        <w:r w:rsidR="00150309">
          <w:rPr>
            <w:rStyle w:val="Hyperlink"/>
          </w:rPr>
          <w:t>https://www.gov.uk/government/publications/security-policy-framework</w:t>
        </w:r>
      </w:hyperlink>
      <w:r w:rsidR="00150309">
        <w:rPr>
          <w:rStyle w:val="Hyperlink"/>
        </w:rPr>
        <w:t xml:space="preserve"> and</w:t>
      </w:r>
    </w:p>
    <w:p w14:paraId="7D2E4671" w14:textId="77777777" w:rsidR="00150309" w:rsidRDefault="00150309">
      <w:pPr>
        <w:ind w:left="1440"/>
      </w:pPr>
      <w:r>
        <w:t>the Government Security Classification policy</w:t>
      </w:r>
      <w:r>
        <w:rPr>
          <w:color w:val="1155CC"/>
          <w:u w:val="single"/>
        </w:rPr>
        <w:t>: https:/www.gov.uk/government/publications/government-security-classifications</w:t>
      </w:r>
    </w:p>
    <w:p w14:paraId="735159E1" w14:textId="77777777" w:rsidR="00150309" w:rsidRDefault="00150309">
      <w:pPr>
        <w:ind w:left="1440"/>
      </w:pPr>
    </w:p>
    <w:p w14:paraId="12F1FE42" w14:textId="77777777" w:rsidR="00150309" w:rsidRDefault="00150309">
      <w:pPr>
        <w:ind w:firstLine="720"/>
      </w:pPr>
      <w:r>
        <w:t>13.6.2</w:t>
      </w:r>
      <w:r>
        <w:tab/>
        <w:t xml:space="preserve">guidance issued by the Centre for Protection of National Infrastructure on </w:t>
      </w:r>
    </w:p>
    <w:p w14:paraId="68B3E4A5" w14:textId="77777777" w:rsidR="00150309" w:rsidRDefault="00150309">
      <w:pPr>
        <w:ind w:left="720" w:firstLine="720"/>
      </w:pPr>
      <w:r>
        <w:t>Risk Management</w:t>
      </w:r>
      <w:hyperlink r:id="rId12" w:history="1">
        <w:r>
          <w:rPr>
            <w:color w:val="1155CC"/>
            <w:u w:val="single"/>
          </w:rPr>
          <w:t>:</w:t>
        </w:r>
      </w:hyperlink>
    </w:p>
    <w:p w14:paraId="58577065" w14:textId="77777777" w:rsidR="00150309" w:rsidRDefault="00D9320F">
      <w:pPr>
        <w:ind w:left="720" w:firstLine="720"/>
      </w:pPr>
      <w:hyperlink r:id="rId13" w:history="1">
        <w:r w:rsidR="00150309">
          <w:rPr>
            <w:color w:val="1155CC"/>
            <w:u w:val="single"/>
          </w:rPr>
          <w:t>https://www.cpni.gov.uk/content/adopt-risk-management-approach</w:t>
        </w:r>
      </w:hyperlink>
      <w:r w:rsidR="00150309">
        <w:t xml:space="preserve"> and</w:t>
      </w:r>
    </w:p>
    <w:p w14:paraId="2D7FC675" w14:textId="77777777" w:rsidR="00150309" w:rsidRDefault="00150309">
      <w:pPr>
        <w:ind w:left="720" w:firstLine="720"/>
      </w:pPr>
      <w:r>
        <w:t>Protection of Sensitive Information and Assets:</w:t>
      </w:r>
      <w:hyperlink r:id="rId14" w:history="1">
        <w:r>
          <w:rPr>
            <w:color w:val="1155CC"/>
            <w:u w:val="single"/>
          </w:rPr>
          <w:t xml:space="preserve"> </w:t>
        </w:r>
      </w:hyperlink>
    </w:p>
    <w:p w14:paraId="19ED4256" w14:textId="77777777" w:rsidR="00150309" w:rsidRDefault="00D9320F">
      <w:pPr>
        <w:ind w:left="720" w:firstLine="720"/>
      </w:pPr>
      <w:hyperlink r:id="rId15" w:history="1">
        <w:r w:rsidR="00150309">
          <w:rPr>
            <w:color w:val="1155CC"/>
            <w:u w:val="single"/>
          </w:rPr>
          <w:t>https://www.cpni.gov.uk/protection-sensitive-information-and-assets</w:t>
        </w:r>
      </w:hyperlink>
    </w:p>
    <w:p w14:paraId="3E1689D3" w14:textId="77777777" w:rsidR="00150309" w:rsidRDefault="00150309">
      <w:pPr>
        <w:ind w:left="720" w:firstLine="720"/>
      </w:pPr>
    </w:p>
    <w:p w14:paraId="01B2406B" w14:textId="77777777" w:rsidR="00150309" w:rsidRDefault="00150309">
      <w:pPr>
        <w:ind w:left="1440" w:hanging="720"/>
      </w:pPr>
      <w:r>
        <w:t>13.6.3</w:t>
      </w:r>
      <w:r>
        <w:tab/>
        <w:t>the National Cyber Security Centre’s (NCSC) information risk management guidance:</w:t>
      </w:r>
    </w:p>
    <w:p w14:paraId="2E5DF767" w14:textId="77777777" w:rsidR="00150309" w:rsidRDefault="00D9320F">
      <w:pPr>
        <w:ind w:left="720" w:firstLine="720"/>
      </w:pPr>
      <w:hyperlink r:id="rId16" w:history="1">
        <w:r w:rsidR="00150309">
          <w:rPr>
            <w:color w:val="1155CC"/>
            <w:u w:val="single"/>
          </w:rPr>
          <w:t>https://www.ncsc.gov.uk/collection/risk-management-collection</w:t>
        </w:r>
      </w:hyperlink>
    </w:p>
    <w:p w14:paraId="65E8FC8A" w14:textId="77777777" w:rsidR="00150309" w:rsidRDefault="00150309"/>
    <w:p w14:paraId="362D2DF9" w14:textId="77777777" w:rsidR="00150309" w:rsidRDefault="00150309">
      <w:pPr>
        <w:ind w:left="1440" w:hanging="720"/>
      </w:pPr>
      <w:r>
        <w:t>13.6.4</w:t>
      </w:r>
      <w:r>
        <w:tab/>
        <w:t>government best practice in the design and implementation of system components, including network principles, security design principles for digital services and the secure email blueprint:</w:t>
      </w:r>
    </w:p>
    <w:p w14:paraId="7E497C40" w14:textId="77777777" w:rsidR="00150309" w:rsidRDefault="00D9320F">
      <w:pPr>
        <w:ind w:left="1440"/>
      </w:pPr>
      <w:hyperlink r:id="rId17" w:history="1">
        <w:r w:rsidR="00150309">
          <w:rPr>
            <w:rStyle w:val="Hyperlink"/>
          </w:rPr>
          <w:t>https://www.gov.uk/government/publications/technology-code-of-practice/technology-code-of-practice</w:t>
        </w:r>
      </w:hyperlink>
    </w:p>
    <w:p w14:paraId="64309870" w14:textId="77777777" w:rsidR="00150309" w:rsidRDefault="00150309">
      <w:pPr>
        <w:ind w:left="1440"/>
      </w:pPr>
    </w:p>
    <w:p w14:paraId="3754DDD3" w14:textId="77777777" w:rsidR="00150309" w:rsidRDefault="00150309">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4DCEB906" w14:textId="77777777" w:rsidR="00150309" w:rsidRDefault="00D9320F">
      <w:pPr>
        <w:ind w:left="720" w:firstLine="720"/>
      </w:pPr>
      <w:hyperlink r:id="rId19" w:history="1">
        <w:r w:rsidR="00150309">
          <w:rPr>
            <w:rStyle w:val="Hyperlink"/>
          </w:rPr>
          <w:t>https://www.ncsc.gov.uk/guidance/implementing-cloud-security-principles</w:t>
        </w:r>
      </w:hyperlink>
    </w:p>
    <w:p w14:paraId="0E9CFF10" w14:textId="77777777" w:rsidR="00150309" w:rsidRDefault="00150309"/>
    <w:p w14:paraId="37F1C129" w14:textId="77777777" w:rsidR="00150309" w:rsidRDefault="00150309">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508C0C26" w14:textId="77777777" w:rsidR="00150309" w:rsidRDefault="00150309"/>
    <w:p w14:paraId="27BAE7DF" w14:textId="77777777" w:rsidR="00150309" w:rsidRDefault="00150309">
      <w:r>
        <w:t>13.7</w:t>
      </w:r>
      <w:r>
        <w:tab/>
        <w:t>The Buyer will specify any security requirements for this project in the Order Form.</w:t>
      </w:r>
    </w:p>
    <w:p w14:paraId="485E163A" w14:textId="77777777" w:rsidR="00150309" w:rsidRDefault="00150309"/>
    <w:p w14:paraId="5C877C18" w14:textId="77777777" w:rsidR="00150309" w:rsidRDefault="00150309">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B09A6E" w14:textId="77777777" w:rsidR="00150309" w:rsidRDefault="00150309">
      <w:pPr>
        <w:ind w:left="720"/>
      </w:pPr>
    </w:p>
    <w:p w14:paraId="16215584" w14:textId="77777777" w:rsidR="00150309" w:rsidRDefault="00150309">
      <w:pPr>
        <w:ind w:left="720" w:hanging="720"/>
      </w:pPr>
      <w:r>
        <w:t>13.9</w:t>
      </w:r>
      <w:r>
        <w:tab/>
        <w:t>The Supplier agrees to use the appropriate organisational, operational and technological processes to keep the Buyer Data safe from unauthorised use or access, loss, destruction, theft or disclosure.</w:t>
      </w:r>
    </w:p>
    <w:p w14:paraId="17DA5D7B" w14:textId="77777777" w:rsidR="00150309" w:rsidRDefault="00150309">
      <w:pPr>
        <w:ind w:left="720"/>
      </w:pPr>
    </w:p>
    <w:p w14:paraId="2F40F7D3" w14:textId="77777777" w:rsidR="00150309" w:rsidRDefault="00150309">
      <w:pPr>
        <w:ind w:left="720" w:hanging="720"/>
      </w:pPr>
      <w:r>
        <w:t>13.10</w:t>
      </w:r>
      <w:r>
        <w:tab/>
        <w:t>The provisions of this clause 13 will apply during the term of this Call-Off Contract and for as long as the Supplier holds the Buyer’s Data.</w:t>
      </w:r>
    </w:p>
    <w:p w14:paraId="6A701FB5" w14:textId="77777777" w:rsidR="00150309" w:rsidRDefault="00150309">
      <w:pPr>
        <w:spacing w:before="240" w:after="240"/>
      </w:pPr>
    </w:p>
    <w:p w14:paraId="6A7D5C96" w14:textId="77777777" w:rsidR="00150309" w:rsidRDefault="00150309">
      <w:pPr>
        <w:pStyle w:val="Heading3"/>
      </w:pPr>
      <w:r>
        <w:t>14.</w:t>
      </w:r>
      <w:r>
        <w:tab/>
        <w:t>Standards and quality</w:t>
      </w:r>
    </w:p>
    <w:p w14:paraId="6655CDAB" w14:textId="77777777" w:rsidR="00150309" w:rsidRDefault="00150309">
      <w:pPr>
        <w:ind w:left="720" w:hanging="720"/>
      </w:pPr>
      <w:r>
        <w:t>14.1</w:t>
      </w:r>
      <w:r>
        <w:tab/>
        <w:t>The Supplier will comply with any standards in this Call-Off Contract, the Order Form and the Framework Agreement.</w:t>
      </w:r>
    </w:p>
    <w:p w14:paraId="04BFF789" w14:textId="77777777" w:rsidR="00150309" w:rsidRDefault="00150309">
      <w:pPr>
        <w:ind w:firstLine="720"/>
      </w:pPr>
    </w:p>
    <w:p w14:paraId="5387F126" w14:textId="77777777" w:rsidR="00150309" w:rsidRDefault="00150309">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213B295B" w14:textId="77777777" w:rsidR="00150309" w:rsidRDefault="00D9320F">
      <w:pPr>
        <w:ind w:left="720"/>
      </w:pPr>
      <w:hyperlink r:id="rId21" w:history="1">
        <w:r w:rsidR="00150309">
          <w:rPr>
            <w:color w:val="1155CC"/>
            <w:u w:val="single"/>
          </w:rPr>
          <w:t>https://www.gov.uk/government/publications/technology-code-of-practice/technology-code-of-practice</w:t>
        </w:r>
      </w:hyperlink>
    </w:p>
    <w:p w14:paraId="75AE46C5" w14:textId="77777777" w:rsidR="00150309" w:rsidRDefault="00150309">
      <w:pPr>
        <w:ind w:left="720" w:hanging="720"/>
      </w:pPr>
    </w:p>
    <w:p w14:paraId="39DDF50B" w14:textId="77777777" w:rsidR="00150309" w:rsidRDefault="00150309">
      <w:pPr>
        <w:ind w:left="720" w:hanging="720"/>
      </w:pPr>
      <w:r>
        <w:t>14.3</w:t>
      </w:r>
      <w:r>
        <w:tab/>
        <w:t>If requested by the Buyer, the Supplier must, at its own cost, ensure that the G-Cloud Services comply with the requirements in the PSN Code of Practice.</w:t>
      </w:r>
    </w:p>
    <w:p w14:paraId="130E7C0B" w14:textId="77777777" w:rsidR="00150309" w:rsidRDefault="00150309">
      <w:pPr>
        <w:ind w:firstLine="720"/>
      </w:pPr>
    </w:p>
    <w:p w14:paraId="2DB96BB1" w14:textId="77777777" w:rsidR="00150309" w:rsidRDefault="00150309">
      <w:pPr>
        <w:ind w:left="720" w:hanging="720"/>
      </w:pPr>
      <w:r>
        <w:t>14.4</w:t>
      </w:r>
      <w:r>
        <w:tab/>
        <w:t>If any PSN Services are Subcontracted by the Supplier, the Supplier must ensure that the services have the relevant PSN compliance certification.</w:t>
      </w:r>
    </w:p>
    <w:p w14:paraId="3D6539E5" w14:textId="77777777" w:rsidR="00150309" w:rsidRDefault="00150309">
      <w:pPr>
        <w:ind w:firstLine="720"/>
      </w:pPr>
    </w:p>
    <w:p w14:paraId="6F6AE2CD" w14:textId="77777777" w:rsidR="00150309" w:rsidRDefault="00150309">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14:paraId="728BBFCA" w14:textId="77777777" w:rsidR="00150309" w:rsidRDefault="00150309">
      <w:r>
        <w:t xml:space="preserve"> </w:t>
      </w:r>
    </w:p>
    <w:p w14:paraId="7649A92E" w14:textId="77777777" w:rsidR="00150309" w:rsidRDefault="00150309">
      <w:pPr>
        <w:pStyle w:val="Heading3"/>
      </w:pPr>
      <w:r>
        <w:t>15.</w:t>
      </w:r>
      <w:r>
        <w:tab/>
        <w:t>Open source</w:t>
      </w:r>
    </w:p>
    <w:p w14:paraId="02EC5335" w14:textId="77777777" w:rsidR="00150309" w:rsidRDefault="00150309">
      <w:pPr>
        <w:ind w:left="720" w:hanging="720"/>
      </w:pPr>
      <w:r>
        <w:t>15.1</w:t>
      </w:r>
      <w:r>
        <w:tab/>
        <w:t>All software created for the Buyer must be suitable for publication as open source, unless otherwise agreed by the Buyer.</w:t>
      </w:r>
    </w:p>
    <w:p w14:paraId="3F40D7B8" w14:textId="77777777" w:rsidR="00150309" w:rsidRDefault="00150309">
      <w:pPr>
        <w:ind w:firstLine="720"/>
      </w:pPr>
    </w:p>
    <w:p w14:paraId="35A081EB" w14:textId="77777777" w:rsidR="00150309" w:rsidRDefault="00150309">
      <w:pPr>
        <w:ind w:left="720" w:hanging="720"/>
      </w:pPr>
      <w:r>
        <w:t>15.2</w:t>
      </w:r>
      <w:r>
        <w:tab/>
        <w:t>If software needs to be converted before publication as open source, the Supplier must also provide the converted format unless otherwise agreed by the Buyer.</w:t>
      </w:r>
    </w:p>
    <w:p w14:paraId="69A4D734" w14:textId="77777777" w:rsidR="00150309" w:rsidRDefault="00150309">
      <w:pPr>
        <w:spacing w:before="240" w:after="240"/>
        <w:ind w:left="720"/>
      </w:pPr>
      <w:r>
        <w:t xml:space="preserve"> </w:t>
      </w:r>
    </w:p>
    <w:p w14:paraId="73E0E6FD" w14:textId="77777777" w:rsidR="00150309" w:rsidRDefault="00150309">
      <w:pPr>
        <w:pStyle w:val="Heading3"/>
      </w:pPr>
      <w:r>
        <w:t>16.</w:t>
      </w:r>
      <w:r>
        <w:tab/>
        <w:t>Security</w:t>
      </w:r>
    </w:p>
    <w:p w14:paraId="160A76D7" w14:textId="77777777" w:rsidR="00150309" w:rsidRDefault="00150309">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A7DE48F" w14:textId="77777777" w:rsidR="00150309" w:rsidRDefault="00150309">
      <w:pPr>
        <w:ind w:left="720"/>
      </w:pPr>
    </w:p>
    <w:p w14:paraId="3AB5FC3E" w14:textId="77777777" w:rsidR="00150309" w:rsidRDefault="00150309">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29ABC80" w14:textId="77777777" w:rsidR="00150309" w:rsidRDefault="00150309">
      <w:pPr>
        <w:ind w:left="720"/>
      </w:pPr>
    </w:p>
    <w:p w14:paraId="353E5C82" w14:textId="77777777" w:rsidR="00150309" w:rsidRDefault="00150309">
      <w:pPr>
        <w:ind w:left="720" w:hanging="720"/>
      </w:pPr>
      <w:r>
        <w:lastRenderedPageBreak/>
        <w:t>16.3</w:t>
      </w:r>
      <w:r>
        <w:tab/>
        <w:t>If Malicious Software causes loss of operational efficiency or loss or corruption of Service Data, the Supplier will help the Buyer to mitigate any losses and restore the Services to operating efficiency as soon as possible.</w:t>
      </w:r>
    </w:p>
    <w:p w14:paraId="346FB12F" w14:textId="77777777" w:rsidR="00150309" w:rsidRDefault="00150309">
      <w:pPr>
        <w:ind w:firstLine="720"/>
      </w:pPr>
    </w:p>
    <w:p w14:paraId="3BED1644" w14:textId="77777777" w:rsidR="00150309" w:rsidRDefault="00150309">
      <w:r>
        <w:t>16.4</w:t>
      </w:r>
      <w:r>
        <w:tab/>
        <w:t>Responsibility for costs will be at the:</w:t>
      </w:r>
    </w:p>
    <w:p w14:paraId="117BFF67" w14:textId="77777777" w:rsidR="00150309" w:rsidRDefault="00150309">
      <w:r>
        <w:tab/>
      </w:r>
    </w:p>
    <w:p w14:paraId="5D01DDF2" w14:textId="77777777" w:rsidR="00150309" w:rsidRDefault="00150309">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BAC6A5A" w14:textId="77777777" w:rsidR="00150309" w:rsidRDefault="00150309">
      <w:pPr>
        <w:ind w:left="1440"/>
      </w:pPr>
    </w:p>
    <w:p w14:paraId="1078C595" w14:textId="77777777" w:rsidR="00150309" w:rsidRDefault="00150309">
      <w:pPr>
        <w:ind w:left="1440" w:hanging="720"/>
      </w:pPr>
      <w:r>
        <w:t>16.4.2</w:t>
      </w:r>
      <w:r>
        <w:tab/>
        <w:t>Buyer’s expense if the Malicious Software originates from the Buyer software or the Service Data, while the Service Data was under the Buyer’s control</w:t>
      </w:r>
    </w:p>
    <w:p w14:paraId="0440922A" w14:textId="77777777" w:rsidR="00150309" w:rsidRDefault="00150309">
      <w:pPr>
        <w:ind w:left="720" w:firstLine="720"/>
      </w:pPr>
    </w:p>
    <w:p w14:paraId="3C340F1A" w14:textId="77777777" w:rsidR="00150309" w:rsidRDefault="00150309">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4343AFA" w14:textId="77777777" w:rsidR="00150309" w:rsidRDefault="00150309">
      <w:pPr>
        <w:ind w:left="720"/>
      </w:pPr>
    </w:p>
    <w:p w14:paraId="52C75D30" w14:textId="77777777" w:rsidR="00150309" w:rsidRDefault="00150309">
      <w:pPr>
        <w:ind w:left="720" w:hanging="720"/>
      </w:pPr>
      <w:r>
        <w:t>16.6</w:t>
      </w:r>
      <w:r>
        <w:tab/>
        <w:t>Any system development by the Supplier should also comply with the government’s ‘10 Steps to Cyber Security’ guidance:</w:t>
      </w:r>
      <w:hyperlink r:id="rId23" w:history="1">
        <w:r>
          <w:rPr>
            <w:color w:val="1155CC"/>
            <w:u w:val="single"/>
          </w:rPr>
          <w:t xml:space="preserve"> </w:t>
        </w:r>
      </w:hyperlink>
    </w:p>
    <w:p w14:paraId="454EE882" w14:textId="77777777" w:rsidR="00150309" w:rsidRDefault="00D9320F">
      <w:pPr>
        <w:ind w:left="720"/>
      </w:pPr>
      <w:hyperlink r:id="rId24" w:history="1">
        <w:r w:rsidR="00150309">
          <w:rPr>
            <w:color w:val="1155CC"/>
            <w:u w:val="single"/>
          </w:rPr>
          <w:t>https://www.ncsc.gov.uk/guidance/10-steps-cyber-security</w:t>
        </w:r>
      </w:hyperlink>
    </w:p>
    <w:p w14:paraId="7F3A968B" w14:textId="77777777" w:rsidR="00150309" w:rsidRDefault="00150309">
      <w:pPr>
        <w:ind w:left="720"/>
      </w:pPr>
    </w:p>
    <w:p w14:paraId="05AE521A" w14:textId="77777777" w:rsidR="00150309" w:rsidRDefault="00150309">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B906FD0" w14:textId="77777777" w:rsidR="00150309" w:rsidRDefault="00150309">
      <w:r>
        <w:t xml:space="preserve"> </w:t>
      </w:r>
    </w:p>
    <w:p w14:paraId="3F1E332A" w14:textId="77777777" w:rsidR="00150309" w:rsidRDefault="00150309">
      <w:pPr>
        <w:pStyle w:val="Heading3"/>
      </w:pPr>
      <w:r>
        <w:t>17.</w:t>
      </w:r>
      <w:r>
        <w:tab/>
        <w:t>Guarantee</w:t>
      </w:r>
    </w:p>
    <w:p w14:paraId="049D995E" w14:textId="77777777" w:rsidR="00150309" w:rsidRDefault="00150309">
      <w:pPr>
        <w:ind w:left="720" w:hanging="720"/>
      </w:pPr>
      <w:r>
        <w:t>17.1</w:t>
      </w:r>
      <w:r>
        <w:tab/>
        <w:t>If this Call-Off Contract is conditional on receipt of a Guarantee that is acceptable to the Buyer, the Supplier must give the Buyer on or before the Start date:</w:t>
      </w:r>
    </w:p>
    <w:p w14:paraId="2D116D16" w14:textId="77777777" w:rsidR="00150309" w:rsidRDefault="00150309">
      <w:pPr>
        <w:ind w:firstLine="720"/>
      </w:pPr>
    </w:p>
    <w:p w14:paraId="1092B8D7" w14:textId="77777777" w:rsidR="00150309" w:rsidRDefault="00150309">
      <w:pPr>
        <w:ind w:firstLine="720"/>
      </w:pPr>
      <w:r>
        <w:t>17.1.1</w:t>
      </w:r>
      <w:r>
        <w:tab/>
        <w:t>an executed Guarantee in the form at Schedule 5</w:t>
      </w:r>
    </w:p>
    <w:p w14:paraId="67C9CD65" w14:textId="77777777" w:rsidR="00150309" w:rsidRDefault="00150309"/>
    <w:p w14:paraId="43D98BDC" w14:textId="77777777" w:rsidR="00150309" w:rsidRDefault="00150309">
      <w:pPr>
        <w:ind w:left="1440" w:hanging="720"/>
      </w:pPr>
      <w:r>
        <w:t>17.1.2</w:t>
      </w:r>
      <w:r>
        <w:tab/>
        <w:t>a certified copy of the passed resolution or board minutes of the guarantor approving the execution of the Guarantee</w:t>
      </w:r>
    </w:p>
    <w:p w14:paraId="0BD74D8B" w14:textId="77777777" w:rsidR="00150309" w:rsidRDefault="00150309">
      <w:pPr>
        <w:ind w:left="720" w:firstLine="720"/>
      </w:pPr>
    </w:p>
    <w:p w14:paraId="5DC68012" w14:textId="77777777" w:rsidR="00150309" w:rsidRDefault="00150309">
      <w:pPr>
        <w:pStyle w:val="Heading3"/>
      </w:pPr>
      <w:r>
        <w:lastRenderedPageBreak/>
        <w:t>18.</w:t>
      </w:r>
      <w:r>
        <w:tab/>
        <w:t>Ending the Call-Off Contract</w:t>
      </w:r>
    </w:p>
    <w:p w14:paraId="232C23AF" w14:textId="77777777" w:rsidR="00150309" w:rsidRDefault="00150309">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F61AEB0" w14:textId="77777777" w:rsidR="00150309" w:rsidRDefault="00150309">
      <w:pPr>
        <w:ind w:left="720"/>
      </w:pPr>
    </w:p>
    <w:p w14:paraId="11778609" w14:textId="77777777" w:rsidR="00150309" w:rsidRDefault="00150309">
      <w:r>
        <w:t>18.2</w:t>
      </w:r>
      <w:r>
        <w:tab/>
        <w:t>The Parties agree that the:</w:t>
      </w:r>
    </w:p>
    <w:p w14:paraId="315DB08E" w14:textId="77777777" w:rsidR="00150309" w:rsidRDefault="00150309"/>
    <w:p w14:paraId="724B14A5" w14:textId="77777777" w:rsidR="00150309" w:rsidRDefault="00150309">
      <w:pPr>
        <w:ind w:left="1440" w:hanging="720"/>
      </w:pPr>
      <w:r>
        <w:t>18.2.1</w:t>
      </w:r>
      <w:r>
        <w:tab/>
        <w:t>Buyer’s right to End the Call-Off Contract under clause 18.1 is reasonable considering the type of cloud Service being provided</w:t>
      </w:r>
    </w:p>
    <w:p w14:paraId="4563EEB5" w14:textId="77777777" w:rsidR="00150309" w:rsidRDefault="00150309">
      <w:pPr>
        <w:ind w:left="720"/>
      </w:pPr>
    </w:p>
    <w:p w14:paraId="25C97DD5" w14:textId="77777777" w:rsidR="00150309" w:rsidRDefault="00150309">
      <w:pPr>
        <w:ind w:left="1440" w:hanging="720"/>
      </w:pPr>
      <w:r>
        <w:t>18.2.2</w:t>
      </w:r>
      <w:r>
        <w:tab/>
        <w:t>Call-Off Contract Charges paid during the notice period is reasonable compensation and covers all the Supplier’s avoidable costs or Losses</w:t>
      </w:r>
    </w:p>
    <w:p w14:paraId="3DED1352" w14:textId="77777777" w:rsidR="00150309" w:rsidRDefault="00150309">
      <w:pPr>
        <w:ind w:left="720" w:firstLine="720"/>
      </w:pPr>
    </w:p>
    <w:p w14:paraId="4B0AFA71" w14:textId="77777777" w:rsidR="00150309" w:rsidRDefault="00150309">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F36B017" w14:textId="77777777" w:rsidR="00150309" w:rsidRDefault="00150309">
      <w:pPr>
        <w:ind w:left="720"/>
      </w:pPr>
    </w:p>
    <w:p w14:paraId="700E69E6" w14:textId="77777777" w:rsidR="00150309" w:rsidRDefault="00150309">
      <w:pPr>
        <w:ind w:left="720" w:hanging="720"/>
      </w:pPr>
      <w:r>
        <w:t>18.4</w:t>
      </w:r>
      <w:r>
        <w:tab/>
        <w:t>The Buyer will have the right to End this Call-Off Contract at any time with immediate effect by written notice to the Supplier if either the Supplier commits:</w:t>
      </w:r>
    </w:p>
    <w:p w14:paraId="74018D05" w14:textId="77777777" w:rsidR="00150309" w:rsidRDefault="00150309">
      <w:pPr>
        <w:ind w:firstLine="720"/>
      </w:pPr>
    </w:p>
    <w:p w14:paraId="7A8BEB61" w14:textId="77777777" w:rsidR="00150309" w:rsidRDefault="00150309">
      <w:pPr>
        <w:ind w:left="1440" w:hanging="720"/>
      </w:pPr>
      <w:r>
        <w:t>18.4.1</w:t>
      </w:r>
      <w:r>
        <w:tab/>
        <w:t>a Supplier Default and if the Supplier Default cannot, in the reasonable opinion of the Buyer, be remedied</w:t>
      </w:r>
    </w:p>
    <w:p w14:paraId="64D1DE19" w14:textId="77777777" w:rsidR="00150309" w:rsidRDefault="00150309">
      <w:pPr>
        <w:ind w:left="720" w:firstLine="720"/>
      </w:pPr>
    </w:p>
    <w:p w14:paraId="62425AA5" w14:textId="77777777" w:rsidR="00150309" w:rsidRDefault="00150309">
      <w:pPr>
        <w:ind w:firstLine="720"/>
      </w:pPr>
      <w:r>
        <w:t>18.4.2</w:t>
      </w:r>
      <w:r>
        <w:tab/>
        <w:t>any fraud</w:t>
      </w:r>
    </w:p>
    <w:p w14:paraId="269C458F" w14:textId="77777777" w:rsidR="00150309" w:rsidRDefault="00150309">
      <w:pPr>
        <w:ind w:firstLine="720"/>
      </w:pPr>
    </w:p>
    <w:p w14:paraId="54253BB7" w14:textId="77777777" w:rsidR="00150309" w:rsidRDefault="00150309">
      <w:r>
        <w:t>18.5</w:t>
      </w:r>
      <w:r>
        <w:tab/>
        <w:t>A Party can End this Call-Off Contract at any time with immediate effect by written notice if:</w:t>
      </w:r>
    </w:p>
    <w:p w14:paraId="3370C13C" w14:textId="77777777" w:rsidR="00150309" w:rsidRDefault="00150309">
      <w:pPr>
        <w:ind w:firstLine="720"/>
      </w:pPr>
    </w:p>
    <w:p w14:paraId="07B1E7E7" w14:textId="77777777" w:rsidR="00150309" w:rsidRDefault="00150309">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F1A38DF" w14:textId="77777777" w:rsidR="00150309" w:rsidRDefault="00150309">
      <w:pPr>
        <w:ind w:left="1440"/>
      </w:pPr>
    </w:p>
    <w:p w14:paraId="3C04A671" w14:textId="77777777" w:rsidR="00150309" w:rsidRDefault="00150309">
      <w:pPr>
        <w:ind w:firstLine="720"/>
      </w:pPr>
      <w:r>
        <w:t>18.5.2</w:t>
      </w:r>
      <w:r>
        <w:tab/>
        <w:t>an Insolvency Event of the other Party happens</w:t>
      </w:r>
    </w:p>
    <w:p w14:paraId="19721851" w14:textId="77777777" w:rsidR="00150309" w:rsidRDefault="00150309">
      <w:pPr>
        <w:ind w:firstLine="720"/>
      </w:pPr>
    </w:p>
    <w:p w14:paraId="491B980B" w14:textId="77777777" w:rsidR="00150309" w:rsidRDefault="00150309">
      <w:pPr>
        <w:ind w:left="1440" w:hanging="720"/>
      </w:pPr>
      <w:r>
        <w:lastRenderedPageBreak/>
        <w:t>18.5.3</w:t>
      </w:r>
      <w:r>
        <w:tab/>
        <w:t>the other Party ceases or threatens to cease to carry on the whole or any material part of its business</w:t>
      </w:r>
    </w:p>
    <w:p w14:paraId="42A4B5D0" w14:textId="77777777" w:rsidR="00150309" w:rsidRDefault="00150309">
      <w:pPr>
        <w:ind w:left="720" w:firstLine="720"/>
      </w:pPr>
    </w:p>
    <w:p w14:paraId="43DFC1E8" w14:textId="77777777" w:rsidR="00150309" w:rsidRDefault="00150309">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A1EB6D9" w14:textId="77777777" w:rsidR="00150309" w:rsidRDefault="00150309">
      <w:pPr>
        <w:ind w:left="720"/>
      </w:pPr>
    </w:p>
    <w:p w14:paraId="07598D4F" w14:textId="77777777" w:rsidR="00150309" w:rsidRDefault="00150309">
      <w:pPr>
        <w:ind w:left="720" w:hanging="720"/>
      </w:pPr>
      <w:r>
        <w:t>18.7</w:t>
      </w:r>
      <w:r>
        <w:tab/>
        <w:t>A Party who isn’t relying on a Force Majeure event will have the right to End this Call-Off Contract if clause 23.1 applies.</w:t>
      </w:r>
    </w:p>
    <w:p w14:paraId="118EC786" w14:textId="77777777" w:rsidR="00150309" w:rsidRDefault="00150309">
      <w:pPr>
        <w:ind w:left="720" w:hanging="720"/>
      </w:pPr>
      <w:r>
        <w:t xml:space="preserve"> </w:t>
      </w:r>
    </w:p>
    <w:p w14:paraId="2D891F85" w14:textId="77777777" w:rsidR="00150309" w:rsidRDefault="00150309">
      <w:pPr>
        <w:pStyle w:val="Heading3"/>
      </w:pPr>
      <w:r>
        <w:t>19.</w:t>
      </w:r>
      <w:r>
        <w:tab/>
        <w:t>Consequences of suspension, ending and expiry</w:t>
      </w:r>
    </w:p>
    <w:p w14:paraId="008B01DE" w14:textId="77777777" w:rsidR="00150309" w:rsidRDefault="00150309">
      <w:pPr>
        <w:ind w:left="720" w:hanging="720"/>
      </w:pPr>
      <w:r>
        <w:t>19.1</w:t>
      </w:r>
      <w:r>
        <w:tab/>
        <w:t>If a Buyer has the right to End a Call-Off Contract, it may elect to suspend this Call-Off Contract or any part of it.</w:t>
      </w:r>
    </w:p>
    <w:p w14:paraId="6FD35F3D" w14:textId="77777777" w:rsidR="00150309" w:rsidRDefault="00150309"/>
    <w:p w14:paraId="1AF98CD7" w14:textId="77777777" w:rsidR="00150309" w:rsidRDefault="00150309">
      <w:pPr>
        <w:ind w:left="720" w:hanging="720"/>
      </w:pPr>
      <w:r>
        <w:t>19.2</w:t>
      </w:r>
      <w:r>
        <w:tab/>
        <w:t>Even if a notice has been served to End this Call-Off Contract or any part of it, the Supplier must continue to provide the Ordered G-Cloud Services until the dates set out in the notice.</w:t>
      </w:r>
    </w:p>
    <w:p w14:paraId="729CE5D9" w14:textId="77777777" w:rsidR="00150309" w:rsidRDefault="00150309">
      <w:pPr>
        <w:ind w:left="720" w:hanging="720"/>
      </w:pPr>
    </w:p>
    <w:p w14:paraId="082ABC8F" w14:textId="77777777" w:rsidR="00150309" w:rsidRDefault="00150309">
      <w:pPr>
        <w:ind w:left="720" w:hanging="720"/>
      </w:pPr>
      <w:r>
        <w:t>19.3</w:t>
      </w:r>
      <w:r>
        <w:tab/>
        <w:t>The rights and obligations of the Parties will cease on the Expiry Date or End Date whichever applies) of this Call-Off Contract, except those continuing provisions described in clause 19.4.</w:t>
      </w:r>
    </w:p>
    <w:p w14:paraId="6A905DD6" w14:textId="77777777" w:rsidR="00150309" w:rsidRDefault="00150309"/>
    <w:p w14:paraId="3F6CDB2B" w14:textId="77777777" w:rsidR="00150309" w:rsidRDefault="00150309">
      <w:r>
        <w:t>19.4</w:t>
      </w:r>
      <w:r>
        <w:tab/>
        <w:t>Ending or expiry of this Call-Off Contract will not affect:</w:t>
      </w:r>
    </w:p>
    <w:p w14:paraId="4E20E733" w14:textId="77777777" w:rsidR="00150309" w:rsidRDefault="00150309"/>
    <w:p w14:paraId="5F525C8D" w14:textId="77777777" w:rsidR="00150309" w:rsidRDefault="00150309">
      <w:pPr>
        <w:ind w:firstLine="720"/>
      </w:pPr>
      <w:r>
        <w:t>19.4.1</w:t>
      </w:r>
      <w:r>
        <w:tab/>
        <w:t>any rights, remedies or obligations accrued before its Ending or expiration</w:t>
      </w:r>
    </w:p>
    <w:p w14:paraId="75B582EF" w14:textId="77777777" w:rsidR="00150309" w:rsidRDefault="00150309"/>
    <w:p w14:paraId="4F6CF260" w14:textId="77777777" w:rsidR="00150309" w:rsidRDefault="00150309">
      <w:pPr>
        <w:ind w:left="1440" w:hanging="720"/>
      </w:pPr>
      <w:r>
        <w:t>19.4.2</w:t>
      </w:r>
      <w:r>
        <w:tab/>
        <w:t>the right of either Party to recover any amount outstanding at the time of Ending or expiry</w:t>
      </w:r>
    </w:p>
    <w:p w14:paraId="219B27EA" w14:textId="77777777" w:rsidR="00150309" w:rsidRDefault="00150309"/>
    <w:p w14:paraId="58570A15" w14:textId="77777777" w:rsidR="00150309" w:rsidRDefault="00150309">
      <w:pPr>
        <w:ind w:left="1440" w:hanging="720"/>
      </w:pPr>
      <w:r>
        <w:t>19.4.3</w:t>
      </w:r>
      <w:r>
        <w:tab/>
        <w:t>the continuing rights, remedies or obligations of the Buyer or the Supplier under clauses</w:t>
      </w:r>
    </w:p>
    <w:p w14:paraId="1E2AABCF" w14:textId="77777777" w:rsidR="00150309" w:rsidRDefault="00150309" w:rsidP="00A845D6">
      <w:pPr>
        <w:pStyle w:val="ListParagraph"/>
        <w:numPr>
          <w:ilvl w:val="1"/>
          <w:numId w:val="4"/>
        </w:numPr>
      </w:pPr>
      <w:r>
        <w:t>7 (Payment, VAT and Call-Off Contract charges)</w:t>
      </w:r>
    </w:p>
    <w:p w14:paraId="660DF86B" w14:textId="77777777" w:rsidR="00150309" w:rsidRDefault="00150309" w:rsidP="00A845D6">
      <w:pPr>
        <w:pStyle w:val="ListParagraph"/>
        <w:numPr>
          <w:ilvl w:val="1"/>
          <w:numId w:val="4"/>
        </w:numPr>
      </w:pPr>
      <w:r>
        <w:t>8 (Recovery of sums due and right of set-off)</w:t>
      </w:r>
    </w:p>
    <w:p w14:paraId="41000101" w14:textId="77777777" w:rsidR="00150309" w:rsidRDefault="00150309" w:rsidP="00A845D6">
      <w:pPr>
        <w:pStyle w:val="ListParagraph"/>
        <w:numPr>
          <w:ilvl w:val="1"/>
          <w:numId w:val="4"/>
        </w:numPr>
      </w:pPr>
      <w:r>
        <w:t>9 (Insurance)</w:t>
      </w:r>
    </w:p>
    <w:p w14:paraId="38335EED" w14:textId="77777777" w:rsidR="00150309" w:rsidRDefault="00150309" w:rsidP="00A845D6">
      <w:pPr>
        <w:pStyle w:val="ListParagraph"/>
        <w:numPr>
          <w:ilvl w:val="1"/>
          <w:numId w:val="4"/>
        </w:numPr>
      </w:pPr>
      <w:r>
        <w:t>10 (Confidentiality)</w:t>
      </w:r>
    </w:p>
    <w:p w14:paraId="25CD8297" w14:textId="77777777" w:rsidR="00150309" w:rsidRDefault="00150309" w:rsidP="00A845D6">
      <w:pPr>
        <w:pStyle w:val="ListParagraph"/>
        <w:numPr>
          <w:ilvl w:val="1"/>
          <w:numId w:val="4"/>
        </w:numPr>
      </w:pPr>
      <w:r>
        <w:t>11 (Intellectual property rights)</w:t>
      </w:r>
    </w:p>
    <w:p w14:paraId="5817A230" w14:textId="77777777" w:rsidR="00150309" w:rsidRDefault="00150309" w:rsidP="00A845D6">
      <w:pPr>
        <w:pStyle w:val="ListParagraph"/>
        <w:numPr>
          <w:ilvl w:val="1"/>
          <w:numId w:val="4"/>
        </w:numPr>
      </w:pPr>
      <w:r>
        <w:t>12 (Protection of information)</w:t>
      </w:r>
    </w:p>
    <w:p w14:paraId="1DB5E248" w14:textId="77777777" w:rsidR="00150309" w:rsidRDefault="00150309" w:rsidP="00A845D6">
      <w:pPr>
        <w:pStyle w:val="ListParagraph"/>
        <w:numPr>
          <w:ilvl w:val="1"/>
          <w:numId w:val="4"/>
        </w:numPr>
      </w:pPr>
      <w:r>
        <w:lastRenderedPageBreak/>
        <w:t>13 (Buyer data)</w:t>
      </w:r>
    </w:p>
    <w:p w14:paraId="65B6ABA3" w14:textId="77777777" w:rsidR="00150309" w:rsidRDefault="00150309" w:rsidP="00A845D6">
      <w:pPr>
        <w:pStyle w:val="ListParagraph"/>
        <w:numPr>
          <w:ilvl w:val="1"/>
          <w:numId w:val="4"/>
        </w:numPr>
      </w:pPr>
      <w:r>
        <w:t>19 (Consequences of suspension, ending and expiry)</w:t>
      </w:r>
    </w:p>
    <w:p w14:paraId="2BE370FF" w14:textId="77777777" w:rsidR="00150309" w:rsidRDefault="00150309" w:rsidP="00A845D6">
      <w:pPr>
        <w:pStyle w:val="ListParagraph"/>
        <w:numPr>
          <w:ilvl w:val="1"/>
          <w:numId w:val="4"/>
        </w:numPr>
      </w:pPr>
      <w:r>
        <w:t>24 (Liability); incorporated Framework Agreement clauses: 4.2 to 4.7 (Liability)</w:t>
      </w:r>
    </w:p>
    <w:p w14:paraId="4F72A5E0" w14:textId="77777777" w:rsidR="00150309" w:rsidRDefault="00150309" w:rsidP="00A845D6">
      <w:pPr>
        <w:pStyle w:val="ListParagraph"/>
        <w:numPr>
          <w:ilvl w:val="1"/>
          <w:numId w:val="4"/>
        </w:numPr>
      </w:pPr>
      <w:r>
        <w:t>8.44 to 8.50 (Conflicts of interest and ethical walls)</w:t>
      </w:r>
    </w:p>
    <w:p w14:paraId="7C5267E6" w14:textId="77777777" w:rsidR="00150309" w:rsidRDefault="00150309" w:rsidP="00A845D6">
      <w:pPr>
        <w:pStyle w:val="ListParagraph"/>
        <w:numPr>
          <w:ilvl w:val="1"/>
          <w:numId w:val="4"/>
        </w:numPr>
      </w:pPr>
      <w:r>
        <w:t>8.89 to 8.90 (Waiver and cumulative remedies)</w:t>
      </w:r>
    </w:p>
    <w:p w14:paraId="0068E77B" w14:textId="77777777" w:rsidR="00150309" w:rsidRDefault="00150309">
      <w:pPr>
        <w:ind w:firstLine="720"/>
      </w:pPr>
    </w:p>
    <w:p w14:paraId="53851626" w14:textId="77777777" w:rsidR="00150309" w:rsidRDefault="00150309">
      <w:pPr>
        <w:ind w:left="1440" w:hanging="720"/>
      </w:pPr>
      <w:r>
        <w:t>19.4.4</w:t>
      </w:r>
      <w:r>
        <w:tab/>
        <w:t>any other provision of the Framework Agreement or this Call-Off Contract which expressly or by implication is in force even if it Ends or expires</w:t>
      </w:r>
    </w:p>
    <w:p w14:paraId="33AFA00D" w14:textId="77777777" w:rsidR="00150309" w:rsidRDefault="00150309">
      <w:r>
        <w:t xml:space="preserve"> </w:t>
      </w:r>
    </w:p>
    <w:p w14:paraId="739BD854" w14:textId="77777777" w:rsidR="00150309" w:rsidRDefault="00150309">
      <w:r>
        <w:t>19.5</w:t>
      </w:r>
      <w:r>
        <w:tab/>
        <w:t>At the end of the Call-Off Contract Term, the Supplier must promptly:</w:t>
      </w:r>
    </w:p>
    <w:p w14:paraId="3CC704E7" w14:textId="77777777" w:rsidR="00150309" w:rsidRDefault="00150309"/>
    <w:p w14:paraId="3A13EB75" w14:textId="77777777" w:rsidR="00150309" w:rsidRDefault="00150309">
      <w:pPr>
        <w:ind w:left="1440" w:hanging="720"/>
      </w:pPr>
      <w:r>
        <w:t>19.5.1</w:t>
      </w:r>
      <w:r>
        <w:tab/>
        <w:t>return all Buyer Data including all copies of Buyer software, code and any other software licensed by the Buyer to the Supplier under it</w:t>
      </w:r>
    </w:p>
    <w:p w14:paraId="293CC3AB" w14:textId="77777777" w:rsidR="00150309" w:rsidRDefault="00150309">
      <w:pPr>
        <w:ind w:firstLine="720"/>
      </w:pPr>
    </w:p>
    <w:p w14:paraId="1B2B3AA2" w14:textId="77777777" w:rsidR="00150309" w:rsidRDefault="00150309">
      <w:pPr>
        <w:ind w:left="1440" w:hanging="720"/>
      </w:pPr>
      <w:r>
        <w:t>19.5.2</w:t>
      </w:r>
      <w:r>
        <w:tab/>
        <w:t>return any materials created by the Supplier under this Call-Off Contract if the IPRs are owned by the Buyer</w:t>
      </w:r>
    </w:p>
    <w:p w14:paraId="64752594" w14:textId="77777777" w:rsidR="00150309" w:rsidRDefault="00150309">
      <w:pPr>
        <w:ind w:firstLine="720"/>
      </w:pPr>
    </w:p>
    <w:p w14:paraId="7D2F789A" w14:textId="77777777" w:rsidR="00150309" w:rsidRDefault="00150309">
      <w:pPr>
        <w:ind w:left="1440" w:hanging="720"/>
      </w:pPr>
      <w:r>
        <w:t>19.5.3</w:t>
      </w:r>
      <w:r>
        <w:tab/>
        <w:t>stop using the Buyer Data and, at the direction of the Buyer, provide the Buyer with a complete and uncorrupted version in electronic form in the formats and on media agreed with the Buyer</w:t>
      </w:r>
    </w:p>
    <w:p w14:paraId="2132A3FC" w14:textId="77777777" w:rsidR="00150309" w:rsidRDefault="00150309">
      <w:pPr>
        <w:ind w:firstLine="720"/>
      </w:pPr>
    </w:p>
    <w:p w14:paraId="2EC9ADB9" w14:textId="77777777" w:rsidR="00150309" w:rsidRDefault="00150309">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A1A6E5F" w14:textId="77777777" w:rsidR="00150309" w:rsidRDefault="00150309">
      <w:pPr>
        <w:ind w:left="720"/>
      </w:pPr>
    </w:p>
    <w:p w14:paraId="3308F606" w14:textId="77777777" w:rsidR="00150309" w:rsidRDefault="00150309">
      <w:pPr>
        <w:ind w:firstLine="720"/>
      </w:pPr>
      <w:r>
        <w:t>19.5.5</w:t>
      </w:r>
      <w:r>
        <w:tab/>
        <w:t>work with the Buyer on any ongoing work</w:t>
      </w:r>
    </w:p>
    <w:p w14:paraId="79D310E7" w14:textId="77777777" w:rsidR="00150309" w:rsidRDefault="00150309"/>
    <w:p w14:paraId="313C6E1F" w14:textId="77777777" w:rsidR="00150309" w:rsidRDefault="00150309">
      <w:pPr>
        <w:ind w:left="1440" w:hanging="720"/>
      </w:pPr>
      <w:r>
        <w:t>19.5.6</w:t>
      </w:r>
      <w:r>
        <w:tab/>
        <w:t>return any sums prepaid for Services which have not been delivered to the Buyer, within 10 Working Days of the End or Expiry Date</w:t>
      </w:r>
    </w:p>
    <w:p w14:paraId="76596D01" w14:textId="77777777" w:rsidR="00150309" w:rsidRDefault="00150309">
      <w:pPr>
        <w:ind w:firstLine="720"/>
      </w:pPr>
    </w:p>
    <w:p w14:paraId="5FB7C615" w14:textId="77777777" w:rsidR="00150309" w:rsidRDefault="00150309"/>
    <w:p w14:paraId="2837043F" w14:textId="77777777" w:rsidR="00150309" w:rsidRDefault="00150309">
      <w:pPr>
        <w:ind w:left="720" w:hanging="720"/>
      </w:pPr>
      <w:r>
        <w:t>19.6</w:t>
      </w:r>
      <w:r>
        <w:tab/>
        <w:t>Each Party will return all of the other Party’s Confidential Information and confirm this has been done, unless there is a legal requirement to keep it or this Call-Off Contract states otherwise.</w:t>
      </w:r>
    </w:p>
    <w:p w14:paraId="61AABEF3" w14:textId="77777777" w:rsidR="00150309" w:rsidRDefault="00150309">
      <w:pPr>
        <w:ind w:left="720"/>
      </w:pPr>
    </w:p>
    <w:p w14:paraId="6E6C56DA" w14:textId="77777777" w:rsidR="00150309" w:rsidRDefault="00150309">
      <w:pPr>
        <w:ind w:left="720" w:hanging="720"/>
      </w:pPr>
      <w:r>
        <w:lastRenderedPageBreak/>
        <w:t>19.7</w:t>
      </w:r>
      <w:r>
        <w:tab/>
        <w:t>All licences, leases and authorisations granted by the Buyer to the Supplier will cease at the end of the Call-Off Contract Term without the need for the Buyer to serve notice except if this Call-Off Contract states otherwise.</w:t>
      </w:r>
    </w:p>
    <w:p w14:paraId="4D4CDC96" w14:textId="77777777" w:rsidR="00150309" w:rsidRDefault="00150309"/>
    <w:p w14:paraId="18B735D8" w14:textId="77777777" w:rsidR="00150309" w:rsidRDefault="00150309">
      <w:pPr>
        <w:pStyle w:val="Heading3"/>
      </w:pPr>
      <w:r>
        <w:t>20.</w:t>
      </w:r>
      <w:r>
        <w:tab/>
        <w:t>Notices</w:t>
      </w:r>
    </w:p>
    <w:p w14:paraId="479960A8" w14:textId="77777777" w:rsidR="00150309" w:rsidRDefault="00150309">
      <w:pPr>
        <w:ind w:left="720" w:hanging="720"/>
      </w:pPr>
      <w:r>
        <w:t>20.1</w:t>
      </w:r>
      <w:r>
        <w:tab/>
        <w:t>Any notices sent must be in writing. For the purpose of this clause, an email is accepted as being 'in writing'.</w:t>
      </w:r>
    </w:p>
    <w:p w14:paraId="621DE7EB" w14:textId="77777777" w:rsidR="00150309" w:rsidRDefault="00150309">
      <w:pPr>
        <w:ind w:left="720" w:hanging="720"/>
      </w:pPr>
    </w:p>
    <w:p w14:paraId="305708E0" w14:textId="77777777" w:rsidR="00150309" w:rsidRDefault="00150309" w:rsidP="00A845D6">
      <w:pPr>
        <w:pStyle w:val="ListParagraph"/>
        <w:numPr>
          <w:ilvl w:val="0"/>
          <w:numId w:val="5"/>
        </w:numPr>
        <w:spacing w:after="120" w:line="360" w:lineRule="auto"/>
      </w:pPr>
      <w:r>
        <w:t>Manner of delivery: email</w:t>
      </w:r>
    </w:p>
    <w:p w14:paraId="15FC3F70" w14:textId="77777777" w:rsidR="00150309" w:rsidRDefault="00150309" w:rsidP="00A845D6">
      <w:pPr>
        <w:pStyle w:val="ListParagraph"/>
        <w:numPr>
          <w:ilvl w:val="0"/>
          <w:numId w:val="5"/>
        </w:numPr>
        <w:spacing w:line="360" w:lineRule="auto"/>
      </w:pPr>
      <w:r>
        <w:t>Deemed time of delivery: 9am on the first Working Day after sending</w:t>
      </w:r>
    </w:p>
    <w:p w14:paraId="091A58CC" w14:textId="77777777" w:rsidR="00150309" w:rsidRDefault="00150309" w:rsidP="00A845D6">
      <w:pPr>
        <w:pStyle w:val="ListParagraph"/>
        <w:numPr>
          <w:ilvl w:val="0"/>
          <w:numId w:val="5"/>
        </w:numPr>
      </w:pPr>
      <w:r>
        <w:t>Proof of service: Sent in an emailed letter in PDF format to the correct email address without any error message</w:t>
      </w:r>
    </w:p>
    <w:p w14:paraId="52CD4AEC" w14:textId="77777777" w:rsidR="00150309" w:rsidRDefault="00150309"/>
    <w:p w14:paraId="28C01E25" w14:textId="77777777" w:rsidR="00150309" w:rsidRDefault="00150309">
      <w:pPr>
        <w:ind w:left="720" w:hanging="720"/>
      </w:pPr>
      <w:r>
        <w:t>20.2</w:t>
      </w:r>
      <w:r>
        <w:tab/>
        <w:t>This clause does not apply to any legal action or other method of dispute resolution which should be sent to the addresses in the Order Form (other than a dispute notice under this Call-Off Contract).</w:t>
      </w:r>
    </w:p>
    <w:p w14:paraId="6D51462F" w14:textId="77777777" w:rsidR="00150309" w:rsidRDefault="00150309">
      <w:pPr>
        <w:spacing w:before="240" w:after="240"/>
        <w:ind w:left="720"/>
      </w:pPr>
    </w:p>
    <w:p w14:paraId="61FE639F" w14:textId="77777777" w:rsidR="00150309" w:rsidRDefault="00150309">
      <w:pPr>
        <w:pStyle w:val="Heading3"/>
      </w:pPr>
      <w:r>
        <w:t>21.</w:t>
      </w:r>
      <w:r>
        <w:tab/>
        <w:t>Exit plan</w:t>
      </w:r>
    </w:p>
    <w:p w14:paraId="7740AFFD" w14:textId="77777777" w:rsidR="00150309" w:rsidRDefault="00150309">
      <w:pPr>
        <w:ind w:left="720" w:hanging="720"/>
      </w:pPr>
      <w:r>
        <w:t>21.1</w:t>
      </w:r>
      <w:r>
        <w:tab/>
        <w:t>The Supplier must provide an exit plan in its Application which ensures continuity of service and the Supplier will follow it.</w:t>
      </w:r>
    </w:p>
    <w:p w14:paraId="07AC65F7" w14:textId="77777777" w:rsidR="00150309" w:rsidRDefault="00150309">
      <w:pPr>
        <w:ind w:firstLine="720"/>
      </w:pPr>
    </w:p>
    <w:p w14:paraId="7BD05B51" w14:textId="77777777" w:rsidR="00150309" w:rsidRDefault="00150309">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34C212D" w14:textId="77777777" w:rsidR="00150309" w:rsidRDefault="00150309">
      <w:pPr>
        <w:ind w:left="720"/>
      </w:pPr>
    </w:p>
    <w:p w14:paraId="1AA15A72" w14:textId="77777777" w:rsidR="00150309" w:rsidRDefault="00150309">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B178981" w14:textId="77777777" w:rsidR="00150309" w:rsidRDefault="00150309">
      <w:pPr>
        <w:ind w:left="720"/>
      </w:pPr>
    </w:p>
    <w:p w14:paraId="1102EC4A" w14:textId="77777777" w:rsidR="00150309" w:rsidRDefault="00150309">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82F7EDE" w14:textId="77777777" w:rsidR="00150309" w:rsidRDefault="00150309">
      <w:pPr>
        <w:ind w:left="720"/>
      </w:pPr>
    </w:p>
    <w:p w14:paraId="1122D608" w14:textId="77777777" w:rsidR="00150309" w:rsidRDefault="00150309">
      <w:pPr>
        <w:ind w:left="720" w:hanging="720"/>
      </w:pPr>
      <w:r>
        <w:lastRenderedPageBreak/>
        <w:t>21.5</w:t>
      </w:r>
      <w:r>
        <w:tab/>
        <w:t>Before submitting the additional exit plan to the Buyer for approval, the Supplier will work with the Buyer to ensure that the additional exit plan is aligned with the Buyer’s own exit plan and strategy.</w:t>
      </w:r>
    </w:p>
    <w:p w14:paraId="00799A0C" w14:textId="77777777" w:rsidR="00150309" w:rsidRDefault="00150309">
      <w:pPr>
        <w:ind w:left="720"/>
      </w:pPr>
    </w:p>
    <w:p w14:paraId="5417671F" w14:textId="77777777" w:rsidR="00150309" w:rsidRDefault="00150309">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0DBE2E9" w14:textId="77777777" w:rsidR="00150309" w:rsidRDefault="00150309">
      <w:pPr>
        <w:ind w:left="720"/>
      </w:pPr>
    </w:p>
    <w:p w14:paraId="2E9CD0FF" w14:textId="77777777" w:rsidR="00150309" w:rsidRDefault="00150309">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10AA3FF" w14:textId="77777777" w:rsidR="00150309" w:rsidRDefault="00150309"/>
    <w:p w14:paraId="204253EB" w14:textId="77777777" w:rsidR="00150309" w:rsidRDefault="00150309">
      <w:pPr>
        <w:ind w:firstLine="720"/>
      </w:pPr>
      <w:r>
        <w:t>21.6.2</w:t>
      </w:r>
      <w:r>
        <w:tab/>
        <w:t>there will be no adverse impact on service continuity</w:t>
      </w:r>
    </w:p>
    <w:p w14:paraId="2B9A0F87" w14:textId="77777777" w:rsidR="00150309" w:rsidRDefault="00150309">
      <w:pPr>
        <w:ind w:firstLine="720"/>
      </w:pPr>
    </w:p>
    <w:p w14:paraId="50526783" w14:textId="77777777" w:rsidR="00150309" w:rsidRDefault="00150309">
      <w:pPr>
        <w:ind w:firstLine="720"/>
      </w:pPr>
      <w:r>
        <w:t>21.6.3</w:t>
      </w:r>
      <w:r>
        <w:tab/>
        <w:t>there is no vendor lock-in to the Supplier’s Service at exit</w:t>
      </w:r>
    </w:p>
    <w:p w14:paraId="0459F2A5" w14:textId="77777777" w:rsidR="00150309" w:rsidRDefault="00150309"/>
    <w:p w14:paraId="09BE668E" w14:textId="77777777" w:rsidR="00150309" w:rsidRDefault="00150309">
      <w:pPr>
        <w:ind w:firstLine="720"/>
      </w:pPr>
      <w:r>
        <w:t>21.6.4</w:t>
      </w:r>
      <w:r>
        <w:tab/>
        <w:t>it enables the Buyer to meet its obligations under the Technology Code Of Practice</w:t>
      </w:r>
    </w:p>
    <w:p w14:paraId="68711B6B" w14:textId="77777777" w:rsidR="00150309" w:rsidRDefault="00150309">
      <w:pPr>
        <w:ind w:left="720" w:firstLine="720"/>
      </w:pPr>
    </w:p>
    <w:p w14:paraId="5635BCCC" w14:textId="77777777" w:rsidR="00150309" w:rsidRDefault="00150309">
      <w:pPr>
        <w:ind w:left="720" w:hanging="720"/>
      </w:pPr>
      <w:r>
        <w:t>21.7</w:t>
      </w:r>
      <w:r>
        <w:tab/>
        <w:t>If approval is obtained by the Buyer to extend the Term, then the Supplier will comply with its obligations in the additional exit plan.</w:t>
      </w:r>
    </w:p>
    <w:p w14:paraId="6698D1A6" w14:textId="77777777" w:rsidR="00150309" w:rsidRDefault="00150309">
      <w:pPr>
        <w:ind w:firstLine="720"/>
      </w:pPr>
    </w:p>
    <w:p w14:paraId="0FAFAA98" w14:textId="77777777" w:rsidR="00150309" w:rsidRDefault="00150309">
      <w:pPr>
        <w:ind w:left="720" w:hanging="720"/>
      </w:pPr>
      <w:r>
        <w:t>21.8</w:t>
      </w:r>
      <w:r>
        <w:tab/>
        <w:t>The additional exit plan must set out full details of timescales, activities and roles and responsibilities of the Parties for:</w:t>
      </w:r>
    </w:p>
    <w:p w14:paraId="6130422A" w14:textId="77777777" w:rsidR="00150309" w:rsidRDefault="00150309">
      <w:pPr>
        <w:ind w:firstLine="720"/>
      </w:pPr>
    </w:p>
    <w:p w14:paraId="136720E6" w14:textId="77777777" w:rsidR="00150309" w:rsidRDefault="00150309">
      <w:pPr>
        <w:ind w:left="1440" w:hanging="720"/>
      </w:pPr>
      <w:r>
        <w:t>21.8.1</w:t>
      </w:r>
      <w:r>
        <w:tab/>
        <w:t>the transfer to the Buyer of any technical information, instructions, manuals and code reasonably required by the Buyer to enable a smooth migration from the Supplier</w:t>
      </w:r>
    </w:p>
    <w:p w14:paraId="7665D0A6" w14:textId="77777777" w:rsidR="00150309" w:rsidRDefault="00150309">
      <w:pPr>
        <w:ind w:left="1440"/>
      </w:pPr>
    </w:p>
    <w:p w14:paraId="3B0259E1" w14:textId="77777777" w:rsidR="00150309" w:rsidRDefault="00150309">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43EE407" w14:textId="77777777" w:rsidR="00150309" w:rsidRDefault="00150309">
      <w:pPr>
        <w:ind w:left="1440"/>
      </w:pPr>
    </w:p>
    <w:p w14:paraId="5BBED1D5" w14:textId="77777777" w:rsidR="00150309" w:rsidRDefault="00150309">
      <w:pPr>
        <w:ind w:left="1440" w:hanging="720"/>
      </w:pPr>
      <w:r>
        <w:t>21.8.3</w:t>
      </w:r>
      <w:r>
        <w:tab/>
        <w:t>the transfer of Project Specific IPR items and other Buyer customisations, configurations and databases to the Buyer or a replacement supplier</w:t>
      </w:r>
    </w:p>
    <w:p w14:paraId="4284CACB" w14:textId="77777777" w:rsidR="00150309" w:rsidRDefault="00150309">
      <w:pPr>
        <w:ind w:left="720" w:firstLine="720"/>
      </w:pPr>
    </w:p>
    <w:p w14:paraId="7B64B598" w14:textId="77777777" w:rsidR="00150309" w:rsidRDefault="00150309">
      <w:pPr>
        <w:ind w:firstLine="720"/>
      </w:pPr>
      <w:r>
        <w:t>21.8.4</w:t>
      </w:r>
      <w:r>
        <w:tab/>
        <w:t>the testing and assurance strategy for exported Buyer Data</w:t>
      </w:r>
    </w:p>
    <w:p w14:paraId="61977EFA" w14:textId="77777777" w:rsidR="00150309" w:rsidRDefault="00150309">
      <w:pPr>
        <w:ind w:firstLine="720"/>
      </w:pPr>
    </w:p>
    <w:p w14:paraId="0BEF3948" w14:textId="77777777" w:rsidR="00150309" w:rsidRDefault="00150309">
      <w:pPr>
        <w:ind w:firstLine="720"/>
      </w:pPr>
      <w:r>
        <w:t>21.8.5</w:t>
      </w:r>
      <w:r>
        <w:tab/>
        <w:t>if relevant, TUPE-related activity to comply with the TUPE regulations</w:t>
      </w:r>
    </w:p>
    <w:p w14:paraId="73752751" w14:textId="77777777" w:rsidR="00150309" w:rsidRDefault="00150309">
      <w:pPr>
        <w:ind w:firstLine="720"/>
      </w:pPr>
    </w:p>
    <w:p w14:paraId="7072360D" w14:textId="77777777" w:rsidR="00150309" w:rsidRDefault="00150309">
      <w:pPr>
        <w:ind w:left="1440" w:hanging="720"/>
      </w:pPr>
      <w:r>
        <w:t>21.8.6</w:t>
      </w:r>
      <w:r>
        <w:tab/>
        <w:t>any other activities and information which is reasonably required to ensure continuity of Service during the exit period and an orderly transition</w:t>
      </w:r>
    </w:p>
    <w:p w14:paraId="689072A7" w14:textId="77777777" w:rsidR="00150309" w:rsidRDefault="00150309"/>
    <w:p w14:paraId="088B5A19" w14:textId="77777777" w:rsidR="00150309" w:rsidRDefault="00150309">
      <w:pPr>
        <w:pStyle w:val="Heading3"/>
      </w:pPr>
      <w:r>
        <w:t>22.</w:t>
      </w:r>
      <w:r>
        <w:tab/>
        <w:t>Handover to replacement supplier</w:t>
      </w:r>
    </w:p>
    <w:p w14:paraId="650C13FF" w14:textId="77777777" w:rsidR="00150309" w:rsidRDefault="00150309">
      <w:pPr>
        <w:ind w:left="720" w:hanging="720"/>
      </w:pPr>
      <w:r>
        <w:t>22.1</w:t>
      </w:r>
      <w:r>
        <w:tab/>
        <w:t>At least 10 Working Days before the Expiry Date or End Date, the Supplier must provide any:</w:t>
      </w:r>
    </w:p>
    <w:p w14:paraId="1B681034" w14:textId="77777777" w:rsidR="00150309" w:rsidRDefault="00150309">
      <w:pPr>
        <w:ind w:firstLine="720"/>
      </w:pPr>
    </w:p>
    <w:p w14:paraId="02426A52" w14:textId="77777777" w:rsidR="00150309" w:rsidRDefault="00150309">
      <w:pPr>
        <w:ind w:left="1440" w:hanging="720"/>
      </w:pPr>
      <w:r>
        <w:t>22.1.1</w:t>
      </w:r>
      <w:r>
        <w:tab/>
        <w:t>data (including Buyer Data), Buyer Personal Data and Buyer Confidential Information in the Supplier’s possession, power or control</w:t>
      </w:r>
    </w:p>
    <w:p w14:paraId="48F56D95" w14:textId="77777777" w:rsidR="00150309" w:rsidRDefault="00150309">
      <w:pPr>
        <w:ind w:left="720" w:firstLine="720"/>
      </w:pPr>
    </w:p>
    <w:p w14:paraId="0A79C3E7" w14:textId="77777777" w:rsidR="00150309" w:rsidRDefault="00150309">
      <w:pPr>
        <w:ind w:firstLine="720"/>
      </w:pPr>
      <w:r>
        <w:t>22.1.2</w:t>
      </w:r>
      <w:r>
        <w:tab/>
        <w:t>other information reasonably requested by the Buyer</w:t>
      </w:r>
    </w:p>
    <w:p w14:paraId="7C5D2611" w14:textId="77777777" w:rsidR="00150309" w:rsidRDefault="00150309">
      <w:pPr>
        <w:ind w:firstLine="720"/>
      </w:pPr>
    </w:p>
    <w:p w14:paraId="1C8A6060" w14:textId="77777777" w:rsidR="00150309" w:rsidRDefault="00150309">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3A002A5" w14:textId="77777777" w:rsidR="00150309" w:rsidRDefault="00150309">
      <w:pPr>
        <w:ind w:left="720"/>
      </w:pPr>
    </w:p>
    <w:p w14:paraId="2C921729" w14:textId="77777777" w:rsidR="00150309" w:rsidRDefault="00150309">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B8F419A" w14:textId="77777777" w:rsidR="00150309" w:rsidRDefault="00150309">
      <w:pPr>
        <w:ind w:left="720"/>
      </w:pPr>
    </w:p>
    <w:p w14:paraId="41D4BC9D" w14:textId="77777777" w:rsidR="00150309" w:rsidRDefault="00150309">
      <w:pPr>
        <w:pStyle w:val="Heading3"/>
      </w:pPr>
      <w:r>
        <w:t>23.</w:t>
      </w:r>
      <w:r>
        <w:tab/>
        <w:t>Force majeure</w:t>
      </w:r>
    </w:p>
    <w:p w14:paraId="19549CB1" w14:textId="77777777" w:rsidR="00150309" w:rsidRDefault="00150309">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0BFAFB" w14:textId="77777777" w:rsidR="00150309" w:rsidRDefault="00150309">
      <w:pPr>
        <w:ind w:left="720" w:hanging="720"/>
      </w:pPr>
    </w:p>
    <w:p w14:paraId="0CA8505E" w14:textId="77777777" w:rsidR="00150309" w:rsidRDefault="00150309">
      <w:pPr>
        <w:pStyle w:val="Heading3"/>
      </w:pPr>
      <w:r>
        <w:lastRenderedPageBreak/>
        <w:t>24.</w:t>
      </w:r>
      <w:r>
        <w:tab/>
        <w:t>Liability</w:t>
      </w:r>
    </w:p>
    <w:p w14:paraId="301FF02E" w14:textId="77777777" w:rsidR="00150309" w:rsidRDefault="00150309">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44DD9DE" w14:textId="77777777" w:rsidR="00150309" w:rsidRDefault="00150309">
      <w:pPr>
        <w:ind w:left="720"/>
      </w:pPr>
    </w:p>
    <w:p w14:paraId="49AC0C97" w14:textId="77777777" w:rsidR="00150309" w:rsidRDefault="00150309">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86BC8C1" w14:textId="77777777" w:rsidR="00150309" w:rsidRDefault="00150309">
      <w:pPr>
        <w:ind w:left="1440"/>
      </w:pPr>
    </w:p>
    <w:p w14:paraId="0A019465" w14:textId="77777777" w:rsidR="00150309" w:rsidRDefault="00150309">
      <w:pPr>
        <w:ind w:left="1440" w:hanging="720"/>
      </w:pPr>
      <w:r>
        <w:t>24.1.2</w:t>
      </w:r>
      <w:r>
        <w:tab/>
        <w:t>Buyer Data: for all Defaults by the Supplier resulting in direct loss, destruction, corruption, degradation or damage to any Buyer Data, will not exceed the amount in the Order Form</w:t>
      </w:r>
    </w:p>
    <w:p w14:paraId="79A698F7" w14:textId="77777777" w:rsidR="00150309" w:rsidRDefault="00150309">
      <w:pPr>
        <w:ind w:left="1440"/>
      </w:pPr>
    </w:p>
    <w:p w14:paraId="0747375E" w14:textId="77777777" w:rsidR="00150309" w:rsidRDefault="00150309">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223B989" w14:textId="77777777" w:rsidR="00150309" w:rsidRDefault="00150309">
      <w:pPr>
        <w:spacing w:before="240" w:after="240"/>
      </w:pPr>
    </w:p>
    <w:p w14:paraId="3F9192F0" w14:textId="77777777" w:rsidR="00150309" w:rsidRDefault="00150309">
      <w:pPr>
        <w:pStyle w:val="Heading3"/>
      </w:pPr>
      <w:r>
        <w:t>25.</w:t>
      </w:r>
      <w:r>
        <w:tab/>
        <w:t>Premises</w:t>
      </w:r>
    </w:p>
    <w:p w14:paraId="4EBED6AE" w14:textId="77777777" w:rsidR="00150309" w:rsidRDefault="00150309">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A3EB4B8" w14:textId="77777777" w:rsidR="00150309" w:rsidRDefault="00150309">
      <w:pPr>
        <w:ind w:left="720"/>
      </w:pPr>
    </w:p>
    <w:p w14:paraId="22A7B2B7" w14:textId="77777777" w:rsidR="00150309" w:rsidRDefault="00150309">
      <w:pPr>
        <w:ind w:left="720" w:hanging="720"/>
      </w:pPr>
      <w:r>
        <w:t>25.2</w:t>
      </w:r>
      <w:r>
        <w:tab/>
        <w:t>The Supplier will use the Buyer’s premises solely for the performance of its obligations under this Call-Off Contract.</w:t>
      </w:r>
    </w:p>
    <w:p w14:paraId="167FCEFB" w14:textId="77777777" w:rsidR="00150309" w:rsidRDefault="00150309">
      <w:pPr>
        <w:ind w:firstLine="720"/>
      </w:pPr>
    </w:p>
    <w:p w14:paraId="40342503" w14:textId="77777777" w:rsidR="00150309" w:rsidRDefault="00150309">
      <w:r>
        <w:t>25.3</w:t>
      </w:r>
      <w:r>
        <w:tab/>
        <w:t>The Supplier will vacate the Buyer’s premises when the Call-Off Contract Ends or expires.</w:t>
      </w:r>
    </w:p>
    <w:p w14:paraId="2B7CB5EA" w14:textId="77777777" w:rsidR="00150309" w:rsidRDefault="00150309">
      <w:pPr>
        <w:ind w:firstLine="720"/>
      </w:pPr>
    </w:p>
    <w:p w14:paraId="6A5B92F8" w14:textId="77777777" w:rsidR="00150309" w:rsidRDefault="00150309">
      <w:r>
        <w:t>25.4</w:t>
      </w:r>
      <w:r>
        <w:tab/>
        <w:t>This clause does not create a tenancy or exclusive right of occupation.</w:t>
      </w:r>
    </w:p>
    <w:p w14:paraId="56222070" w14:textId="77777777" w:rsidR="00150309" w:rsidRDefault="00150309"/>
    <w:p w14:paraId="76435B8D" w14:textId="77777777" w:rsidR="00150309" w:rsidRDefault="00150309">
      <w:r>
        <w:t>25.5</w:t>
      </w:r>
      <w:r>
        <w:tab/>
        <w:t>While on the Buyer’s premises, the Supplier will:</w:t>
      </w:r>
    </w:p>
    <w:p w14:paraId="111C1B86" w14:textId="77777777" w:rsidR="00150309" w:rsidRDefault="00150309"/>
    <w:p w14:paraId="7E589B59" w14:textId="77777777" w:rsidR="00150309" w:rsidRDefault="00150309">
      <w:pPr>
        <w:ind w:left="1440" w:hanging="720"/>
      </w:pPr>
      <w:r>
        <w:t>25.5.1</w:t>
      </w:r>
      <w:r>
        <w:tab/>
        <w:t>comply with any security requirements at the premises and not do anything to weaken the security of the premises</w:t>
      </w:r>
    </w:p>
    <w:p w14:paraId="284CA3F6" w14:textId="77777777" w:rsidR="00150309" w:rsidRDefault="00150309">
      <w:pPr>
        <w:ind w:left="720"/>
      </w:pPr>
    </w:p>
    <w:p w14:paraId="1F3AED4F" w14:textId="77777777" w:rsidR="00150309" w:rsidRDefault="00150309">
      <w:pPr>
        <w:ind w:firstLine="720"/>
      </w:pPr>
      <w:r>
        <w:t>25.5.2</w:t>
      </w:r>
      <w:r>
        <w:tab/>
        <w:t>comply with Buyer requirements for the conduct of personnel</w:t>
      </w:r>
    </w:p>
    <w:p w14:paraId="32AEBA7B" w14:textId="77777777" w:rsidR="00150309" w:rsidRDefault="00150309">
      <w:pPr>
        <w:ind w:firstLine="720"/>
      </w:pPr>
    </w:p>
    <w:p w14:paraId="7434BECC" w14:textId="77777777" w:rsidR="00150309" w:rsidRDefault="00150309">
      <w:pPr>
        <w:ind w:firstLine="720"/>
      </w:pPr>
      <w:r>
        <w:t>25.5.3</w:t>
      </w:r>
      <w:r>
        <w:tab/>
        <w:t>comply with any health and safety measures implemented by the Buyer</w:t>
      </w:r>
    </w:p>
    <w:p w14:paraId="26888834" w14:textId="77777777" w:rsidR="00150309" w:rsidRDefault="00150309">
      <w:pPr>
        <w:ind w:firstLine="720"/>
      </w:pPr>
    </w:p>
    <w:p w14:paraId="5EDE028A" w14:textId="77777777" w:rsidR="00150309" w:rsidRDefault="00150309">
      <w:pPr>
        <w:ind w:left="1440" w:hanging="720"/>
      </w:pPr>
      <w:r>
        <w:t>25.5.4</w:t>
      </w:r>
      <w:r>
        <w:tab/>
        <w:t>immediately notify the Buyer of any incident on the premises that causes any damage to Property which could cause personal injury</w:t>
      </w:r>
    </w:p>
    <w:p w14:paraId="06144533" w14:textId="77777777" w:rsidR="00150309" w:rsidRDefault="00150309">
      <w:pPr>
        <w:ind w:left="720" w:firstLine="720"/>
      </w:pPr>
    </w:p>
    <w:p w14:paraId="52AF5991" w14:textId="77777777" w:rsidR="00150309" w:rsidRDefault="00150309">
      <w:pPr>
        <w:ind w:left="720" w:hanging="720"/>
      </w:pPr>
      <w:r>
        <w:t>25.6</w:t>
      </w:r>
      <w:r>
        <w:tab/>
        <w:t>The Supplier will ensure that its health and safety policy statement (as required by the Health and Safety at Work etc Act 1974) is made available to the Buyer on request.</w:t>
      </w:r>
    </w:p>
    <w:p w14:paraId="2C0BF7AE" w14:textId="77777777" w:rsidR="00150309" w:rsidRDefault="00150309">
      <w:pPr>
        <w:ind w:left="720" w:hanging="720"/>
      </w:pPr>
    </w:p>
    <w:p w14:paraId="6229862E" w14:textId="77777777" w:rsidR="00150309" w:rsidRDefault="00150309">
      <w:pPr>
        <w:pStyle w:val="Heading3"/>
      </w:pPr>
      <w:r>
        <w:t>26.</w:t>
      </w:r>
      <w:r>
        <w:tab/>
        <w:t>Equipment</w:t>
      </w:r>
    </w:p>
    <w:p w14:paraId="6E0D86D9" w14:textId="77777777" w:rsidR="00150309" w:rsidRDefault="00150309">
      <w:pPr>
        <w:spacing w:before="240" w:after="240"/>
      </w:pPr>
      <w:r>
        <w:t>26.1</w:t>
      </w:r>
      <w:r>
        <w:tab/>
        <w:t>The Supplier is responsible for providing any Equipment which the Supplier requires to provide the Services.</w:t>
      </w:r>
    </w:p>
    <w:p w14:paraId="17FB2181" w14:textId="77777777" w:rsidR="00150309" w:rsidRDefault="00150309">
      <w:pPr>
        <w:ind w:firstLine="720"/>
      </w:pPr>
    </w:p>
    <w:p w14:paraId="18411048" w14:textId="77777777" w:rsidR="00150309" w:rsidRDefault="00150309">
      <w:pPr>
        <w:ind w:left="720" w:hanging="720"/>
      </w:pPr>
      <w:r>
        <w:t>26.2</w:t>
      </w:r>
      <w:r>
        <w:tab/>
        <w:t>Any Equipment brought onto the premises will be at the Supplier's own risk and the Buyer will have no liability for any loss of, or damage to, any Equipment.</w:t>
      </w:r>
    </w:p>
    <w:p w14:paraId="131A5966" w14:textId="77777777" w:rsidR="00150309" w:rsidRDefault="00150309">
      <w:pPr>
        <w:ind w:firstLine="720"/>
      </w:pPr>
    </w:p>
    <w:p w14:paraId="74E45D37" w14:textId="77777777" w:rsidR="00150309" w:rsidRDefault="00150309">
      <w:pPr>
        <w:ind w:left="720" w:hanging="720"/>
      </w:pPr>
      <w:r>
        <w:t>26.3</w:t>
      </w:r>
      <w:r>
        <w:tab/>
        <w:t>When the Call-Off Contract Ends or expires, the Supplier will remove the Equipment and any other materials leaving the premises in a safe and clean condition.</w:t>
      </w:r>
    </w:p>
    <w:p w14:paraId="77D90BE6" w14:textId="77777777" w:rsidR="00150309" w:rsidRDefault="00150309">
      <w:pPr>
        <w:ind w:left="720" w:hanging="720"/>
      </w:pPr>
    </w:p>
    <w:p w14:paraId="5CAA7FBF" w14:textId="77777777" w:rsidR="00150309" w:rsidRDefault="00150309">
      <w:pPr>
        <w:pStyle w:val="Heading3"/>
      </w:pPr>
      <w:r>
        <w:t>27.</w:t>
      </w:r>
      <w:r>
        <w:tab/>
        <w:t>The Contracts (Rights of Third Parties) Act 1999</w:t>
      </w:r>
    </w:p>
    <w:p w14:paraId="13F3B2B5" w14:textId="77777777" w:rsidR="00150309" w:rsidRDefault="00150309"/>
    <w:p w14:paraId="071B87F3" w14:textId="77777777" w:rsidR="00150309" w:rsidRDefault="00150309">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3B1F9D" w14:textId="77777777" w:rsidR="00150309" w:rsidRDefault="00150309">
      <w:pPr>
        <w:ind w:left="720" w:hanging="720"/>
      </w:pPr>
    </w:p>
    <w:p w14:paraId="65389590" w14:textId="77777777" w:rsidR="00150309" w:rsidRDefault="00150309">
      <w:pPr>
        <w:pStyle w:val="Heading3"/>
      </w:pPr>
      <w:r>
        <w:t>28.</w:t>
      </w:r>
      <w:r>
        <w:tab/>
        <w:t>Environmental requirements</w:t>
      </w:r>
    </w:p>
    <w:p w14:paraId="46CE92BF" w14:textId="77777777" w:rsidR="00150309" w:rsidRDefault="00150309">
      <w:pPr>
        <w:ind w:left="720" w:hanging="720"/>
      </w:pPr>
      <w:r>
        <w:t>28.1</w:t>
      </w:r>
      <w:r>
        <w:tab/>
        <w:t>The Buyer will provide a copy of its environmental policy to the Supplier on request, which the Supplier will comply with.</w:t>
      </w:r>
    </w:p>
    <w:p w14:paraId="7DE096A1" w14:textId="77777777" w:rsidR="00150309" w:rsidRDefault="00150309">
      <w:pPr>
        <w:ind w:firstLine="720"/>
      </w:pPr>
    </w:p>
    <w:p w14:paraId="2BFF9840" w14:textId="77777777" w:rsidR="00150309" w:rsidRDefault="00150309">
      <w:pPr>
        <w:ind w:left="720" w:hanging="720"/>
      </w:pPr>
      <w:r>
        <w:lastRenderedPageBreak/>
        <w:t>28.2</w:t>
      </w:r>
      <w:r>
        <w:tab/>
        <w:t>The Supplier must provide reasonable support to enable Buyers to work in an environmentally friendly way, for example by helping them recycle or lower their carbon footprint.</w:t>
      </w:r>
    </w:p>
    <w:p w14:paraId="0780892C" w14:textId="77777777" w:rsidR="00150309" w:rsidRDefault="00150309">
      <w:pPr>
        <w:ind w:left="720" w:hanging="720"/>
      </w:pPr>
    </w:p>
    <w:p w14:paraId="691B201E" w14:textId="77777777" w:rsidR="00150309" w:rsidRDefault="00150309">
      <w:pPr>
        <w:pStyle w:val="Heading3"/>
      </w:pPr>
      <w:r>
        <w:t>29.</w:t>
      </w:r>
      <w:r>
        <w:tab/>
        <w:t>The Employment Regulations (TUPE)</w:t>
      </w:r>
    </w:p>
    <w:p w14:paraId="50AC1582" w14:textId="77777777" w:rsidR="00150309" w:rsidRDefault="00150309">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4C20AAB" w14:textId="77777777" w:rsidR="00150309" w:rsidRDefault="00150309">
      <w:pPr>
        <w:ind w:left="720"/>
      </w:pPr>
    </w:p>
    <w:p w14:paraId="53203848" w14:textId="77777777" w:rsidR="00150309" w:rsidRDefault="00150309">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61C0D3B" w14:textId="77777777" w:rsidR="00150309" w:rsidRDefault="00150309">
      <w:pPr>
        <w:ind w:left="720"/>
      </w:pPr>
    </w:p>
    <w:p w14:paraId="4D345990" w14:textId="77777777" w:rsidR="00150309" w:rsidRDefault="00150309">
      <w:pPr>
        <w:ind w:firstLine="720"/>
      </w:pPr>
      <w:r>
        <w:t>29.2.1</w:t>
      </w:r>
      <w:r>
        <w:tab/>
      </w:r>
      <w:r>
        <w:tab/>
        <w:t>the activities they perform</w:t>
      </w:r>
    </w:p>
    <w:p w14:paraId="6C5CCDF0" w14:textId="77777777" w:rsidR="00150309" w:rsidRDefault="00150309">
      <w:pPr>
        <w:ind w:firstLine="720"/>
      </w:pPr>
      <w:r>
        <w:t>29.2.2</w:t>
      </w:r>
      <w:r>
        <w:tab/>
      </w:r>
      <w:r>
        <w:tab/>
        <w:t>age</w:t>
      </w:r>
    </w:p>
    <w:p w14:paraId="3F556E38" w14:textId="77777777" w:rsidR="00150309" w:rsidRDefault="00150309">
      <w:pPr>
        <w:ind w:firstLine="720"/>
      </w:pPr>
      <w:r>
        <w:t>29.2.3</w:t>
      </w:r>
      <w:r>
        <w:tab/>
      </w:r>
      <w:r>
        <w:tab/>
        <w:t>start date</w:t>
      </w:r>
    </w:p>
    <w:p w14:paraId="4B7221E6" w14:textId="77777777" w:rsidR="00150309" w:rsidRDefault="00150309">
      <w:pPr>
        <w:ind w:firstLine="720"/>
      </w:pPr>
      <w:r>
        <w:t>29.2.4</w:t>
      </w:r>
      <w:r>
        <w:tab/>
      </w:r>
      <w:r>
        <w:tab/>
        <w:t>place of work</w:t>
      </w:r>
    </w:p>
    <w:p w14:paraId="748B604C" w14:textId="77777777" w:rsidR="00150309" w:rsidRDefault="00150309">
      <w:pPr>
        <w:ind w:firstLine="720"/>
      </w:pPr>
      <w:r>
        <w:t>29.2.5</w:t>
      </w:r>
      <w:r>
        <w:tab/>
      </w:r>
      <w:r>
        <w:tab/>
        <w:t>notice period</w:t>
      </w:r>
    </w:p>
    <w:p w14:paraId="21FA4B75" w14:textId="77777777" w:rsidR="00150309" w:rsidRDefault="00150309">
      <w:pPr>
        <w:ind w:firstLine="720"/>
      </w:pPr>
      <w:r>
        <w:t>29.2.6</w:t>
      </w:r>
      <w:r>
        <w:tab/>
      </w:r>
      <w:r>
        <w:tab/>
        <w:t>redundancy payment entitlement</w:t>
      </w:r>
    </w:p>
    <w:p w14:paraId="1A2D871F" w14:textId="77777777" w:rsidR="00150309" w:rsidRDefault="00150309">
      <w:pPr>
        <w:ind w:firstLine="720"/>
      </w:pPr>
      <w:r>
        <w:t>29.2.7</w:t>
      </w:r>
      <w:r>
        <w:tab/>
      </w:r>
      <w:r>
        <w:tab/>
        <w:t>salary, benefits and pension entitlements</w:t>
      </w:r>
    </w:p>
    <w:p w14:paraId="5FA56BE7" w14:textId="77777777" w:rsidR="00150309" w:rsidRDefault="00150309">
      <w:pPr>
        <w:ind w:firstLine="720"/>
      </w:pPr>
      <w:r>
        <w:t>29.2.8</w:t>
      </w:r>
      <w:r>
        <w:tab/>
      </w:r>
      <w:r>
        <w:tab/>
        <w:t>employment status</w:t>
      </w:r>
    </w:p>
    <w:p w14:paraId="68296D3C" w14:textId="77777777" w:rsidR="00150309" w:rsidRDefault="00150309">
      <w:pPr>
        <w:ind w:firstLine="720"/>
      </w:pPr>
      <w:r>
        <w:t>29.2.9</w:t>
      </w:r>
      <w:r>
        <w:tab/>
      </w:r>
      <w:r>
        <w:tab/>
        <w:t>identity of employer</w:t>
      </w:r>
    </w:p>
    <w:p w14:paraId="18507B5A" w14:textId="77777777" w:rsidR="00150309" w:rsidRDefault="00150309">
      <w:pPr>
        <w:ind w:firstLine="720"/>
      </w:pPr>
      <w:r>
        <w:t>29.2.10</w:t>
      </w:r>
      <w:r>
        <w:tab/>
        <w:t>working arrangements</w:t>
      </w:r>
    </w:p>
    <w:p w14:paraId="6298FC64" w14:textId="77777777" w:rsidR="00150309" w:rsidRDefault="00150309">
      <w:pPr>
        <w:ind w:firstLine="720"/>
      </w:pPr>
      <w:r>
        <w:t>29.2.11</w:t>
      </w:r>
      <w:r>
        <w:tab/>
        <w:t>outstanding liabilities</w:t>
      </w:r>
    </w:p>
    <w:p w14:paraId="22177A39" w14:textId="77777777" w:rsidR="00150309" w:rsidRDefault="00150309">
      <w:pPr>
        <w:ind w:firstLine="720"/>
      </w:pPr>
      <w:r>
        <w:t>29.2.12</w:t>
      </w:r>
      <w:r>
        <w:tab/>
        <w:t>sickness absence</w:t>
      </w:r>
    </w:p>
    <w:p w14:paraId="79B893C7" w14:textId="77777777" w:rsidR="00150309" w:rsidRDefault="00150309">
      <w:pPr>
        <w:ind w:firstLine="720"/>
      </w:pPr>
      <w:r>
        <w:t>29.2.13</w:t>
      </w:r>
      <w:r>
        <w:tab/>
        <w:t>copies of all relevant employment contracts and related documents</w:t>
      </w:r>
    </w:p>
    <w:p w14:paraId="390A268A" w14:textId="77777777" w:rsidR="00150309" w:rsidRDefault="00150309">
      <w:pPr>
        <w:ind w:firstLine="720"/>
      </w:pPr>
      <w:r>
        <w:t>29.2.14</w:t>
      </w:r>
      <w:r>
        <w:tab/>
        <w:t xml:space="preserve">all information required under regulation 11 of TUPE or as reasonably </w:t>
      </w:r>
    </w:p>
    <w:p w14:paraId="55754FAD" w14:textId="77777777" w:rsidR="00150309" w:rsidRDefault="00150309">
      <w:pPr>
        <w:ind w:left="1440" w:firstLine="720"/>
      </w:pPr>
      <w:r>
        <w:t>requested by the Buyer</w:t>
      </w:r>
    </w:p>
    <w:p w14:paraId="107E8DFF" w14:textId="77777777" w:rsidR="00150309" w:rsidRDefault="00150309">
      <w:pPr>
        <w:ind w:left="720" w:firstLine="720"/>
      </w:pPr>
    </w:p>
    <w:p w14:paraId="621A238F" w14:textId="77777777" w:rsidR="00150309" w:rsidRDefault="00150309">
      <w:pPr>
        <w:ind w:left="720" w:hanging="720"/>
      </w:pPr>
      <w:r>
        <w:t>29.3</w:t>
      </w:r>
      <w:r>
        <w:tab/>
        <w:t xml:space="preserve">The Supplier warrants the accuracy of the information provided under this TUPE clause and will notify the Buyer of any changes to the amended information as soon as reasonably </w:t>
      </w:r>
      <w:r>
        <w:lastRenderedPageBreak/>
        <w:t>possible. The Supplier will permit the Buyer to use and disclose the information to any prospective Replacement Supplier.</w:t>
      </w:r>
    </w:p>
    <w:p w14:paraId="1FD3206F" w14:textId="77777777" w:rsidR="00150309" w:rsidRDefault="00150309">
      <w:pPr>
        <w:ind w:left="720"/>
      </w:pPr>
    </w:p>
    <w:p w14:paraId="019002FE" w14:textId="77777777" w:rsidR="00150309" w:rsidRDefault="00150309">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CCF7463" w14:textId="77777777" w:rsidR="00150309" w:rsidRDefault="00150309">
      <w:pPr>
        <w:ind w:left="720"/>
      </w:pPr>
    </w:p>
    <w:p w14:paraId="0DB0B098" w14:textId="77777777" w:rsidR="00150309" w:rsidRDefault="00150309">
      <w:pPr>
        <w:ind w:left="720" w:hanging="720"/>
      </w:pPr>
      <w:r>
        <w:t>29.5</w:t>
      </w:r>
      <w:r>
        <w:tab/>
        <w:t>The Supplier will co-operate with the re-tendering of this Call-Off Contract by allowing the Replacement Supplier to communicate with and meet the affected employees or their representatives.</w:t>
      </w:r>
    </w:p>
    <w:p w14:paraId="4E735FCB" w14:textId="77777777" w:rsidR="00150309" w:rsidRDefault="00150309">
      <w:pPr>
        <w:ind w:left="720"/>
      </w:pPr>
    </w:p>
    <w:p w14:paraId="3B2EC327" w14:textId="77777777" w:rsidR="00150309" w:rsidRDefault="00150309">
      <w:pPr>
        <w:ind w:left="720" w:hanging="720"/>
      </w:pPr>
      <w:r>
        <w:t>29.6</w:t>
      </w:r>
      <w:r>
        <w:tab/>
        <w:t>The Supplier will indemnify the Buyer or any Replacement Supplier for all Loss arising from both:</w:t>
      </w:r>
    </w:p>
    <w:p w14:paraId="0C018D95" w14:textId="77777777" w:rsidR="00150309" w:rsidRDefault="00150309">
      <w:pPr>
        <w:ind w:firstLine="720"/>
      </w:pPr>
    </w:p>
    <w:p w14:paraId="32A13B83" w14:textId="77777777" w:rsidR="00150309" w:rsidRDefault="00150309">
      <w:pPr>
        <w:ind w:firstLine="720"/>
      </w:pPr>
      <w:r>
        <w:t>29.6.1</w:t>
      </w:r>
      <w:r>
        <w:tab/>
        <w:t>its failure to comply with the provisions of this clause</w:t>
      </w:r>
    </w:p>
    <w:p w14:paraId="6E74D4C6" w14:textId="77777777" w:rsidR="00150309" w:rsidRDefault="00150309">
      <w:pPr>
        <w:ind w:firstLine="720"/>
      </w:pPr>
    </w:p>
    <w:p w14:paraId="13139503" w14:textId="77777777" w:rsidR="00150309" w:rsidRDefault="00150309">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14848E9" w14:textId="77777777" w:rsidR="00150309" w:rsidRDefault="00150309">
      <w:pPr>
        <w:ind w:left="1440"/>
      </w:pPr>
    </w:p>
    <w:p w14:paraId="7D221504" w14:textId="77777777" w:rsidR="00150309" w:rsidRDefault="00150309">
      <w:pPr>
        <w:ind w:left="720" w:hanging="720"/>
      </w:pPr>
      <w:r>
        <w:t>29.7</w:t>
      </w:r>
      <w:r>
        <w:tab/>
        <w:t>The provisions of this clause apply during the Term of this Call-Off Contract and indefinitely after it Ends or expires.</w:t>
      </w:r>
    </w:p>
    <w:p w14:paraId="1F8D3CC1" w14:textId="77777777" w:rsidR="00150309" w:rsidRDefault="00150309">
      <w:pPr>
        <w:ind w:firstLine="720"/>
      </w:pPr>
    </w:p>
    <w:p w14:paraId="08608D29" w14:textId="77777777" w:rsidR="00150309" w:rsidRDefault="00150309">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B141796" w14:textId="77777777" w:rsidR="00150309" w:rsidRDefault="00150309">
      <w:pPr>
        <w:ind w:left="720" w:hanging="720"/>
      </w:pPr>
    </w:p>
    <w:p w14:paraId="4CD9D073" w14:textId="77777777" w:rsidR="00150309" w:rsidRDefault="00150309">
      <w:pPr>
        <w:pStyle w:val="Heading3"/>
      </w:pPr>
      <w:r>
        <w:t>30.</w:t>
      </w:r>
      <w:r>
        <w:tab/>
        <w:t>Additional G-Cloud services</w:t>
      </w:r>
    </w:p>
    <w:p w14:paraId="5B1EA876" w14:textId="77777777" w:rsidR="00150309" w:rsidRDefault="00150309">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231AB28" w14:textId="77777777" w:rsidR="00150309" w:rsidRDefault="00150309">
      <w:pPr>
        <w:ind w:left="720"/>
      </w:pPr>
    </w:p>
    <w:p w14:paraId="067FF3C7" w14:textId="77777777" w:rsidR="00150309" w:rsidRDefault="00150309">
      <w:pPr>
        <w:ind w:left="720" w:hanging="720"/>
      </w:pPr>
      <w:r>
        <w:t>30.2</w:t>
      </w:r>
      <w:r>
        <w:tab/>
        <w:t>If reasonably requested to do so by the Buyer in the Order Form, the Supplier must provide and monitor performance of the Additional Services using an Implementation Plan.</w:t>
      </w:r>
    </w:p>
    <w:p w14:paraId="75B7CF63" w14:textId="77777777" w:rsidR="00150309" w:rsidRDefault="00150309">
      <w:pPr>
        <w:ind w:left="720" w:hanging="720"/>
      </w:pPr>
    </w:p>
    <w:p w14:paraId="279C0EB7" w14:textId="77777777" w:rsidR="00150309" w:rsidRDefault="00150309">
      <w:pPr>
        <w:pStyle w:val="Heading3"/>
      </w:pPr>
      <w:r>
        <w:lastRenderedPageBreak/>
        <w:t>31.</w:t>
      </w:r>
      <w:r>
        <w:tab/>
        <w:t>Collaboration</w:t>
      </w:r>
    </w:p>
    <w:p w14:paraId="28ED3ECD" w14:textId="77777777" w:rsidR="00150309" w:rsidRDefault="00150309">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08EFA6B" w14:textId="77777777" w:rsidR="00150309" w:rsidRDefault="00150309">
      <w:pPr>
        <w:ind w:left="720"/>
      </w:pPr>
    </w:p>
    <w:p w14:paraId="78299A55" w14:textId="77777777" w:rsidR="00150309" w:rsidRDefault="00150309">
      <w:r>
        <w:t>31.2</w:t>
      </w:r>
      <w:r>
        <w:tab/>
        <w:t>In addition to any obligations under the Collaboration Agreement, the Supplier must:</w:t>
      </w:r>
    </w:p>
    <w:p w14:paraId="6F12A94F" w14:textId="77777777" w:rsidR="00150309" w:rsidRDefault="00150309"/>
    <w:p w14:paraId="39F63469" w14:textId="77777777" w:rsidR="00150309" w:rsidRDefault="00150309">
      <w:pPr>
        <w:ind w:firstLine="720"/>
      </w:pPr>
      <w:r>
        <w:t>31.2.1</w:t>
      </w:r>
      <w:r>
        <w:tab/>
        <w:t>work proactively and in good faith with each of the Buyer’s contractors</w:t>
      </w:r>
    </w:p>
    <w:p w14:paraId="35456B99" w14:textId="77777777" w:rsidR="00150309" w:rsidRDefault="00150309">
      <w:pPr>
        <w:ind w:firstLine="720"/>
      </w:pPr>
    </w:p>
    <w:p w14:paraId="433DA30D" w14:textId="77777777" w:rsidR="00150309" w:rsidRDefault="00150309">
      <w:pPr>
        <w:ind w:left="1440" w:hanging="720"/>
      </w:pPr>
      <w:r>
        <w:t>31.2.2</w:t>
      </w:r>
      <w:r>
        <w:tab/>
        <w:t>co-operate and share information with the Buyer’s contractors to enable the efficient operation of the Buyer’s ICT services and G-Cloud Services</w:t>
      </w:r>
    </w:p>
    <w:p w14:paraId="2EA4F4BA" w14:textId="77777777" w:rsidR="00150309" w:rsidRDefault="00150309">
      <w:pPr>
        <w:ind w:left="1440" w:hanging="720"/>
      </w:pPr>
    </w:p>
    <w:p w14:paraId="094D5698" w14:textId="77777777" w:rsidR="00150309" w:rsidRDefault="00150309">
      <w:pPr>
        <w:pStyle w:val="Heading3"/>
      </w:pPr>
      <w:r>
        <w:t>32.</w:t>
      </w:r>
      <w:r>
        <w:tab/>
        <w:t>Variation process</w:t>
      </w:r>
    </w:p>
    <w:p w14:paraId="76FFC295" w14:textId="77777777" w:rsidR="00150309" w:rsidRDefault="00150309">
      <w:pPr>
        <w:ind w:left="720" w:hanging="720"/>
      </w:pPr>
      <w:r>
        <w:t>32.1</w:t>
      </w:r>
      <w:r>
        <w:tab/>
        <w:t>The Buyer can request in writing a change to this Call-Off Contract if it isn’t a material change to the Framework Agreement/or this Call-Off Contract. Once implemented, it is called a Variation.</w:t>
      </w:r>
    </w:p>
    <w:p w14:paraId="4CD8C544" w14:textId="77777777" w:rsidR="00150309" w:rsidRDefault="00150309">
      <w:pPr>
        <w:ind w:left="720"/>
      </w:pPr>
    </w:p>
    <w:p w14:paraId="3314945A" w14:textId="77777777" w:rsidR="00150309" w:rsidRDefault="00150309">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78C0196" w14:textId="77777777" w:rsidR="00150309" w:rsidRDefault="00150309"/>
    <w:p w14:paraId="11259683" w14:textId="77777777" w:rsidR="00150309" w:rsidRDefault="00150309">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6A0BC9D9" w14:textId="77777777" w:rsidR="00150309" w:rsidRDefault="00150309">
      <w:pPr>
        <w:ind w:left="720" w:hanging="720"/>
      </w:pPr>
    </w:p>
    <w:p w14:paraId="614B74C1" w14:textId="77777777" w:rsidR="00150309" w:rsidRDefault="00150309">
      <w:pPr>
        <w:pStyle w:val="Heading3"/>
      </w:pPr>
      <w:r>
        <w:t>33.</w:t>
      </w:r>
      <w:r>
        <w:tab/>
        <w:t>Data Protection Legislation (GDPR)</w:t>
      </w:r>
    </w:p>
    <w:p w14:paraId="26CAF1AC" w14:textId="77777777" w:rsidR="00150309" w:rsidRDefault="00150309">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2A619FE" w14:textId="77777777" w:rsidR="00150309" w:rsidRDefault="00150309"/>
    <w:p w14:paraId="493FFC31" w14:textId="77777777" w:rsidR="00150309" w:rsidRDefault="00150309">
      <w:pPr>
        <w:pageBreakBefore/>
        <w:rPr>
          <w:b/>
        </w:rPr>
      </w:pPr>
    </w:p>
    <w:p w14:paraId="36BAB240" w14:textId="77777777" w:rsidR="00150309" w:rsidRDefault="00150309" w:rsidP="00522540">
      <w:pPr>
        <w:pStyle w:val="Heading2"/>
      </w:pPr>
      <w:bookmarkStart w:id="6" w:name="_Toc33176236"/>
      <w:r>
        <w:t>Schedule 3: Collaboration agreement</w:t>
      </w:r>
      <w:bookmarkEnd w:id="6"/>
      <w:r>
        <w:t xml:space="preserve"> – N/A</w:t>
      </w:r>
    </w:p>
    <w:p w14:paraId="335521E9" w14:textId="77777777" w:rsidR="00150309" w:rsidRDefault="00150309" w:rsidP="00522540">
      <w:pPr>
        <w:pStyle w:val="Heading2"/>
      </w:pPr>
      <w:bookmarkStart w:id="7" w:name="_Toc33176237"/>
      <w:r>
        <w:t>Schedule 4: Alternative clauses</w:t>
      </w:r>
      <w:bookmarkEnd w:id="7"/>
      <w:r>
        <w:t xml:space="preserve"> – N/A</w:t>
      </w:r>
      <w:bookmarkStart w:id="8" w:name="_Toc33176238"/>
    </w:p>
    <w:p w14:paraId="6402A742" w14:textId="77777777" w:rsidR="00150309" w:rsidRDefault="00150309" w:rsidP="00522540">
      <w:pPr>
        <w:pStyle w:val="Heading2"/>
        <w:rPr>
          <w:b/>
        </w:rPr>
      </w:pPr>
      <w:r>
        <w:t>Schedule 5: Guarantee</w:t>
      </w:r>
      <w:bookmarkEnd w:id="8"/>
      <w:r>
        <w:t xml:space="preserve"> N/A</w:t>
      </w:r>
    </w:p>
    <w:p w14:paraId="54D770FB" w14:textId="77777777" w:rsidR="00150309" w:rsidRDefault="00150309">
      <w:pPr>
        <w:pStyle w:val="Heading2"/>
      </w:pPr>
      <w:bookmarkStart w:id="9" w:name="_Toc33176239"/>
      <w:r>
        <w:t>Schedule 6: Glossary and interpretations</w:t>
      </w:r>
      <w:bookmarkEnd w:id="9"/>
    </w:p>
    <w:p w14:paraId="68163D80" w14:textId="77777777" w:rsidR="00150309" w:rsidRDefault="00150309">
      <w:r>
        <w:t>In this Call-Off Contract the following expressions mean:</w:t>
      </w:r>
    </w:p>
    <w:p w14:paraId="38423C0E" w14:textId="77777777" w:rsidR="00150309" w:rsidRDefault="00150309"/>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50309" w14:paraId="3C59F74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6B5C8" w14:textId="77777777" w:rsidR="00150309" w:rsidRDefault="00150309">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8AB8B" w14:textId="77777777" w:rsidR="00150309" w:rsidRDefault="00150309">
            <w:pPr>
              <w:spacing w:before="240"/>
              <w:rPr>
                <w:sz w:val="20"/>
                <w:szCs w:val="20"/>
              </w:rPr>
            </w:pPr>
            <w:r>
              <w:rPr>
                <w:sz w:val="20"/>
                <w:szCs w:val="20"/>
              </w:rPr>
              <w:t>Meaning</w:t>
            </w:r>
          </w:p>
        </w:tc>
      </w:tr>
      <w:tr w:rsidR="00150309" w14:paraId="177149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0E591" w14:textId="77777777" w:rsidR="00150309" w:rsidRDefault="00150309">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3C60B" w14:textId="77777777" w:rsidR="00150309" w:rsidRDefault="00150309">
            <w:pPr>
              <w:spacing w:before="240"/>
              <w:rPr>
                <w:sz w:val="20"/>
                <w:szCs w:val="20"/>
              </w:rPr>
            </w:pPr>
            <w:r>
              <w:rPr>
                <w:sz w:val="20"/>
                <w:szCs w:val="20"/>
              </w:rPr>
              <w:t>Any services ancillary to the G-Cloud Services that are in the scope of Framework Agreement Section 2 (Services Offered) which a Buyer may request.</w:t>
            </w:r>
          </w:p>
        </w:tc>
      </w:tr>
      <w:tr w:rsidR="00150309" w14:paraId="42E68F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5FABF" w14:textId="77777777" w:rsidR="00150309" w:rsidRDefault="00150309">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16898" w14:textId="77777777" w:rsidR="00150309" w:rsidRDefault="00150309">
            <w:pPr>
              <w:spacing w:before="240"/>
              <w:rPr>
                <w:sz w:val="20"/>
                <w:szCs w:val="20"/>
              </w:rPr>
            </w:pPr>
            <w:r>
              <w:rPr>
                <w:sz w:val="20"/>
                <w:szCs w:val="20"/>
              </w:rPr>
              <w:t>The agreement to be entered into to enable the Supplier to participate in the relevant Civil Service pension scheme(s).</w:t>
            </w:r>
          </w:p>
        </w:tc>
      </w:tr>
      <w:tr w:rsidR="00150309" w14:paraId="6BD391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D7480" w14:textId="77777777" w:rsidR="00150309" w:rsidRDefault="00150309">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B1CFA" w14:textId="77777777" w:rsidR="00150309" w:rsidRDefault="00150309">
            <w:pPr>
              <w:spacing w:before="240"/>
              <w:rPr>
                <w:sz w:val="20"/>
                <w:szCs w:val="20"/>
              </w:rPr>
            </w:pPr>
            <w:r>
              <w:rPr>
                <w:sz w:val="20"/>
                <w:szCs w:val="20"/>
              </w:rPr>
              <w:t>The response submitted by the Supplier to the Invitation to Tender (known as the Invitation to Apply on the Digital Marketplace).</w:t>
            </w:r>
          </w:p>
        </w:tc>
      </w:tr>
      <w:tr w:rsidR="00150309" w14:paraId="665755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CCCAC" w14:textId="77777777" w:rsidR="00150309" w:rsidRDefault="00150309">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4B7AD" w14:textId="77777777" w:rsidR="00150309" w:rsidRDefault="00150309">
            <w:pPr>
              <w:spacing w:before="240"/>
              <w:rPr>
                <w:sz w:val="20"/>
                <w:szCs w:val="20"/>
              </w:rPr>
            </w:pPr>
            <w:r>
              <w:rPr>
                <w:sz w:val="20"/>
                <w:szCs w:val="20"/>
              </w:rPr>
              <w:t>An audit carried out under the incorporated Framework Agreement clauses specified by the Buyer in the Order (if any).</w:t>
            </w:r>
          </w:p>
        </w:tc>
      </w:tr>
      <w:tr w:rsidR="00150309" w14:paraId="333BC5E0"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50BD2" w14:textId="77777777" w:rsidR="00150309" w:rsidRDefault="00150309">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354A6" w14:textId="77777777" w:rsidR="00150309" w:rsidRDefault="00150309">
            <w:pPr>
              <w:spacing w:before="240"/>
              <w:rPr>
                <w:sz w:val="20"/>
                <w:szCs w:val="20"/>
              </w:rPr>
            </w:pPr>
            <w:r>
              <w:rPr>
                <w:sz w:val="20"/>
                <w:szCs w:val="20"/>
              </w:rPr>
              <w:t>For each Party, IPRs:</w:t>
            </w:r>
          </w:p>
          <w:p w14:paraId="5C734A95" w14:textId="77777777" w:rsidR="00150309" w:rsidRDefault="00150309" w:rsidP="00A845D6">
            <w:pPr>
              <w:pStyle w:val="ListParagraph"/>
              <w:numPr>
                <w:ilvl w:val="0"/>
                <w:numId w:val="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E010DB8" w14:textId="77777777" w:rsidR="00150309" w:rsidRDefault="00150309" w:rsidP="00A845D6">
            <w:pPr>
              <w:pStyle w:val="ListParagraph"/>
              <w:numPr>
                <w:ilvl w:val="0"/>
                <w:numId w:val="6"/>
              </w:numPr>
              <w:rPr>
                <w:sz w:val="20"/>
                <w:szCs w:val="20"/>
              </w:rPr>
            </w:pPr>
            <w:r>
              <w:rPr>
                <w:sz w:val="20"/>
                <w:szCs w:val="20"/>
              </w:rPr>
              <w:t>created by the Party independently of this Call-Off Contract, or</w:t>
            </w:r>
          </w:p>
          <w:p w14:paraId="197832A6" w14:textId="77777777" w:rsidR="00150309" w:rsidRDefault="00150309">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150309" w14:paraId="32A606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2E55D" w14:textId="77777777" w:rsidR="00150309" w:rsidRDefault="00150309">
            <w:pPr>
              <w:spacing w:before="240"/>
              <w:rPr>
                <w:b/>
                <w:sz w:val="20"/>
                <w:szCs w:val="20"/>
              </w:rPr>
            </w:pPr>
            <w:r>
              <w:rPr>
                <w:b/>
                <w:sz w:val="20"/>
                <w:szCs w:val="20"/>
              </w:rPr>
              <w:lastRenderedPageBreak/>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5E319" w14:textId="77777777" w:rsidR="00150309" w:rsidRDefault="00150309">
            <w:pPr>
              <w:spacing w:before="240"/>
              <w:rPr>
                <w:sz w:val="20"/>
                <w:szCs w:val="20"/>
              </w:rPr>
            </w:pPr>
            <w:r>
              <w:rPr>
                <w:sz w:val="20"/>
                <w:szCs w:val="20"/>
              </w:rPr>
              <w:t>The contracting authority ordering services as set out in the Order Form.</w:t>
            </w:r>
          </w:p>
        </w:tc>
      </w:tr>
      <w:tr w:rsidR="00150309" w14:paraId="1C8421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092D5" w14:textId="77777777" w:rsidR="00150309" w:rsidRDefault="00150309">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DC10E" w14:textId="77777777" w:rsidR="00150309" w:rsidRDefault="00150309">
            <w:pPr>
              <w:spacing w:before="240"/>
              <w:rPr>
                <w:sz w:val="20"/>
                <w:szCs w:val="20"/>
              </w:rPr>
            </w:pPr>
            <w:r>
              <w:rPr>
                <w:sz w:val="20"/>
                <w:szCs w:val="20"/>
              </w:rPr>
              <w:t>All data supplied by the Buyer to the Supplier including Personal Data and Service Data that is owned and managed by the Buyer.</w:t>
            </w:r>
          </w:p>
        </w:tc>
      </w:tr>
      <w:tr w:rsidR="00150309" w14:paraId="3F916C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46A96" w14:textId="77777777" w:rsidR="00150309" w:rsidRDefault="00150309">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9B13F" w14:textId="77777777" w:rsidR="00150309" w:rsidRDefault="00150309">
            <w:pPr>
              <w:spacing w:before="240"/>
              <w:rPr>
                <w:sz w:val="20"/>
                <w:szCs w:val="20"/>
              </w:rPr>
            </w:pPr>
            <w:r>
              <w:rPr>
                <w:sz w:val="20"/>
                <w:szCs w:val="20"/>
              </w:rPr>
              <w:t>The Personal Data supplied by the Buyer to the Supplier for purposes of, or in connection with, this Call-Off Contract.</w:t>
            </w:r>
          </w:p>
        </w:tc>
      </w:tr>
      <w:tr w:rsidR="00150309" w14:paraId="2D280D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ED6BC" w14:textId="77777777" w:rsidR="00150309" w:rsidRDefault="00150309">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0BEE3" w14:textId="77777777" w:rsidR="00150309" w:rsidRDefault="00150309">
            <w:pPr>
              <w:spacing w:before="240"/>
              <w:rPr>
                <w:sz w:val="20"/>
                <w:szCs w:val="20"/>
              </w:rPr>
            </w:pPr>
            <w:r>
              <w:rPr>
                <w:sz w:val="20"/>
                <w:szCs w:val="20"/>
              </w:rPr>
              <w:t>The representative appointed by the Buyer under this Call-Off Contract.</w:t>
            </w:r>
          </w:p>
        </w:tc>
      </w:tr>
      <w:tr w:rsidR="00150309" w14:paraId="4943A0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86F01" w14:textId="77777777" w:rsidR="00150309" w:rsidRDefault="00150309">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77A18" w14:textId="77777777" w:rsidR="00150309" w:rsidRDefault="00150309">
            <w:pPr>
              <w:spacing w:before="240"/>
              <w:rPr>
                <w:sz w:val="20"/>
                <w:szCs w:val="20"/>
              </w:rPr>
            </w:pPr>
            <w:r>
              <w:rPr>
                <w:sz w:val="20"/>
                <w:szCs w:val="20"/>
              </w:rPr>
              <w:t>Software owned by or licensed to the Buyer (other than under this Agreement), which is or will be used by the Supplier to provide the Services.</w:t>
            </w:r>
          </w:p>
        </w:tc>
      </w:tr>
      <w:tr w:rsidR="00150309" w14:paraId="3CD6691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4B1B3" w14:textId="77777777" w:rsidR="00150309" w:rsidRDefault="00150309">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1E8A3" w14:textId="77777777" w:rsidR="00150309" w:rsidRDefault="00150309">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50309" w14:paraId="2E8820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97F54" w14:textId="77777777" w:rsidR="00150309" w:rsidRDefault="00150309">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67E4D" w14:textId="77777777" w:rsidR="00150309" w:rsidRDefault="00150309">
            <w:pPr>
              <w:spacing w:before="240"/>
              <w:rPr>
                <w:sz w:val="20"/>
                <w:szCs w:val="20"/>
              </w:rPr>
            </w:pPr>
            <w:r>
              <w:rPr>
                <w:sz w:val="20"/>
                <w:szCs w:val="20"/>
              </w:rPr>
              <w:t>The prices (excluding any applicable VAT), payable to the Supplier by the Buyer under this Call-Off Contract.</w:t>
            </w:r>
          </w:p>
        </w:tc>
      </w:tr>
      <w:tr w:rsidR="00150309" w14:paraId="292FD24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3330C" w14:textId="77777777" w:rsidR="00150309" w:rsidRDefault="00150309">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A2B67" w14:textId="77777777" w:rsidR="00150309" w:rsidRDefault="00150309">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50309" w14:paraId="519E89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3C38B" w14:textId="77777777" w:rsidR="00150309" w:rsidRDefault="00150309">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170BA" w14:textId="77777777" w:rsidR="00150309" w:rsidRDefault="00150309">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50309" w14:paraId="1BC2832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CFB77" w14:textId="77777777" w:rsidR="00150309" w:rsidRDefault="00150309">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7DE84" w14:textId="77777777" w:rsidR="00150309" w:rsidRDefault="00150309">
            <w:pPr>
              <w:spacing w:before="240"/>
              <w:rPr>
                <w:sz w:val="20"/>
                <w:szCs w:val="20"/>
              </w:rPr>
            </w:pPr>
            <w:r>
              <w:rPr>
                <w:sz w:val="20"/>
                <w:szCs w:val="20"/>
              </w:rPr>
              <w:t>Data, Personal Data and any information, which may include (but isn’t limited to) any:</w:t>
            </w:r>
          </w:p>
          <w:p w14:paraId="01C06970" w14:textId="77777777" w:rsidR="00150309" w:rsidRDefault="00150309" w:rsidP="00A845D6">
            <w:pPr>
              <w:pStyle w:val="ListParagraph"/>
              <w:numPr>
                <w:ilvl w:val="0"/>
                <w:numId w:val="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D99AE5A" w14:textId="77777777" w:rsidR="00150309" w:rsidRDefault="00150309" w:rsidP="00A845D6">
            <w:pPr>
              <w:pStyle w:val="ListParagraph"/>
              <w:numPr>
                <w:ilvl w:val="0"/>
                <w:numId w:val="7"/>
              </w:numPr>
              <w:rPr>
                <w:sz w:val="20"/>
                <w:szCs w:val="20"/>
              </w:rPr>
            </w:pPr>
            <w:r>
              <w:rPr>
                <w:sz w:val="20"/>
                <w:szCs w:val="20"/>
              </w:rPr>
              <w:lastRenderedPageBreak/>
              <w:t>other information clearly designated as being confidential or which ought reasonably be considered to be confidential (whether or not it is marked 'confidential').</w:t>
            </w:r>
          </w:p>
        </w:tc>
      </w:tr>
      <w:tr w:rsidR="00150309" w14:paraId="764F2ED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EFC9D" w14:textId="77777777" w:rsidR="00150309" w:rsidRDefault="00150309">
            <w:pPr>
              <w:spacing w:before="240"/>
              <w:rPr>
                <w:b/>
                <w:sz w:val="20"/>
                <w:szCs w:val="20"/>
              </w:rPr>
            </w:pPr>
            <w:r>
              <w:rPr>
                <w:b/>
                <w:sz w:val="20"/>
                <w:szCs w:val="20"/>
              </w:rPr>
              <w:lastRenderedPageBreak/>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DCD67" w14:textId="77777777" w:rsidR="00150309" w:rsidRDefault="00150309">
            <w:pPr>
              <w:spacing w:before="240"/>
              <w:rPr>
                <w:sz w:val="20"/>
                <w:szCs w:val="20"/>
              </w:rPr>
            </w:pPr>
            <w:r>
              <w:rPr>
                <w:sz w:val="20"/>
                <w:szCs w:val="20"/>
              </w:rPr>
              <w:t>‘Control’ as defined in section 1124 and 450 of the Corporation Tax</w:t>
            </w:r>
          </w:p>
          <w:p w14:paraId="41DDD55D" w14:textId="77777777" w:rsidR="00150309" w:rsidRDefault="00150309">
            <w:pPr>
              <w:spacing w:before="240"/>
              <w:rPr>
                <w:sz w:val="20"/>
                <w:szCs w:val="20"/>
              </w:rPr>
            </w:pPr>
            <w:r>
              <w:rPr>
                <w:sz w:val="20"/>
                <w:szCs w:val="20"/>
              </w:rPr>
              <w:t>Act 2010. 'Controls' and 'Controlled' will be interpreted accordingly.</w:t>
            </w:r>
          </w:p>
        </w:tc>
      </w:tr>
      <w:tr w:rsidR="00150309" w14:paraId="599D5BD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4068E" w14:textId="77777777" w:rsidR="00150309" w:rsidRDefault="00150309">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C4E87" w14:textId="77777777" w:rsidR="00150309" w:rsidRDefault="00150309">
            <w:pPr>
              <w:spacing w:before="240"/>
              <w:rPr>
                <w:sz w:val="20"/>
                <w:szCs w:val="20"/>
              </w:rPr>
            </w:pPr>
            <w:r>
              <w:rPr>
                <w:sz w:val="20"/>
                <w:szCs w:val="20"/>
              </w:rPr>
              <w:t>Takes the meaning given in the GDPR.</w:t>
            </w:r>
          </w:p>
        </w:tc>
      </w:tr>
      <w:tr w:rsidR="00150309" w14:paraId="68D0661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86BC6" w14:textId="77777777" w:rsidR="00150309" w:rsidRDefault="00150309">
            <w:pPr>
              <w:spacing w:before="240"/>
              <w:rPr>
                <w:b/>
                <w:sz w:val="20"/>
                <w:szCs w:val="20"/>
              </w:rPr>
            </w:pPr>
            <w:r>
              <w:rPr>
                <w:b/>
                <w:sz w:val="20"/>
                <w:szCs w:val="20"/>
              </w:rPr>
              <w:t>Crown</w:t>
            </w:r>
          </w:p>
          <w:p w14:paraId="7DAB2E4B" w14:textId="77777777" w:rsidR="00150309" w:rsidRDefault="00150309">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BE942" w14:textId="77777777" w:rsidR="00150309" w:rsidRDefault="00150309">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50309" w14:paraId="7ED33A9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A37E9" w14:textId="77777777" w:rsidR="00150309" w:rsidRDefault="00150309">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FA329" w14:textId="77777777" w:rsidR="00150309" w:rsidRDefault="00150309">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50309" w14:paraId="429F65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C1691" w14:textId="77777777" w:rsidR="00150309" w:rsidRDefault="00150309">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A6C74" w14:textId="77777777" w:rsidR="00150309" w:rsidRDefault="00150309">
            <w:pPr>
              <w:spacing w:before="240"/>
              <w:rPr>
                <w:sz w:val="20"/>
                <w:szCs w:val="20"/>
              </w:rPr>
            </w:pPr>
            <w:r>
              <w:rPr>
                <w:sz w:val="20"/>
                <w:szCs w:val="20"/>
              </w:rPr>
              <w:t>An assessment by the Controller of the impact of the envisaged Processing on the protection of Personal Data.</w:t>
            </w:r>
          </w:p>
        </w:tc>
      </w:tr>
      <w:tr w:rsidR="00150309" w14:paraId="6119C94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EEA0E" w14:textId="77777777" w:rsidR="00150309" w:rsidRDefault="00150309">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6112D" w14:textId="77777777" w:rsidR="00150309" w:rsidRDefault="00150309">
            <w:pPr>
              <w:spacing w:before="240"/>
              <w:rPr>
                <w:sz w:val="20"/>
                <w:szCs w:val="20"/>
              </w:rPr>
            </w:pPr>
            <w:r>
              <w:rPr>
                <w:sz w:val="20"/>
                <w:szCs w:val="20"/>
              </w:rPr>
              <w:t>Data Protection Legislation means:</w:t>
            </w:r>
          </w:p>
          <w:p w14:paraId="2BADA904" w14:textId="77777777" w:rsidR="00150309" w:rsidRDefault="00150309">
            <w:pPr>
              <w:rPr>
                <w:sz w:val="20"/>
                <w:szCs w:val="20"/>
              </w:rPr>
            </w:pPr>
            <w:r>
              <w:rPr>
                <w:sz w:val="20"/>
                <w:szCs w:val="20"/>
              </w:rPr>
              <w:t>(i) the GDPR, the LED and any applicable national implementing Laws as amended from time to time</w:t>
            </w:r>
          </w:p>
          <w:p w14:paraId="4039C4BC" w14:textId="77777777" w:rsidR="00150309" w:rsidRDefault="00150309">
            <w:pPr>
              <w:ind w:left="720" w:hanging="720"/>
              <w:rPr>
                <w:sz w:val="20"/>
                <w:szCs w:val="20"/>
              </w:rPr>
            </w:pPr>
            <w:r>
              <w:rPr>
                <w:sz w:val="20"/>
                <w:szCs w:val="20"/>
              </w:rPr>
              <w:t>(ii) the DPA 2018 to the extent that it relates to Processing of Personal Data and privacy</w:t>
            </w:r>
          </w:p>
          <w:p w14:paraId="033D48AD" w14:textId="77777777" w:rsidR="00150309" w:rsidRDefault="00150309">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50309" w14:paraId="0EEA882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C4825" w14:textId="77777777" w:rsidR="00150309" w:rsidRDefault="00150309">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894A0" w14:textId="77777777" w:rsidR="00150309" w:rsidRDefault="00150309">
            <w:pPr>
              <w:spacing w:before="240"/>
              <w:rPr>
                <w:sz w:val="20"/>
                <w:szCs w:val="20"/>
              </w:rPr>
            </w:pPr>
            <w:r>
              <w:rPr>
                <w:sz w:val="20"/>
                <w:szCs w:val="20"/>
              </w:rPr>
              <w:t>Takes the meaning given in the GDPR</w:t>
            </w:r>
          </w:p>
        </w:tc>
      </w:tr>
      <w:tr w:rsidR="00150309" w14:paraId="116D2EC8"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62BB0" w14:textId="77777777" w:rsidR="00150309" w:rsidRDefault="00150309">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6F1E1" w14:textId="77777777" w:rsidR="00150309" w:rsidRDefault="00150309">
            <w:pPr>
              <w:spacing w:before="240"/>
              <w:rPr>
                <w:sz w:val="20"/>
                <w:szCs w:val="20"/>
              </w:rPr>
            </w:pPr>
            <w:r>
              <w:rPr>
                <w:sz w:val="20"/>
                <w:szCs w:val="20"/>
              </w:rPr>
              <w:t>Default is any:</w:t>
            </w:r>
          </w:p>
          <w:p w14:paraId="042A10A5" w14:textId="77777777" w:rsidR="00150309" w:rsidRDefault="00150309" w:rsidP="00A845D6">
            <w:pPr>
              <w:pStyle w:val="ListParagraph"/>
              <w:numPr>
                <w:ilvl w:val="0"/>
                <w:numId w:val="8"/>
              </w:numPr>
              <w:rPr>
                <w:sz w:val="20"/>
                <w:szCs w:val="20"/>
              </w:rPr>
            </w:pPr>
            <w:r>
              <w:rPr>
                <w:sz w:val="20"/>
                <w:szCs w:val="20"/>
              </w:rPr>
              <w:t>breach of the obligations of the Supplier (including any fundamental breach or breach of a fundamental term)</w:t>
            </w:r>
          </w:p>
          <w:p w14:paraId="5CCD3D7E" w14:textId="77777777" w:rsidR="00150309" w:rsidRDefault="00150309" w:rsidP="00A845D6">
            <w:pPr>
              <w:pStyle w:val="ListParagraph"/>
              <w:numPr>
                <w:ilvl w:val="0"/>
                <w:numId w:val="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8BCE36A" w14:textId="77777777" w:rsidR="00150309" w:rsidRDefault="00150309">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50309" w14:paraId="3298A7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856E5" w14:textId="77777777" w:rsidR="00150309" w:rsidRDefault="00150309">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A576C" w14:textId="77777777" w:rsidR="00150309" w:rsidRDefault="00150309">
            <w:pPr>
              <w:spacing w:before="240"/>
              <w:rPr>
                <w:sz w:val="20"/>
                <w:szCs w:val="20"/>
              </w:rPr>
            </w:pPr>
            <w:r>
              <w:rPr>
                <w:sz w:val="20"/>
                <w:szCs w:val="20"/>
              </w:rPr>
              <w:t>The G-Cloud Services the Buyer contracts the Supplier to provide under this Call-Off Contract.</w:t>
            </w:r>
          </w:p>
        </w:tc>
      </w:tr>
      <w:tr w:rsidR="00150309" w14:paraId="5E8092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0B7DA" w14:textId="77777777" w:rsidR="00150309" w:rsidRDefault="00150309">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9E91B" w14:textId="77777777" w:rsidR="00150309" w:rsidRDefault="00150309">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150309" w14:paraId="042086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1A667" w14:textId="77777777" w:rsidR="00150309" w:rsidRDefault="00150309">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965BA" w14:textId="77777777" w:rsidR="00150309" w:rsidRDefault="00150309">
            <w:pPr>
              <w:spacing w:before="240"/>
              <w:rPr>
                <w:sz w:val="20"/>
                <w:szCs w:val="20"/>
              </w:rPr>
            </w:pPr>
            <w:r>
              <w:rPr>
                <w:sz w:val="20"/>
                <w:szCs w:val="20"/>
              </w:rPr>
              <w:t>Data Protection Act 2018.</w:t>
            </w:r>
          </w:p>
        </w:tc>
      </w:tr>
      <w:tr w:rsidR="00150309" w14:paraId="22C842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69FF7" w14:textId="77777777" w:rsidR="00150309" w:rsidRDefault="00150309">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3A9DC" w14:textId="77777777" w:rsidR="00150309" w:rsidRDefault="00150309">
            <w:pPr>
              <w:spacing w:before="240"/>
              <w:rPr>
                <w:sz w:val="20"/>
                <w:szCs w:val="20"/>
              </w:rPr>
            </w:pPr>
            <w:r>
              <w:rPr>
                <w:sz w:val="20"/>
                <w:szCs w:val="20"/>
              </w:rPr>
              <w:t>The Transfer of Undertakings (Protection of Employment) Regulations 2006 (SI 2006/246) (‘TUPE’) which implements the Acquired Rights Directive.</w:t>
            </w:r>
          </w:p>
        </w:tc>
      </w:tr>
      <w:tr w:rsidR="00150309" w14:paraId="4549C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593D1" w14:textId="77777777" w:rsidR="00150309" w:rsidRDefault="00150309">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4B17D" w14:textId="77777777" w:rsidR="00150309" w:rsidRDefault="00150309">
            <w:pPr>
              <w:spacing w:before="240"/>
              <w:rPr>
                <w:sz w:val="20"/>
                <w:szCs w:val="20"/>
              </w:rPr>
            </w:pPr>
            <w:r>
              <w:rPr>
                <w:sz w:val="20"/>
                <w:szCs w:val="20"/>
              </w:rPr>
              <w:t>Means to terminate; and Ended and Ending are construed accordingly.</w:t>
            </w:r>
          </w:p>
        </w:tc>
      </w:tr>
      <w:tr w:rsidR="00150309" w14:paraId="05723A3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AF3CF" w14:textId="77777777" w:rsidR="00150309" w:rsidRDefault="00150309">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81675" w14:textId="77777777" w:rsidR="00150309" w:rsidRDefault="00150309">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50309" w14:paraId="49EC826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FC379" w14:textId="77777777" w:rsidR="00150309" w:rsidRDefault="00150309">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AB69D" w14:textId="77777777" w:rsidR="00150309" w:rsidRDefault="00150309">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50309" w14:paraId="3792DA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456EF" w14:textId="77777777" w:rsidR="00150309" w:rsidRDefault="00150309">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7BF4D" w14:textId="77777777" w:rsidR="00150309" w:rsidRDefault="00150309">
            <w:pPr>
              <w:spacing w:before="240"/>
              <w:rPr>
                <w:sz w:val="20"/>
                <w:szCs w:val="20"/>
              </w:rPr>
            </w:pPr>
            <w:r>
              <w:rPr>
                <w:sz w:val="20"/>
                <w:szCs w:val="20"/>
              </w:rPr>
              <w:t>The 14 digit ESI reference number from the summary of the outcome screen of the ESI tool.</w:t>
            </w:r>
          </w:p>
        </w:tc>
      </w:tr>
      <w:tr w:rsidR="00150309" w14:paraId="3F7F8E70"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168DB" w14:textId="77777777" w:rsidR="00150309" w:rsidRDefault="00150309">
            <w:pPr>
              <w:spacing w:before="240"/>
              <w:rPr>
                <w:b/>
                <w:sz w:val="20"/>
                <w:szCs w:val="20"/>
              </w:rPr>
            </w:pPr>
            <w:r>
              <w:rPr>
                <w:b/>
                <w:sz w:val="20"/>
                <w:szCs w:val="20"/>
              </w:rPr>
              <w:lastRenderedPageBreak/>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066BC" w14:textId="77777777" w:rsidR="00150309" w:rsidRDefault="00150309">
            <w:pPr>
              <w:spacing w:before="240"/>
              <w:rPr>
                <w:sz w:val="20"/>
                <w:szCs w:val="20"/>
              </w:rPr>
            </w:pPr>
            <w:r>
              <w:rPr>
                <w:sz w:val="20"/>
                <w:szCs w:val="20"/>
              </w:rPr>
              <w:t>The HMRC Employment Status Indicator test tool. The most up-to-date version must be used. At the time of drafting the tool may be found here:</w:t>
            </w:r>
          </w:p>
          <w:p w14:paraId="01F21796" w14:textId="77777777" w:rsidR="00150309" w:rsidRDefault="00D9320F">
            <w:hyperlink r:id="rId26" w:history="1">
              <w:r w:rsidR="00150309">
                <w:rPr>
                  <w:rStyle w:val="Hyperlink"/>
                </w:rPr>
                <w:t>https://www.gov.uk/guidance/check-employment-status-for-tax</w:t>
              </w:r>
            </w:hyperlink>
          </w:p>
        </w:tc>
      </w:tr>
      <w:tr w:rsidR="00150309" w14:paraId="2F49FF8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83A54" w14:textId="77777777" w:rsidR="00150309" w:rsidRDefault="00150309">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2789D" w14:textId="77777777" w:rsidR="00150309" w:rsidRDefault="00150309">
            <w:pPr>
              <w:spacing w:before="240"/>
              <w:rPr>
                <w:sz w:val="20"/>
                <w:szCs w:val="20"/>
              </w:rPr>
            </w:pPr>
            <w:r>
              <w:rPr>
                <w:sz w:val="20"/>
                <w:szCs w:val="20"/>
              </w:rPr>
              <w:t>The expiry date of this Call-Off Contract in the Order Form.</w:t>
            </w:r>
          </w:p>
        </w:tc>
      </w:tr>
      <w:tr w:rsidR="00150309" w14:paraId="61A3761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D4F89" w14:textId="77777777" w:rsidR="00150309" w:rsidRDefault="00150309">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12504" w14:textId="77777777" w:rsidR="00150309" w:rsidRDefault="00150309">
            <w:pPr>
              <w:spacing w:before="240"/>
              <w:rPr>
                <w:sz w:val="20"/>
                <w:szCs w:val="20"/>
              </w:rPr>
            </w:pPr>
            <w:r>
              <w:rPr>
                <w:sz w:val="20"/>
                <w:szCs w:val="20"/>
              </w:rPr>
              <w:t>A force Majeure event means anything affecting either Party's performance of their obligations arising from any:</w:t>
            </w:r>
          </w:p>
          <w:p w14:paraId="5335FA05" w14:textId="77777777" w:rsidR="00150309" w:rsidRDefault="00150309" w:rsidP="00A845D6">
            <w:pPr>
              <w:pStyle w:val="ListParagraph"/>
              <w:numPr>
                <w:ilvl w:val="0"/>
                <w:numId w:val="9"/>
              </w:numPr>
              <w:rPr>
                <w:sz w:val="20"/>
                <w:szCs w:val="20"/>
              </w:rPr>
            </w:pPr>
            <w:r>
              <w:rPr>
                <w:sz w:val="20"/>
                <w:szCs w:val="20"/>
              </w:rPr>
              <w:t>acts, events or omissions beyond the reasonable control of the affected Party</w:t>
            </w:r>
          </w:p>
          <w:p w14:paraId="58C57D7D" w14:textId="77777777" w:rsidR="00150309" w:rsidRDefault="00150309" w:rsidP="00A845D6">
            <w:pPr>
              <w:pStyle w:val="ListParagraph"/>
              <w:numPr>
                <w:ilvl w:val="0"/>
                <w:numId w:val="10"/>
              </w:numPr>
              <w:rPr>
                <w:sz w:val="20"/>
                <w:szCs w:val="20"/>
              </w:rPr>
            </w:pPr>
            <w:r>
              <w:rPr>
                <w:sz w:val="20"/>
                <w:szCs w:val="20"/>
              </w:rPr>
              <w:t>riots, war or armed conflict, acts of terrorism, nuclear, biological or chemical warfare</w:t>
            </w:r>
          </w:p>
          <w:p w14:paraId="2B6BFEED" w14:textId="77777777" w:rsidR="00150309" w:rsidRDefault="00150309" w:rsidP="00A845D6">
            <w:pPr>
              <w:pStyle w:val="ListParagraph"/>
              <w:numPr>
                <w:ilvl w:val="0"/>
                <w:numId w:val="11"/>
              </w:numPr>
            </w:pPr>
            <w:r>
              <w:t xml:space="preserve">acts of government, local government or Regulatory </w:t>
            </w:r>
            <w:r>
              <w:rPr>
                <w:sz w:val="20"/>
                <w:szCs w:val="20"/>
              </w:rPr>
              <w:t>Bodies</w:t>
            </w:r>
          </w:p>
          <w:p w14:paraId="691F8DC1" w14:textId="77777777" w:rsidR="00150309" w:rsidRDefault="00150309" w:rsidP="00A845D6">
            <w:pPr>
              <w:pStyle w:val="ListParagraph"/>
              <w:numPr>
                <w:ilvl w:val="0"/>
                <w:numId w:val="12"/>
              </w:numPr>
            </w:pPr>
            <w:r>
              <w:rPr>
                <w:sz w:val="14"/>
                <w:szCs w:val="14"/>
              </w:rPr>
              <w:t xml:space="preserve"> </w:t>
            </w:r>
            <w:r>
              <w:rPr>
                <w:sz w:val="20"/>
                <w:szCs w:val="20"/>
              </w:rPr>
              <w:t>fire, flood or disaster and any failure or shortage of power or fuel</w:t>
            </w:r>
          </w:p>
          <w:p w14:paraId="7A8E2623" w14:textId="77777777" w:rsidR="00150309" w:rsidRDefault="00150309" w:rsidP="00A845D6">
            <w:pPr>
              <w:pStyle w:val="ListParagraph"/>
              <w:numPr>
                <w:ilvl w:val="0"/>
                <w:numId w:val="13"/>
              </w:numPr>
              <w:rPr>
                <w:sz w:val="20"/>
                <w:szCs w:val="20"/>
              </w:rPr>
            </w:pPr>
            <w:r>
              <w:rPr>
                <w:sz w:val="20"/>
                <w:szCs w:val="20"/>
              </w:rPr>
              <w:t>industrial dispute affecting a third party for which a substitute third party isn’t reasonably available</w:t>
            </w:r>
          </w:p>
          <w:p w14:paraId="3A5A04AD" w14:textId="77777777" w:rsidR="00150309" w:rsidRDefault="00150309">
            <w:pPr>
              <w:spacing w:before="240"/>
              <w:rPr>
                <w:sz w:val="20"/>
                <w:szCs w:val="20"/>
              </w:rPr>
            </w:pPr>
            <w:r>
              <w:rPr>
                <w:sz w:val="20"/>
                <w:szCs w:val="20"/>
              </w:rPr>
              <w:t>The following do not constitute a Force Majeure event:</w:t>
            </w:r>
          </w:p>
          <w:p w14:paraId="2A723358" w14:textId="77777777" w:rsidR="00150309" w:rsidRDefault="00150309" w:rsidP="00A845D6">
            <w:pPr>
              <w:pStyle w:val="ListParagraph"/>
              <w:numPr>
                <w:ilvl w:val="0"/>
                <w:numId w:val="14"/>
              </w:numPr>
              <w:rPr>
                <w:sz w:val="20"/>
                <w:szCs w:val="20"/>
              </w:rPr>
            </w:pPr>
            <w:r>
              <w:rPr>
                <w:sz w:val="20"/>
                <w:szCs w:val="20"/>
              </w:rPr>
              <w:t>any industrial dispute about the Supplier, its staff, or failure in the Supplier’s (or a Subcontractor's) supply chain</w:t>
            </w:r>
          </w:p>
          <w:p w14:paraId="7A289048" w14:textId="77777777" w:rsidR="00150309" w:rsidRDefault="00150309" w:rsidP="00A845D6">
            <w:pPr>
              <w:pStyle w:val="ListParagraph"/>
              <w:numPr>
                <w:ilvl w:val="0"/>
                <w:numId w:val="14"/>
              </w:numPr>
              <w:rPr>
                <w:sz w:val="20"/>
                <w:szCs w:val="20"/>
              </w:rPr>
            </w:pPr>
            <w:r>
              <w:rPr>
                <w:sz w:val="20"/>
                <w:szCs w:val="20"/>
              </w:rPr>
              <w:t>any event which is attributable to the wilful act, neglect or failure to take reasonable precautions by the Party seeking to rely on Force Majeure</w:t>
            </w:r>
          </w:p>
          <w:p w14:paraId="013407C8" w14:textId="77777777" w:rsidR="00150309" w:rsidRDefault="00150309" w:rsidP="00A845D6">
            <w:pPr>
              <w:pStyle w:val="ListParagraph"/>
              <w:numPr>
                <w:ilvl w:val="0"/>
                <w:numId w:val="14"/>
              </w:numPr>
              <w:rPr>
                <w:sz w:val="20"/>
                <w:szCs w:val="20"/>
              </w:rPr>
            </w:pPr>
            <w:r>
              <w:rPr>
                <w:sz w:val="20"/>
                <w:szCs w:val="20"/>
              </w:rPr>
              <w:t>the event was foreseeable by the Party seeking to rely on Force Majeure at the time this Call-Off Contract was entered into</w:t>
            </w:r>
          </w:p>
          <w:p w14:paraId="441B2D3E" w14:textId="77777777" w:rsidR="00150309" w:rsidRDefault="00150309" w:rsidP="00A845D6">
            <w:pPr>
              <w:pStyle w:val="ListParagraph"/>
              <w:numPr>
                <w:ilvl w:val="0"/>
                <w:numId w:val="1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50309" w14:paraId="50213C0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66277" w14:textId="77777777" w:rsidR="00150309" w:rsidRDefault="00150309">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C50B6" w14:textId="77777777" w:rsidR="00150309" w:rsidRDefault="00150309">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150309" w14:paraId="6A3804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866DB" w14:textId="77777777" w:rsidR="00150309" w:rsidRDefault="00150309">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EADA3" w14:textId="77777777" w:rsidR="00150309" w:rsidRDefault="00150309">
            <w:pPr>
              <w:spacing w:before="240"/>
              <w:rPr>
                <w:sz w:val="20"/>
                <w:szCs w:val="20"/>
              </w:rPr>
            </w:pPr>
            <w:r>
              <w:rPr>
                <w:sz w:val="20"/>
                <w:szCs w:val="20"/>
              </w:rPr>
              <w:t>The clauses of framework agreement RM1557.12 together with the Framework Schedules.</w:t>
            </w:r>
          </w:p>
        </w:tc>
      </w:tr>
      <w:tr w:rsidR="00150309" w14:paraId="045DA00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F7B21" w14:textId="77777777" w:rsidR="00150309" w:rsidRDefault="00150309">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35AC2" w14:textId="77777777" w:rsidR="00150309" w:rsidRDefault="00150309">
            <w:pPr>
              <w:spacing w:before="240"/>
              <w:rPr>
                <w:sz w:val="20"/>
                <w:szCs w:val="20"/>
              </w:rPr>
            </w:pPr>
            <w:r>
              <w:rPr>
                <w:sz w:val="20"/>
                <w:szCs w:val="20"/>
              </w:rPr>
              <w:t xml:space="preserve">Any offence under Laws creating offences in respect of fraudulent acts (including the Misrepresentation Act 1967) or at common law in respect </w:t>
            </w:r>
            <w:r>
              <w:rPr>
                <w:sz w:val="20"/>
                <w:szCs w:val="20"/>
              </w:rPr>
              <w:lastRenderedPageBreak/>
              <w:t>of fraudulent acts in relation to this Call-Off Contract or defrauding or attempting to defraud or conspiring to defraud the Crown.</w:t>
            </w:r>
          </w:p>
        </w:tc>
      </w:tr>
      <w:tr w:rsidR="00150309" w14:paraId="62BFCC4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18F21" w14:textId="77777777" w:rsidR="00150309" w:rsidRDefault="00150309">
            <w:pPr>
              <w:spacing w:before="240"/>
              <w:rPr>
                <w:b/>
                <w:sz w:val="20"/>
                <w:szCs w:val="20"/>
              </w:rPr>
            </w:pPr>
            <w:r>
              <w:rPr>
                <w:b/>
                <w:sz w:val="20"/>
                <w:szCs w:val="20"/>
              </w:rPr>
              <w:lastRenderedPageBreak/>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CA342" w14:textId="77777777" w:rsidR="00150309" w:rsidRDefault="00150309">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50309" w14:paraId="58E59A4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CAD90" w14:textId="77777777" w:rsidR="00150309" w:rsidRDefault="00150309">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B5696" w14:textId="77777777" w:rsidR="00150309" w:rsidRDefault="00150309">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50309" w14:paraId="62A3B4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C4AD7" w14:textId="77777777" w:rsidR="00150309" w:rsidRDefault="00150309">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00B06" w14:textId="77777777" w:rsidR="00150309" w:rsidRDefault="00150309">
            <w:pPr>
              <w:spacing w:before="240"/>
              <w:rPr>
                <w:sz w:val="20"/>
                <w:szCs w:val="20"/>
              </w:rPr>
            </w:pPr>
            <w:r>
              <w:rPr>
                <w:sz w:val="20"/>
                <w:szCs w:val="20"/>
              </w:rPr>
              <w:t>General Data Protection Regulation (Regulation (EU) 2016/679)</w:t>
            </w:r>
          </w:p>
        </w:tc>
      </w:tr>
      <w:tr w:rsidR="00150309" w14:paraId="1D30432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D0614" w14:textId="77777777" w:rsidR="00150309" w:rsidRDefault="00150309">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EF7AC" w14:textId="77777777" w:rsidR="00150309" w:rsidRDefault="00150309">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50309" w14:paraId="2F97AAB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BDA98" w14:textId="77777777" w:rsidR="00150309" w:rsidRDefault="00150309">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DED5C" w14:textId="77777777" w:rsidR="00150309" w:rsidRDefault="00150309">
            <w:pPr>
              <w:spacing w:before="240"/>
              <w:rPr>
                <w:sz w:val="20"/>
                <w:szCs w:val="20"/>
              </w:rPr>
            </w:pPr>
            <w:r>
              <w:rPr>
                <w:sz w:val="20"/>
                <w:szCs w:val="20"/>
              </w:rPr>
              <w:t xml:space="preserve">The government’s preferred method of purchasing and payment for low value goods or services. </w:t>
            </w:r>
          </w:p>
        </w:tc>
      </w:tr>
      <w:tr w:rsidR="00150309" w14:paraId="1AAFF1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D8646" w14:textId="77777777" w:rsidR="00150309" w:rsidRDefault="00150309">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50A11" w14:textId="77777777" w:rsidR="00150309" w:rsidRDefault="00150309">
            <w:pPr>
              <w:spacing w:before="240"/>
              <w:rPr>
                <w:sz w:val="20"/>
                <w:szCs w:val="20"/>
              </w:rPr>
            </w:pPr>
            <w:r>
              <w:rPr>
                <w:sz w:val="20"/>
                <w:szCs w:val="20"/>
              </w:rPr>
              <w:t>The guarantee described in Schedule 5.</w:t>
            </w:r>
          </w:p>
        </w:tc>
      </w:tr>
      <w:tr w:rsidR="00150309" w14:paraId="4C7236A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F1A0D" w14:textId="77777777" w:rsidR="00150309" w:rsidRDefault="00150309">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74AED" w14:textId="77777777" w:rsidR="00150309" w:rsidRDefault="00150309">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50309" w14:paraId="703522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73BE5" w14:textId="77777777" w:rsidR="00150309" w:rsidRDefault="00150309">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1A5DF" w14:textId="77777777" w:rsidR="00150309" w:rsidRDefault="00150309">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50309" w14:paraId="509413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BBFE1" w14:textId="77777777" w:rsidR="00150309" w:rsidRDefault="00150309">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CFDDE" w14:textId="77777777" w:rsidR="00150309" w:rsidRDefault="00150309">
            <w:pPr>
              <w:spacing w:before="240"/>
              <w:rPr>
                <w:sz w:val="20"/>
                <w:szCs w:val="20"/>
              </w:rPr>
            </w:pPr>
            <w:r>
              <w:rPr>
                <w:sz w:val="20"/>
                <w:szCs w:val="20"/>
              </w:rPr>
              <w:t>ESI tool completed by contractors on their own behalf at the request of CCS or the Buyer (as applicable) under clause 4.6.</w:t>
            </w:r>
          </w:p>
        </w:tc>
      </w:tr>
      <w:tr w:rsidR="00150309" w14:paraId="2357D9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92385" w14:textId="77777777" w:rsidR="00150309" w:rsidRDefault="00150309">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47BA2" w14:textId="77777777" w:rsidR="00150309" w:rsidRDefault="00150309">
            <w:pPr>
              <w:spacing w:before="240"/>
              <w:rPr>
                <w:sz w:val="20"/>
                <w:szCs w:val="20"/>
              </w:rPr>
            </w:pPr>
            <w:r>
              <w:rPr>
                <w:sz w:val="20"/>
                <w:szCs w:val="20"/>
              </w:rPr>
              <w:t>Has the meaning given under section 84 of the Freedom of Information Act 2000.</w:t>
            </w:r>
          </w:p>
        </w:tc>
      </w:tr>
      <w:tr w:rsidR="00150309" w14:paraId="4231AC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77A6A" w14:textId="77777777" w:rsidR="00150309" w:rsidRDefault="00150309">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03DD9" w14:textId="77777777" w:rsidR="00150309" w:rsidRDefault="00150309">
            <w:pPr>
              <w:spacing w:before="240"/>
              <w:rPr>
                <w:sz w:val="20"/>
                <w:szCs w:val="20"/>
              </w:rPr>
            </w:pPr>
            <w:r>
              <w:rPr>
                <w:sz w:val="20"/>
                <w:szCs w:val="20"/>
              </w:rPr>
              <w:t>The information security management system and process developed by the Supplier in accordance with clause 16.1.</w:t>
            </w:r>
          </w:p>
        </w:tc>
      </w:tr>
      <w:tr w:rsidR="00150309" w14:paraId="670DEE6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3A462" w14:textId="77777777" w:rsidR="00150309" w:rsidRDefault="00150309">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5F5A7" w14:textId="77777777" w:rsidR="00150309" w:rsidRDefault="00150309">
            <w:pPr>
              <w:spacing w:before="240"/>
              <w:rPr>
                <w:sz w:val="20"/>
                <w:szCs w:val="20"/>
              </w:rPr>
            </w:pPr>
            <w:r>
              <w:rPr>
                <w:sz w:val="20"/>
                <w:szCs w:val="20"/>
              </w:rPr>
              <w:t>Contractual engagements which would be determined to be within the scope of the IR35 Intermediaries legislation if assessed using the ESI tool.</w:t>
            </w:r>
          </w:p>
        </w:tc>
      </w:tr>
      <w:tr w:rsidR="00150309" w14:paraId="5334805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F73A8" w14:textId="77777777" w:rsidR="00150309" w:rsidRDefault="00150309">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4BB23" w14:textId="77777777" w:rsidR="00150309" w:rsidRDefault="00150309">
            <w:pPr>
              <w:spacing w:before="240"/>
              <w:rPr>
                <w:sz w:val="20"/>
                <w:szCs w:val="20"/>
              </w:rPr>
            </w:pPr>
            <w:r>
              <w:rPr>
                <w:sz w:val="20"/>
                <w:szCs w:val="20"/>
              </w:rPr>
              <w:t>Can be:</w:t>
            </w:r>
          </w:p>
          <w:p w14:paraId="5F0C1603" w14:textId="77777777" w:rsidR="00150309" w:rsidRDefault="00150309" w:rsidP="00A845D6">
            <w:pPr>
              <w:pStyle w:val="ListParagraph"/>
              <w:numPr>
                <w:ilvl w:val="0"/>
                <w:numId w:val="15"/>
              </w:numPr>
            </w:pPr>
            <w:r>
              <w:rPr>
                <w:sz w:val="14"/>
                <w:szCs w:val="14"/>
              </w:rPr>
              <w:t xml:space="preserve"> </w:t>
            </w:r>
            <w:r>
              <w:rPr>
                <w:sz w:val="20"/>
                <w:szCs w:val="20"/>
              </w:rPr>
              <w:t>a voluntary arrangement</w:t>
            </w:r>
          </w:p>
          <w:p w14:paraId="6DB56B4C" w14:textId="77777777" w:rsidR="00150309" w:rsidRDefault="00150309" w:rsidP="00A845D6">
            <w:pPr>
              <w:pStyle w:val="ListParagraph"/>
              <w:numPr>
                <w:ilvl w:val="0"/>
                <w:numId w:val="15"/>
              </w:numPr>
              <w:rPr>
                <w:sz w:val="20"/>
                <w:szCs w:val="20"/>
              </w:rPr>
            </w:pPr>
            <w:r>
              <w:rPr>
                <w:sz w:val="20"/>
                <w:szCs w:val="20"/>
              </w:rPr>
              <w:t>a winding-up petition</w:t>
            </w:r>
          </w:p>
          <w:p w14:paraId="63E22643" w14:textId="77777777" w:rsidR="00150309" w:rsidRDefault="00150309" w:rsidP="00A845D6">
            <w:pPr>
              <w:pStyle w:val="ListParagraph"/>
              <w:numPr>
                <w:ilvl w:val="0"/>
                <w:numId w:val="15"/>
              </w:numPr>
              <w:rPr>
                <w:sz w:val="20"/>
                <w:szCs w:val="20"/>
              </w:rPr>
            </w:pPr>
            <w:r>
              <w:rPr>
                <w:sz w:val="20"/>
                <w:szCs w:val="20"/>
              </w:rPr>
              <w:t>the appointment of a receiver or administrator</w:t>
            </w:r>
          </w:p>
          <w:p w14:paraId="75E2C8A8" w14:textId="77777777" w:rsidR="00150309" w:rsidRDefault="00150309" w:rsidP="00A845D6">
            <w:pPr>
              <w:pStyle w:val="ListParagraph"/>
              <w:numPr>
                <w:ilvl w:val="0"/>
                <w:numId w:val="15"/>
              </w:numPr>
              <w:rPr>
                <w:sz w:val="20"/>
                <w:szCs w:val="20"/>
              </w:rPr>
            </w:pPr>
            <w:r>
              <w:rPr>
                <w:sz w:val="20"/>
                <w:szCs w:val="20"/>
              </w:rPr>
              <w:t>an unresolved statutory demand</w:t>
            </w:r>
          </w:p>
          <w:p w14:paraId="1838B996" w14:textId="77777777" w:rsidR="00150309" w:rsidRDefault="00150309" w:rsidP="00A845D6">
            <w:pPr>
              <w:pStyle w:val="ListParagraph"/>
              <w:numPr>
                <w:ilvl w:val="0"/>
                <w:numId w:val="15"/>
              </w:numPr>
            </w:pPr>
            <w:r>
              <w:t>a S</w:t>
            </w:r>
            <w:r>
              <w:rPr>
                <w:sz w:val="20"/>
                <w:szCs w:val="20"/>
              </w:rPr>
              <w:t>chedule A1 moratorium</w:t>
            </w:r>
          </w:p>
        </w:tc>
      </w:tr>
      <w:tr w:rsidR="00150309" w14:paraId="5EF86F0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C6312" w14:textId="77777777" w:rsidR="00150309" w:rsidRDefault="00150309">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17EBB" w14:textId="77777777" w:rsidR="00150309" w:rsidRDefault="00150309">
            <w:pPr>
              <w:spacing w:before="240"/>
              <w:rPr>
                <w:sz w:val="20"/>
                <w:szCs w:val="20"/>
              </w:rPr>
            </w:pPr>
            <w:r>
              <w:rPr>
                <w:sz w:val="20"/>
                <w:szCs w:val="20"/>
              </w:rPr>
              <w:t>Intellectual Property Rights are:</w:t>
            </w:r>
          </w:p>
          <w:p w14:paraId="22C7B9EE" w14:textId="77777777" w:rsidR="00150309" w:rsidRDefault="00150309" w:rsidP="00A845D6">
            <w:pPr>
              <w:pStyle w:val="ListParagraph"/>
              <w:numPr>
                <w:ilvl w:val="0"/>
                <w:numId w:val="1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334ABD0" w14:textId="77777777" w:rsidR="00150309" w:rsidRDefault="00150309" w:rsidP="00A845D6">
            <w:pPr>
              <w:pStyle w:val="ListParagraph"/>
              <w:numPr>
                <w:ilvl w:val="0"/>
                <w:numId w:val="16"/>
              </w:numPr>
              <w:rPr>
                <w:sz w:val="20"/>
                <w:szCs w:val="20"/>
              </w:rPr>
            </w:pPr>
            <w:r>
              <w:rPr>
                <w:sz w:val="20"/>
                <w:szCs w:val="20"/>
              </w:rPr>
              <w:t>applications for registration, and the right to apply for registration, for any of the rights listed at (a) that are capable of being registered in any country or jurisdiction</w:t>
            </w:r>
          </w:p>
          <w:p w14:paraId="76B027EC" w14:textId="77777777" w:rsidR="00150309" w:rsidRDefault="00150309" w:rsidP="00A845D6">
            <w:pPr>
              <w:pStyle w:val="ListParagraph"/>
              <w:numPr>
                <w:ilvl w:val="0"/>
                <w:numId w:val="16"/>
              </w:numPr>
              <w:rPr>
                <w:sz w:val="20"/>
                <w:szCs w:val="20"/>
              </w:rPr>
            </w:pPr>
            <w:r>
              <w:rPr>
                <w:sz w:val="20"/>
                <w:szCs w:val="20"/>
              </w:rPr>
              <w:t>all other rights having equivalent or similar effect in any country or jurisdiction</w:t>
            </w:r>
          </w:p>
        </w:tc>
      </w:tr>
      <w:tr w:rsidR="00150309" w14:paraId="230755CA"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79DAD" w14:textId="77777777" w:rsidR="00150309" w:rsidRDefault="00150309">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90303" w14:textId="77777777" w:rsidR="00150309" w:rsidRDefault="00150309">
            <w:pPr>
              <w:spacing w:before="240"/>
              <w:rPr>
                <w:sz w:val="20"/>
                <w:szCs w:val="20"/>
              </w:rPr>
            </w:pPr>
            <w:r>
              <w:rPr>
                <w:sz w:val="20"/>
                <w:szCs w:val="20"/>
              </w:rPr>
              <w:t>For the purposes of the IR35 rules an intermediary can be:</w:t>
            </w:r>
          </w:p>
          <w:p w14:paraId="72F56C05" w14:textId="77777777" w:rsidR="00150309" w:rsidRDefault="00150309" w:rsidP="00A845D6">
            <w:pPr>
              <w:pStyle w:val="ListParagraph"/>
              <w:numPr>
                <w:ilvl w:val="0"/>
                <w:numId w:val="17"/>
              </w:numPr>
              <w:rPr>
                <w:sz w:val="20"/>
                <w:szCs w:val="20"/>
              </w:rPr>
            </w:pPr>
            <w:r>
              <w:rPr>
                <w:sz w:val="20"/>
                <w:szCs w:val="20"/>
              </w:rPr>
              <w:t>the supplier's own limited company</w:t>
            </w:r>
          </w:p>
          <w:p w14:paraId="4C3DE52A" w14:textId="77777777" w:rsidR="00150309" w:rsidRDefault="00150309" w:rsidP="00A845D6">
            <w:pPr>
              <w:pStyle w:val="ListParagraph"/>
              <w:numPr>
                <w:ilvl w:val="0"/>
                <w:numId w:val="17"/>
              </w:numPr>
              <w:rPr>
                <w:sz w:val="20"/>
                <w:szCs w:val="20"/>
              </w:rPr>
            </w:pPr>
            <w:r>
              <w:rPr>
                <w:sz w:val="20"/>
                <w:szCs w:val="20"/>
              </w:rPr>
              <w:t>a service or a personal service company</w:t>
            </w:r>
          </w:p>
          <w:p w14:paraId="7D8D6514" w14:textId="77777777" w:rsidR="00150309" w:rsidRDefault="00150309" w:rsidP="00A845D6">
            <w:pPr>
              <w:pStyle w:val="ListParagraph"/>
              <w:numPr>
                <w:ilvl w:val="0"/>
                <w:numId w:val="17"/>
              </w:numPr>
              <w:rPr>
                <w:sz w:val="20"/>
                <w:szCs w:val="20"/>
              </w:rPr>
            </w:pPr>
            <w:r>
              <w:rPr>
                <w:sz w:val="20"/>
                <w:szCs w:val="20"/>
              </w:rPr>
              <w:t>a partnership</w:t>
            </w:r>
          </w:p>
          <w:p w14:paraId="346BB4E4" w14:textId="77777777" w:rsidR="00150309" w:rsidRDefault="00150309">
            <w:pPr>
              <w:spacing w:before="240"/>
              <w:rPr>
                <w:sz w:val="20"/>
                <w:szCs w:val="20"/>
              </w:rPr>
            </w:pPr>
            <w:r>
              <w:rPr>
                <w:sz w:val="20"/>
                <w:szCs w:val="20"/>
              </w:rPr>
              <w:t>It does not apply if you work for a client through a Managed Service Company (MSC) or agency (for example, an employment agency).</w:t>
            </w:r>
          </w:p>
        </w:tc>
      </w:tr>
      <w:tr w:rsidR="00150309" w14:paraId="58E9EBE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2DA61" w14:textId="77777777" w:rsidR="00150309" w:rsidRDefault="00150309">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0BDB1" w14:textId="77777777" w:rsidR="00150309" w:rsidRDefault="00150309">
            <w:pPr>
              <w:spacing w:before="240"/>
              <w:rPr>
                <w:sz w:val="20"/>
                <w:szCs w:val="20"/>
              </w:rPr>
            </w:pPr>
            <w:r>
              <w:rPr>
                <w:sz w:val="20"/>
                <w:szCs w:val="20"/>
              </w:rPr>
              <w:t>As set out in clause 11.5.</w:t>
            </w:r>
          </w:p>
        </w:tc>
      </w:tr>
      <w:tr w:rsidR="00150309" w14:paraId="1C4D5A3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C6E30" w14:textId="77777777" w:rsidR="00150309" w:rsidRDefault="00150309">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BFCC7" w14:textId="77777777" w:rsidR="00150309" w:rsidRDefault="00150309">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50309" w14:paraId="4CBF44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B2754" w14:textId="77777777" w:rsidR="00150309" w:rsidRDefault="00150309">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0AD91" w14:textId="77777777" w:rsidR="00150309" w:rsidRDefault="00150309">
            <w:pPr>
              <w:spacing w:before="240"/>
              <w:rPr>
                <w:sz w:val="20"/>
                <w:szCs w:val="20"/>
              </w:rPr>
            </w:pPr>
            <w:r>
              <w:rPr>
                <w:sz w:val="20"/>
                <w:szCs w:val="20"/>
              </w:rPr>
              <w:t>Assessment of employment status using the ESI tool to determine if engagement is Inside or Outside IR35.</w:t>
            </w:r>
          </w:p>
        </w:tc>
      </w:tr>
      <w:tr w:rsidR="00150309" w14:paraId="41512F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C39C1" w14:textId="77777777" w:rsidR="00150309" w:rsidRDefault="00150309">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07DA6" w14:textId="77777777" w:rsidR="00150309" w:rsidRDefault="00150309">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50309" w14:paraId="5A7F252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E1E84" w14:textId="77777777" w:rsidR="00150309" w:rsidRDefault="00150309">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589AA" w14:textId="77777777" w:rsidR="00150309" w:rsidRDefault="00150309">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50309" w14:paraId="020FE0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26187" w14:textId="77777777" w:rsidR="00150309" w:rsidRDefault="00150309">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44FA2" w14:textId="77777777" w:rsidR="00150309" w:rsidRDefault="00150309">
            <w:pPr>
              <w:spacing w:before="240"/>
              <w:rPr>
                <w:sz w:val="20"/>
                <w:szCs w:val="20"/>
              </w:rPr>
            </w:pPr>
            <w:r>
              <w:rPr>
                <w:sz w:val="20"/>
                <w:szCs w:val="20"/>
              </w:rPr>
              <w:t>Law Enforcement Directive (EU) 2016/680.</w:t>
            </w:r>
          </w:p>
        </w:tc>
      </w:tr>
      <w:tr w:rsidR="00150309" w14:paraId="3F53F024"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A489A" w14:textId="77777777" w:rsidR="00150309" w:rsidRDefault="00150309">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FFEF0" w14:textId="77777777" w:rsidR="00150309" w:rsidRDefault="00150309">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50309" w14:paraId="63DD8D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05C57" w14:textId="77777777" w:rsidR="00150309" w:rsidRDefault="00150309">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31F1D" w14:textId="77777777" w:rsidR="00150309" w:rsidRDefault="00150309">
            <w:pPr>
              <w:spacing w:before="240"/>
              <w:rPr>
                <w:sz w:val="20"/>
                <w:szCs w:val="20"/>
              </w:rPr>
            </w:pPr>
            <w:r>
              <w:rPr>
                <w:sz w:val="20"/>
                <w:szCs w:val="20"/>
              </w:rPr>
              <w:t>Any of the 3 Lots specified in the ITT and Lots will be construed accordingly.</w:t>
            </w:r>
          </w:p>
        </w:tc>
      </w:tr>
      <w:tr w:rsidR="00150309" w14:paraId="315067C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A4BE7" w14:textId="77777777" w:rsidR="00150309" w:rsidRDefault="00150309">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EC60A" w14:textId="77777777" w:rsidR="00150309" w:rsidRDefault="00150309">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50309" w14:paraId="26CB305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9A6E3" w14:textId="77777777" w:rsidR="00150309" w:rsidRDefault="00150309">
            <w:pPr>
              <w:spacing w:before="240"/>
              <w:rPr>
                <w:b/>
                <w:sz w:val="20"/>
                <w:szCs w:val="20"/>
              </w:rPr>
            </w:pPr>
            <w:r>
              <w:rPr>
                <w:b/>
                <w:sz w:val="20"/>
                <w:szCs w:val="20"/>
              </w:rPr>
              <w:lastRenderedPageBreak/>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46C1" w14:textId="77777777" w:rsidR="00150309" w:rsidRDefault="00150309">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50309" w14:paraId="7C88D5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AEF85" w14:textId="77777777" w:rsidR="00150309" w:rsidRDefault="00150309">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3A0B4" w14:textId="77777777" w:rsidR="00150309" w:rsidRDefault="00150309">
            <w:pPr>
              <w:spacing w:before="240"/>
              <w:rPr>
                <w:sz w:val="20"/>
                <w:szCs w:val="20"/>
              </w:rPr>
            </w:pPr>
            <w:r>
              <w:rPr>
                <w:sz w:val="20"/>
                <w:szCs w:val="20"/>
              </w:rPr>
              <w:t>The management information specified in Framework Agreement section 6 (What you report to CCS).</w:t>
            </w:r>
          </w:p>
        </w:tc>
      </w:tr>
      <w:tr w:rsidR="00150309" w14:paraId="69C433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88331" w14:textId="77777777" w:rsidR="00150309" w:rsidRDefault="00150309">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DB276" w14:textId="77777777" w:rsidR="00150309" w:rsidRDefault="00150309">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50309" w14:paraId="1A1613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9BA01" w14:textId="77777777" w:rsidR="00150309" w:rsidRDefault="00150309">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18AC9" w14:textId="77777777" w:rsidR="00150309" w:rsidRDefault="00150309">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50309" w14:paraId="471C4D9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1C886" w14:textId="77777777" w:rsidR="00150309" w:rsidRDefault="00150309">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6B28A" w14:textId="77777777" w:rsidR="00150309" w:rsidRDefault="00150309">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50309" w14:paraId="5DFF58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A9F69" w14:textId="77777777" w:rsidR="00150309" w:rsidRDefault="00150309">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24009" w14:textId="77777777" w:rsidR="00150309" w:rsidRDefault="00150309">
            <w:pPr>
              <w:spacing w:before="240"/>
              <w:rPr>
                <w:sz w:val="20"/>
                <w:szCs w:val="20"/>
              </w:rPr>
            </w:pPr>
            <w:r>
              <w:rPr>
                <w:sz w:val="20"/>
                <w:szCs w:val="20"/>
              </w:rPr>
              <w:t>An order for G-Cloud Services placed by a contracting body with the Supplier in accordance with the ordering processes.</w:t>
            </w:r>
          </w:p>
        </w:tc>
      </w:tr>
      <w:tr w:rsidR="00150309" w14:paraId="517432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AB925" w14:textId="77777777" w:rsidR="00150309" w:rsidRDefault="00150309">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D84FF" w14:textId="77777777" w:rsidR="00150309" w:rsidRDefault="00150309">
            <w:pPr>
              <w:spacing w:before="240"/>
              <w:rPr>
                <w:sz w:val="20"/>
                <w:szCs w:val="20"/>
              </w:rPr>
            </w:pPr>
            <w:r>
              <w:rPr>
                <w:sz w:val="20"/>
                <w:szCs w:val="20"/>
              </w:rPr>
              <w:t>The order form set out in Part A of the Call-Off Contract to be used by a Buyer to order G-Cloud Services.</w:t>
            </w:r>
          </w:p>
        </w:tc>
      </w:tr>
      <w:tr w:rsidR="00150309" w14:paraId="426022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45E9B" w14:textId="77777777" w:rsidR="00150309" w:rsidRDefault="00150309">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E452A" w14:textId="77777777" w:rsidR="00150309" w:rsidRDefault="00150309">
            <w:pPr>
              <w:spacing w:before="240"/>
              <w:rPr>
                <w:sz w:val="20"/>
                <w:szCs w:val="20"/>
              </w:rPr>
            </w:pPr>
            <w:r>
              <w:rPr>
                <w:sz w:val="20"/>
                <w:szCs w:val="20"/>
              </w:rPr>
              <w:t>G-Cloud Services which are the subject of an order by the Buyer.</w:t>
            </w:r>
          </w:p>
        </w:tc>
      </w:tr>
      <w:tr w:rsidR="00150309" w14:paraId="356B5D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CD060" w14:textId="77777777" w:rsidR="00150309" w:rsidRDefault="00150309">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2EFEE" w14:textId="77777777" w:rsidR="00150309" w:rsidRDefault="00150309">
            <w:pPr>
              <w:spacing w:before="240"/>
              <w:rPr>
                <w:sz w:val="20"/>
                <w:szCs w:val="20"/>
              </w:rPr>
            </w:pPr>
            <w:r>
              <w:rPr>
                <w:sz w:val="20"/>
                <w:szCs w:val="20"/>
              </w:rPr>
              <w:t>Contractual engagements which would be determined to not be within the scope of the IR35 intermediaries legislation if assessed using the ESI tool.</w:t>
            </w:r>
          </w:p>
        </w:tc>
      </w:tr>
      <w:tr w:rsidR="00150309" w14:paraId="5C62C8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CAC09" w14:textId="77777777" w:rsidR="00150309" w:rsidRDefault="00150309">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0DC5D" w14:textId="77777777" w:rsidR="00150309" w:rsidRDefault="00150309">
            <w:pPr>
              <w:spacing w:before="240"/>
              <w:rPr>
                <w:sz w:val="20"/>
                <w:szCs w:val="20"/>
              </w:rPr>
            </w:pPr>
            <w:r>
              <w:rPr>
                <w:sz w:val="20"/>
                <w:szCs w:val="20"/>
              </w:rPr>
              <w:t>The Buyer or the Supplier and ‘Parties’ will be interpreted accordingly.</w:t>
            </w:r>
          </w:p>
        </w:tc>
      </w:tr>
      <w:tr w:rsidR="00150309" w14:paraId="2F7665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E6BC3" w14:textId="77777777" w:rsidR="00150309" w:rsidRDefault="00150309">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90B62" w14:textId="77777777" w:rsidR="00150309" w:rsidRDefault="00150309">
            <w:pPr>
              <w:spacing w:before="240"/>
              <w:rPr>
                <w:sz w:val="20"/>
                <w:szCs w:val="20"/>
              </w:rPr>
            </w:pPr>
            <w:r>
              <w:rPr>
                <w:sz w:val="20"/>
                <w:szCs w:val="20"/>
              </w:rPr>
              <w:t>Takes the meaning given in the GDPR.</w:t>
            </w:r>
          </w:p>
        </w:tc>
      </w:tr>
      <w:tr w:rsidR="00150309" w14:paraId="1E4F2F6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1A4FC" w14:textId="77777777" w:rsidR="00150309" w:rsidRDefault="00150309">
            <w:pPr>
              <w:spacing w:before="240"/>
              <w:rPr>
                <w:b/>
                <w:sz w:val="20"/>
                <w:szCs w:val="20"/>
              </w:rPr>
            </w:pPr>
            <w:r>
              <w:rPr>
                <w:b/>
                <w:sz w:val="20"/>
                <w:szCs w:val="20"/>
              </w:rPr>
              <w:lastRenderedPageBreak/>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3598C" w14:textId="77777777" w:rsidR="00150309" w:rsidRDefault="00150309">
            <w:pPr>
              <w:spacing w:before="240"/>
              <w:rPr>
                <w:sz w:val="20"/>
                <w:szCs w:val="20"/>
              </w:rPr>
            </w:pPr>
            <w:r>
              <w:rPr>
                <w:sz w:val="20"/>
                <w:szCs w:val="20"/>
              </w:rPr>
              <w:t>Takes the meaning given in the GDPR.</w:t>
            </w:r>
          </w:p>
        </w:tc>
      </w:tr>
      <w:tr w:rsidR="00150309" w14:paraId="037DB3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9FFDE" w14:textId="77777777" w:rsidR="00150309" w:rsidRDefault="00150309">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9E11B" w14:textId="77777777" w:rsidR="00150309" w:rsidRDefault="00150309">
            <w:pPr>
              <w:spacing w:before="240"/>
              <w:rPr>
                <w:sz w:val="20"/>
                <w:szCs w:val="20"/>
              </w:rPr>
            </w:pPr>
            <w:r>
              <w:rPr>
                <w:sz w:val="20"/>
                <w:szCs w:val="20"/>
              </w:rPr>
              <w:t>Takes the meaning given in the GDPR.</w:t>
            </w:r>
          </w:p>
        </w:tc>
      </w:tr>
      <w:tr w:rsidR="00150309" w14:paraId="4B9796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C4EE2" w14:textId="77777777" w:rsidR="00150309" w:rsidRDefault="00150309">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AE09C" w14:textId="77777777" w:rsidR="00150309" w:rsidRDefault="00150309">
            <w:pPr>
              <w:spacing w:before="240"/>
              <w:rPr>
                <w:sz w:val="20"/>
                <w:szCs w:val="20"/>
              </w:rPr>
            </w:pPr>
            <w:r>
              <w:rPr>
                <w:sz w:val="20"/>
                <w:szCs w:val="20"/>
              </w:rPr>
              <w:t>Takes the meaning given in the GDPR.</w:t>
            </w:r>
          </w:p>
        </w:tc>
      </w:tr>
      <w:tr w:rsidR="00150309" w14:paraId="3FFC1104"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42C40" w14:textId="77777777" w:rsidR="00150309" w:rsidRDefault="00150309">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23EA2" w14:textId="77777777" w:rsidR="00150309" w:rsidRDefault="00150309">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CB9AD36" w14:textId="77777777" w:rsidR="00150309" w:rsidRDefault="00150309" w:rsidP="00A845D6">
            <w:pPr>
              <w:pStyle w:val="ListParagraph"/>
              <w:numPr>
                <w:ilvl w:val="0"/>
                <w:numId w:val="18"/>
              </w:numPr>
              <w:rPr>
                <w:sz w:val="20"/>
                <w:szCs w:val="20"/>
              </w:rPr>
            </w:pPr>
            <w:r>
              <w:rPr>
                <w:sz w:val="20"/>
                <w:szCs w:val="20"/>
              </w:rPr>
              <w:t>induce that person to perform improperly a relevant function or activity</w:t>
            </w:r>
          </w:p>
          <w:p w14:paraId="4A36BAB9" w14:textId="77777777" w:rsidR="00150309" w:rsidRDefault="00150309" w:rsidP="00A845D6">
            <w:pPr>
              <w:pStyle w:val="ListParagraph"/>
              <w:numPr>
                <w:ilvl w:val="0"/>
                <w:numId w:val="18"/>
              </w:numPr>
              <w:rPr>
                <w:sz w:val="20"/>
                <w:szCs w:val="20"/>
              </w:rPr>
            </w:pPr>
            <w:r>
              <w:rPr>
                <w:sz w:val="20"/>
                <w:szCs w:val="20"/>
              </w:rPr>
              <w:t>reward that person for improper performance of a relevant function or activity</w:t>
            </w:r>
          </w:p>
          <w:p w14:paraId="30A61756" w14:textId="77777777" w:rsidR="00150309" w:rsidRDefault="00150309" w:rsidP="00A845D6">
            <w:pPr>
              <w:pStyle w:val="ListParagraph"/>
              <w:numPr>
                <w:ilvl w:val="0"/>
                <w:numId w:val="18"/>
              </w:numPr>
              <w:rPr>
                <w:sz w:val="20"/>
                <w:szCs w:val="20"/>
              </w:rPr>
            </w:pPr>
            <w:r>
              <w:rPr>
                <w:sz w:val="20"/>
                <w:szCs w:val="20"/>
              </w:rPr>
              <w:t>commit any offence:</w:t>
            </w:r>
          </w:p>
          <w:p w14:paraId="6EDA06B2" w14:textId="77777777" w:rsidR="00150309" w:rsidRDefault="00150309" w:rsidP="00A845D6">
            <w:pPr>
              <w:pStyle w:val="ListParagraph"/>
              <w:numPr>
                <w:ilvl w:val="1"/>
                <w:numId w:val="18"/>
              </w:numPr>
              <w:rPr>
                <w:sz w:val="20"/>
                <w:szCs w:val="20"/>
              </w:rPr>
            </w:pPr>
            <w:r>
              <w:rPr>
                <w:sz w:val="20"/>
                <w:szCs w:val="20"/>
              </w:rPr>
              <w:t>under the Bribery Act 2010</w:t>
            </w:r>
          </w:p>
          <w:p w14:paraId="3D3FCD4E" w14:textId="77777777" w:rsidR="00150309" w:rsidRDefault="00150309" w:rsidP="00A845D6">
            <w:pPr>
              <w:pStyle w:val="ListParagraph"/>
              <w:numPr>
                <w:ilvl w:val="1"/>
                <w:numId w:val="18"/>
              </w:numPr>
              <w:rPr>
                <w:sz w:val="20"/>
                <w:szCs w:val="20"/>
              </w:rPr>
            </w:pPr>
            <w:r>
              <w:rPr>
                <w:sz w:val="20"/>
                <w:szCs w:val="20"/>
              </w:rPr>
              <w:t>under legislation creating offences concerning Fraud</w:t>
            </w:r>
          </w:p>
          <w:p w14:paraId="53B3FFE1" w14:textId="77777777" w:rsidR="00150309" w:rsidRDefault="00150309" w:rsidP="00A845D6">
            <w:pPr>
              <w:pStyle w:val="ListParagraph"/>
              <w:numPr>
                <w:ilvl w:val="1"/>
                <w:numId w:val="18"/>
              </w:numPr>
            </w:pPr>
            <w:r>
              <w:t>at common Law concerning Fraud</w:t>
            </w:r>
          </w:p>
          <w:p w14:paraId="3B6C2CB6" w14:textId="77777777" w:rsidR="00150309" w:rsidRDefault="00150309" w:rsidP="00A845D6">
            <w:pPr>
              <w:pStyle w:val="ListParagraph"/>
              <w:numPr>
                <w:ilvl w:val="1"/>
                <w:numId w:val="18"/>
              </w:numPr>
              <w:rPr>
                <w:sz w:val="20"/>
                <w:szCs w:val="20"/>
              </w:rPr>
            </w:pPr>
            <w:r>
              <w:rPr>
                <w:sz w:val="20"/>
                <w:szCs w:val="20"/>
              </w:rPr>
              <w:t>committing or attempting or conspiring to commit Fraud</w:t>
            </w:r>
          </w:p>
        </w:tc>
      </w:tr>
      <w:tr w:rsidR="00150309" w14:paraId="315A71C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5AA8F" w14:textId="77777777" w:rsidR="00150309" w:rsidRDefault="00150309">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CFD33" w14:textId="77777777" w:rsidR="00150309" w:rsidRDefault="00150309">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50309" w14:paraId="2F2910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BE0FE" w14:textId="77777777" w:rsidR="00150309" w:rsidRDefault="00150309">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35A39" w14:textId="77777777" w:rsidR="00150309" w:rsidRDefault="00150309">
            <w:pPr>
              <w:spacing w:before="240"/>
              <w:rPr>
                <w:sz w:val="20"/>
                <w:szCs w:val="20"/>
              </w:rPr>
            </w:pPr>
            <w:r>
              <w:rPr>
                <w:sz w:val="20"/>
                <w:szCs w:val="20"/>
              </w:rPr>
              <w:t>Assets and property including technical infrastructure, IPRs and equipment.</w:t>
            </w:r>
          </w:p>
        </w:tc>
      </w:tr>
      <w:tr w:rsidR="00150309" w14:paraId="7922FC1C"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CD4E0" w14:textId="77777777" w:rsidR="00150309" w:rsidRDefault="00150309">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F858B" w14:textId="77777777" w:rsidR="00150309" w:rsidRDefault="00150309">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50309" w14:paraId="796ACF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EBD79" w14:textId="77777777" w:rsidR="00150309" w:rsidRDefault="00150309">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7BC2C" w14:textId="77777777" w:rsidR="00150309" w:rsidRDefault="00150309">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50309" w14:paraId="56161C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49B16" w14:textId="77777777" w:rsidR="00150309" w:rsidRDefault="00150309">
            <w:pPr>
              <w:spacing w:before="240"/>
              <w:rPr>
                <w:b/>
                <w:sz w:val="20"/>
                <w:szCs w:val="20"/>
              </w:rPr>
            </w:pPr>
            <w:r>
              <w:rPr>
                <w:b/>
                <w:sz w:val="20"/>
                <w:szCs w:val="20"/>
              </w:rPr>
              <w:lastRenderedPageBreak/>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E52A9" w14:textId="77777777" w:rsidR="00150309" w:rsidRDefault="00150309">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50309" w14:paraId="742097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EB1F" w14:textId="77777777" w:rsidR="00150309" w:rsidRDefault="00150309">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1CF0A" w14:textId="77777777" w:rsidR="00150309" w:rsidRDefault="00150309">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50309" w14:paraId="509DFE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1FD44" w14:textId="77777777" w:rsidR="00150309" w:rsidRDefault="00150309">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DE95A" w14:textId="77777777" w:rsidR="00150309" w:rsidRDefault="00150309">
            <w:pPr>
              <w:spacing w:before="240"/>
              <w:rPr>
                <w:sz w:val="20"/>
                <w:szCs w:val="20"/>
              </w:rPr>
            </w:pPr>
            <w:r>
              <w:rPr>
                <w:sz w:val="20"/>
                <w:szCs w:val="20"/>
              </w:rPr>
              <w:t>A transfer of employment to which the employment regulations applies.</w:t>
            </w:r>
          </w:p>
        </w:tc>
      </w:tr>
      <w:tr w:rsidR="00150309" w14:paraId="2182A5F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322E1" w14:textId="77777777" w:rsidR="00150309" w:rsidRDefault="00150309">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DF9BE" w14:textId="77777777" w:rsidR="00150309" w:rsidRDefault="00150309">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50309" w14:paraId="6E492F4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6F56A" w14:textId="77777777" w:rsidR="00150309" w:rsidRDefault="00150309">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1ABD0" w14:textId="77777777" w:rsidR="00150309" w:rsidRDefault="00150309">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50309" w14:paraId="552CB6E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72257" w14:textId="77777777" w:rsidR="00150309" w:rsidRDefault="00150309">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D26F8" w14:textId="77777777" w:rsidR="00150309" w:rsidRDefault="00150309">
            <w:pPr>
              <w:spacing w:before="240"/>
              <w:rPr>
                <w:sz w:val="20"/>
                <w:szCs w:val="20"/>
              </w:rPr>
            </w:pPr>
            <w:r>
              <w:rPr>
                <w:sz w:val="20"/>
                <w:szCs w:val="20"/>
              </w:rPr>
              <w:t>The Supplier's security management plan developed by the Supplier in accordance with clause 16.1.</w:t>
            </w:r>
          </w:p>
        </w:tc>
      </w:tr>
      <w:tr w:rsidR="00150309" w14:paraId="196FF4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DE2F" w14:textId="77777777" w:rsidR="00150309" w:rsidRDefault="00150309">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88200" w14:textId="77777777" w:rsidR="00150309" w:rsidRDefault="00150309">
            <w:pPr>
              <w:spacing w:before="240"/>
              <w:rPr>
                <w:sz w:val="20"/>
                <w:szCs w:val="20"/>
              </w:rPr>
            </w:pPr>
            <w:r>
              <w:rPr>
                <w:sz w:val="20"/>
                <w:szCs w:val="20"/>
              </w:rPr>
              <w:t>The services ordered by the Buyer as set out in the Order Form.</w:t>
            </w:r>
          </w:p>
        </w:tc>
      </w:tr>
      <w:tr w:rsidR="00150309" w14:paraId="5CADC0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3279C" w14:textId="77777777" w:rsidR="00150309" w:rsidRDefault="00150309">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37A0A" w14:textId="77777777" w:rsidR="00150309" w:rsidRDefault="00150309">
            <w:pPr>
              <w:spacing w:before="240"/>
              <w:rPr>
                <w:sz w:val="20"/>
                <w:szCs w:val="20"/>
              </w:rPr>
            </w:pPr>
            <w:r>
              <w:rPr>
                <w:sz w:val="20"/>
                <w:szCs w:val="20"/>
              </w:rPr>
              <w:t>Data that is owned or managed by the Buyer and used for the G-Cloud Services, including backup data.</w:t>
            </w:r>
          </w:p>
        </w:tc>
      </w:tr>
      <w:tr w:rsidR="00150309" w14:paraId="0384B6F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E2DA5" w14:textId="77777777" w:rsidR="00150309" w:rsidRDefault="00150309">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9D09B" w14:textId="77777777" w:rsidR="00150309" w:rsidRDefault="00150309">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50309" w14:paraId="5726C3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B9705" w14:textId="77777777" w:rsidR="00150309" w:rsidRDefault="00150309">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D4F44" w14:textId="77777777" w:rsidR="00150309" w:rsidRDefault="00150309">
            <w:pPr>
              <w:spacing w:before="240"/>
              <w:rPr>
                <w:sz w:val="20"/>
                <w:szCs w:val="20"/>
              </w:rPr>
            </w:pPr>
            <w:r>
              <w:rPr>
                <w:sz w:val="20"/>
                <w:szCs w:val="20"/>
              </w:rPr>
              <w:t>The description of the Supplier service offering as published on the Digital Marketplace.</w:t>
            </w:r>
          </w:p>
        </w:tc>
      </w:tr>
      <w:tr w:rsidR="00150309" w14:paraId="063C56B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CC558" w14:textId="77777777" w:rsidR="00150309" w:rsidRDefault="00150309">
            <w:pPr>
              <w:spacing w:before="240"/>
              <w:rPr>
                <w:b/>
                <w:sz w:val="20"/>
                <w:szCs w:val="20"/>
              </w:rPr>
            </w:pPr>
            <w:r>
              <w:rPr>
                <w:b/>
                <w:sz w:val="20"/>
                <w:szCs w:val="20"/>
              </w:rPr>
              <w:lastRenderedPageBreak/>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B6DB4" w14:textId="77777777" w:rsidR="00150309" w:rsidRDefault="00150309">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50309" w14:paraId="6FFC868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7EA39" w14:textId="77777777" w:rsidR="00150309" w:rsidRDefault="00150309">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15F95" w14:textId="77777777" w:rsidR="00150309" w:rsidRDefault="00150309">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150309" w14:paraId="220D1D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2F4F7" w14:textId="77777777" w:rsidR="00150309" w:rsidRDefault="00150309">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C797A" w14:textId="77777777" w:rsidR="00150309" w:rsidRDefault="00150309">
            <w:pPr>
              <w:spacing w:before="240"/>
              <w:rPr>
                <w:sz w:val="20"/>
                <w:szCs w:val="20"/>
              </w:rPr>
            </w:pPr>
            <w:r>
              <w:rPr>
                <w:sz w:val="20"/>
                <w:szCs w:val="20"/>
              </w:rPr>
              <w:t>The Start date of this Call-Off Contract as set out in the Order Form.</w:t>
            </w:r>
          </w:p>
        </w:tc>
      </w:tr>
      <w:tr w:rsidR="00150309" w14:paraId="5C40F90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86650" w14:textId="77777777" w:rsidR="00150309" w:rsidRDefault="00150309">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9FD8D" w14:textId="77777777" w:rsidR="00150309" w:rsidRDefault="00150309">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50309" w14:paraId="2A45E8B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EE746" w14:textId="77777777" w:rsidR="00150309" w:rsidRDefault="00150309">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B3ED2" w14:textId="77777777" w:rsidR="00150309" w:rsidRDefault="00150309">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50309" w14:paraId="427879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C7F14" w14:textId="77777777" w:rsidR="00150309" w:rsidRDefault="00150309">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4059F" w14:textId="77777777" w:rsidR="00150309" w:rsidRDefault="00150309">
            <w:pPr>
              <w:spacing w:before="240"/>
              <w:rPr>
                <w:sz w:val="20"/>
                <w:szCs w:val="20"/>
              </w:rPr>
            </w:pPr>
            <w:r>
              <w:rPr>
                <w:sz w:val="20"/>
                <w:szCs w:val="20"/>
              </w:rPr>
              <w:t>Any third party appointed to process Personal Data on behalf of the Supplier under this Call-Off Contract.</w:t>
            </w:r>
          </w:p>
        </w:tc>
      </w:tr>
      <w:tr w:rsidR="00150309" w14:paraId="624ED5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8F530" w14:textId="77777777" w:rsidR="00150309" w:rsidRDefault="00150309">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309E2" w14:textId="77777777" w:rsidR="00150309" w:rsidRDefault="00150309">
            <w:pPr>
              <w:spacing w:before="240"/>
              <w:rPr>
                <w:sz w:val="20"/>
                <w:szCs w:val="20"/>
              </w:rPr>
            </w:pPr>
            <w:r>
              <w:rPr>
                <w:sz w:val="20"/>
                <w:szCs w:val="20"/>
              </w:rPr>
              <w:t>The person, firm or company identified in the Order Form.</w:t>
            </w:r>
          </w:p>
        </w:tc>
      </w:tr>
      <w:tr w:rsidR="00150309" w14:paraId="7A76F9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55F1F" w14:textId="77777777" w:rsidR="00150309" w:rsidRDefault="00150309">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EEA80" w14:textId="77777777" w:rsidR="00150309" w:rsidRDefault="00150309">
            <w:pPr>
              <w:spacing w:before="240"/>
              <w:rPr>
                <w:sz w:val="20"/>
                <w:szCs w:val="20"/>
              </w:rPr>
            </w:pPr>
            <w:r>
              <w:rPr>
                <w:sz w:val="20"/>
                <w:szCs w:val="20"/>
              </w:rPr>
              <w:t>The representative appointed by the Supplier from time to time in relation to the Call-Off Contract.</w:t>
            </w:r>
          </w:p>
        </w:tc>
      </w:tr>
      <w:tr w:rsidR="00150309" w14:paraId="7EBA3A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C19BB" w14:textId="77777777" w:rsidR="00150309" w:rsidRDefault="00150309">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3E664" w14:textId="77777777" w:rsidR="00150309" w:rsidRDefault="00150309">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50309" w14:paraId="547C27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07F54" w14:textId="77777777" w:rsidR="00150309" w:rsidRDefault="00150309">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18C9D" w14:textId="77777777" w:rsidR="00150309" w:rsidRDefault="00150309">
            <w:pPr>
              <w:spacing w:before="240"/>
              <w:rPr>
                <w:sz w:val="20"/>
                <w:szCs w:val="20"/>
              </w:rPr>
            </w:pPr>
            <w:r>
              <w:rPr>
                <w:sz w:val="20"/>
                <w:szCs w:val="20"/>
              </w:rPr>
              <w:t>The relevant G-Cloud Service terms and conditions as set out in the Terms and Conditions document supplied as part of the Supplier’s Application.</w:t>
            </w:r>
          </w:p>
        </w:tc>
      </w:tr>
      <w:tr w:rsidR="00150309" w14:paraId="063B81C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F342A" w14:textId="77777777" w:rsidR="00150309" w:rsidRDefault="00150309">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10222" w14:textId="77777777" w:rsidR="00150309" w:rsidRDefault="00150309">
            <w:pPr>
              <w:spacing w:before="240"/>
              <w:rPr>
                <w:sz w:val="20"/>
                <w:szCs w:val="20"/>
              </w:rPr>
            </w:pPr>
            <w:r>
              <w:rPr>
                <w:sz w:val="20"/>
                <w:szCs w:val="20"/>
              </w:rPr>
              <w:t>The term of this Call-Off Contract as set out in the Order Form.</w:t>
            </w:r>
          </w:p>
        </w:tc>
      </w:tr>
      <w:tr w:rsidR="00150309" w14:paraId="01878DC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EAEAC" w14:textId="77777777" w:rsidR="00150309" w:rsidRDefault="00150309">
            <w:pPr>
              <w:spacing w:before="240"/>
              <w:rPr>
                <w:b/>
                <w:sz w:val="20"/>
                <w:szCs w:val="20"/>
              </w:rPr>
            </w:pPr>
            <w:r>
              <w:rPr>
                <w:b/>
                <w:sz w:val="20"/>
                <w:szCs w:val="20"/>
              </w:rPr>
              <w:lastRenderedPageBreak/>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FCE3B" w14:textId="77777777" w:rsidR="00150309" w:rsidRDefault="00150309">
            <w:pPr>
              <w:spacing w:before="240"/>
              <w:rPr>
                <w:sz w:val="20"/>
                <w:szCs w:val="20"/>
              </w:rPr>
            </w:pPr>
            <w:r>
              <w:rPr>
                <w:sz w:val="20"/>
                <w:szCs w:val="20"/>
              </w:rPr>
              <w:t>This has the meaning given to it in clause 32 (Variation process).</w:t>
            </w:r>
          </w:p>
        </w:tc>
      </w:tr>
      <w:tr w:rsidR="00150309" w14:paraId="2522DD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76EDA" w14:textId="77777777" w:rsidR="00150309" w:rsidRDefault="00150309">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46D52" w14:textId="77777777" w:rsidR="00150309" w:rsidRDefault="00150309">
            <w:pPr>
              <w:spacing w:before="240"/>
              <w:rPr>
                <w:sz w:val="20"/>
                <w:szCs w:val="20"/>
              </w:rPr>
            </w:pPr>
            <w:r>
              <w:rPr>
                <w:sz w:val="20"/>
                <w:szCs w:val="20"/>
              </w:rPr>
              <w:t>Any day other than a Saturday, Sunday or public holiday in England and Wales.</w:t>
            </w:r>
          </w:p>
        </w:tc>
      </w:tr>
      <w:tr w:rsidR="00150309" w14:paraId="4BFF5A8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7E629" w14:textId="77777777" w:rsidR="00150309" w:rsidRDefault="00150309">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59EF2" w14:textId="77777777" w:rsidR="00150309" w:rsidRDefault="00150309">
            <w:pPr>
              <w:spacing w:before="240"/>
              <w:rPr>
                <w:sz w:val="20"/>
                <w:szCs w:val="20"/>
              </w:rPr>
            </w:pPr>
            <w:r>
              <w:rPr>
                <w:sz w:val="20"/>
                <w:szCs w:val="20"/>
              </w:rPr>
              <w:t>A contract year.</w:t>
            </w:r>
          </w:p>
        </w:tc>
      </w:tr>
    </w:tbl>
    <w:p w14:paraId="1E415BEB" w14:textId="77777777" w:rsidR="00150309" w:rsidRDefault="00150309" w:rsidP="00522540">
      <w:pPr>
        <w:spacing w:before="240" w:after="240"/>
      </w:pPr>
      <w:r>
        <w:t xml:space="preserve"> </w:t>
      </w:r>
    </w:p>
    <w:p w14:paraId="4C6FFC8B" w14:textId="77777777" w:rsidR="00150309" w:rsidRDefault="00150309">
      <w:pPr>
        <w:pStyle w:val="Heading2"/>
      </w:pPr>
      <w:bookmarkStart w:id="10" w:name="_Toc33176240"/>
      <w:r>
        <w:t>Schedule 7: GDPR Information</w:t>
      </w:r>
      <w:bookmarkEnd w:id="10"/>
      <w:r>
        <w:t xml:space="preserve"> </w:t>
      </w:r>
    </w:p>
    <w:p w14:paraId="7F3846D8" w14:textId="77777777" w:rsidR="00150309" w:rsidRDefault="00150309">
      <w:r>
        <w:t xml:space="preserve">This schedule reproduces the annexes to the GDPR schedule contained within the Framework Agreement and incorporated into this Call-off Contract. </w:t>
      </w:r>
    </w:p>
    <w:p w14:paraId="2D02D151" w14:textId="77777777" w:rsidR="00150309" w:rsidRDefault="00150309">
      <w:pPr>
        <w:pStyle w:val="Heading3"/>
      </w:pPr>
      <w:r>
        <w:t>Annex 1: Processing Personal Data</w:t>
      </w:r>
    </w:p>
    <w:p w14:paraId="6024EC36" w14:textId="77777777" w:rsidR="00150309" w:rsidRDefault="00150309">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386C104" w14:textId="11D117B5" w:rsidR="00150309" w:rsidRDefault="00150309">
      <w:r>
        <w:t>1.1</w:t>
      </w:r>
      <w:r>
        <w:tab/>
        <w:t xml:space="preserve">The contact details of the Buyer’s Data Protection Officer are: </w:t>
      </w:r>
      <w:r w:rsidR="00D9320F" w:rsidRPr="00D9320F">
        <w:rPr>
          <w:highlight w:val="black"/>
        </w:rPr>
        <w:t>XXXXXXXXXXXX XXXXXXXXXXXX</w:t>
      </w:r>
    </w:p>
    <w:p w14:paraId="63A7716B" w14:textId="5F6F28AD" w:rsidR="00150309" w:rsidRDefault="00150309">
      <w:r>
        <w:t>1.2</w:t>
      </w:r>
      <w:r>
        <w:tab/>
        <w:t xml:space="preserve">The contact details of the Supplier’s Data Protection Officer are: </w:t>
      </w:r>
      <w:r w:rsidR="00D9320F" w:rsidRPr="00D9320F">
        <w:rPr>
          <w:highlight w:val="black"/>
        </w:rPr>
        <w:t>XXXXXXXXXXXX XXXXXXXXXXXX</w:t>
      </w:r>
    </w:p>
    <w:p w14:paraId="29B71434" w14:textId="77777777" w:rsidR="00150309" w:rsidRDefault="00150309">
      <w:pPr>
        <w:ind w:left="720" w:hanging="720"/>
      </w:pPr>
      <w:r>
        <w:t>1.3</w:t>
      </w:r>
      <w:r>
        <w:tab/>
        <w:t>The Processor shall comply with any further written instructions with respect to Processing by the Controller.</w:t>
      </w:r>
    </w:p>
    <w:p w14:paraId="6F8ECBCE" w14:textId="77777777" w:rsidR="00150309" w:rsidRDefault="00150309">
      <w:r>
        <w:t>1.4</w:t>
      </w:r>
      <w:r>
        <w:tab/>
        <w:t>Any such further instructions shall be incorporated into this Annex.</w:t>
      </w:r>
    </w:p>
    <w:p w14:paraId="542D9186" w14:textId="77777777" w:rsidR="00150309" w:rsidRDefault="00150309"/>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150309" w14:paraId="31FED01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4ACE6" w14:textId="77777777" w:rsidR="00150309" w:rsidRDefault="00150309">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9F0FC" w14:textId="77777777" w:rsidR="00150309" w:rsidRDefault="00150309">
            <w:pPr>
              <w:spacing w:before="240" w:after="240"/>
              <w:jc w:val="center"/>
            </w:pPr>
            <w:r>
              <w:rPr>
                <w:b/>
              </w:rPr>
              <w:t>Details</w:t>
            </w:r>
          </w:p>
        </w:tc>
      </w:tr>
      <w:tr w:rsidR="00150309" w14:paraId="2E10C86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19BFC" w14:textId="77777777" w:rsidR="00150309" w:rsidRDefault="00150309">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9CAAB" w14:textId="77777777" w:rsidR="00150309" w:rsidRDefault="00150309">
            <w:pPr>
              <w:spacing w:line="240" w:lineRule="auto"/>
              <w:rPr>
                <w:b/>
              </w:rPr>
            </w:pPr>
            <w:r w:rsidRPr="00687BBC">
              <w:rPr>
                <w:b/>
              </w:rPr>
              <w:t>The Buyer is Controller and the Supplier is Processor</w:t>
            </w:r>
          </w:p>
          <w:p w14:paraId="43F0DDD5" w14:textId="77777777" w:rsidR="00150309" w:rsidRDefault="00150309">
            <w:pPr>
              <w:spacing w:line="240" w:lineRule="auto"/>
              <w:rPr>
                <w:b/>
              </w:rPr>
            </w:pPr>
          </w:p>
          <w:p w14:paraId="0A7B1ACF" w14:textId="77777777" w:rsidR="00150309" w:rsidRDefault="00150309">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Controller </w:t>
            </w:r>
            <w:r>
              <w:lastRenderedPageBreak/>
              <w:t>and the Supplier is the Processor of the following Personal Data:</w:t>
            </w:r>
          </w:p>
          <w:p w14:paraId="2FC0364A" w14:textId="77777777" w:rsidR="00150309" w:rsidRDefault="00150309">
            <w:pPr>
              <w:spacing w:line="240" w:lineRule="auto"/>
            </w:pPr>
          </w:p>
          <w:p w14:paraId="7BEF8C78" w14:textId="77777777" w:rsidR="00150309" w:rsidRPr="00687BBC" w:rsidRDefault="00150309" w:rsidP="00A845D6">
            <w:pPr>
              <w:pStyle w:val="ListParagraph"/>
              <w:numPr>
                <w:ilvl w:val="0"/>
                <w:numId w:val="19"/>
              </w:numPr>
            </w:pPr>
            <w:r w:rsidRPr="00687BBC">
              <w:t>The personal details used solely to make and receive payments in the United Kingdom</w:t>
            </w:r>
          </w:p>
          <w:p w14:paraId="2FECE4C3" w14:textId="77777777" w:rsidR="00150309" w:rsidRDefault="00150309">
            <w:pPr>
              <w:spacing w:line="240" w:lineRule="auto"/>
            </w:pPr>
          </w:p>
        </w:tc>
      </w:tr>
      <w:tr w:rsidR="00150309" w14:paraId="05B51B1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52721" w14:textId="77777777" w:rsidR="00150309" w:rsidRDefault="00150309">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B05A9" w14:textId="77777777" w:rsidR="00150309" w:rsidRDefault="00150309">
            <w:pPr>
              <w:spacing w:line="240" w:lineRule="auto"/>
            </w:pPr>
            <w:r w:rsidRPr="00687BBC">
              <w:t>The Processing will continue initially for one year, subject to any term changes</w:t>
            </w:r>
          </w:p>
        </w:tc>
      </w:tr>
      <w:tr w:rsidR="00150309" w14:paraId="2A8DB0D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CC3AE" w14:textId="77777777" w:rsidR="00150309" w:rsidRDefault="00150309">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BB5E4" w14:textId="77777777" w:rsidR="00150309" w:rsidRDefault="00150309" w:rsidP="00680260">
            <w:pPr>
              <w:spacing w:line="240" w:lineRule="auto"/>
            </w:pPr>
            <w:r w:rsidRPr="00687BBC">
              <w:t xml:space="preserve">The purpose of the processing is to </w:t>
            </w:r>
            <w:r>
              <w:t>c</w:t>
            </w:r>
            <w:r w:rsidRPr="00687BBC">
              <w:t>ollect and/or Receive Payment data</w:t>
            </w:r>
          </w:p>
        </w:tc>
      </w:tr>
      <w:tr w:rsidR="00150309" w14:paraId="4871979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5E6C0" w14:textId="77777777" w:rsidR="00150309" w:rsidRDefault="00150309">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20187" w14:textId="77777777" w:rsidR="00150309" w:rsidRDefault="00150309" w:rsidP="00687BBC">
            <w:pPr>
              <w:spacing w:line="240" w:lineRule="auto"/>
            </w:pPr>
            <w:r w:rsidRPr="00687BBC">
              <w:t>Name, Bank Sort code, Bank account number, Amount to be paid or collected, Controller Reference Number</w:t>
            </w:r>
          </w:p>
        </w:tc>
      </w:tr>
      <w:tr w:rsidR="00150309" w14:paraId="2E216EC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09BDF" w14:textId="77777777" w:rsidR="00150309" w:rsidRDefault="00150309">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8A011" w14:textId="77777777" w:rsidR="00150309" w:rsidRDefault="00150309">
            <w:pPr>
              <w:spacing w:line="240" w:lineRule="auto"/>
            </w:pPr>
            <w:r>
              <w:t xml:space="preserve"> HMRC Customers</w:t>
            </w:r>
          </w:p>
        </w:tc>
      </w:tr>
      <w:tr w:rsidR="00150309" w14:paraId="146ADAD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40137" w14:textId="77777777" w:rsidR="00150309" w:rsidRDefault="00150309">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F7FE8" w14:textId="77777777" w:rsidR="00150309" w:rsidRDefault="00150309" w:rsidP="008B6A2A">
            <w:pPr>
              <w:spacing w:line="240" w:lineRule="auto"/>
            </w:pPr>
            <w:r w:rsidRPr="00687BBC">
              <w:t>The data will not be retained post its processing, except for time limits set solely by Buyer</w:t>
            </w:r>
            <w:r>
              <w:t xml:space="preserve"> which will be in accordance with the relevant legislation</w:t>
            </w:r>
          </w:p>
        </w:tc>
      </w:tr>
    </w:tbl>
    <w:p w14:paraId="62598793" w14:textId="77777777" w:rsidR="00150309" w:rsidRDefault="00150309">
      <w:pPr>
        <w:pStyle w:val="Heading3"/>
      </w:pPr>
      <w:r>
        <w:t>Annex 2: Joint Controller Agreement – N/A</w:t>
      </w:r>
    </w:p>
    <w:p w14:paraId="1FB2F1B7" w14:textId="77777777" w:rsidR="00150309" w:rsidRDefault="00150309" w:rsidP="00B03D55"/>
    <w:p w14:paraId="2EEFAEC1" w14:textId="41063FE7" w:rsidR="00150309" w:rsidRDefault="00150309" w:rsidP="00B03D55"/>
    <w:p w14:paraId="27CE4A80" w14:textId="300CD237" w:rsidR="00F85A2F" w:rsidRDefault="00F85A2F" w:rsidP="00B03D55"/>
    <w:p w14:paraId="76E946EB" w14:textId="6E529563" w:rsidR="00F85A2F" w:rsidRDefault="00F85A2F" w:rsidP="00B03D55"/>
    <w:p w14:paraId="7139E615" w14:textId="553C9BDA" w:rsidR="00F85A2F" w:rsidRDefault="00F85A2F" w:rsidP="00B03D55"/>
    <w:p w14:paraId="1133ED83" w14:textId="102B82F9" w:rsidR="00F85A2F" w:rsidRDefault="00F85A2F" w:rsidP="00B03D55"/>
    <w:p w14:paraId="704C4FC3" w14:textId="3A9CECB8" w:rsidR="00F85A2F" w:rsidRDefault="00F85A2F" w:rsidP="00B03D55"/>
    <w:p w14:paraId="31321281" w14:textId="68FCB986" w:rsidR="00F85A2F" w:rsidRDefault="00F85A2F" w:rsidP="00B03D55"/>
    <w:p w14:paraId="426641A4" w14:textId="67F102FF" w:rsidR="00F85A2F" w:rsidRDefault="00F85A2F" w:rsidP="00B03D55"/>
    <w:p w14:paraId="240CE959" w14:textId="1E60C6B6" w:rsidR="00F85A2F" w:rsidRDefault="00F85A2F" w:rsidP="00B03D55"/>
    <w:p w14:paraId="01B4039F" w14:textId="71FB9385" w:rsidR="00F85A2F" w:rsidRDefault="00F85A2F" w:rsidP="00B03D55"/>
    <w:p w14:paraId="5B574E54" w14:textId="77777777" w:rsidR="00F85A2F" w:rsidRDefault="00F85A2F" w:rsidP="00B03D55"/>
    <w:p w14:paraId="3C100193" w14:textId="77777777" w:rsidR="00150309" w:rsidRDefault="00150309" w:rsidP="00B03D55">
      <w:pPr>
        <w:pStyle w:val="Heading2"/>
      </w:pPr>
      <w:r>
        <w:lastRenderedPageBreak/>
        <w:t xml:space="preserve">Appendix 1: HMRC Mandatory Clauses </w:t>
      </w:r>
    </w:p>
    <w:p w14:paraId="4D270B40" w14:textId="77777777" w:rsidR="00326583" w:rsidRPr="00F85A2F" w:rsidRDefault="00326583" w:rsidP="00F85A2F"/>
    <w:p w14:paraId="59118940" w14:textId="77777777" w:rsidR="00150309" w:rsidRDefault="00150309" w:rsidP="000B1A1B">
      <w:pPr>
        <w:ind w:left="142" w:right="394"/>
        <w:jc w:val="both"/>
        <w:rPr>
          <w:rFonts w:cstheme="minorHAnsi"/>
          <w:b/>
        </w:rPr>
      </w:pPr>
      <w:r>
        <w:rPr>
          <w:noProof/>
        </w:rPr>
        <w:drawing>
          <wp:inline distT="0" distB="0" distL="0" distR="0" wp14:anchorId="6F15F6E6" wp14:editId="38ADD89B">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10CB4694" w14:textId="77777777" w:rsidR="00150309" w:rsidRDefault="00150309" w:rsidP="000B1A1B">
      <w:pPr>
        <w:ind w:left="142" w:right="394"/>
        <w:jc w:val="center"/>
        <w:rPr>
          <w:rFonts w:cstheme="minorHAnsi"/>
          <w:b/>
        </w:rPr>
      </w:pPr>
      <w:r w:rsidRPr="00FD4BD3">
        <w:rPr>
          <w:rFonts w:cstheme="minorHAnsi"/>
          <w:b/>
        </w:rPr>
        <w:t xml:space="preserve">SR640822422 - COVID requirement for BACS software replacement </w:t>
      </w:r>
    </w:p>
    <w:p w14:paraId="615F4593" w14:textId="77777777" w:rsidR="00150309" w:rsidRPr="005D2112" w:rsidRDefault="00150309" w:rsidP="000B1A1B">
      <w:pPr>
        <w:ind w:left="142" w:right="394"/>
        <w:jc w:val="center"/>
        <w:rPr>
          <w:rFonts w:cstheme="minorHAnsi"/>
          <w:b/>
        </w:rPr>
      </w:pPr>
      <w:r>
        <w:rPr>
          <w:rFonts w:cstheme="minorHAnsi"/>
          <w:b/>
        </w:rPr>
        <w:t>AUTHORITY</w:t>
      </w:r>
      <w:r w:rsidRPr="005D2112">
        <w:rPr>
          <w:rFonts w:cstheme="minorHAnsi"/>
          <w:b/>
        </w:rPr>
        <w:t>’S MANDATORY TERMS</w:t>
      </w:r>
    </w:p>
    <w:p w14:paraId="08EA60E9" w14:textId="77777777" w:rsidR="00DD0817" w:rsidRDefault="00DD0817" w:rsidP="00DD0817">
      <w:pPr>
        <w:pStyle w:val="BodyText"/>
        <w:numPr>
          <w:ilvl w:val="0"/>
          <w:numId w:val="35"/>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22947BF3" w14:textId="487A4A3B" w:rsidR="00DD0817" w:rsidRPr="005C782A" w:rsidRDefault="00DD0817" w:rsidP="00DD0817">
      <w:pPr>
        <w:pStyle w:val="BodyText"/>
        <w:numPr>
          <w:ilvl w:val="0"/>
          <w:numId w:val="35"/>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 </w:t>
      </w:r>
      <w:r w:rsidR="00017E38">
        <w:rPr>
          <w:rFonts w:asciiTheme="minorHAnsi" w:hAnsiTheme="minorHAnsi" w:cstheme="minorHAnsi"/>
          <w:sz w:val="22"/>
          <w:szCs w:val="22"/>
        </w:rPr>
        <w:t>.</w:t>
      </w:r>
    </w:p>
    <w:p w14:paraId="3563E0AF" w14:textId="0A99E2AF" w:rsidR="00DD0817" w:rsidRDefault="00DD0817" w:rsidP="00DD0817">
      <w:pPr>
        <w:pStyle w:val="BodyText"/>
        <w:numPr>
          <w:ilvl w:val="0"/>
          <w:numId w:val="35"/>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 xml:space="preserve">in this Schedule </w:t>
      </w:r>
      <w:r w:rsidRPr="005C782A">
        <w:rPr>
          <w:rFonts w:asciiTheme="minorHAnsi" w:hAnsiTheme="minorHAnsi" w:cstheme="minorHAnsi"/>
          <w:sz w:val="22"/>
          <w:szCs w:val="22"/>
        </w:rPr>
        <w:t xml:space="preserve">will supersede any other terms in the Agreement.  </w:t>
      </w:r>
    </w:p>
    <w:p w14:paraId="53AF7762" w14:textId="789E183E" w:rsidR="00DD0817" w:rsidRPr="00A45CD5" w:rsidRDefault="00DD0817" w:rsidP="00DD0817">
      <w:pPr>
        <w:pStyle w:val="BodyText"/>
        <w:numPr>
          <w:ilvl w:val="0"/>
          <w:numId w:val="35"/>
        </w:numPr>
        <w:spacing w:before="121"/>
        <w:ind w:left="567" w:right="394" w:hanging="425"/>
        <w:jc w:val="both"/>
        <w:rPr>
          <w:rFonts w:asciiTheme="minorHAnsi" w:hAnsiTheme="minorHAnsi" w:cstheme="minorHAnsi"/>
          <w:sz w:val="22"/>
          <w:szCs w:val="22"/>
        </w:rPr>
      </w:pPr>
      <w:r w:rsidRPr="00A45CD5">
        <w:rPr>
          <w:rFonts w:asciiTheme="minorHAnsi" w:hAnsiTheme="minorHAnsi" w:cstheme="minorHAnsi"/>
          <w:sz w:val="22"/>
          <w:szCs w:val="22"/>
        </w:rPr>
        <w:t>For the avoidance of doubt, the relevant definitions for the purposes of the defined terms set out in the Authority’s mandatory terms in this Schedule are the definitions set out at Clause 1 of this Schedule</w:t>
      </w:r>
      <w:r w:rsidR="00017E38" w:rsidRPr="00A45CD5">
        <w:rPr>
          <w:rFonts w:asciiTheme="minorHAnsi" w:hAnsiTheme="minorHAnsi" w:cstheme="minorHAnsi"/>
          <w:sz w:val="22"/>
          <w:szCs w:val="22"/>
        </w:rPr>
        <w:t>.</w:t>
      </w:r>
    </w:p>
    <w:p w14:paraId="77B96BC9" w14:textId="77777777" w:rsidR="00150309" w:rsidRDefault="00150309" w:rsidP="000B1A1B">
      <w:pPr>
        <w:pStyle w:val="ListParagraph"/>
        <w:ind w:left="426"/>
        <w:rPr>
          <w:rFonts w:cstheme="minorHAnsi"/>
          <w:b/>
        </w:rPr>
      </w:pPr>
    </w:p>
    <w:p w14:paraId="1F690258" w14:textId="77777777" w:rsidR="00150309" w:rsidRDefault="00150309" w:rsidP="00A845D6">
      <w:pPr>
        <w:pStyle w:val="ListParagraph"/>
        <w:numPr>
          <w:ilvl w:val="0"/>
          <w:numId w:val="33"/>
        </w:numPr>
        <w:suppressAutoHyphens w:val="0"/>
        <w:autoSpaceDN/>
        <w:spacing w:after="160" w:line="259" w:lineRule="auto"/>
        <w:ind w:left="426" w:hanging="426"/>
        <w:contextualSpacing/>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150309" w:rsidRPr="00EB2B49" w14:paraId="40C3C9A6" w14:textId="77777777" w:rsidTr="000B1A1B">
        <w:tc>
          <w:tcPr>
            <w:tcW w:w="2160" w:type="dxa"/>
          </w:tcPr>
          <w:p w14:paraId="1A8BBB6B" w14:textId="77777777" w:rsidR="00150309" w:rsidRPr="00A314F3" w:rsidRDefault="00150309" w:rsidP="000B1A1B">
            <w:pPr>
              <w:rPr>
                <w:rFonts w:cstheme="minorHAnsi"/>
                <w:b/>
              </w:rPr>
            </w:pPr>
            <w:r w:rsidRPr="00A314F3">
              <w:rPr>
                <w:rFonts w:cstheme="minorHAnsi"/>
                <w:b/>
              </w:rPr>
              <w:t>“Affiliate”</w:t>
            </w:r>
          </w:p>
        </w:tc>
        <w:tc>
          <w:tcPr>
            <w:tcW w:w="6758" w:type="dxa"/>
          </w:tcPr>
          <w:p w14:paraId="7DA1BC5A" w14:textId="77777777" w:rsidR="00150309" w:rsidRPr="00A314F3" w:rsidRDefault="00150309" w:rsidP="000B1A1B">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150309" w:rsidRPr="00EB2B49" w14:paraId="3F2994EB" w14:textId="77777777" w:rsidTr="000B1A1B">
        <w:tc>
          <w:tcPr>
            <w:tcW w:w="2160" w:type="dxa"/>
          </w:tcPr>
          <w:p w14:paraId="321BB002" w14:textId="77777777" w:rsidR="00150309" w:rsidRPr="00A314F3" w:rsidRDefault="00150309" w:rsidP="000B1A1B">
            <w:pPr>
              <w:rPr>
                <w:rFonts w:cstheme="minorHAnsi"/>
                <w:b/>
              </w:rPr>
            </w:pPr>
            <w:r w:rsidRPr="00A314F3">
              <w:rPr>
                <w:rFonts w:cstheme="minorHAnsi"/>
                <w:b/>
              </w:rPr>
              <w:t>“Authority Data”</w:t>
            </w:r>
          </w:p>
        </w:tc>
        <w:tc>
          <w:tcPr>
            <w:tcW w:w="6758" w:type="dxa"/>
          </w:tcPr>
          <w:p w14:paraId="6B3C1A3C" w14:textId="77777777" w:rsidR="00150309" w:rsidRDefault="00150309" w:rsidP="00A845D6">
            <w:pPr>
              <w:pStyle w:val="ListParagraph"/>
              <w:numPr>
                <w:ilvl w:val="0"/>
                <w:numId w:val="25"/>
              </w:numPr>
              <w:suppressAutoHyphens w:val="0"/>
              <w:autoSpaceDN/>
              <w:spacing w:after="160" w:line="259" w:lineRule="auto"/>
              <w:contextualSpacing/>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7BC76402" w14:textId="77777777" w:rsidR="00150309" w:rsidRPr="00A314F3" w:rsidRDefault="00150309" w:rsidP="00A845D6">
            <w:pPr>
              <w:numPr>
                <w:ilvl w:val="3"/>
                <w:numId w:val="25"/>
              </w:numPr>
              <w:tabs>
                <w:tab w:val="clear" w:pos="2695"/>
                <w:tab w:val="num" w:pos="759"/>
              </w:tabs>
              <w:ind w:left="829" w:hanging="283"/>
              <w:rPr>
                <w:rFonts w:cstheme="minorHAnsi"/>
              </w:rPr>
            </w:pPr>
            <w:r w:rsidRPr="00A314F3">
              <w:rPr>
                <w:rFonts w:cstheme="minorHAnsi"/>
              </w:rPr>
              <w:t xml:space="preserve">supplied to the Supplier by or on behalf of the Authority; and/or </w:t>
            </w:r>
          </w:p>
          <w:p w14:paraId="2B549671" w14:textId="77777777" w:rsidR="00150309" w:rsidRPr="00B27DEB" w:rsidRDefault="00150309" w:rsidP="00A845D6">
            <w:pPr>
              <w:numPr>
                <w:ilvl w:val="3"/>
                <w:numId w:val="25"/>
              </w:numPr>
              <w:tabs>
                <w:tab w:val="clear" w:pos="2695"/>
                <w:tab w:val="num" w:pos="759"/>
              </w:tabs>
              <w:ind w:left="829" w:hanging="283"/>
              <w:rPr>
                <w:rFonts w:cstheme="minorHAnsi"/>
              </w:rPr>
            </w:pPr>
            <w:r w:rsidRPr="00A314F3">
              <w:rPr>
                <w:rFonts w:cstheme="minorHAnsi"/>
              </w:rPr>
              <w:t>which the Supplier is required to generate, process, store or transmit pursuant to this Agreement; or</w:t>
            </w:r>
          </w:p>
          <w:p w14:paraId="671C2E50" w14:textId="77777777" w:rsidR="00150309" w:rsidRPr="00FD0699" w:rsidRDefault="00150309" w:rsidP="00A845D6">
            <w:pPr>
              <w:pStyle w:val="ListParagraph"/>
              <w:numPr>
                <w:ilvl w:val="0"/>
                <w:numId w:val="25"/>
              </w:numPr>
              <w:suppressAutoHyphens w:val="0"/>
              <w:autoSpaceDN/>
              <w:spacing w:after="160" w:line="259" w:lineRule="auto"/>
              <w:contextualSpacing/>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150309" w:rsidRPr="00EB2B49" w14:paraId="5F5BF9CE" w14:textId="77777777" w:rsidTr="000B1A1B">
        <w:tc>
          <w:tcPr>
            <w:tcW w:w="2160" w:type="dxa"/>
          </w:tcPr>
          <w:p w14:paraId="3942DDC1" w14:textId="77777777" w:rsidR="00150309" w:rsidRPr="00EB2B49" w:rsidRDefault="00150309" w:rsidP="000B1A1B">
            <w:pPr>
              <w:rPr>
                <w:rFonts w:cstheme="minorHAnsi"/>
                <w:b/>
              </w:rPr>
            </w:pPr>
            <w:r w:rsidRPr="00BE2067">
              <w:rPr>
                <w:rFonts w:ascii="Calibri" w:eastAsia="Times New Roman" w:hAnsi="Calibri" w:cs="Calibri"/>
                <w:b/>
                <w:bCs/>
              </w:rPr>
              <w:t>“Charges”</w:t>
            </w:r>
            <w:r w:rsidRPr="00BE2067">
              <w:rPr>
                <w:rFonts w:ascii="Calibri" w:eastAsia="Times New Roman" w:hAnsi="Calibri" w:cs="Calibri"/>
              </w:rPr>
              <w:t> </w:t>
            </w:r>
          </w:p>
        </w:tc>
        <w:tc>
          <w:tcPr>
            <w:tcW w:w="6758" w:type="dxa"/>
          </w:tcPr>
          <w:p w14:paraId="5541FB8B" w14:textId="77777777" w:rsidR="00150309" w:rsidRPr="00DB57F6" w:rsidRDefault="00150309" w:rsidP="000B1A1B">
            <w:pPr>
              <w:rPr>
                <w:rFonts w:cstheme="minorHAnsi"/>
              </w:rPr>
            </w:pPr>
            <w:r w:rsidRPr="00BE2067">
              <w:rPr>
                <w:rFonts w:ascii="Calibri" w:eastAsia="Times New Roman" w:hAnsi="Calibri" w:cs="Calibri"/>
              </w:rPr>
              <w:t xml:space="preserve">the charges for the Services as specified in </w:t>
            </w:r>
            <w:r>
              <w:rPr>
                <w:rFonts w:ascii="Calibri" w:eastAsia="Times New Roman" w:hAnsi="Calibri" w:cs="Calibri"/>
              </w:rPr>
              <w:t>the corresponding order form;</w:t>
            </w:r>
          </w:p>
        </w:tc>
      </w:tr>
      <w:tr w:rsidR="00150309" w:rsidRPr="00EB2B49" w14:paraId="530CCB55" w14:textId="77777777" w:rsidTr="000B1A1B">
        <w:tc>
          <w:tcPr>
            <w:tcW w:w="2160" w:type="dxa"/>
          </w:tcPr>
          <w:p w14:paraId="668B4CC5" w14:textId="77777777" w:rsidR="00150309" w:rsidRPr="00EB2B49" w:rsidRDefault="00150309" w:rsidP="000B1A1B">
            <w:pPr>
              <w:rPr>
                <w:rFonts w:cstheme="minorHAnsi"/>
              </w:rPr>
            </w:pPr>
            <w:r w:rsidRPr="00EB2B49">
              <w:rPr>
                <w:rFonts w:cstheme="minorHAnsi"/>
                <w:b/>
              </w:rPr>
              <w:t>“Connected Company”</w:t>
            </w:r>
          </w:p>
        </w:tc>
        <w:tc>
          <w:tcPr>
            <w:tcW w:w="6758" w:type="dxa"/>
          </w:tcPr>
          <w:p w14:paraId="090D01DA" w14:textId="77777777" w:rsidR="00150309" w:rsidRPr="00A314F3" w:rsidRDefault="00150309" w:rsidP="000B1A1B">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150309" w:rsidRPr="00EB2B49" w14:paraId="581CC056" w14:textId="77777777" w:rsidTr="000B1A1B">
        <w:tc>
          <w:tcPr>
            <w:tcW w:w="2160" w:type="dxa"/>
          </w:tcPr>
          <w:p w14:paraId="2CE14C21" w14:textId="77777777" w:rsidR="00150309" w:rsidRPr="00EB2B49" w:rsidRDefault="00150309" w:rsidP="000B1A1B">
            <w:pPr>
              <w:rPr>
                <w:rFonts w:cstheme="minorHAnsi"/>
                <w:b/>
              </w:rPr>
            </w:pPr>
            <w:r>
              <w:rPr>
                <w:rFonts w:cstheme="minorHAnsi"/>
                <w:b/>
              </w:rPr>
              <w:lastRenderedPageBreak/>
              <w:t>“Control”</w:t>
            </w:r>
          </w:p>
        </w:tc>
        <w:tc>
          <w:tcPr>
            <w:tcW w:w="6758" w:type="dxa"/>
          </w:tcPr>
          <w:p w14:paraId="5A325611" w14:textId="77777777" w:rsidR="00150309" w:rsidRPr="00A314F3" w:rsidRDefault="00150309" w:rsidP="000B1A1B">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150309" w:rsidRPr="00EB2B49" w14:paraId="2CD9FC53" w14:textId="77777777" w:rsidTr="000B1A1B">
        <w:tc>
          <w:tcPr>
            <w:tcW w:w="2160" w:type="dxa"/>
          </w:tcPr>
          <w:p w14:paraId="620B8E3D" w14:textId="77777777" w:rsidR="00150309" w:rsidRPr="00EB2B49" w:rsidRDefault="00150309" w:rsidP="000B1A1B">
            <w:pPr>
              <w:rPr>
                <w:rFonts w:cstheme="minorHAnsi"/>
                <w:b/>
              </w:rPr>
            </w:pPr>
            <w:r w:rsidRPr="00EB2B49">
              <w:rPr>
                <w:rFonts w:cstheme="minorHAnsi"/>
                <w:b/>
              </w:rPr>
              <w:t>“Controller”, “Processor”, “Data Subject”,</w:t>
            </w:r>
          </w:p>
        </w:tc>
        <w:tc>
          <w:tcPr>
            <w:tcW w:w="6758" w:type="dxa"/>
          </w:tcPr>
          <w:p w14:paraId="705CA2AF" w14:textId="77777777" w:rsidR="00150309" w:rsidRPr="00EB2B49" w:rsidRDefault="00150309" w:rsidP="000B1A1B">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150309" w:rsidRPr="00EB2B49" w14:paraId="6CA4D312" w14:textId="77777777" w:rsidTr="000B1A1B">
        <w:tc>
          <w:tcPr>
            <w:tcW w:w="2160" w:type="dxa"/>
          </w:tcPr>
          <w:p w14:paraId="41B1D398" w14:textId="77777777" w:rsidR="00150309" w:rsidRPr="00EB2B49" w:rsidRDefault="00150309" w:rsidP="000B1A1B">
            <w:pPr>
              <w:rPr>
                <w:rFonts w:cstheme="minorHAnsi"/>
                <w:b/>
              </w:rPr>
            </w:pPr>
            <w:r w:rsidRPr="00EB2B49">
              <w:rPr>
                <w:rFonts w:cstheme="minorHAnsi"/>
                <w:b/>
              </w:rPr>
              <w:t>“Data Protection Legislation”</w:t>
            </w:r>
          </w:p>
        </w:tc>
        <w:tc>
          <w:tcPr>
            <w:tcW w:w="6758" w:type="dxa"/>
          </w:tcPr>
          <w:p w14:paraId="5E0F4715" w14:textId="77777777" w:rsidR="00150309" w:rsidRPr="001D34E0" w:rsidRDefault="00150309" w:rsidP="00A845D6">
            <w:pPr>
              <w:pStyle w:val="ListParagraph"/>
              <w:numPr>
                <w:ilvl w:val="1"/>
                <w:numId w:val="35"/>
              </w:numPr>
              <w:suppressAutoHyphens w:val="0"/>
              <w:autoSpaceDN/>
              <w:spacing w:after="160" w:line="259" w:lineRule="auto"/>
              <w:ind w:left="465" w:hanging="465"/>
              <w:contextualSpacing/>
              <w:jc w:val="both"/>
              <w:textAlignment w:val="auto"/>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0B26DACE" w14:textId="77777777" w:rsidR="00150309" w:rsidRPr="001D34E0" w:rsidRDefault="00150309" w:rsidP="00A845D6">
            <w:pPr>
              <w:pStyle w:val="ListParagraph"/>
              <w:numPr>
                <w:ilvl w:val="1"/>
                <w:numId w:val="35"/>
              </w:numPr>
              <w:suppressAutoHyphens w:val="0"/>
              <w:autoSpaceDN/>
              <w:spacing w:after="160" w:line="259" w:lineRule="auto"/>
              <w:ind w:left="459" w:hanging="425"/>
              <w:contextualSpacing/>
              <w:jc w:val="both"/>
              <w:textAlignment w:val="auto"/>
              <w:rPr>
                <w:rFonts w:eastAsia="Times New Roman" w:cstheme="minorHAnsi"/>
              </w:rPr>
            </w:pPr>
            <w:r w:rsidRPr="001D34E0">
              <w:rPr>
                <w:rFonts w:cstheme="minorHAnsi"/>
              </w:rPr>
              <w:t>all applicable Law about the processing of personal data and privacy;</w:t>
            </w:r>
          </w:p>
        </w:tc>
      </w:tr>
      <w:tr w:rsidR="00EE27E0" w:rsidRPr="00EB2B49" w14:paraId="467028FA" w14:textId="77777777" w:rsidTr="000B1A1B">
        <w:tc>
          <w:tcPr>
            <w:tcW w:w="2160" w:type="dxa"/>
          </w:tcPr>
          <w:p w14:paraId="0A424943" w14:textId="246EE094" w:rsidR="00EE27E0" w:rsidRPr="00A45CD5" w:rsidRDefault="00EE27E0" w:rsidP="00EE27E0">
            <w:pPr>
              <w:rPr>
                <w:rFonts w:cstheme="minorHAnsi"/>
              </w:rPr>
            </w:pPr>
            <w:r w:rsidRPr="00A45CD5">
              <w:rPr>
                <w:rFonts w:cstheme="minorHAnsi"/>
                <w:b/>
              </w:rPr>
              <w:t>“Key Subcontractor”</w:t>
            </w:r>
          </w:p>
        </w:tc>
        <w:tc>
          <w:tcPr>
            <w:tcW w:w="6758" w:type="dxa"/>
          </w:tcPr>
          <w:p w14:paraId="4CAA65A8" w14:textId="77777777" w:rsidR="00EE27E0" w:rsidRPr="00A45CD5" w:rsidRDefault="00EE27E0" w:rsidP="00EE27E0">
            <w:pPr>
              <w:contextualSpacing/>
              <w:jc w:val="both"/>
              <w:rPr>
                <w:rFonts w:eastAsia="Times New Roman" w:cstheme="minorHAnsi"/>
              </w:rPr>
            </w:pPr>
            <w:r w:rsidRPr="00A45CD5">
              <w:rPr>
                <w:rFonts w:eastAsia="Times New Roman" w:cstheme="minorHAnsi"/>
              </w:rPr>
              <w:t>any Subcontractor:</w:t>
            </w:r>
          </w:p>
          <w:p w14:paraId="400ABA58" w14:textId="77777777" w:rsidR="00EE27E0" w:rsidRPr="00A45CD5" w:rsidRDefault="00EE27E0" w:rsidP="00EE27E0">
            <w:pPr>
              <w:pStyle w:val="ListParagraph"/>
              <w:numPr>
                <w:ilvl w:val="0"/>
                <w:numId w:val="38"/>
              </w:numPr>
              <w:suppressAutoHyphens w:val="0"/>
              <w:autoSpaceDN/>
              <w:spacing w:after="160" w:line="259" w:lineRule="auto"/>
              <w:ind w:left="459" w:hanging="425"/>
              <w:contextualSpacing/>
              <w:jc w:val="both"/>
              <w:textAlignment w:val="auto"/>
              <w:rPr>
                <w:rFonts w:eastAsia="Times New Roman" w:cstheme="minorHAnsi"/>
              </w:rPr>
            </w:pPr>
            <w:r w:rsidRPr="00A45CD5">
              <w:rPr>
                <w:rFonts w:eastAsia="Times New Roman" w:cstheme="minorHAnsi"/>
              </w:rPr>
              <w:t>which, in the opinion of the Authority, performs (or would perform if appointed) a critical role in the provision of all or any part of the Services; and/or</w:t>
            </w:r>
          </w:p>
          <w:p w14:paraId="2C013C39" w14:textId="769B936A" w:rsidR="00EE27E0" w:rsidRPr="00A45CD5" w:rsidRDefault="00EE27E0" w:rsidP="00A45CD5">
            <w:pPr>
              <w:jc w:val="both"/>
              <w:rPr>
                <w:rFonts w:eastAsia="Times New Roman" w:cstheme="minorHAnsi"/>
              </w:rPr>
            </w:pPr>
            <w:r w:rsidRPr="00A45C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EE27E0" w:rsidRPr="00EB2B49" w14:paraId="2293E9DB" w14:textId="77777777" w:rsidTr="000B1A1B">
        <w:tc>
          <w:tcPr>
            <w:tcW w:w="2160" w:type="dxa"/>
          </w:tcPr>
          <w:p w14:paraId="57E0E998" w14:textId="77777777" w:rsidR="00EE27E0" w:rsidRPr="00EB2B49" w:rsidRDefault="00EE27E0" w:rsidP="00EE27E0">
            <w:pPr>
              <w:rPr>
                <w:rFonts w:cstheme="minorHAnsi"/>
              </w:rPr>
            </w:pPr>
            <w:r w:rsidRPr="00EB2B49">
              <w:rPr>
                <w:rFonts w:cstheme="minorHAnsi"/>
                <w:b/>
              </w:rPr>
              <w:t>“Law”</w:t>
            </w:r>
          </w:p>
        </w:tc>
        <w:tc>
          <w:tcPr>
            <w:tcW w:w="6758" w:type="dxa"/>
          </w:tcPr>
          <w:p w14:paraId="6A6E3FD6" w14:textId="77777777" w:rsidR="00EE27E0" w:rsidRPr="00EB2B49" w:rsidRDefault="00EE27E0" w:rsidP="00EE27E0">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EE27E0" w:rsidRPr="00EB2B49" w14:paraId="6DC5B651" w14:textId="77777777" w:rsidTr="000B1A1B">
        <w:tc>
          <w:tcPr>
            <w:tcW w:w="2160" w:type="dxa"/>
          </w:tcPr>
          <w:p w14:paraId="1F7F4CBA" w14:textId="77777777" w:rsidR="00EE27E0" w:rsidRPr="00EB2B49" w:rsidRDefault="00EE27E0" w:rsidP="00EE27E0">
            <w:pPr>
              <w:rPr>
                <w:rFonts w:cstheme="minorHAnsi"/>
                <w:b/>
              </w:rPr>
            </w:pPr>
            <w:r>
              <w:rPr>
                <w:rFonts w:cstheme="minorHAnsi"/>
                <w:b/>
              </w:rPr>
              <w:t>“Operational Supplier Personnel”</w:t>
            </w:r>
          </w:p>
        </w:tc>
        <w:tc>
          <w:tcPr>
            <w:tcW w:w="6758" w:type="dxa"/>
          </w:tcPr>
          <w:p w14:paraId="71AF5110" w14:textId="77777777" w:rsidR="00EE27E0" w:rsidRPr="00EB2B49" w:rsidRDefault="00EE27E0" w:rsidP="00EE27E0">
            <w:pPr>
              <w:rPr>
                <w:rStyle w:val="normaltextrun1"/>
                <w:rFonts w:cstheme="minorHAnsi"/>
              </w:rPr>
            </w:pPr>
            <w:r>
              <w:rPr>
                <w:rStyle w:val="normaltextrun1"/>
                <w:rFonts w:cstheme="minorHAnsi"/>
              </w:rPr>
              <w:t>A</w:t>
            </w:r>
            <w:r w:rsidRPr="00514D59">
              <w:rPr>
                <w:rStyle w:val="normaltextrun1"/>
                <w:rFonts w:cstheme="minorHAnsi"/>
              </w:rPr>
              <w:t>ll Supplier Personnel who set up the PTX service for HMRC and all Supplier Personnel who run the PTX service on a day to day basis.</w:t>
            </w:r>
          </w:p>
        </w:tc>
      </w:tr>
      <w:tr w:rsidR="00EE27E0" w:rsidRPr="00EB2B49" w14:paraId="35085CE4" w14:textId="77777777" w:rsidTr="000B1A1B">
        <w:tc>
          <w:tcPr>
            <w:tcW w:w="2160" w:type="dxa"/>
          </w:tcPr>
          <w:p w14:paraId="54F023A8" w14:textId="77777777" w:rsidR="00EE27E0" w:rsidRPr="00EB2B49" w:rsidRDefault="00EE27E0" w:rsidP="00EE27E0">
            <w:pPr>
              <w:rPr>
                <w:rFonts w:cstheme="minorHAnsi"/>
              </w:rPr>
            </w:pPr>
            <w:r w:rsidRPr="00EB2B49">
              <w:rPr>
                <w:rFonts w:cstheme="minorHAnsi"/>
                <w:b/>
              </w:rPr>
              <w:t>“Personal Data”</w:t>
            </w:r>
          </w:p>
        </w:tc>
        <w:tc>
          <w:tcPr>
            <w:tcW w:w="6758" w:type="dxa"/>
          </w:tcPr>
          <w:p w14:paraId="1B94C2F8" w14:textId="77777777" w:rsidR="00EE27E0" w:rsidRPr="00EB2B49" w:rsidRDefault="00EE27E0" w:rsidP="00EE27E0">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EE27E0" w:rsidRPr="00EB2B49" w14:paraId="53413FD9" w14:textId="77777777" w:rsidTr="000B1A1B">
        <w:tc>
          <w:tcPr>
            <w:tcW w:w="2160" w:type="dxa"/>
          </w:tcPr>
          <w:p w14:paraId="1CE06488" w14:textId="77777777" w:rsidR="00EE27E0" w:rsidRPr="00EB2B49" w:rsidRDefault="00EE27E0" w:rsidP="00EE27E0">
            <w:pPr>
              <w:rPr>
                <w:rFonts w:cstheme="minorHAnsi"/>
                <w:b/>
              </w:rPr>
            </w:pPr>
            <w:r w:rsidRPr="00BE2067">
              <w:rPr>
                <w:rFonts w:ascii="Calibri" w:eastAsia="Times New Roman" w:hAnsi="Calibri" w:cs="Calibri"/>
                <w:b/>
                <w:bCs/>
              </w:rPr>
              <w:t>“Purchase Order Number”</w:t>
            </w:r>
            <w:r w:rsidRPr="00BE2067">
              <w:rPr>
                <w:rFonts w:ascii="Calibri" w:eastAsia="Times New Roman" w:hAnsi="Calibri" w:cs="Calibri"/>
              </w:rPr>
              <w:t> </w:t>
            </w:r>
          </w:p>
        </w:tc>
        <w:tc>
          <w:tcPr>
            <w:tcW w:w="6758" w:type="dxa"/>
          </w:tcPr>
          <w:p w14:paraId="677D76BE" w14:textId="77777777" w:rsidR="00EE27E0" w:rsidRPr="00EB2B49" w:rsidRDefault="00EE27E0" w:rsidP="00EE27E0">
            <w:pPr>
              <w:rPr>
                <w:rFonts w:cstheme="minorHAnsi"/>
              </w:rPr>
            </w:pPr>
            <w:r w:rsidRPr="00BE2067">
              <w:rPr>
                <w:rFonts w:ascii="Calibri" w:eastAsia="Times New Roman" w:hAnsi="Calibri" w:cs="Calibri"/>
              </w:rPr>
              <w:t>the Authority’s unique number relating to the supply of the Services;  </w:t>
            </w:r>
          </w:p>
        </w:tc>
      </w:tr>
      <w:tr w:rsidR="00EE27E0" w:rsidRPr="00EB2B49" w14:paraId="1A658079" w14:textId="77777777" w:rsidTr="000B1A1B">
        <w:tc>
          <w:tcPr>
            <w:tcW w:w="2160" w:type="dxa"/>
          </w:tcPr>
          <w:p w14:paraId="093B4618" w14:textId="77777777" w:rsidR="00EE27E0" w:rsidRPr="00EB2B49" w:rsidRDefault="00EE27E0" w:rsidP="00EE27E0">
            <w:pPr>
              <w:rPr>
                <w:rFonts w:cstheme="minorHAnsi"/>
                <w:b/>
              </w:rPr>
            </w:pPr>
            <w:r w:rsidRPr="00BE2067">
              <w:rPr>
                <w:rFonts w:ascii="Calibri" w:eastAsia="Times New Roman" w:hAnsi="Calibri" w:cs="Calibri"/>
                <w:b/>
                <w:bCs/>
              </w:rPr>
              <w:t>“Services”</w:t>
            </w:r>
            <w:r w:rsidRPr="00BE2067">
              <w:rPr>
                <w:rFonts w:ascii="Calibri" w:eastAsia="Times New Roman" w:hAnsi="Calibri" w:cs="Calibri"/>
              </w:rPr>
              <w:t> </w:t>
            </w:r>
          </w:p>
        </w:tc>
        <w:tc>
          <w:tcPr>
            <w:tcW w:w="6758" w:type="dxa"/>
          </w:tcPr>
          <w:p w14:paraId="41FCCD87" w14:textId="77777777" w:rsidR="00EE27E0" w:rsidRPr="00EB2B49" w:rsidRDefault="00EE27E0" w:rsidP="00EE27E0">
            <w:pPr>
              <w:rPr>
                <w:rFonts w:cstheme="minorHAnsi"/>
              </w:rPr>
            </w:pPr>
            <w:r w:rsidRPr="00BE2067">
              <w:rPr>
                <w:rFonts w:ascii="Calibri" w:eastAsia="Times New Roman" w:hAnsi="Calibri" w:cs="Calibri"/>
              </w:rPr>
              <w:t xml:space="preserve">the services to be supplied by the Supplier to the Authority under the Agreement, including </w:t>
            </w:r>
            <w:r>
              <w:rPr>
                <w:rFonts w:ascii="Calibri" w:eastAsia="Times New Roman" w:hAnsi="Calibri" w:cs="Calibri"/>
              </w:rPr>
              <w:t>the provision of any Goods;</w:t>
            </w:r>
          </w:p>
        </w:tc>
      </w:tr>
      <w:tr w:rsidR="00EE27E0" w:rsidRPr="00EB2B49" w14:paraId="6BEB7CB7" w14:textId="77777777" w:rsidTr="000B1A1B">
        <w:tc>
          <w:tcPr>
            <w:tcW w:w="2160" w:type="dxa"/>
          </w:tcPr>
          <w:p w14:paraId="42FE5FEC" w14:textId="77777777" w:rsidR="00EE27E0" w:rsidRPr="00EB2B49" w:rsidRDefault="00EE27E0" w:rsidP="00EE27E0">
            <w:pPr>
              <w:rPr>
                <w:rFonts w:cstheme="minorHAnsi"/>
                <w:b/>
              </w:rPr>
            </w:pPr>
            <w:r w:rsidRPr="00EB2B49">
              <w:rPr>
                <w:rFonts w:cstheme="minorHAnsi"/>
                <w:b/>
              </w:rPr>
              <w:t>“Subcontract”</w:t>
            </w:r>
          </w:p>
        </w:tc>
        <w:tc>
          <w:tcPr>
            <w:tcW w:w="6758" w:type="dxa"/>
          </w:tcPr>
          <w:p w14:paraId="33B2C2E4" w14:textId="77777777" w:rsidR="00EE27E0" w:rsidRPr="00EB2B49" w:rsidRDefault="00EE27E0" w:rsidP="00EE27E0">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E27E0" w:rsidRPr="00EB2B49" w14:paraId="1F78E9EE" w14:textId="77777777" w:rsidTr="000B1A1B">
        <w:tc>
          <w:tcPr>
            <w:tcW w:w="2160" w:type="dxa"/>
          </w:tcPr>
          <w:p w14:paraId="441C7B28" w14:textId="77777777" w:rsidR="00EE27E0" w:rsidRPr="00EB2B49" w:rsidRDefault="00EE27E0" w:rsidP="00EE27E0">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13AD7EFB" w14:textId="77777777" w:rsidR="00EE27E0" w:rsidRPr="00EB2B49" w:rsidRDefault="00EE27E0" w:rsidP="00EE27E0">
            <w:pPr>
              <w:widowControl w:val="0"/>
              <w:spacing w:before="120" w:after="120"/>
              <w:rPr>
                <w:rFonts w:cstheme="minorHAnsi"/>
              </w:rPr>
            </w:pPr>
            <w:r w:rsidRPr="00EB2B49">
              <w:rPr>
                <w:rFonts w:cstheme="minorHAnsi"/>
              </w:rPr>
              <w:t>any third party with whom:</w:t>
            </w:r>
          </w:p>
          <w:p w14:paraId="01ED27AC" w14:textId="77777777" w:rsidR="00EE27E0" w:rsidRPr="00EB2B49" w:rsidRDefault="00EE27E0" w:rsidP="00EE27E0">
            <w:pPr>
              <w:numPr>
                <w:ilvl w:val="0"/>
                <w:numId w:val="24"/>
              </w:numPr>
              <w:tabs>
                <w:tab w:val="left" w:pos="-75"/>
              </w:tabs>
              <w:spacing w:before="120" w:after="120"/>
              <w:ind w:left="507" w:hanging="507"/>
              <w:jc w:val="both"/>
              <w:rPr>
                <w:rFonts w:cstheme="minorHAnsi"/>
              </w:rPr>
            </w:pPr>
            <w:r w:rsidRPr="00EB2B49">
              <w:rPr>
                <w:rFonts w:cstheme="minorHAnsi"/>
              </w:rPr>
              <w:t xml:space="preserve">the Supplier enters into a Subcontract; or </w:t>
            </w:r>
          </w:p>
          <w:p w14:paraId="0217A5B7" w14:textId="77777777" w:rsidR="00EE27E0" w:rsidRPr="00EB2B49" w:rsidRDefault="00EE27E0" w:rsidP="00EE27E0">
            <w:pPr>
              <w:numPr>
                <w:ilvl w:val="0"/>
                <w:numId w:val="24"/>
              </w:numPr>
              <w:tabs>
                <w:tab w:val="left" w:pos="-75"/>
              </w:tabs>
              <w:spacing w:before="120" w:after="120"/>
              <w:ind w:left="507" w:hanging="507"/>
              <w:jc w:val="both"/>
              <w:rPr>
                <w:rFonts w:cstheme="minorHAnsi"/>
              </w:rPr>
            </w:pPr>
            <w:r w:rsidRPr="00EB2B49">
              <w:rPr>
                <w:rFonts w:cstheme="minorHAnsi"/>
              </w:rPr>
              <w:lastRenderedPageBreak/>
              <w:t>a third party under (a) above enters into a Subcontract,</w:t>
            </w:r>
          </w:p>
          <w:p w14:paraId="603D01BF" w14:textId="77777777" w:rsidR="00EE27E0" w:rsidRPr="006D4B4B" w:rsidRDefault="00EE27E0" w:rsidP="00EE27E0">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EE27E0" w:rsidRPr="00EB2B49" w14:paraId="0B392759" w14:textId="77777777" w:rsidTr="000B1A1B">
        <w:tc>
          <w:tcPr>
            <w:tcW w:w="2160" w:type="dxa"/>
          </w:tcPr>
          <w:p w14:paraId="7CB310B8" w14:textId="77777777" w:rsidR="00EE27E0" w:rsidRPr="00EB2B49" w:rsidRDefault="00EE27E0" w:rsidP="00EE27E0">
            <w:pPr>
              <w:rPr>
                <w:rFonts w:cstheme="minorHAnsi"/>
                <w:b/>
              </w:rPr>
            </w:pPr>
            <w:r w:rsidRPr="00EB2B49">
              <w:rPr>
                <w:rFonts w:cstheme="minorHAnsi"/>
                <w:b/>
              </w:rPr>
              <w:lastRenderedPageBreak/>
              <w:t>“Supplier Personnel”</w:t>
            </w:r>
          </w:p>
        </w:tc>
        <w:tc>
          <w:tcPr>
            <w:tcW w:w="6758" w:type="dxa"/>
          </w:tcPr>
          <w:p w14:paraId="7C956B0F" w14:textId="77777777" w:rsidR="00EE27E0" w:rsidRPr="00EB2B49" w:rsidRDefault="00EE27E0" w:rsidP="00EE27E0">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EE27E0" w:rsidRPr="00EB2B49" w14:paraId="32BD0E46" w14:textId="77777777" w:rsidTr="000B1A1B">
        <w:tc>
          <w:tcPr>
            <w:tcW w:w="2160" w:type="dxa"/>
          </w:tcPr>
          <w:p w14:paraId="2AA72F6A" w14:textId="77777777" w:rsidR="00EE27E0" w:rsidRPr="001665F0" w:rsidRDefault="00EE27E0" w:rsidP="00EE27E0">
            <w:pPr>
              <w:rPr>
                <w:rFonts w:cstheme="minorHAnsi"/>
                <w:b/>
              </w:rPr>
            </w:pPr>
            <w:r w:rsidRPr="001665F0">
              <w:rPr>
                <w:rFonts w:cstheme="minorHAnsi"/>
                <w:b/>
              </w:rPr>
              <w:t>“Supporting Documentation”</w:t>
            </w:r>
          </w:p>
        </w:tc>
        <w:tc>
          <w:tcPr>
            <w:tcW w:w="6758" w:type="dxa"/>
          </w:tcPr>
          <w:p w14:paraId="6AD2C42E" w14:textId="77777777" w:rsidR="00EE27E0" w:rsidRPr="001665F0" w:rsidRDefault="00EE27E0" w:rsidP="00EE27E0">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EE27E0" w:rsidRPr="00EB2B49" w14:paraId="2589239F" w14:textId="77777777" w:rsidTr="000B1A1B">
        <w:tc>
          <w:tcPr>
            <w:tcW w:w="2160" w:type="dxa"/>
          </w:tcPr>
          <w:p w14:paraId="19D96D1F" w14:textId="77777777" w:rsidR="00EE27E0" w:rsidRPr="001665F0" w:rsidRDefault="00EE27E0" w:rsidP="00EE27E0">
            <w:pPr>
              <w:rPr>
                <w:rFonts w:cstheme="minorHAnsi"/>
                <w:b/>
              </w:rPr>
            </w:pPr>
            <w:r w:rsidRPr="001665F0">
              <w:rPr>
                <w:rFonts w:cstheme="minorHAnsi"/>
                <w:b/>
              </w:rPr>
              <w:t>“Tax”</w:t>
            </w:r>
          </w:p>
        </w:tc>
        <w:tc>
          <w:tcPr>
            <w:tcW w:w="6758" w:type="dxa"/>
          </w:tcPr>
          <w:p w14:paraId="453C01FF" w14:textId="77777777" w:rsidR="00EE27E0" w:rsidRPr="001665F0" w:rsidRDefault="00EE27E0" w:rsidP="00EE27E0">
            <w:pPr>
              <w:numPr>
                <w:ilvl w:val="0"/>
                <w:numId w:val="26"/>
              </w:numPr>
              <w:tabs>
                <w:tab w:val="left" w:pos="-75"/>
              </w:tabs>
              <w:spacing w:before="120" w:after="120"/>
              <w:jc w:val="both"/>
              <w:rPr>
                <w:rFonts w:cstheme="minorHAnsi"/>
                <w:spacing w:val="-2"/>
              </w:rPr>
            </w:pPr>
            <w:r w:rsidRPr="001665F0">
              <w:rPr>
                <w:rFonts w:cstheme="minorHAnsi"/>
                <w:spacing w:val="-2"/>
              </w:rPr>
              <w:t>all forms of tax whether direct or indirect;</w:t>
            </w:r>
          </w:p>
          <w:p w14:paraId="2A257545" w14:textId="77777777" w:rsidR="00EE27E0" w:rsidRPr="001665F0" w:rsidRDefault="00EE27E0" w:rsidP="00EE27E0">
            <w:pPr>
              <w:numPr>
                <w:ilvl w:val="0"/>
                <w:numId w:val="26"/>
              </w:numPr>
              <w:tabs>
                <w:tab w:val="left" w:pos="-75"/>
              </w:tabs>
              <w:spacing w:before="120" w:after="120"/>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7A10A58A" w14:textId="77777777" w:rsidR="00EE27E0" w:rsidRPr="001665F0" w:rsidRDefault="00EE27E0" w:rsidP="00EE27E0">
            <w:pPr>
              <w:numPr>
                <w:ilvl w:val="0"/>
                <w:numId w:val="26"/>
              </w:numPr>
              <w:tabs>
                <w:tab w:val="left" w:pos="-75"/>
              </w:tabs>
              <w:spacing w:before="120" w:after="120"/>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6BAB984A" w14:textId="77777777" w:rsidR="00EE27E0" w:rsidRPr="001665F0" w:rsidRDefault="00EE27E0" w:rsidP="00EE27E0">
            <w:pPr>
              <w:numPr>
                <w:ilvl w:val="0"/>
                <w:numId w:val="26"/>
              </w:numPr>
              <w:tabs>
                <w:tab w:val="left" w:pos="-75"/>
              </w:tabs>
              <w:spacing w:before="120" w:after="120"/>
              <w:jc w:val="both"/>
              <w:rPr>
                <w:rFonts w:cstheme="minorHAnsi"/>
                <w:spacing w:val="-2"/>
              </w:rPr>
            </w:pPr>
            <w:r w:rsidRPr="001665F0">
              <w:rPr>
                <w:rFonts w:cstheme="minorHAnsi"/>
                <w:spacing w:val="-2"/>
              </w:rPr>
              <w:t>any penalty, fine, surcharge, interest, charges or costs relating to any of the above,</w:t>
            </w:r>
          </w:p>
          <w:p w14:paraId="30FE4426" w14:textId="77777777" w:rsidR="00EE27E0" w:rsidRPr="001665F0" w:rsidRDefault="00EE27E0" w:rsidP="00EE27E0">
            <w:pPr>
              <w:rPr>
                <w:rStyle w:val="normaltextrun1"/>
                <w:rFonts w:cstheme="minorHAnsi"/>
              </w:rPr>
            </w:pPr>
            <w:r w:rsidRPr="001665F0">
              <w:rPr>
                <w:rFonts w:cstheme="minorHAnsi"/>
                <w:spacing w:val="-2"/>
              </w:rPr>
              <w:t>in each case wherever chargeable and whether of the United Kingdom and any other jurisdiction;</w:t>
            </w:r>
          </w:p>
        </w:tc>
      </w:tr>
      <w:tr w:rsidR="00EE27E0" w:rsidRPr="00EB2B49" w14:paraId="16589598" w14:textId="77777777" w:rsidTr="000B1A1B">
        <w:tc>
          <w:tcPr>
            <w:tcW w:w="2160" w:type="dxa"/>
          </w:tcPr>
          <w:p w14:paraId="19285EFC" w14:textId="77777777" w:rsidR="00EE27E0" w:rsidRPr="00EB2B49" w:rsidRDefault="00EE27E0" w:rsidP="00EE27E0">
            <w:pPr>
              <w:spacing w:before="120" w:after="120"/>
              <w:rPr>
                <w:rFonts w:cstheme="minorHAnsi"/>
                <w:b/>
              </w:rPr>
            </w:pPr>
            <w:r>
              <w:rPr>
                <w:rFonts w:cstheme="minorHAnsi"/>
                <w:b/>
              </w:rPr>
              <w:t>“Tax Non-</w:t>
            </w:r>
            <w:r w:rsidRPr="00EB2B49">
              <w:rPr>
                <w:rFonts w:cstheme="minorHAnsi"/>
                <w:b/>
              </w:rPr>
              <w:t>Compliance”</w:t>
            </w:r>
          </w:p>
          <w:p w14:paraId="3CD0A351" w14:textId="77777777" w:rsidR="00EE27E0" w:rsidRPr="00EB2B49" w:rsidRDefault="00EE27E0" w:rsidP="00EE27E0">
            <w:pPr>
              <w:rPr>
                <w:rFonts w:cstheme="minorHAnsi"/>
                <w:b/>
              </w:rPr>
            </w:pPr>
          </w:p>
        </w:tc>
        <w:tc>
          <w:tcPr>
            <w:tcW w:w="6758" w:type="dxa"/>
          </w:tcPr>
          <w:p w14:paraId="2B1635FD" w14:textId="77777777" w:rsidR="00EE27E0" w:rsidRPr="00EB2B49" w:rsidRDefault="00EE27E0" w:rsidP="00EE27E0">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0E220367" w14:textId="77777777" w:rsidR="00EE27E0" w:rsidRPr="00EB2B49" w:rsidRDefault="00EE27E0" w:rsidP="00EE27E0">
            <w:pPr>
              <w:pStyle w:val="ListParagraph"/>
              <w:numPr>
                <w:ilvl w:val="0"/>
                <w:numId w:val="32"/>
              </w:numPr>
              <w:tabs>
                <w:tab w:val="left" w:pos="-75"/>
              </w:tabs>
              <w:suppressAutoHyphens w:val="0"/>
              <w:autoSpaceDN/>
              <w:spacing w:before="120" w:after="120" w:line="259" w:lineRule="auto"/>
              <w:contextualSpacing/>
              <w:jc w:val="both"/>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49E94DC0" w14:textId="77777777" w:rsidR="00EE27E0" w:rsidRPr="006D4B4B" w:rsidRDefault="00EE27E0" w:rsidP="00EE27E0">
            <w:pPr>
              <w:pStyle w:val="ListParagraph"/>
              <w:numPr>
                <w:ilvl w:val="0"/>
                <w:numId w:val="32"/>
              </w:numPr>
              <w:suppressAutoHyphens w:val="0"/>
              <w:autoSpaceDN/>
              <w:spacing w:after="160" w:line="259" w:lineRule="auto"/>
              <w:contextualSpacing/>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EE27E0" w:rsidRPr="00EB2B49" w14:paraId="51A6A670" w14:textId="77777777" w:rsidTr="000B1A1B">
        <w:tc>
          <w:tcPr>
            <w:tcW w:w="2160" w:type="dxa"/>
          </w:tcPr>
          <w:p w14:paraId="5F6FAFB3" w14:textId="77777777" w:rsidR="00EE27E0" w:rsidRDefault="00EE27E0" w:rsidP="00EE27E0">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5AB44ACE" w14:textId="77777777" w:rsidR="00EE27E0" w:rsidRPr="00EB2B49" w:rsidRDefault="00EE27E0" w:rsidP="00EE27E0">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EE27E0" w:rsidRPr="00EB2B49" w14:paraId="35A998D1" w14:textId="77777777" w:rsidTr="000B1A1B">
        <w:tc>
          <w:tcPr>
            <w:tcW w:w="2160" w:type="dxa"/>
          </w:tcPr>
          <w:p w14:paraId="014BFC38" w14:textId="77777777" w:rsidR="00EE27E0" w:rsidRPr="00EB2B49" w:rsidRDefault="00EE27E0" w:rsidP="00EE27E0">
            <w:pPr>
              <w:spacing w:before="120" w:after="120"/>
              <w:rPr>
                <w:rFonts w:cstheme="minorHAnsi"/>
                <w:b/>
              </w:rPr>
            </w:pPr>
            <w:r w:rsidRPr="00EB2B49">
              <w:rPr>
                <w:rFonts w:cstheme="minorHAnsi"/>
                <w:b/>
              </w:rPr>
              <w:t>“VAT”</w:t>
            </w:r>
          </w:p>
        </w:tc>
        <w:tc>
          <w:tcPr>
            <w:tcW w:w="6758" w:type="dxa"/>
          </w:tcPr>
          <w:p w14:paraId="5B17A88A" w14:textId="77777777" w:rsidR="00EE27E0" w:rsidRPr="00EB2B49" w:rsidRDefault="00EE27E0" w:rsidP="00EE27E0">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46585155" w14:textId="77777777" w:rsidR="00150309" w:rsidRPr="004E1111" w:rsidRDefault="00150309" w:rsidP="000B1A1B">
      <w:pPr>
        <w:rPr>
          <w:rFonts w:cstheme="minorHAnsi"/>
          <w:b/>
        </w:rPr>
      </w:pPr>
    </w:p>
    <w:p w14:paraId="453507B0" w14:textId="77777777" w:rsidR="00150309" w:rsidRPr="00724858" w:rsidRDefault="00150309" w:rsidP="00A845D6">
      <w:pPr>
        <w:pStyle w:val="ListParagraph"/>
        <w:numPr>
          <w:ilvl w:val="0"/>
          <w:numId w:val="33"/>
        </w:numPr>
        <w:suppressAutoHyphens w:val="0"/>
        <w:autoSpaceDN/>
        <w:spacing w:line="240" w:lineRule="auto"/>
        <w:ind w:left="426" w:hanging="426"/>
        <w:contextualSpacing/>
        <w:rPr>
          <w:rFonts w:ascii="&amp;quot" w:eastAsia="Times New Roman" w:hAnsi="&amp;quot" w:cs="Times New Roman"/>
          <w:sz w:val="18"/>
          <w:szCs w:val="18"/>
        </w:rPr>
      </w:pPr>
      <w:bookmarkStart w:id="11" w:name="_Ref22568790"/>
      <w:r w:rsidRPr="00724858">
        <w:rPr>
          <w:rFonts w:ascii="Calibri" w:eastAsia="Times New Roman" w:hAnsi="Calibri" w:cs="Calibri"/>
          <w:b/>
          <w:bCs/>
        </w:rPr>
        <w:t>Payment and Recovery of Sums Due</w:t>
      </w:r>
      <w:bookmarkEnd w:id="11"/>
      <w:r w:rsidRPr="00724858">
        <w:rPr>
          <w:rFonts w:ascii="Calibri" w:eastAsia="Times New Roman" w:hAnsi="Calibri" w:cs="Calibri"/>
        </w:rPr>
        <w:t> </w:t>
      </w:r>
    </w:p>
    <w:p w14:paraId="1E74D4AA" w14:textId="77777777" w:rsidR="00150309" w:rsidRPr="0050739F" w:rsidRDefault="00150309" w:rsidP="00A845D6">
      <w:pPr>
        <w:pStyle w:val="Heading2"/>
        <w:keepNext w:val="0"/>
        <w:keepLines w:val="0"/>
        <w:numPr>
          <w:ilvl w:val="1"/>
          <w:numId w:val="33"/>
        </w:numPr>
        <w:suppressAutoHyphens w:val="0"/>
        <w:autoSpaceDN/>
        <w:spacing w:before="0" w:after="0" w:line="240" w:lineRule="auto"/>
        <w:ind w:left="426" w:hanging="426"/>
        <w:jc w:val="both"/>
        <w:textAlignment w:val="auto"/>
        <w:rPr>
          <w:rFonts w:asciiTheme="minorHAnsi" w:hAnsiTheme="minorHAnsi"/>
          <w:sz w:val="22"/>
          <w:szCs w:val="22"/>
        </w:rPr>
      </w:pPr>
      <w:r w:rsidRPr="0050739F">
        <w:rPr>
          <w:rFonts w:ascii="Calibri" w:eastAsia="Times New Roman" w:hAnsi="Calibri" w:cs="Calibri"/>
          <w:sz w:val="22"/>
          <w:szCs w:val="22"/>
        </w:rPr>
        <w:t xml:space="preserve">The Supplier shall invoice the Authority as specified </w:t>
      </w:r>
      <w:r w:rsidRPr="00006CF5">
        <w:rPr>
          <w:rFonts w:ascii="Calibri" w:eastAsia="Times New Roman" w:hAnsi="Calibri" w:cs="Calibri"/>
          <w:sz w:val="22"/>
          <w:szCs w:val="22"/>
        </w:rPr>
        <w:t>in</w:t>
      </w:r>
      <w:r>
        <w:rPr>
          <w:rFonts w:ascii="Calibri" w:eastAsia="Times New Roman" w:hAnsi="Calibri" w:cs="Calibri"/>
          <w:sz w:val="22"/>
          <w:szCs w:val="22"/>
        </w:rPr>
        <w:t xml:space="preserve"> the corresponding order form</w:t>
      </w:r>
      <w:r w:rsidRPr="00006CF5">
        <w:rPr>
          <w:rFonts w:ascii="Calibri" w:eastAsia="Times New Roman" w:hAnsi="Calibri" w:cs="Calibri"/>
          <w:sz w:val="22"/>
          <w:szCs w:val="22"/>
        </w:rPr>
        <w:t>.</w:t>
      </w:r>
      <w:r w:rsidRPr="0050739F">
        <w:rPr>
          <w:rFonts w:ascii="Calibri" w:eastAsia="Times New Roman" w:hAnsi="Calibri" w:cs="Calibri"/>
          <w:sz w:val="22"/>
          <w:szCs w:val="22"/>
        </w:rPr>
        <w:t xml:space="preserve"> </w:t>
      </w:r>
      <w:bookmarkStart w:id="12" w:name="_Ref449355781"/>
      <w:r w:rsidRPr="0050739F">
        <w:rPr>
          <w:rFonts w:asciiTheme="minorHAnsi" w:hAnsiTheme="minorHAnsi"/>
          <w:sz w:val="22"/>
          <w:szCs w:val="22"/>
        </w:rPr>
        <w:t xml:space="preserve">Without prejudice to the generality of the invoicing procedure specified in the Agreement, the Supplier </w:t>
      </w:r>
      <w:bookmarkEnd w:id="12"/>
      <w:r w:rsidRPr="0050739F">
        <w:rPr>
          <w:rFonts w:asciiTheme="minorHAnsi" w:hAnsiTheme="minorHAnsi"/>
          <w:sz w:val="22"/>
          <w:szCs w:val="22"/>
        </w:rPr>
        <w:t xml:space="preserve">shall procure a Purchase Order Number from the Authority prior to the commencement of any Services and the Supplier acknowledges and agrees that should it commence Services without a Purchase Order Number: </w:t>
      </w:r>
    </w:p>
    <w:p w14:paraId="030F3C8D" w14:textId="77777777" w:rsidR="00150309" w:rsidRPr="0050739F" w:rsidRDefault="00150309" w:rsidP="00A845D6">
      <w:pPr>
        <w:pStyle w:val="Heading3"/>
        <w:keepNext w:val="0"/>
        <w:keepLines w:val="0"/>
        <w:widowControl w:val="0"/>
        <w:numPr>
          <w:ilvl w:val="2"/>
          <w:numId w:val="33"/>
        </w:numPr>
        <w:suppressAutoHyphens w:val="0"/>
        <w:autoSpaceDN/>
        <w:spacing w:before="0" w:after="0" w:line="240" w:lineRule="auto"/>
        <w:ind w:left="1134" w:hanging="708"/>
        <w:jc w:val="both"/>
        <w:textAlignment w:val="auto"/>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7A92A8F0" w14:textId="77777777" w:rsidR="00150309" w:rsidRPr="0050739F" w:rsidRDefault="00150309" w:rsidP="00A845D6">
      <w:pPr>
        <w:pStyle w:val="Heading3"/>
        <w:keepNext w:val="0"/>
        <w:keepLines w:val="0"/>
        <w:widowControl w:val="0"/>
        <w:numPr>
          <w:ilvl w:val="2"/>
          <w:numId w:val="33"/>
        </w:numPr>
        <w:suppressAutoHyphens w:val="0"/>
        <w:autoSpaceDN/>
        <w:spacing w:before="0" w:after="0" w:line="240" w:lineRule="auto"/>
        <w:ind w:left="1134" w:hanging="708"/>
        <w:jc w:val="both"/>
        <w:textAlignment w:val="auto"/>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1A677778" w14:textId="77777777" w:rsidR="00150309" w:rsidRPr="00D83FA7" w:rsidRDefault="00150309" w:rsidP="00A845D6">
      <w:pPr>
        <w:pStyle w:val="ListParagraph"/>
        <w:numPr>
          <w:ilvl w:val="1"/>
          <w:numId w:val="33"/>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rPr>
        <w:t xml:space="preserve"> shall be submitted by the Supplier</w:t>
      </w:r>
      <w:r w:rsidRPr="00D83FA7">
        <w:rPr>
          <w:rFonts w:ascii="Calibri" w:eastAsia="Times New Roman" w:hAnsi="Calibri" w:cs="Calibri"/>
        </w:rPr>
        <w:t>.</w:t>
      </w:r>
    </w:p>
    <w:p w14:paraId="0E5F0592" w14:textId="77777777" w:rsidR="00150309" w:rsidRPr="00D83FA7" w:rsidRDefault="00150309" w:rsidP="00A845D6">
      <w:pPr>
        <w:pStyle w:val="ListParagraph"/>
        <w:numPr>
          <w:ilvl w:val="1"/>
          <w:numId w:val="33"/>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lastRenderedPageBreak/>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6E6576BF" w14:textId="77777777" w:rsidR="00150309" w:rsidRDefault="00150309" w:rsidP="000B1A1B">
      <w:pPr>
        <w:pStyle w:val="ListParagraph"/>
        <w:spacing w:line="240" w:lineRule="auto"/>
        <w:ind w:left="1287"/>
        <w:rPr>
          <w:rFonts w:ascii="Calibri" w:eastAsia="Times New Roman" w:hAnsi="Calibri" w:cs="Calibri"/>
        </w:rPr>
      </w:pPr>
    </w:p>
    <w:p w14:paraId="45896CE1" w14:textId="77777777" w:rsidR="00150309" w:rsidRPr="00DB57F6" w:rsidRDefault="00150309" w:rsidP="000B1A1B">
      <w:pPr>
        <w:pStyle w:val="ListParagraph"/>
        <w:spacing w:line="240" w:lineRule="auto"/>
        <w:ind w:left="1287"/>
        <w:rPr>
          <w:rFonts w:ascii="&amp;quot" w:eastAsia="Times New Roman" w:hAnsi="&amp;quot" w:cs="Times New Roman"/>
          <w:sz w:val="18"/>
          <w:szCs w:val="18"/>
        </w:rPr>
      </w:pPr>
    </w:p>
    <w:p w14:paraId="4422D85E" w14:textId="77777777" w:rsidR="00150309" w:rsidRPr="00DB57F6" w:rsidRDefault="00150309" w:rsidP="000B1A1B">
      <w:pPr>
        <w:pStyle w:val="ListParagraph"/>
        <w:spacing w:line="240" w:lineRule="auto"/>
        <w:ind w:left="360"/>
        <w:rPr>
          <w:rFonts w:ascii="&amp;quot" w:eastAsia="Times New Roman" w:hAnsi="&amp;quot" w:cs="Times New Roman"/>
          <w:sz w:val="18"/>
          <w:szCs w:val="18"/>
        </w:rPr>
      </w:pPr>
    </w:p>
    <w:p w14:paraId="07D365D1" w14:textId="77777777" w:rsidR="00150309" w:rsidRPr="00DB69F5" w:rsidRDefault="00150309" w:rsidP="00A845D6">
      <w:pPr>
        <w:pStyle w:val="ListParagraph"/>
        <w:numPr>
          <w:ilvl w:val="0"/>
          <w:numId w:val="33"/>
        </w:numPr>
        <w:suppressAutoHyphens w:val="0"/>
        <w:autoSpaceDN/>
        <w:spacing w:after="160" w:line="259" w:lineRule="auto"/>
        <w:ind w:left="426" w:hanging="426"/>
        <w:contextualSpacing/>
        <w:textAlignment w:val="auto"/>
        <w:rPr>
          <w:rFonts w:cstheme="minorHAnsi"/>
          <w:b/>
        </w:rPr>
      </w:pPr>
      <w:r w:rsidRPr="00EB2B49">
        <w:rPr>
          <w:rFonts w:cstheme="minorHAnsi"/>
          <w:b/>
        </w:rPr>
        <w:t>Warranties</w:t>
      </w:r>
    </w:p>
    <w:p w14:paraId="53F5CA55" w14:textId="7CFFD594" w:rsidR="00150309" w:rsidRPr="00A45CD5"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b/>
        </w:rPr>
      </w:pPr>
      <w:r w:rsidRPr="00EB2B49">
        <w:rPr>
          <w:rFonts w:cstheme="minorHAnsi"/>
        </w:rPr>
        <w:t>The Supplier represents and warrants that:</w:t>
      </w:r>
    </w:p>
    <w:p w14:paraId="7DB1812D" w14:textId="35EB4CAF" w:rsidR="00441A4C" w:rsidRPr="00F85A2F" w:rsidRDefault="00441A4C" w:rsidP="00A45CD5">
      <w:pPr>
        <w:pStyle w:val="TOCHeading"/>
        <w:numPr>
          <w:ilvl w:val="2"/>
          <w:numId w:val="33"/>
        </w:numPr>
        <w:suppressAutoHyphens w:val="0"/>
        <w:autoSpaceDN/>
        <w:spacing w:after="160" w:line="259" w:lineRule="auto"/>
        <w:ind w:left="1134" w:hanging="708"/>
        <w:contextualSpacing/>
        <w:textAlignment w:val="auto"/>
        <w:rPr>
          <w:rFonts w:cstheme="minorHAnsi"/>
        </w:rPr>
      </w:pPr>
      <w:bookmarkStart w:id="13" w:name="_Ref19804150"/>
      <w:r w:rsidRPr="00F85A2F">
        <w:rPr>
          <w:rFonts w:ascii="Arial" w:eastAsia="Arial" w:hAnsi="Arial" w:cstheme="minorHAnsi"/>
          <w:b w:val="0"/>
          <w:bCs w:val="0"/>
          <w:color w:val="auto"/>
          <w:sz w:val="22"/>
          <w:szCs w:val="22"/>
          <w:lang w:val="en-GB" w:eastAsia="en-GB"/>
        </w:rPr>
        <w:t>in the three years prior to the Effective Date, it has been in full compliance with all applicable securities and Laws related to Tax in the United Kingdom and in the jurisdiction in which it is established;</w:t>
      </w:r>
      <w:bookmarkEnd w:id="13"/>
    </w:p>
    <w:p w14:paraId="175FFCB1" w14:textId="77777777" w:rsidR="00150309" w:rsidRPr="00EB2B49" w:rsidRDefault="00150309" w:rsidP="00A845D6">
      <w:pPr>
        <w:pStyle w:val="ListParagraph"/>
        <w:numPr>
          <w:ilvl w:val="2"/>
          <w:numId w:val="33"/>
        </w:numPr>
        <w:suppressAutoHyphens w:val="0"/>
        <w:autoSpaceDN/>
        <w:spacing w:after="160" w:line="259" w:lineRule="auto"/>
        <w:ind w:left="1134" w:hanging="708"/>
        <w:contextualSpacing/>
        <w:textAlignment w:val="auto"/>
        <w:rPr>
          <w:rFonts w:cstheme="minorHAnsi"/>
        </w:rPr>
      </w:pPr>
      <w:bookmarkStart w:id="14"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14"/>
    </w:p>
    <w:p w14:paraId="586DD5A9" w14:textId="22F8BE7A" w:rsidR="00150309" w:rsidRPr="00EB2B49" w:rsidRDefault="00150309" w:rsidP="00A845D6">
      <w:pPr>
        <w:pStyle w:val="ListParagraph"/>
        <w:numPr>
          <w:ilvl w:val="2"/>
          <w:numId w:val="33"/>
        </w:numPr>
        <w:suppressAutoHyphens w:val="0"/>
        <w:autoSpaceDN/>
        <w:spacing w:after="160" w:line="259" w:lineRule="auto"/>
        <w:ind w:left="1134" w:hanging="708"/>
        <w:contextualSpacing/>
        <w:textAlignment w:val="auto"/>
        <w:rPr>
          <w:rFonts w:cstheme="minorHAnsi"/>
        </w:rPr>
      </w:pPr>
      <w:bookmarkStart w:id="15"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00441A4C" w:rsidRPr="00F85A2F">
        <w:rPr>
          <w:rFonts w:cstheme="minorHAnsi"/>
        </w:rPr>
        <w:t>effective</w:t>
      </w:r>
      <w:r>
        <w:rPr>
          <w:rFonts w:cstheme="minorHAnsi"/>
        </w:rPr>
        <w:t xml:space="preserve"> date</w:t>
      </w:r>
      <w:r w:rsidRPr="00EB2B49">
        <w:rPr>
          <w:rFonts w:cstheme="minorHAnsi"/>
        </w:rPr>
        <w:t>.</w:t>
      </w:r>
      <w:bookmarkEnd w:id="15"/>
    </w:p>
    <w:p w14:paraId="08AA998D" w14:textId="3328D87F" w:rsidR="00150309" w:rsidRPr="00EB2B49"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r w:rsidRPr="00EB2B49">
        <w:rPr>
          <w:rFonts w:cstheme="minorHAnsi"/>
        </w:rPr>
        <w:t xml:space="preserve">If at any time the Supplier becomes aware that a representation or warranty given by it under Clause </w:t>
      </w:r>
      <w:r w:rsidRPr="00F85A2F">
        <w:rPr>
          <w:rFonts w:cstheme="minorHAnsi"/>
        </w:rPr>
        <w:fldChar w:fldCharType="begin"/>
      </w:r>
      <w:r w:rsidRPr="00F85A2F">
        <w:rPr>
          <w:rFonts w:cstheme="minorHAnsi"/>
        </w:rPr>
        <w:instrText xml:space="preserve"> REF _Ref19804150 \r \h </w:instrText>
      </w:r>
      <w:r w:rsidR="00F85A2F">
        <w:rPr>
          <w:rFonts w:cstheme="minorHAnsi"/>
        </w:rPr>
        <w:instrText xml:space="preserve"> \* MERGEFORMAT </w:instrText>
      </w:r>
      <w:r w:rsidRPr="00F85A2F">
        <w:rPr>
          <w:rFonts w:cstheme="minorHAnsi"/>
        </w:rPr>
      </w:r>
      <w:r w:rsidRPr="00F85A2F">
        <w:rPr>
          <w:rFonts w:cstheme="minorHAnsi"/>
        </w:rPr>
        <w:fldChar w:fldCharType="separate"/>
      </w:r>
      <w:r w:rsidRPr="00F85A2F">
        <w:rPr>
          <w:rFonts w:cstheme="minorHAnsi"/>
        </w:rPr>
        <w:t>3.1.1</w:t>
      </w:r>
      <w:r w:rsidRPr="00F85A2F">
        <w:rPr>
          <w:rFonts w:cstheme="minorHAnsi"/>
        </w:rPr>
        <w:fldChar w:fldCharType="end"/>
      </w:r>
      <w:r w:rsidRPr="00F85A2F">
        <w:rPr>
          <w:rFonts w:cstheme="minorHAnsi"/>
        </w:rPr>
        <w:t xml:space="preserve"> </w:t>
      </w:r>
      <w:r w:rsidR="00EB4D02" w:rsidRPr="00F85A2F">
        <w:rPr>
          <w:rFonts w:cstheme="minorHAnsi"/>
        </w:rPr>
        <w:t>,</w:t>
      </w:r>
      <w:r w:rsidRPr="00F85A2F">
        <w:rPr>
          <w:rFonts w:cstheme="minorHAnsi"/>
        </w:rPr>
        <w:t xml:space="preserve"> </w:t>
      </w:r>
      <w:r w:rsidRPr="00F85A2F">
        <w:rPr>
          <w:rFonts w:cstheme="minorHAnsi"/>
        </w:rPr>
        <w:fldChar w:fldCharType="begin"/>
      </w:r>
      <w:r w:rsidRPr="00F85A2F">
        <w:rPr>
          <w:rFonts w:cstheme="minorHAnsi"/>
        </w:rPr>
        <w:instrText xml:space="preserve"> REF _Ref19804166 \r \h  \* MERGEFORMAT </w:instrText>
      </w:r>
      <w:r w:rsidRPr="00F85A2F">
        <w:rPr>
          <w:rFonts w:cstheme="minorHAnsi"/>
        </w:rPr>
      </w:r>
      <w:r w:rsidRPr="00F85A2F">
        <w:rPr>
          <w:rFonts w:cstheme="minorHAnsi"/>
        </w:rPr>
        <w:fldChar w:fldCharType="separate"/>
      </w:r>
      <w:r w:rsidRPr="00F85A2F">
        <w:rPr>
          <w:rFonts w:cstheme="minorHAnsi"/>
        </w:rPr>
        <w:t>3.1.2</w:t>
      </w:r>
      <w:r w:rsidRPr="00F85A2F">
        <w:rPr>
          <w:rFonts w:cstheme="minorHAnsi"/>
        </w:rPr>
        <w:fldChar w:fldCharType="end"/>
      </w:r>
      <w:r w:rsidR="00EB4D02" w:rsidRPr="00F85A2F">
        <w:rPr>
          <w:rFonts w:cstheme="minorHAnsi"/>
        </w:rPr>
        <w:t xml:space="preserve"> and/or 3.</w:t>
      </w:r>
      <w:r w:rsidR="0065000A" w:rsidRPr="00F85A2F">
        <w:rPr>
          <w:rFonts w:cstheme="minorHAnsi"/>
        </w:rPr>
        <w:t>1.3</w:t>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13D171F2" w14:textId="77777777" w:rsidR="00150309"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3.1.1</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650CFB79" w14:textId="77777777" w:rsidR="00150309" w:rsidRPr="00EB2B49" w:rsidRDefault="00150309" w:rsidP="000B1A1B">
      <w:pPr>
        <w:pStyle w:val="ListParagraph"/>
        <w:ind w:left="426"/>
        <w:rPr>
          <w:rFonts w:cstheme="minorHAnsi"/>
        </w:rPr>
      </w:pPr>
    </w:p>
    <w:p w14:paraId="3E183164" w14:textId="77777777" w:rsidR="00150309" w:rsidRPr="009E35D5" w:rsidRDefault="00150309" w:rsidP="00A845D6">
      <w:pPr>
        <w:pStyle w:val="ListParagraph"/>
        <w:numPr>
          <w:ilvl w:val="0"/>
          <w:numId w:val="33"/>
        </w:numPr>
        <w:suppressAutoHyphens w:val="0"/>
        <w:autoSpaceDN/>
        <w:spacing w:after="160" w:line="259" w:lineRule="auto"/>
        <w:ind w:left="426" w:hanging="426"/>
        <w:contextualSpacing/>
        <w:textAlignment w:val="auto"/>
        <w:rPr>
          <w:rFonts w:cstheme="minorHAnsi"/>
          <w:b/>
        </w:rPr>
      </w:pPr>
      <w:r w:rsidRPr="00EB2B49">
        <w:rPr>
          <w:rFonts w:cstheme="minorHAnsi"/>
          <w:b/>
        </w:rPr>
        <w:t>Promoting Tax Compliance</w:t>
      </w:r>
    </w:p>
    <w:p w14:paraId="412B9A67" w14:textId="77777777" w:rsidR="00150309" w:rsidRPr="00545FAC"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40CF296D" w14:textId="77777777" w:rsidR="00150309" w:rsidRPr="00545FAC"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bookmarkStart w:id="16"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16"/>
      <w:r w:rsidRPr="00545FAC">
        <w:rPr>
          <w:rFonts w:cstheme="minorHAnsi"/>
        </w:rPr>
        <w:t xml:space="preserve"> </w:t>
      </w:r>
    </w:p>
    <w:p w14:paraId="6675036D" w14:textId="77777777" w:rsidR="00150309" w:rsidRPr="00545FAC"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bookmarkStart w:id="17" w:name="_Ref20993847"/>
      <w:bookmarkStart w:id="18" w:name="_Ref20319306"/>
      <w:r w:rsidRPr="00545FAC">
        <w:rPr>
          <w:rFonts w:cstheme="minorHAnsi"/>
        </w:rPr>
        <w:t xml:space="preserve">The Supplier shall provide to the Authority the name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w:t>
      </w:r>
      <w:bookmarkEnd w:id="17"/>
      <w:bookmarkEnd w:id="18"/>
    </w:p>
    <w:p w14:paraId="32115BB8" w14:textId="77777777" w:rsidR="00150309" w:rsidRPr="00545FAC"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bookmarkStart w:id="19" w:name="_Ref20993857"/>
      <w:r>
        <w:rPr>
          <w:rFonts w:cstheme="minorHAnsi"/>
        </w:rPr>
        <w:t>If, at any point during t</w:t>
      </w:r>
      <w:r w:rsidRPr="00545FAC">
        <w:rPr>
          <w:rFonts w:cstheme="minorHAnsi"/>
        </w:rPr>
        <w:t xml:space="preserve">he </w:t>
      </w:r>
      <w:r w:rsidRPr="00006CF5">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19"/>
    </w:p>
    <w:p w14:paraId="5EF863A1" w14:textId="77777777" w:rsidR="00150309" w:rsidRDefault="00150309" w:rsidP="00A845D6">
      <w:pPr>
        <w:pStyle w:val="ListParagraph"/>
        <w:numPr>
          <w:ilvl w:val="2"/>
          <w:numId w:val="33"/>
        </w:numPr>
        <w:suppressAutoHyphens w:val="0"/>
        <w:autoSpaceDN/>
        <w:spacing w:after="160" w:line="259" w:lineRule="auto"/>
        <w:ind w:left="1134" w:hanging="708"/>
        <w:contextualSpacing/>
        <w:textAlignment w:val="auto"/>
        <w:rPr>
          <w:rFonts w:cstheme="minorHAnsi"/>
        </w:rPr>
      </w:pPr>
      <w:bookmarkStart w:id="20" w:name="_Ref20319279"/>
      <w:r w:rsidRPr="00545FAC">
        <w:rPr>
          <w:rFonts w:cstheme="minorHAnsi"/>
        </w:rPr>
        <w:t>notify the Authority in writing of such fact within five (5) Working Days of its occurrence; and</w:t>
      </w:r>
      <w:bookmarkEnd w:id="20"/>
    </w:p>
    <w:p w14:paraId="7A1303C2" w14:textId="77777777" w:rsidR="00150309" w:rsidRDefault="00150309" w:rsidP="00A845D6">
      <w:pPr>
        <w:pStyle w:val="ListParagraph"/>
        <w:numPr>
          <w:ilvl w:val="2"/>
          <w:numId w:val="33"/>
        </w:numPr>
        <w:suppressAutoHyphens w:val="0"/>
        <w:autoSpaceDN/>
        <w:spacing w:after="160" w:line="259" w:lineRule="auto"/>
        <w:ind w:left="1134" w:hanging="708"/>
        <w:contextualSpacing/>
        <w:textAlignment w:val="auto"/>
        <w:rPr>
          <w:rFonts w:cstheme="minorHAnsi"/>
        </w:rPr>
      </w:pPr>
      <w:bookmarkStart w:id="21" w:name="_Ref20319317"/>
      <w:r w:rsidRPr="00545FAC">
        <w:rPr>
          <w:rFonts w:cstheme="minorHAnsi"/>
        </w:rPr>
        <w:t>promptly provide to the Authority:</w:t>
      </w:r>
      <w:bookmarkEnd w:id="21"/>
    </w:p>
    <w:p w14:paraId="46841560" w14:textId="77777777" w:rsidR="00150309" w:rsidRDefault="00150309" w:rsidP="00A845D6">
      <w:pPr>
        <w:pStyle w:val="ListParagraph"/>
        <w:numPr>
          <w:ilvl w:val="0"/>
          <w:numId w:val="36"/>
        </w:numPr>
        <w:suppressAutoHyphens w:val="0"/>
        <w:autoSpaceDN/>
        <w:spacing w:after="160" w:line="259" w:lineRule="auto"/>
        <w:contextualSpacing/>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5434CCEE" w14:textId="77777777" w:rsidR="00150309" w:rsidRPr="00545FAC" w:rsidRDefault="00150309" w:rsidP="00A845D6">
      <w:pPr>
        <w:pStyle w:val="ListParagraph"/>
        <w:numPr>
          <w:ilvl w:val="0"/>
          <w:numId w:val="36"/>
        </w:numPr>
        <w:suppressAutoHyphens w:val="0"/>
        <w:autoSpaceDN/>
        <w:spacing w:after="160" w:line="259" w:lineRule="auto"/>
        <w:contextualSpacing/>
        <w:textAlignment w:val="auto"/>
        <w:rPr>
          <w:rFonts w:cstheme="minorHAnsi"/>
        </w:rPr>
      </w:pPr>
      <w:r w:rsidRPr="00545FAC">
        <w:rPr>
          <w:rFonts w:cstheme="minorHAnsi"/>
        </w:rPr>
        <w:lastRenderedPageBreak/>
        <w:t>such other informa</w:t>
      </w:r>
      <w:r>
        <w:rPr>
          <w:rFonts w:cstheme="minorHAnsi"/>
        </w:rPr>
        <w:t>tion in relation to the Tax Non-</w:t>
      </w:r>
      <w:r w:rsidRPr="00545FAC">
        <w:rPr>
          <w:rFonts w:cstheme="minorHAnsi"/>
        </w:rPr>
        <w:t>Compliance as the Authority may reasonably require.</w:t>
      </w:r>
    </w:p>
    <w:p w14:paraId="08A6A420" w14:textId="77777777" w:rsidR="00150309" w:rsidRPr="007F0D89"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bookmarkStart w:id="22"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22"/>
      <w:r w:rsidRPr="007F0D89">
        <w:rPr>
          <w:rFonts w:cstheme="minorHAnsi"/>
        </w:rPr>
        <w:t xml:space="preserve">  </w:t>
      </w:r>
    </w:p>
    <w:p w14:paraId="7BF3150C" w14:textId="77777777" w:rsidR="00150309" w:rsidRPr="00545FAC"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bookmarkStart w:id="23" w:name="_Ref20319292"/>
      <w:r w:rsidRPr="00545FAC">
        <w:rPr>
          <w:rFonts w:cstheme="minorHAnsi"/>
        </w:rPr>
        <w:t xml:space="preserve">Upon the Authority’s </w:t>
      </w:r>
      <w:r>
        <w:rPr>
          <w:rFonts w:cstheme="minorHAnsi"/>
        </w:rPr>
        <w:t xml:space="preserve">reasonable </w:t>
      </w:r>
      <w:r w:rsidRPr="00545FAC">
        <w:rPr>
          <w:rFonts w:cstheme="minorHAnsi"/>
        </w:rPr>
        <w:t>request, the Supplier shall provide (promptly or within such other period notified by the Authority) information which demonstrates how the Supplier complies with its Tax obligations.</w:t>
      </w:r>
      <w:bookmarkEnd w:id="23"/>
      <w:r w:rsidRPr="00545FAC">
        <w:rPr>
          <w:rFonts w:cstheme="minorHAnsi"/>
        </w:rPr>
        <w:t xml:space="preserve"> </w:t>
      </w:r>
    </w:p>
    <w:p w14:paraId="377B5AC1" w14:textId="77777777" w:rsidR="00150309" w:rsidRPr="00545FAC"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r w:rsidRPr="00545FAC">
        <w:rPr>
          <w:rStyle w:val="normaltextrun1"/>
          <w:rFonts w:cstheme="minorHAnsi"/>
        </w:rPr>
        <w:t xml:space="preserve">If the Supplier: </w:t>
      </w:r>
    </w:p>
    <w:p w14:paraId="12557F73" w14:textId="77777777" w:rsidR="00150309" w:rsidRDefault="00150309" w:rsidP="00A845D6">
      <w:pPr>
        <w:pStyle w:val="paragraph"/>
        <w:numPr>
          <w:ilvl w:val="2"/>
          <w:numId w:val="33"/>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75071061" w14:textId="77777777" w:rsidR="00150309" w:rsidRDefault="00150309" w:rsidP="000B1A1B">
      <w:pPr>
        <w:pStyle w:val="paragraph"/>
        <w:ind w:left="1276"/>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and/or</w:t>
      </w:r>
    </w:p>
    <w:p w14:paraId="2B0C3C85" w14:textId="77777777" w:rsidR="00150309" w:rsidRPr="00545FAC" w:rsidRDefault="00150309" w:rsidP="00A845D6">
      <w:pPr>
        <w:pStyle w:val="paragraph"/>
        <w:numPr>
          <w:ilvl w:val="2"/>
          <w:numId w:val="33"/>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0F7A87B8" w14:textId="77777777" w:rsidR="00150309" w:rsidRPr="00545FAC" w:rsidRDefault="00150309" w:rsidP="000B1A1B">
      <w:pPr>
        <w:pStyle w:val="paragraph"/>
        <w:ind w:left="426" w:hanging="426"/>
        <w:textAlignment w:val="baseline"/>
        <w:rPr>
          <w:rStyle w:val="normaltextrun1"/>
          <w:rFonts w:asciiTheme="minorHAnsi" w:hAnsiTheme="minorHAnsi" w:cstheme="minorHAnsi"/>
          <w:sz w:val="22"/>
          <w:szCs w:val="22"/>
        </w:rPr>
      </w:pPr>
    </w:p>
    <w:p w14:paraId="6AB569AB" w14:textId="77777777" w:rsidR="00150309" w:rsidRPr="001109D6" w:rsidRDefault="00150309" w:rsidP="000B1A1B">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CA3BE6E" w14:textId="77777777" w:rsidR="00150309" w:rsidRDefault="00150309" w:rsidP="00A845D6">
      <w:pPr>
        <w:pStyle w:val="ListParagraph"/>
        <w:numPr>
          <w:ilvl w:val="1"/>
          <w:numId w:val="33"/>
        </w:numPr>
        <w:suppressAutoHyphens w:val="0"/>
        <w:autoSpaceDN/>
        <w:spacing w:after="160" w:line="259" w:lineRule="auto"/>
        <w:ind w:left="426" w:hanging="426"/>
        <w:contextualSpacing/>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40CD5EB9" w14:textId="77777777" w:rsidR="00150309" w:rsidRPr="00187CF4" w:rsidRDefault="00150309" w:rsidP="000B1A1B">
      <w:pPr>
        <w:pStyle w:val="ListParagraph"/>
        <w:ind w:left="426"/>
        <w:rPr>
          <w:rFonts w:cstheme="minorHAnsi"/>
        </w:rPr>
      </w:pPr>
    </w:p>
    <w:p w14:paraId="21B7B41A" w14:textId="77777777" w:rsidR="00150309" w:rsidRPr="009E35D5" w:rsidRDefault="00150309" w:rsidP="00A845D6">
      <w:pPr>
        <w:pStyle w:val="ListParagraph"/>
        <w:numPr>
          <w:ilvl w:val="0"/>
          <w:numId w:val="33"/>
        </w:numPr>
        <w:suppressAutoHyphens w:val="0"/>
        <w:autoSpaceDN/>
        <w:spacing w:after="160" w:line="259" w:lineRule="auto"/>
        <w:ind w:left="426" w:hanging="426"/>
        <w:contextualSpacing/>
        <w:textAlignment w:val="auto"/>
        <w:rPr>
          <w:rFonts w:cstheme="minorHAnsi"/>
          <w:b/>
          <w:lang w:val="en-US"/>
        </w:rPr>
      </w:pPr>
      <w:r w:rsidRPr="00EB2B49">
        <w:rPr>
          <w:rFonts w:cstheme="minorHAnsi"/>
          <w:b/>
          <w:lang w:val="en-US"/>
        </w:rPr>
        <w:t>Use of Off-shore Tax Structures</w:t>
      </w:r>
      <w:bookmarkStart w:id="24" w:name="_Ref456277829"/>
    </w:p>
    <w:p w14:paraId="1F851B92" w14:textId="77777777" w:rsidR="00150309" w:rsidRPr="000A193A"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25"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w:t>
      </w:r>
      <w:r>
        <w:rPr>
          <w:rFonts w:cstheme="minorHAnsi"/>
          <w:bCs/>
          <w:iCs/>
        </w:rPr>
        <w:t xml:space="preserve"> </w:t>
      </w:r>
      <w:r w:rsidRPr="000A193A">
        <w:rPr>
          <w:rFonts w:cstheme="minorHAnsi"/>
          <w:bCs/>
          <w:iCs/>
        </w:rPr>
        <w:t>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on terms which are at arms-length and are entered into in the ordinary course of the transacting parties’ business.</w:t>
      </w:r>
      <w:bookmarkStart w:id="26" w:name="_Ref454350421"/>
      <w:bookmarkEnd w:id="24"/>
      <w:bookmarkEnd w:id="25"/>
    </w:p>
    <w:p w14:paraId="507F6683" w14:textId="77777777" w:rsidR="00150309" w:rsidRPr="00EB2B49"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27" w:name="_Ref19805057"/>
      <w:r w:rsidRPr="00EB2B49">
        <w:rPr>
          <w:rFonts w:cstheme="minorHAnsi"/>
          <w:bCs/>
          <w:iCs/>
        </w:rPr>
        <w:t>The Supplier shall notify the Authority in writing (with reasonable supporting detail) of any proposal for the Supplier or any of its Connected Companies to enter into any Prohibited Transaction. The Supplier shall notify the Authority within a reasonable time to allow the Authority to consider the proposed Prohibited Transaction before it is due to be put in place.</w:t>
      </w:r>
      <w:bookmarkStart w:id="28" w:name="_Ref454350981"/>
      <w:bookmarkEnd w:id="26"/>
      <w:bookmarkEnd w:id="27"/>
    </w:p>
    <w:p w14:paraId="428C8B74" w14:textId="77777777" w:rsidR="00150309" w:rsidRPr="00EB2B49"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29"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xml:space="preserve">, the Parties shall agree (at no </w:t>
      </w:r>
      <w:r w:rsidRPr="00EB2B49">
        <w:rPr>
          <w:rFonts w:cstheme="minorHAnsi"/>
          <w:bCs/>
          <w:iCs/>
        </w:rPr>
        <w:lastRenderedPageBreak/>
        <w:t>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30" w:name="_Ref519588655"/>
      <w:bookmarkEnd w:id="28"/>
      <w:bookmarkEnd w:id="29"/>
    </w:p>
    <w:p w14:paraId="24CEAF25" w14:textId="77777777" w:rsidR="00150309" w:rsidRPr="005A5F40"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r w:rsidRPr="00EB2B49">
        <w:rPr>
          <w:rFonts w:cstheme="minorHAnsi"/>
          <w:bCs/>
          <w:iCs/>
        </w:rPr>
        <w:t xml:space="preserve">Failure by the Supplier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30"/>
      <w:r w:rsidRPr="00EB2B49">
        <w:rPr>
          <w:rFonts w:cstheme="minorHAnsi"/>
        </w:rPr>
        <w:t>provides the Authority the right to terminate the Agreement for Supplier fault (termination for Supplier cause).</w:t>
      </w:r>
    </w:p>
    <w:p w14:paraId="2821D54A" w14:textId="77777777" w:rsidR="00150309" w:rsidRDefault="00150309" w:rsidP="000B1A1B">
      <w:pPr>
        <w:pStyle w:val="Body2"/>
        <w:keepLines/>
        <w:spacing w:after="0"/>
        <w:ind w:left="426"/>
        <w:rPr>
          <w:rFonts w:asciiTheme="minorHAnsi" w:hAnsiTheme="minorHAnsi" w:cstheme="minorHAnsi"/>
          <w:b/>
          <w:spacing w:val="-3"/>
          <w:sz w:val="22"/>
          <w:szCs w:val="22"/>
          <w:lang w:val="en-US"/>
        </w:rPr>
      </w:pPr>
    </w:p>
    <w:p w14:paraId="35005039" w14:textId="77777777" w:rsidR="00150309" w:rsidRPr="00EB2B49" w:rsidRDefault="00150309" w:rsidP="00A845D6">
      <w:pPr>
        <w:pStyle w:val="Body2"/>
        <w:keepLines/>
        <w:numPr>
          <w:ilvl w:val="0"/>
          <w:numId w:val="37"/>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68127A77" w14:textId="77777777" w:rsidR="00150309" w:rsidRPr="00EB2B49" w:rsidRDefault="00150309" w:rsidP="00A845D6">
      <w:pPr>
        <w:pStyle w:val="Body2"/>
        <w:keepLines/>
        <w:numPr>
          <w:ilvl w:val="1"/>
          <w:numId w:val="37"/>
        </w:numPr>
        <w:spacing w:after="0"/>
        <w:ind w:left="426" w:hanging="426"/>
        <w:jc w:val="left"/>
        <w:rPr>
          <w:rFonts w:asciiTheme="minorHAnsi" w:hAnsiTheme="minorHAnsi" w:cstheme="minorHAnsi"/>
          <w:spacing w:val="-3"/>
          <w:sz w:val="22"/>
          <w:szCs w:val="22"/>
          <w:lang w:val="en-US"/>
        </w:rPr>
      </w:pPr>
      <w:bookmarkStart w:id="31"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31"/>
    </w:p>
    <w:p w14:paraId="6CF4764B" w14:textId="77777777" w:rsidR="00D03198" w:rsidRPr="00EB2B49" w:rsidRDefault="00D03198" w:rsidP="00D03198">
      <w:pPr>
        <w:pStyle w:val="Body2"/>
        <w:keepLines/>
        <w:numPr>
          <w:ilvl w:val="2"/>
          <w:numId w:val="37"/>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not </w:t>
      </w:r>
      <w:r>
        <w:rPr>
          <w:rFonts w:asciiTheme="minorHAnsi" w:hAnsiTheme="minorHAnsi" w:cstheme="minorHAnsi"/>
          <w:spacing w:val="-3"/>
          <w:sz w:val="22"/>
          <w:szCs w:val="22"/>
          <w:lang w:val="en-US"/>
        </w:rPr>
        <w:t xml:space="preserve">process </w:t>
      </w:r>
      <w:r w:rsidRPr="00F85A2F">
        <w:rPr>
          <w:rFonts w:asciiTheme="minorHAnsi" w:hAnsiTheme="minorHAnsi" w:cstheme="minorHAnsi"/>
          <w:spacing w:val="-3"/>
          <w:sz w:val="22"/>
          <w:szCs w:val="22"/>
          <w:lang w:val="en-US"/>
        </w:rPr>
        <w:t>or permit to be processed Personal</w:t>
      </w:r>
      <w:r w:rsidRPr="00EB2B49">
        <w:rPr>
          <w:rFonts w:asciiTheme="minorHAnsi" w:hAnsiTheme="minorHAnsi" w:cstheme="minorHAnsi"/>
          <w:spacing w:val="-3"/>
          <w:sz w:val="22"/>
          <w:szCs w:val="22"/>
          <w:lang w:val="en-US"/>
        </w:rPr>
        <w:t xml:space="preserve">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796B0DA9" w14:textId="77777777" w:rsidR="00D03198" w:rsidRPr="00EB2B49" w:rsidRDefault="00D03198" w:rsidP="00D03198">
      <w:pPr>
        <w:pStyle w:val="Body2"/>
        <w:keepLines/>
        <w:numPr>
          <w:ilvl w:val="1"/>
          <w:numId w:val="3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w:t>
      </w:r>
      <w:r w:rsidRPr="00F85A2F">
        <w:rPr>
          <w:rFonts w:asciiTheme="minorHAnsi" w:hAnsiTheme="minorHAnsi" w:cstheme="minorHAnsi"/>
          <w:spacing w:val="-3"/>
          <w:sz w:val="22"/>
          <w:szCs w:val="22"/>
          <w:lang w:val="en-US"/>
        </w:rPr>
        <w:t>to any transfer of the Personal Data (whether</w:t>
      </w:r>
      <w:r w:rsidRPr="00EB2B49">
        <w:rPr>
          <w:rFonts w:asciiTheme="minorHAnsi" w:hAnsiTheme="minorHAnsi" w:cstheme="minorHAnsi"/>
          <w:spacing w:val="-3"/>
          <w:sz w:val="22"/>
          <w:szCs w:val="22"/>
          <w:lang w:val="en-US"/>
        </w:rPr>
        <w:t xml:space="preserve">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6D87A25A" w14:textId="77777777" w:rsidR="00150309" w:rsidRPr="00EB2B49" w:rsidRDefault="00150309" w:rsidP="00A845D6">
      <w:pPr>
        <w:pStyle w:val="Body2"/>
        <w:keepLines/>
        <w:numPr>
          <w:ilvl w:val="1"/>
          <w:numId w:val="3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7DC2B3F9" w14:textId="65F313B1" w:rsidR="00C24712" w:rsidRPr="00EB2B49" w:rsidRDefault="00C24712" w:rsidP="00C24712">
      <w:pPr>
        <w:pStyle w:val="Body2"/>
        <w:keepLines/>
        <w:numPr>
          <w:ilvl w:val="1"/>
          <w:numId w:val="3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w:t>
      </w:r>
      <w:r w:rsidRPr="00F85A2F">
        <w:rPr>
          <w:rFonts w:asciiTheme="minorHAnsi" w:hAnsiTheme="minorHAnsi" w:cstheme="minorHAnsi"/>
          <w:spacing w:val="-3"/>
          <w:sz w:val="22"/>
          <w:szCs w:val="22"/>
          <w:lang w:val="en-US"/>
        </w:rPr>
        <w:t>is processed (</w:t>
      </w:r>
      <w:r w:rsidRPr="00EB2B49">
        <w:rPr>
          <w:rFonts w:asciiTheme="minorHAnsi" w:hAnsiTheme="minorHAnsi" w:cstheme="minorHAnsi"/>
          <w:spacing w:val="-3"/>
          <w:sz w:val="22"/>
          <w:szCs w:val="22"/>
          <w:lang w:val="en-US"/>
        </w:rPr>
        <w:t xml:space="preserve">or, if it is not so bound, uses its best </w:t>
      </w:r>
      <w:r w:rsidR="00AE51A6" w:rsidRPr="00EB2B49">
        <w:rPr>
          <w:rFonts w:asciiTheme="minorHAnsi" w:hAnsiTheme="minorHAnsi" w:cstheme="minorHAnsi"/>
          <w:spacing w:val="-3"/>
          <w:sz w:val="22"/>
          <w:szCs w:val="22"/>
          <w:lang w:val="en-US"/>
        </w:rPr>
        <w:t>endeavors</w:t>
      </w:r>
      <w:r w:rsidRPr="00EB2B49">
        <w:rPr>
          <w:rFonts w:asciiTheme="minorHAnsi" w:hAnsiTheme="minorHAnsi" w:cstheme="minorHAnsi"/>
          <w:spacing w:val="-3"/>
          <w:sz w:val="22"/>
          <w:szCs w:val="22"/>
          <w:lang w:val="en-US"/>
        </w:rPr>
        <w:t xml:space="preserve">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5EBF505F" w14:textId="77777777" w:rsidR="00150309" w:rsidRPr="00EB2B49" w:rsidRDefault="00150309" w:rsidP="00A845D6">
      <w:pPr>
        <w:pStyle w:val="Body2"/>
        <w:keepLines/>
        <w:numPr>
          <w:ilvl w:val="1"/>
          <w:numId w:val="3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47987ED8" w14:textId="537D69F3" w:rsidR="00A8222C" w:rsidRPr="000713AC" w:rsidRDefault="00A8222C" w:rsidP="00A8222C">
      <w:pPr>
        <w:pStyle w:val="ListParagraph"/>
        <w:numPr>
          <w:ilvl w:val="1"/>
          <w:numId w:val="37"/>
        </w:numPr>
        <w:suppressAutoHyphens w:val="0"/>
        <w:autoSpaceDN/>
        <w:spacing w:after="160" w:line="259" w:lineRule="auto"/>
        <w:ind w:left="426" w:hanging="426"/>
        <w:contextualSpacing/>
        <w:textAlignment w:val="auto"/>
        <w:rPr>
          <w:rFonts w:cstheme="minorHAnsi"/>
          <w:b/>
        </w:rPr>
      </w:pPr>
      <w:r w:rsidRPr="00EB2B49">
        <w:rPr>
          <w:rFonts w:cstheme="minorHAnsi"/>
          <w:bCs/>
          <w:iCs/>
        </w:rPr>
        <w:t xml:space="preserve">Failure by the </w:t>
      </w:r>
      <w:r>
        <w:rPr>
          <w:rFonts w:cstheme="minorHAnsi"/>
          <w:spacing w:val="-3"/>
          <w:lang w:val="en-US"/>
        </w:rPr>
        <w:t>Supplier or an</w:t>
      </w:r>
      <w:r w:rsidR="00574A06">
        <w:rPr>
          <w:rFonts w:cstheme="minorHAnsi"/>
          <w:spacing w:val="-3"/>
          <w:lang w:val="en-US"/>
        </w:rPr>
        <w:t>y applicable Processor</w:t>
      </w:r>
      <w:r>
        <w:rPr>
          <w:rFonts w:cstheme="minorHAnsi"/>
          <w:spacing w:val="-3"/>
          <w:lang w:val="en-US"/>
        </w:rPr>
        <w:t xml:space="preserve"> </w:t>
      </w:r>
      <w:r w:rsidRPr="00EB2B49">
        <w:rPr>
          <w:rFonts w:cstheme="minorHAnsi"/>
          <w:bCs/>
          <w:iCs/>
        </w:rPr>
        <w:t xml:space="preserve">to comply with the obligations </w:t>
      </w:r>
      <w:r w:rsidR="00671B5A">
        <w:rPr>
          <w:rFonts w:cstheme="minorHAnsi"/>
          <w:bCs/>
          <w:iCs/>
        </w:rPr>
        <w:t xml:space="preserve">as </w:t>
      </w:r>
      <w:r w:rsidRPr="00EB2B49">
        <w:rPr>
          <w:rFonts w:cstheme="minorHAnsi"/>
          <w:bCs/>
          <w:iCs/>
        </w:rPr>
        <w:t xml:space="preserve">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4DCE2199" w14:textId="77777777" w:rsidR="00150309" w:rsidRPr="00DB57F6" w:rsidRDefault="00150309" w:rsidP="000B1A1B">
      <w:pPr>
        <w:pStyle w:val="ListParagraph"/>
        <w:ind w:left="426"/>
        <w:rPr>
          <w:rFonts w:cstheme="minorHAnsi"/>
          <w:b/>
        </w:rPr>
      </w:pPr>
    </w:p>
    <w:p w14:paraId="77EBBAFA" w14:textId="77777777" w:rsidR="00150309" w:rsidRPr="00F12836" w:rsidRDefault="00150309" w:rsidP="00A845D6">
      <w:pPr>
        <w:pStyle w:val="ListParagraph"/>
        <w:numPr>
          <w:ilvl w:val="0"/>
          <w:numId w:val="37"/>
        </w:numPr>
        <w:suppressAutoHyphens w:val="0"/>
        <w:autoSpaceDN/>
        <w:spacing w:after="160" w:line="259" w:lineRule="auto"/>
        <w:ind w:left="426" w:hanging="426"/>
        <w:contextualSpacing/>
        <w:textAlignment w:val="auto"/>
        <w:rPr>
          <w:rFonts w:cstheme="minorHAnsi"/>
          <w:b/>
        </w:rPr>
      </w:pPr>
      <w:bookmarkStart w:id="32" w:name="_Ref24987602"/>
      <w:bookmarkStart w:id="33" w:name="_Ref25767967"/>
      <w:r w:rsidRPr="00EB2B49">
        <w:rPr>
          <w:rFonts w:cstheme="minorHAnsi"/>
          <w:b/>
        </w:rPr>
        <w:t>Commissioners for Revenue and Customs Act 2005</w:t>
      </w:r>
      <w:bookmarkEnd w:id="32"/>
      <w:r>
        <w:rPr>
          <w:rFonts w:cstheme="minorHAnsi"/>
          <w:b/>
        </w:rPr>
        <w:t xml:space="preserve"> and related Legislation</w:t>
      </w:r>
      <w:bookmarkEnd w:id="33"/>
      <w:r>
        <w:rPr>
          <w:rFonts w:cstheme="minorHAnsi"/>
          <w:b/>
        </w:rPr>
        <w:t xml:space="preserve"> </w:t>
      </w:r>
    </w:p>
    <w:p w14:paraId="29710534" w14:textId="77777777" w:rsidR="00150309"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rPr>
      </w:pPr>
      <w:bookmarkStart w:id="34"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34"/>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6FE16372" w14:textId="77777777" w:rsidR="00150309" w:rsidRPr="0078116D"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4B0F829" w14:textId="77777777" w:rsidR="00150309" w:rsidRPr="00EB2B49"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lastRenderedPageBreak/>
        <w:t xml:space="preserve">The Supplier shall regularly (not less than once every six (6) months) remind all </w:t>
      </w:r>
      <w:r>
        <w:rPr>
          <w:rFonts w:cstheme="minorHAnsi"/>
        </w:rPr>
        <w:t xml:space="preserve">Operational </w:t>
      </w:r>
      <w:r w:rsidRPr="00EB2B49">
        <w:rPr>
          <w:rFonts w:cstheme="minorHAnsi"/>
        </w:rPr>
        <w:t xml:space="preserve">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xml:space="preserve">.  The Supplier shall monitor the compliance by </w:t>
      </w:r>
      <w:r>
        <w:rPr>
          <w:rFonts w:cstheme="minorHAnsi"/>
        </w:rPr>
        <w:t xml:space="preserve">Operational </w:t>
      </w:r>
      <w:r w:rsidRPr="00EB2B49">
        <w:rPr>
          <w:rFonts w:cstheme="minorHAnsi"/>
        </w:rPr>
        <w:t>Supplier Personnel with such obligations.</w:t>
      </w:r>
    </w:p>
    <w:p w14:paraId="042D1E88" w14:textId="77777777" w:rsidR="00150309" w:rsidRPr="00EB2B49"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ensure that all </w:t>
      </w:r>
      <w:r>
        <w:rPr>
          <w:rFonts w:cstheme="minorHAnsi"/>
        </w:rPr>
        <w:t xml:space="preserve">Operational </w:t>
      </w:r>
      <w:r w:rsidRPr="00EB2B49">
        <w:rPr>
          <w:rFonts w:cstheme="minorHAnsi"/>
        </w:rPr>
        <w:t xml:space="preserve">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51F8EE85" w14:textId="77777777" w:rsidR="00150309" w:rsidRPr="00EB2B49" w:rsidRDefault="00150309" w:rsidP="00A845D6">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55E3371C" w14:textId="77777777" w:rsidR="00150309" w:rsidRPr="00EB2B49" w:rsidRDefault="00150309">
      <w:pPr>
        <w:rPr>
          <w:rFonts w:cstheme="minorHAnsi"/>
        </w:rPr>
      </w:pPr>
    </w:p>
    <w:p w14:paraId="08C6225D" w14:textId="77777777" w:rsidR="00150309" w:rsidRPr="00EB2B49" w:rsidRDefault="00150309" w:rsidP="000B1A1B">
      <w:pPr>
        <w:jc w:val="center"/>
        <w:rPr>
          <w:rFonts w:cstheme="minorHAnsi"/>
          <w:b/>
        </w:rPr>
      </w:pPr>
      <w:r w:rsidRPr="00EB2B49">
        <w:rPr>
          <w:rFonts w:cstheme="minorHAnsi"/>
        </w:rPr>
        <w:br w:type="page"/>
      </w:r>
      <w:r w:rsidRPr="00EB2B49">
        <w:rPr>
          <w:rFonts w:cstheme="minorHAnsi"/>
          <w:b/>
        </w:rPr>
        <w:lastRenderedPageBreak/>
        <w:t>Annex 1</w:t>
      </w:r>
    </w:p>
    <w:p w14:paraId="3421008F" w14:textId="77777777" w:rsidR="00150309" w:rsidRPr="00EB2B49" w:rsidRDefault="00150309" w:rsidP="000B1A1B">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711F3F52" w14:textId="77777777" w:rsidR="00150309" w:rsidRPr="00EB2B49" w:rsidRDefault="00150309" w:rsidP="000B1A1B">
      <w:pPr>
        <w:pStyle w:val="NormalWeb"/>
        <w:spacing w:after="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56CD10AB" w14:textId="77777777" w:rsidR="00150309" w:rsidRPr="00EB2B49" w:rsidRDefault="00150309" w:rsidP="000B1A1B">
      <w:pPr>
        <w:pStyle w:val="NormalWeb"/>
        <w:spacing w:after="0"/>
        <w:jc w:val="both"/>
        <w:rPr>
          <w:rFonts w:asciiTheme="minorHAnsi" w:hAnsiTheme="minorHAnsi" w:cstheme="minorHAnsi"/>
          <w:color w:val="000000"/>
          <w:sz w:val="22"/>
          <w:szCs w:val="22"/>
        </w:rPr>
      </w:pPr>
    </w:p>
    <w:p w14:paraId="14054EE9" w14:textId="77777777" w:rsidR="00150309" w:rsidRPr="00EB2B49" w:rsidRDefault="00150309" w:rsidP="00A845D6">
      <w:pPr>
        <w:pStyle w:val="NormalWeb"/>
        <w:numPr>
          <w:ilvl w:val="0"/>
          <w:numId w:val="31"/>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2AB0EB81" w14:textId="77777777" w:rsidR="00150309" w:rsidRPr="00EB2B49" w:rsidRDefault="00150309" w:rsidP="000B1A1B">
      <w:pPr>
        <w:pStyle w:val="NormalWeb"/>
        <w:spacing w:after="0"/>
        <w:ind w:left="284" w:firstLine="60"/>
        <w:jc w:val="both"/>
        <w:rPr>
          <w:rFonts w:asciiTheme="minorHAnsi" w:hAnsiTheme="minorHAnsi" w:cstheme="minorHAnsi"/>
          <w:sz w:val="22"/>
          <w:szCs w:val="22"/>
        </w:rPr>
      </w:pPr>
    </w:p>
    <w:p w14:paraId="604789CE" w14:textId="77777777" w:rsidR="00150309" w:rsidRPr="00EB2B49" w:rsidRDefault="00150309" w:rsidP="00A845D6">
      <w:pPr>
        <w:pStyle w:val="NormalWeb"/>
        <w:numPr>
          <w:ilvl w:val="0"/>
          <w:numId w:val="30"/>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337E8ACA" w14:textId="77777777" w:rsidR="00150309" w:rsidRPr="00EB2B49" w:rsidRDefault="00150309" w:rsidP="00A845D6">
      <w:pPr>
        <w:pStyle w:val="NormalWeb"/>
        <w:numPr>
          <w:ilvl w:val="0"/>
          <w:numId w:val="30"/>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189F30E4" w14:textId="77777777" w:rsidR="00150309" w:rsidRPr="00EB2B49" w:rsidRDefault="00150309" w:rsidP="00A845D6">
      <w:pPr>
        <w:pStyle w:val="NormalWeb"/>
        <w:numPr>
          <w:ilvl w:val="0"/>
          <w:numId w:val="30"/>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E235593" w14:textId="77777777" w:rsidR="00150309" w:rsidRPr="00EB2B49" w:rsidRDefault="00150309" w:rsidP="000B1A1B">
      <w:pPr>
        <w:pStyle w:val="NormalWeb"/>
        <w:spacing w:after="120"/>
        <w:jc w:val="both"/>
        <w:rPr>
          <w:rFonts w:asciiTheme="minorHAnsi" w:hAnsiTheme="minorHAnsi" w:cstheme="minorHAnsi"/>
          <w:sz w:val="22"/>
          <w:szCs w:val="22"/>
        </w:rPr>
      </w:pPr>
      <w:r w:rsidRPr="00EB2B49">
        <w:rPr>
          <w:rFonts w:asciiTheme="minorHAnsi" w:hAnsiTheme="minorHAnsi" w:cstheme="minorHAnsi"/>
          <w:sz w:val="22"/>
          <w:szCs w:val="22"/>
        </w:rPr>
        <w:t> </w:t>
      </w:r>
    </w:p>
    <w:p w14:paraId="1C96AB77" w14:textId="77777777" w:rsidR="00150309" w:rsidRPr="00EB2B49" w:rsidRDefault="00150309" w:rsidP="000B1A1B">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5B3CBD82" w14:textId="77777777" w:rsidR="00150309" w:rsidRPr="00EB2B49" w:rsidRDefault="00150309" w:rsidP="00A845D6">
      <w:pPr>
        <w:pStyle w:val="NormalWeb"/>
        <w:numPr>
          <w:ilvl w:val="0"/>
          <w:numId w:val="31"/>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443F16CB" w14:textId="77777777" w:rsidR="00150309" w:rsidRPr="00EB2B49" w:rsidRDefault="00150309" w:rsidP="000B1A1B">
      <w:pPr>
        <w:pStyle w:val="NormalWeb"/>
        <w:spacing w:after="0"/>
        <w:jc w:val="both"/>
        <w:rPr>
          <w:rFonts w:asciiTheme="minorHAnsi" w:hAnsiTheme="minorHAnsi" w:cstheme="minorHAnsi"/>
          <w:color w:val="000000"/>
          <w:sz w:val="22"/>
          <w:szCs w:val="22"/>
        </w:rPr>
      </w:pPr>
    </w:p>
    <w:p w14:paraId="435A392C" w14:textId="77777777" w:rsidR="00150309" w:rsidRPr="00EB2B49" w:rsidRDefault="00150309" w:rsidP="00A845D6">
      <w:pPr>
        <w:pStyle w:val="NormalWeb"/>
        <w:numPr>
          <w:ilvl w:val="1"/>
          <w:numId w:val="28"/>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77501523" w14:textId="77777777" w:rsidR="00150309" w:rsidRPr="00EB2B49" w:rsidRDefault="00150309" w:rsidP="00A845D6">
      <w:pPr>
        <w:pStyle w:val="NormalWeb"/>
        <w:numPr>
          <w:ilvl w:val="1"/>
          <w:numId w:val="28"/>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5647DCD8" w14:textId="77777777" w:rsidR="00150309" w:rsidRPr="00EB2B49" w:rsidRDefault="00150309" w:rsidP="00A845D6">
      <w:pPr>
        <w:pStyle w:val="NormalWeb"/>
        <w:numPr>
          <w:ilvl w:val="1"/>
          <w:numId w:val="28"/>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1DF0317F" w14:textId="77777777" w:rsidR="00150309" w:rsidRPr="00EB2B49" w:rsidRDefault="00150309" w:rsidP="00A845D6">
      <w:pPr>
        <w:pStyle w:val="NormalWeb"/>
        <w:numPr>
          <w:ilvl w:val="1"/>
          <w:numId w:val="28"/>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22A7A59D" w14:textId="77777777" w:rsidR="00150309" w:rsidRPr="00EB2B49" w:rsidRDefault="00150309" w:rsidP="00A845D6">
      <w:pPr>
        <w:pStyle w:val="NormalWeb"/>
        <w:numPr>
          <w:ilvl w:val="1"/>
          <w:numId w:val="28"/>
        </w:numPr>
        <w:suppressAutoHyphens w:val="0"/>
        <w:autoSpaceDN/>
        <w:spacing w:beforeAutospacing="1" w:after="0" w:afterAutospacing="1"/>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14892EA9" w14:textId="77777777" w:rsidR="00150309" w:rsidRPr="00EB2B49" w:rsidRDefault="00150309" w:rsidP="00A845D6">
      <w:pPr>
        <w:pStyle w:val="NormalWeb"/>
        <w:numPr>
          <w:ilvl w:val="1"/>
          <w:numId w:val="28"/>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6DCFCCD4" w14:textId="77777777" w:rsidR="00150309" w:rsidRPr="00EB2B49" w:rsidRDefault="00150309" w:rsidP="00A845D6">
      <w:pPr>
        <w:pStyle w:val="NormalWeb"/>
        <w:numPr>
          <w:ilvl w:val="1"/>
          <w:numId w:val="28"/>
        </w:numPr>
        <w:suppressAutoHyphens w:val="0"/>
        <w:autoSpaceDN/>
        <w:spacing w:beforeAutospacing="1" w:after="120" w:afterAutospacing="1"/>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Engaged in conduct which falls under rules in other jurisdictions which are equivalent or similar to (a) to (f) above.</w:t>
      </w:r>
    </w:p>
    <w:p w14:paraId="57F1CD23" w14:textId="77777777" w:rsidR="00150309" w:rsidRPr="00EB2B49" w:rsidRDefault="00150309" w:rsidP="000B1A1B">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725795BF" w14:textId="77777777" w:rsidR="00150309" w:rsidRPr="00EB2B49" w:rsidRDefault="00150309" w:rsidP="00A845D6">
      <w:pPr>
        <w:pStyle w:val="NormalWeb"/>
        <w:numPr>
          <w:ilvl w:val="0"/>
          <w:numId w:val="31"/>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2518BF04" w14:textId="77777777" w:rsidR="00150309" w:rsidRPr="00EB2B49" w:rsidRDefault="00150309" w:rsidP="000B1A1B">
      <w:pPr>
        <w:pStyle w:val="NormalWeb"/>
        <w:spacing w:after="0"/>
        <w:ind w:firstLine="60"/>
        <w:rPr>
          <w:rFonts w:asciiTheme="minorHAnsi" w:hAnsiTheme="minorHAnsi" w:cstheme="minorHAnsi"/>
          <w:sz w:val="22"/>
          <w:szCs w:val="22"/>
        </w:rPr>
      </w:pPr>
    </w:p>
    <w:p w14:paraId="4164D565" w14:textId="77777777" w:rsidR="00150309" w:rsidRPr="00EB2B49" w:rsidRDefault="00150309" w:rsidP="00A845D6">
      <w:pPr>
        <w:pStyle w:val="NormalWeb"/>
        <w:numPr>
          <w:ilvl w:val="1"/>
          <w:numId w:val="29"/>
        </w:numPr>
        <w:suppressAutoHyphens w:val="0"/>
        <w:autoSpaceDN/>
        <w:spacing w:before="0" w:after="0"/>
        <w:ind w:left="108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545B4E78" w14:textId="77777777" w:rsidR="00150309" w:rsidRPr="00EB2B49" w:rsidRDefault="00150309" w:rsidP="00A845D6">
      <w:pPr>
        <w:pStyle w:val="NormalWeb"/>
        <w:numPr>
          <w:ilvl w:val="2"/>
          <w:numId w:val="29"/>
        </w:numPr>
        <w:tabs>
          <w:tab w:val="clear" w:pos="2160"/>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4DDE3612" w14:textId="77777777" w:rsidR="00150309" w:rsidRPr="00EB2B49" w:rsidRDefault="00150309" w:rsidP="00A845D6">
      <w:pPr>
        <w:pStyle w:val="NormalWeb"/>
        <w:numPr>
          <w:ilvl w:val="2"/>
          <w:numId w:val="29"/>
        </w:numPr>
        <w:tabs>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60CD40A1" w14:textId="77777777" w:rsidR="00150309" w:rsidRPr="000A193A" w:rsidRDefault="00150309" w:rsidP="00A845D6">
      <w:pPr>
        <w:pStyle w:val="NormalWeb"/>
        <w:numPr>
          <w:ilvl w:val="1"/>
          <w:numId w:val="29"/>
        </w:numPr>
        <w:suppressAutoHyphens w:val="0"/>
        <w:autoSpaceDN/>
        <w:spacing w:before="0" w:after="0"/>
        <w:ind w:left="108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D355680" w14:textId="77777777" w:rsidR="00150309" w:rsidRPr="000A193A" w:rsidRDefault="00150309" w:rsidP="00A845D6">
      <w:pPr>
        <w:pStyle w:val="NormalWeb"/>
        <w:numPr>
          <w:ilvl w:val="1"/>
          <w:numId w:val="29"/>
        </w:numPr>
        <w:suppressAutoHyphens w:val="0"/>
        <w:autoSpaceDN/>
        <w:spacing w:before="0" w:after="0"/>
        <w:ind w:left="1080"/>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42444990" w14:textId="77777777" w:rsidR="00150309" w:rsidRPr="000A193A" w:rsidRDefault="00150309" w:rsidP="00A845D6">
      <w:pPr>
        <w:pStyle w:val="NormalWeb"/>
        <w:numPr>
          <w:ilvl w:val="1"/>
          <w:numId w:val="29"/>
        </w:numPr>
        <w:suppressAutoHyphens w:val="0"/>
        <w:autoSpaceDN/>
        <w:spacing w:before="0" w:after="0"/>
        <w:ind w:left="1080"/>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50C6E3B7" w14:textId="77777777" w:rsidR="00150309" w:rsidRPr="000A193A" w:rsidRDefault="00150309" w:rsidP="00A845D6">
      <w:pPr>
        <w:pStyle w:val="NormalWeb"/>
        <w:numPr>
          <w:ilvl w:val="1"/>
          <w:numId w:val="29"/>
        </w:numPr>
        <w:suppressAutoHyphens w:val="0"/>
        <w:autoSpaceDN/>
        <w:spacing w:before="0" w:after="0"/>
        <w:ind w:left="1080"/>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791ACB7A" w14:textId="77777777" w:rsidR="00150309" w:rsidRPr="000A193A" w:rsidRDefault="00150309" w:rsidP="000B1A1B">
      <w:pPr>
        <w:pStyle w:val="NormalWeb"/>
        <w:spacing w:after="120"/>
        <w:jc w:val="both"/>
        <w:rPr>
          <w:rFonts w:asciiTheme="minorHAnsi" w:hAnsiTheme="minorHAnsi" w:cstheme="minorHAnsi"/>
          <w:sz w:val="22"/>
          <w:szCs w:val="22"/>
        </w:rPr>
      </w:pPr>
      <w:r w:rsidRPr="000A193A">
        <w:rPr>
          <w:rFonts w:asciiTheme="minorHAnsi" w:hAnsiTheme="minorHAnsi" w:cstheme="minorHAnsi"/>
          <w:sz w:val="22"/>
          <w:szCs w:val="22"/>
        </w:rPr>
        <w:t> </w:t>
      </w:r>
    </w:p>
    <w:p w14:paraId="13FD0C05" w14:textId="77777777" w:rsidR="00150309" w:rsidRPr="000A193A" w:rsidRDefault="00150309" w:rsidP="000B1A1B">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6DC2E9AA" w14:textId="77777777" w:rsidR="00150309" w:rsidRPr="00EB2B49" w:rsidRDefault="00150309">
      <w:pPr>
        <w:rPr>
          <w:rFonts w:cstheme="minorHAnsi"/>
        </w:rPr>
      </w:pPr>
      <w:r w:rsidRPr="00EB2B49">
        <w:rPr>
          <w:rFonts w:cstheme="minorHAnsi"/>
        </w:rPr>
        <w:br w:type="page"/>
      </w:r>
    </w:p>
    <w:p w14:paraId="698B1465" w14:textId="77777777" w:rsidR="00150309" w:rsidRPr="00EB2B49" w:rsidRDefault="00150309" w:rsidP="000B1A1B">
      <w:pPr>
        <w:jc w:val="center"/>
        <w:rPr>
          <w:rFonts w:cstheme="minorHAnsi"/>
          <w:b/>
        </w:rPr>
      </w:pPr>
      <w:r w:rsidRPr="00EB2B49">
        <w:rPr>
          <w:rFonts w:cstheme="minorHAnsi"/>
          <w:b/>
        </w:rPr>
        <w:lastRenderedPageBreak/>
        <w:t>Annex 2</w:t>
      </w:r>
      <w:r>
        <w:rPr>
          <w:rFonts w:cstheme="minorHAnsi"/>
          <w:b/>
        </w:rPr>
        <w:t xml:space="preserve"> Form </w:t>
      </w:r>
    </w:p>
    <w:p w14:paraId="179A476D" w14:textId="77777777" w:rsidR="00150309" w:rsidRPr="00EB2B49" w:rsidRDefault="00150309" w:rsidP="000B1A1B">
      <w:pPr>
        <w:jc w:val="center"/>
        <w:rPr>
          <w:rFonts w:cstheme="minorHAnsi"/>
          <w:b/>
        </w:rPr>
      </w:pPr>
      <w:r w:rsidRPr="00EB2B49">
        <w:rPr>
          <w:rFonts w:cstheme="minorHAnsi"/>
          <w:b/>
        </w:rPr>
        <w:t>CONFIDENTIALITY DECLARATION</w:t>
      </w:r>
      <w:r>
        <w:rPr>
          <w:rFonts w:cstheme="minorHAnsi"/>
          <w:b/>
        </w:rPr>
        <w:t xml:space="preserve"> </w:t>
      </w:r>
    </w:p>
    <w:p w14:paraId="14B2E72F" w14:textId="77777777" w:rsidR="00150309" w:rsidRPr="00EB2B49" w:rsidRDefault="00150309" w:rsidP="000B1A1B">
      <w:pPr>
        <w:jc w:val="both"/>
        <w:rPr>
          <w:rFonts w:cstheme="minorHAnsi"/>
        </w:rPr>
      </w:pPr>
      <w:r w:rsidRPr="00EB2B49">
        <w:rPr>
          <w:rFonts w:cstheme="minorHAnsi"/>
        </w:rPr>
        <w:t xml:space="preserve">CONTRACT REFERENCE: </w:t>
      </w:r>
      <w:r w:rsidRPr="00FD4BD3">
        <w:rPr>
          <w:rFonts w:cstheme="minorHAnsi"/>
        </w:rPr>
        <w:t xml:space="preserve">SR640822422 - COVID requirement for BACS software replacement </w:t>
      </w:r>
      <w:r>
        <w:rPr>
          <w:rFonts w:cstheme="minorHAnsi"/>
        </w:rPr>
        <w:t>(‘the Agreement</w:t>
      </w:r>
      <w:r w:rsidRPr="00952D44">
        <w:rPr>
          <w:rFonts w:cstheme="minorHAnsi"/>
        </w:rPr>
        <w:t>’)</w:t>
      </w:r>
    </w:p>
    <w:p w14:paraId="2E5BAD99" w14:textId="77777777" w:rsidR="00150309" w:rsidRDefault="00150309" w:rsidP="000B1A1B">
      <w:pPr>
        <w:jc w:val="both"/>
        <w:rPr>
          <w:rFonts w:cstheme="minorHAnsi"/>
        </w:rPr>
      </w:pPr>
      <w:r w:rsidRPr="00EB2B49">
        <w:rPr>
          <w:rFonts w:cstheme="minorHAnsi"/>
        </w:rPr>
        <w:t>DECLARATION:</w:t>
      </w:r>
    </w:p>
    <w:p w14:paraId="0E1F90EA" w14:textId="77777777" w:rsidR="00150309" w:rsidRPr="00EB2B49" w:rsidRDefault="00150309" w:rsidP="000B1A1B">
      <w:pPr>
        <w:jc w:val="both"/>
        <w:rPr>
          <w:rFonts w:cstheme="minorHAnsi"/>
        </w:rPr>
      </w:pPr>
      <w:r>
        <w:rPr>
          <w:rFonts w:cstheme="minorHAnsi"/>
        </w:rPr>
        <w:t xml:space="preserve">I solemnly declare that: </w:t>
      </w:r>
    </w:p>
    <w:p w14:paraId="6C071BAD" w14:textId="77777777" w:rsidR="00150309" w:rsidRPr="00EB2B49" w:rsidRDefault="00150309" w:rsidP="00A845D6">
      <w:pPr>
        <w:pStyle w:val="ListParagraph"/>
        <w:numPr>
          <w:ilvl w:val="0"/>
          <w:numId w:val="27"/>
        </w:numPr>
        <w:suppressAutoHyphens w:val="0"/>
        <w:autoSpaceDN/>
        <w:spacing w:after="160"/>
        <w:ind w:left="426" w:hanging="426"/>
        <w:contextualSpacing/>
        <w:jc w:val="both"/>
        <w:textAlignment w:val="auto"/>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67BD9E4D" w14:textId="77777777" w:rsidR="00150309" w:rsidRPr="00EB2B49" w:rsidRDefault="00150309" w:rsidP="00A845D6">
      <w:pPr>
        <w:pStyle w:val="ListParagraph"/>
        <w:numPr>
          <w:ilvl w:val="0"/>
          <w:numId w:val="27"/>
        </w:numPr>
        <w:suppressAutoHyphens w:val="0"/>
        <w:autoSpaceDN/>
        <w:spacing w:after="160"/>
        <w:ind w:left="426" w:hanging="426"/>
        <w:contextualSpacing/>
        <w:jc w:val="both"/>
        <w:textAlignment w:val="auto"/>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706EE3E2" w14:textId="77777777" w:rsidR="00150309" w:rsidRPr="00EB2B49" w:rsidRDefault="00150309" w:rsidP="000B1A1B">
      <w:pPr>
        <w:pStyle w:val="ListParagraph"/>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150309" w:rsidRPr="00EB2B49" w14:paraId="71B78349" w14:textId="77777777" w:rsidTr="000B1A1B">
        <w:tc>
          <w:tcPr>
            <w:tcW w:w="5670" w:type="dxa"/>
          </w:tcPr>
          <w:p w14:paraId="6929553A" w14:textId="77777777" w:rsidR="00150309" w:rsidRPr="00EB2B49" w:rsidRDefault="00150309" w:rsidP="000B1A1B">
            <w:pPr>
              <w:spacing w:line="360" w:lineRule="auto"/>
              <w:rPr>
                <w:rFonts w:cstheme="minorHAnsi"/>
              </w:rPr>
            </w:pPr>
            <w:r w:rsidRPr="00EB2B49">
              <w:rPr>
                <w:rFonts w:cstheme="minorHAnsi"/>
              </w:rPr>
              <w:t>SIGNED:</w:t>
            </w:r>
          </w:p>
        </w:tc>
      </w:tr>
      <w:tr w:rsidR="00150309" w:rsidRPr="00EB2B49" w14:paraId="7F2B59D9" w14:textId="77777777" w:rsidTr="000B1A1B">
        <w:tc>
          <w:tcPr>
            <w:tcW w:w="5670" w:type="dxa"/>
          </w:tcPr>
          <w:p w14:paraId="283472F8" w14:textId="77777777" w:rsidR="00150309" w:rsidRPr="00EB2B49" w:rsidRDefault="00150309" w:rsidP="000B1A1B">
            <w:pPr>
              <w:spacing w:line="360" w:lineRule="auto"/>
              <w:rPr>
                <w:rFonts w:cstheme="minorHAnsi"/>
              </w:rPr>
            </w:pPr>
            <w:r w:rsidRPr="00EB2B49">
              <w:rPr>
                <w:rFonts w:cstheme="minorHAnsi"/>
              </w:rPr>
              <w:t>FULL NAME:</w:t>
            </w:r>
          </w:p>
        </w:tc>
      </w:tr>
      <w:tr w:rsidR="00150309" w:rsidRPr="00EB2B49" w14:paraId="7DB175FA" w14:textId="77777777" w:rsidTr="000B1A1B">
        <w:tc>
          <w:tcPr>
            <w:tcW w:w="5670" w:type="dxa"/>
          </w:tcPr>
          <w:p w14:paraId="3D22DE28" w14:textId="77777777" w:rsidR="00150309" w:rsidRPr="00EB2B49" w:rsidRDefault="00150309" w:rsidP="000B1A1B">
            <w:pPr>
              <w:spacing w:line="360" w:lineRule="auto"/>
              <w:rPr>
                <w:rFonts w:cstheme="minorHAnsi"/>
              </w:rPr>
            </w:pPr>
            <w:r w:rsidRPr="00EB2B49">
              <w:rPr>
                <w:rFonts w:cstheme="minorHAnsi"/>
              </w:rPr>
              <w:t>POSITION:</w:t>
            </w:r>
          </w:p>
        </w:tc>
      </w:tr>
      <w:tr w:rsidR="00150309" w:rsidRPr="00EB2B49" w14:paraId="758F94DB" w14:textId="77777777" w:rsidTr="000B1A1B">
        <w:tc>
          <w:tcPr>
            <w:tcW w:w="5670" w:type="dxa"/>
          </w:tcPr>
          <w:p w14:paraId="1C07E2AC" w14:textId="77777777" w:rsidR="00150309" w:rsidRPr="00EB2B49" w:rsidRDefault="00150309" w:rsidP="000B1A1B">
            <w:pPr>
              <w:spacing w:line="360" w:lineRule="auto"/>
              <w:rPr>
                <w:rFonts w:cstheme="minorHAnsi"/>
              </w:rPr>
            </w:pPr>
            <w:r w:rsidRPr="00EB2B49">
              <w:rPr>
                <w:rFonts w:cstheme="minorHAnsi"/>
              </w:rPr>
              <w:t xml:space="preserve">COMPANY: </w:t>
            </w:r>
          </w:p>
        </w:tc>
      </w:tr>
      <w:tr w:rsidR="00150309" w:rsidRPr="00EB2B49" w14:paraId="01A34DDD" w14:textId="77777777" w:rsidTr="000B1A1B">
        <w:tc>
          <w:tcPr>
            <w:tcW w:w="5670" w:type="dxa"/>
          </w:tcPr>
          <w:p w14:paraId="204E947D" w14:textId="77777777" w:rsidR="00150309" w:rsidRPr="00EB2B49" w:rsidRDefault="00150309" w:rsidP="000B1A1B">
            <w:pPr>
              <w:spacing w:line="360" w:lineRule="auto"/>
              <w:rPr>
                <w:rFonts w:cstheme="minorHAnsi"/>
              </w:rPr>
            </w:pPr>
            <w:r w:rsidRPr="00EB2B49">
              <w:rPr>
                <w:rFonts w:cstheme="minorHAnsi"/>
              </w:rPr>
              <w:t xml:space="preserve">DATE OF SIGNITURE: </w:t>
            </w:r>
          </w:p>
        </w:tc>
      </w:tr>
    </w:tbl>
    <w:p w14:paraId="70EED194" w14:textId="77777777" w:rsidR="00150309" w:rsidRPr="00EB2B49" w:rsidRDefault="00150309" w:rsidP="000B1A1B">
      <w:pPr>
        <w:rPr>
          <w:rFonts w:cstheme="minorHAnsi"/>
        </w:rPr>
      </w:pPr>
    </w:p>
    <w:p w14:paraId="14EB00BF" w14:textId="77777777" w:rsidR="00150309" w:rsidRPr="00EB2B49" w:rsidRDefault="00150309">
      <w:pPr>
        <w:rPr>
          <w:rFonts w:cstheme="minorHAnsi"/>
        </w:rPr>
      </w:pPr>
    </w:p>
    <w:p w14:paraId="168866A5" w14:textId="77777777" w:rsidR="00150309" w:rsidRPr="00EB2B49" w:rsidRDefault="00150309">
      <w:pPr>
        <w:rPr>
          <w:rFonts w:cstheme="minorHAnsi"/>
        </w:rPr>
      </w:pPr>
    </w:p>
    <w:p w14:paraId="09D697D2" w14:textId="77777777" w:rsidR="00150309" w:rsidRPr="00EB2B49" w:rsidRDefault="00150309" w:rsidP="000B1A1B">
      <w:pPr>
        <w:jc w:val="right"/>
        <w:rPr>
          <w:rFonts w:cstheme="minorHAnsi"/>
        </w:rPr>
      </w:pPr>
    </w:p>
    <w:p w14:paraId="088AF888" w14:textId="77777777" w:rsidR="00150309" w:rsidRPr="00B03D55" w:rsidRDefault="00150309" w:rsidP="00B03D55"/>
    <w:p w14:paraId="46284C1B" w14:textId="77777777" w:rsidR="009C34F8" w:rsidRDefault="00D9320F"/>
    <w:sectPr w:rsidR="009C34F8" w:rsidSect="00150309">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1DBDB" w14:textId="77777777" w:rsidR="00150309" w:rsidRDefault="00150309" w:rsidP="00150309">
      <w:pPr>
        <w:spacing w:after="0" w:line="240" w:lineRule="auto"/>
      </w:pPr>
      <w:r>
        <w:separator/>
      </w:r>
    </w:p>
  </w:endnote>
  <w:endnote w:type="continuationSeparator" w:id="0">
    <w:p w14:paraId="7205CB89" w14:textId="77777777" w:rsidR="00150309" w:rsidRDefault="00150309" w:rsidP="0015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swiss"/>
    <w:pitch w:val="variable"/>
    <w:sig w:usb0="E50002FF" w:usb1="500079DB" w:usb2="00000010" w:usb3="00000000" w:csb0="00000001" w:csb1="00000000"/>
  </w:font>
  <w:font w:name="&amp;quo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F7665" w14:textId="77777777" w:rsidR="00D9320F" w:rsidRDefault="00D9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945D5" w14:textId="77777777" w:rsidR="000B1A1B" w:rsidRDefault="0062367F">
    <w:pPr>
      <w:pStyle w:val="Footer"/>
      <w:ind w:right="360"/>
    </w:pPr>
    <w:r>
      <w:rPr>
        <w:noProof/>
      </w:rPr>
      <mc:AlternateContent>
        <mc:Choice Requires="wps">
          <w:drawing>
            <wp:anchor distT="0" distB="0" distL="114300" distR="114300" simplePos="0" relativeHeight="251660288" behindDoc="0" locked="0" layoutInCell="0" allowOverlap="1" wp14:anchorId="5263660D" wp14:editId="4A4EE0A1">
              <wp:simplePos x="0" y="0"/>
              <wp:positionH relativeFrom="page">
                <wp:posOffset>0</wp:posOffset>
              </wp:positionH>
              <wp:positionV relativeFrom="page">
                <wp:posOffset>10225405</wp:posOffset>
              </wp:positionV>
              <wp:extent cx="7562215" cy="273050"/>
              <wp:effectExtent l="0" t="0" r="0" b="12700"/>
              <wp:wrapNone/>
              <wp:docPr id="3" name="MSIPCM06664966bda91800ec79d0d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04FADE" w14:textId="77777777" w:rsidR="000B1A1B" w:rsidRPr="007369EA" w:rsidRDefault="0062367F" w:rsidP="0062367F">
                          <w:pPr>
                            <w:spacing w:after="0"/>
                            <w:jc w:val="center"/>
                            <w:rPr>
                              <w:rFonts w:ascii="Calibri" w:hAnsi="Calibri" w:cs="Calibri"/>
                              <w:color w:val="000000"/>
                              <w:sz w:val="20"/>
                            </w:rPr>
                          </w:pPr>
                          <w:r w:rsidRPr="007369E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63660D" id="_x0000_t202" coordsize="21600,21600" o:spt="202" path="m,l,21600r21600,l21600,xe">
              <v:stroke joinstyle="miter"/>
              <v:path gradientshapeok="t" o:connecttype="rect"/>
            </v:shapetype>
            <v:shape id="MSIPCM06664966bda91800ec79d0d8"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" o:allowincell="f" filled="f" stroked="f" strokeweight=".5pt">
              <v:textbox inset=",0,,0">
                <w:txbxContent>
                  <w:p w14:paraId="5904FADE" w14:textId="77777777" w:rsidR="000B1A1B" w:rsidRPr="007369EA" w:rsidRDefault="0062367F" w:rsidP="0062367F">
                    <w:pPr>
                      <w:spacing w:after="0"/>
                      <w:jc w:val="center"/>
                      <w:rPr>
                        <w:rFonts w:ascii="Calibri" w:hAnsi="Calibri" w:cs="Calibri"/>
                        <w:color w:val="000000"/>
                        <w:sz w:val="20"/>
                      </w:rPr>
                    </w:pPr>
                    <w:r w:rsidRPr="007369EA">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F0C6D82" wp14:editId="2AD1F915">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6B4777A6" w14:textId="77777777" w:rsidR="000B1A1B" w:rsidRDefault="0062367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wps:txbx>
                    <wps:bodyPr wrap="none" lIns="0" tIns="0" rIns="0" bIns="0">
                      <a:spAutoFit/>
                    </wps:bodyPr>
                  </wps:wsp>
                </a:graphicData>
              </a:graphic>
            </wp:anchor>
          </w:drawing>
        </mc:Choice>
        <mc:Fallback>
          <w:pict>
            <v:shape w14:anchorId="4F0C6D82" id="Text Box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" filled="f" stroked="f">
              <v:textbox style="mso-fit-shape-to-text:t" inset="0,0,0,0">
                <w:txbxContent>
                  <w:p w14:paraId="6B4777A6" w14:textId="77777777" w:rsidR="000B1A1B" w:rsidRDefault="0062367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410C" w14:textId="77777777" w:rsidR="00D9320F" w:rsidRDefault="00D9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6219C" w14:textId="77777777" w:rsidR="00150309" w:rsidRDefault="00150309" w:rsidP="00150309">
      <w:pPr>
        <w:spacing w:after="0" w:line="240" w:lineRule="auto"/>
      </w:pPr>
      <w:r>
        <w:separator/>
      </w:r>
    </w:p>
  </w:footnote>
  <w:footnote w:type="continuationSeparator" w:id="0">
    <w:p w14:paraId="407D3E52" w14:textId="77777777" w:rsidR="00150309" w:rsidRDefault="00150309" w:rsidP="00150309">
      <w:pPr>
        <w:spacing w:after="0" w:line="240" w:lineRule="auto"/>
      </w:pPr>
      <w:r>
        <w:continuationSeparator/>
      </w:r>
    </w:p>
  </w:footnote>
  <w:footnote w:id="1">
    <w:p w14:paraId="005B8050" w14:textId="77777777" w:rsidR="00150309" w:rsidRDefault="00150309" w:rsidP="000B1A1B">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515633E9" w14:textId="77777777" w:rsidR="00150309" w:rsidRDefault="00150309" w:rsidP="000B1A1B">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731249FC" w14:textId="77777777" w:rsidR="00150309" w:rsidRDefault="00150309" w:rsidP="000B1A1B">
      <w:pPr>
        <w:pStyle w:val="FootnoteText"/>
        <w:jc w:val="both"/>
      </w:pPr>
      <w:r>
        <w:rPr>
          <w:rStyle w:val="FootnoteReference"/>
        </w:rPr>
        <w:footnoteRef/>
      </w:r>
      <w:r>
        <w:t xml:space="preserve"> “General Anti-Abuse Rule” means (a) the legislation in Part 5 of the Finance Act 2013; and (b) any</w:t>
      </w:r>
    </w:p>
    <w:p w14:paraId="1FAD36B2" w14:textId="77777777" w:rsidR="00150309" w:rsidRDefault="00150309" w:rsidP="000B1A1B">
      <w:pPr>
        <w:pStyle w:val="FootnoteText"/>
        <w:jc w:val="both"/>
      </w:pPr>
      <w:r>
        <w:t>future legislation introduced into Parliament to counteract tax advantages arising from abusive</w:t>
      </w:r>
    </w:p>
    <w:p w14:paraId="5317FEBD" w14:textId="77777777" w:rsidR="00150309" w:rsidRDefault="00150309" w:rsidP="000B1A1B">
      <w:pPr>
        <w:pStyle w:val="FootnoteText"/>
      </w:pPr>
      <w:r>
        <w:t>arrangements to avoid national insurance contributions</w:t>
      </w:r>
    </w:p>
  </w:footnote>
  <w:footnote w:id="4">
    <w:p w14:paraId="5A947BB7" w14:textId="77777777" w:rsidR="00150309" w:rsidRDefault="00150309" w:rsidP="000B1A1B">
      <w:pPr>
        <w:pStyle w:val="FootnoteText"/>
      </w:pPr>
      <w:r>
        <w:rPr>
          <w:rStyle w:val="FootnoteReference"/>
        </w:rPr>
        <w:footnoteRef/>
      </w:r>
      <w:r>
        <w:t xml:space="preserve"> “Halifax Abuse Principle” means the principle explained in the CJEU Case C-255/02 Halifax and others</w:t>
      </w:r>
    </w:p>
  </w:footnote>
  <w:footnote w:id="5">
    <w:p w14:paraId="0D5AFA45" w14:textId="77777777" w:rsidR="00150309" w:rsidRDefault="00150309" w:rsidP="000B1A1B">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763FD3EC" w14:textId="77777777" w:rsidR="00150309" w:rsidRDefault="00150309" w:rsidP="000B1A1B">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09B2010B" w14:textId="77777777" w:rsidR="00150309" w:rsidRDefault="00150309" w:rsidP="000B1A1B">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0CDEC3AA" w14:textId="77777777" w:rsidR="00150309" w:rsidRDefault="00150309" w:rsidP="000B1A1B">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180A2" w14:textId="77777777" w:rsidR="00D9320F" w:rsidRDefault="00D93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3FE0" w14:textId="77777777" w:rsidR="00D9320F" w:rsidRDefault="00D93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CEC8" w14:textId="77777777" w:rsidR="00D9320F" w:rsidRDefault="00D9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35C11"/>
    <w:multiLevelType w:val="multilevel"/>
    <w:tmpl w:val="683063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664EF"/>
    <w:multiLevelType w:val="multilevel"/>
    <w:tmpl w:val="F8A4712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FF3CD4"/>
    <w:multiLevelType w:val="multilevel"/>
    <w:tmpl w:val="921CE2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8DB403C"/>
    <w:multiLevelType w:val="multilevel"/>
    <w:tmpl w:val="FB521F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3A7278"/>
    <w:multiLevelType w:val="hybridMultilevel"/>
    <w:tmpl w:val="D9C8888A"/>
    <w:lvl w:ilvl="0" w:tplc="6A2C80E2">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1D3D6E7B"/>
    <w:multiLevelType w:val="hybridMultilevel"/>
    <w:tmpl w:val="8A1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639BB"/>
    <w:multiLevelType w:val="multilevel"/>
    <w:tmpl w:val="045201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0F807CE"/>
    <w:multiLevelType w:val="multilevel"/>
    <w:tmpl w:val="2ACC4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D77C3E"/>
    <w:multiLevelType w:val="multilevel"/>
    <w:tmpl w:val="40185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2A664381"/>
    <w:multiLevelType w:val="multilevel"/>
    <w:tmpl w:val="D6F2B4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B285958"/>
    <w:multiLevelType w:val="multilevel"/>
    <w:tmpl w:val="A4B8A3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2A7D71"/>
    <w:multiLevelType w:val="multilevel"/>
    <w:tmpl w:val="36001B6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2FAB651D"/>
    <w:multiLevelType w:val="multilevel"/>
    <w:tmpl w:val="C302CB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67D078B"/>
    <w:multiLevelType w:val="multilevel"/>
    <w:tmpl w:val="10DE7A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D65FA5"/>
    <w:multiLevelType w:val="multilevel"/>
    <w:tmpl w:val="F8AA13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1D1CB8"/>
    <w:multiLevelType w:val="multilevel"/>
    <w:tmpl w:val="F3F468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F54164"/>
    <w:multiLevelType w:val="multilevel"/>
    <w:tmpl w:val="B018F4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55CE0F39"/>
    <w:multiLevelType w:val="multilevel"/>
    <w:tmpl w:val="40F2D7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8" w15:restartNumberingAfterBreak="0">
    <w:nsid w:val="5BF80644"/>
    <w:multiLevelType w:val="multilevel"/>
    <w:tmpl w:val="131C96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1" w15:restartNumberingAfterBreak="0">
    <w:nsid w:val="68F556A6"/>
    <w:multiLevelType w:val="multilevel"/>
    <w:tmpl w:val="B79442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68FF593D"/>
    <w:multiLevelType w:val="hybridMultilevel"/>
    <w:tmpl w:val="A5BA7AD0"/>
    <w:lvl w:ilvl="0" w:tplc="BC467B62">
      <w:numFmt w:val="bullet"/>
      <w:lvlText w:val="•"/>
      <w:lvlJc w:val="left"/>
      <w:pPr>
        <w:ind w:left="862" w:hanging="72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CF22BF"/>
    <w:multiLevelType w:val="hybridMultilevel"/>
    <w:tmpl w:val="58A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C84769"/>
    <w:multiLevelType w:val="multilevel"/>
    <w:tmpl w:val="7B54BA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11"/>
  </w:num>
  <w:num w:numId="3">
    <w:abstractNumId w:val="14"/>
  </w:num>
  <w:num w:numId="4">
    <w:abstractNumId w:val="3"/>
  </w:num>
  <w:num w:numId="5">
    <w:abstractNumId w:val="15"/>
  </w:num>
  <w:num w:numId="6">
    <w:abstractNumId w:val="5"/>
  </w:num>
  <w:num w:numId="7">
    <w:abstractNumId w:val="10"/>
  </w:num>
  <w:num w:numId="8">
    <w:abstractNumId w:val="21"/>
  </w:num>
  <w:num w:numId="9">
    <w:abstractNumId w:val="19"/>
  </w:num>
  <w:num w:numId="10">
    <w:abstractNumId w:val="17"/>
  </w:num>
  <w:num w:numId="11">
    <w:abstractNumId w:val="4"/>
  </w:num>
  <w:num w:numId="12">
    <w:abstractNumId w:val="25"/>
  </w:num>
  <w:num w:numId="13">
    <w:abstractNumId w:val="13"/>
  </w:num>
  <w:num w:numId="14">
    <w:abstractNumId w:val="16"/>
  </w:num>
  <w:num w:numId="15">
    <w:abstractNumId w:val="1"/>
  </w:num>
  <w:num w:numId="16">
    <w:abstractNumId w:val="8"/>
  </w:num>
  <w:num w:numId="17">
    <w:abstractNumId w:val="28"/>
  </w:num>
  <w:num w:numId="18">
    <w:abstractNumId w:val="37"/>
  </w:num>
  <w:num w:numId="19">
    <w:abstractNumId w:val="31"/>
  </w:num>
  <w:num w:numId="20">
    <w:abstractNumId w:val="34"/>
  </w:num>
  <w:num w:numId="21">
    <w:abstractNumId w:val="32"/>
  </w:num>
  <w:num w:numId="22">
    <w:abstractNumId w:val="6"/>
  </w:num>
  <w:num w:numId="23">
    <w:abstractNumId w:val="7"/>
  </w:num>
  <w:num w:numId="24">
    <w:abstractNumId w:val="20"/>
  </w:num>
  <w:num w:numId="25">
    <w:abstractNumId w:val="24"/>
  </w:num>
  <w:num w:numId="26">
    <w:abstractNumId w:val="35"/>
  </w:num>
  <w:num w:numId="27">
    <w:abstractNumId w:val="22"/>
  </w:num>
  <w:num w:numId="28">
    <w:abstractNumId w:val="29"/>
    <w:lvlOverride w:ilvl="0">
      <w:lvl w:ilvl="0">
        <w:numFmt w:val="decimal"/>
        <w:lvlText w:val="%1."/>
        <w:lvlJc w:val="left"/>
      </w:lvl>
    </w:lvlOverride>
    <w:lvlOverride w:ilvl="1">
      <w:lvl w:ilvl="1">
        <w:numFmt w:val="lowerLetter"/>
        <w:lvlText w:val="%2."/>
        <w:lvlJc w:val="left"/>
      </w:lvl>
    </w:lvlOverride>
  </w:num>
  <w:num w:numId="29">
    <w:abstractNumId w:val="18"/>
  </w:num>
  <w:num w:numId="30">
    <w:abstractNumId w:val="36"/>
  </w:num>
  <w:num w:numId="31">
    <w:abstractNumId w:val="0"/>
  </w:num>
  <w:num w:numId="32">
    <w:abstractNumId w:val="12"/>
  </w:num>
  <w:num w:numId="33">
    <w:abstractNumId w:val="27"/>
  </w:num>
  <w:num w:numId="34">
    <w:abstractNumId w:val="33"/>
  </w:num>
  <w:num w:numId="35">
    <w:abstractNumId w:val="2"/>
  </w:num>
  <w:num w:numId="36">
    <w:abstractNumId w:val="30"/>
  </w:num>
  <w:num w:numId="37">
    <w:abstractNumId w:val="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AC"/>
    <w:rsid w:val="00017E38"/>
    <w:rsid w:val="00150309"/>
    <w:rsid w:val="00326583"/>
    <w:rsid w:val="003677CB"/>
    <w:rsid w:val="00441A4C"/>
    <w:rsid w:val="00473D50"/>
    <w:rsid w:val="00574A06"/>
    <w:rsid w:val="0062367F"/>
    <w:rsid w:val="0065000A"/>
    <w:rsid w:val="00671B5A"/>
    <w:rsid w:val="006F57BE"/>
    <w:rsid w:val="007817D1"/>
    <w:rsid w:val="007B69A9"/>
    <w:rsid w:val="008432B8"/>
    <w:rsid w:val="008679CE"/>
    <w:rsid w:val="008C11D0"/>
    <w:rsid w:val="00A12FDD"/>
    <w:rsid w:val="00A45CD5"/>
    <w:rsid w:val="00A8222C"/>
    <w:rsid w:val="00AA7AF9"/>
    <w:rsid w:val="00AE51A6"/>
    <w:rsid w:val="00BF2EB7"/>
    <w:rsid w:val="00BF4FB8"/>
    <w:rsid w:val="00C24712"/>
    <w:rsid w:val="00CB3945"/>
    <w:rsid w:val="00D03198"/>
    <w:rsid w:val="00D75A73"/>
    <w:rsid w:val="00D9320F"/>
    <w:rsid w:val="00DD0817"/>
    <w:rsid w:val="00EB4D02"/>
    <w:rsid w:val="00EE27E0"/>
    <w:rsid w:val="00F85A2F"/>
    <w:rsid w:val="00FC7D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BF9C8A"/>
  <w15:chartTrackingRefBased/>
  <w15:docId w15:val="{AC9FDC12-1D0A-4DC2-8BEA-A793CFA9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150309"/>
    <w:pPr>
      <w:keepNext/>
      <w:keepLines/>
      <w:suppressAutoHyphens/>
      <w:autoSpaceDN w:val="0"/>
      <w:spacing w:before="400" w:after="120" w:line="276" w:lineRule="auto"/>
      <w:textAlignment w:val="baseline"/>
      <w:outlineLvl w:val="0"/>
    </w:pPr>
    <w:rPr>
      <w:rFonts w:ascii="Arial" w:eastAsia="Arial" w:hAnsi="Arial" w:cs="Arial"/>
      <w:sz w:val="40"/>
      <w:szCs w:val="40"/>
      <w:lang w:eastAsia="en-GB"/>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150309"/>
    <w:pPr>
      <w:keepNext/>
      <w:keepLines/>
      <w:suppressAutoHyphens/>
      <w:autoSpaceDN w:val="0"/>
      <w:spacing w:before="360" w:after="120" w:line="276" w:lineRule="auto"/>
      <w:textAlignment w:val="baseline"/>
      <w:outlineLvl w:val="1"/>
    </w:pPr>
    <w:rPr>
      <w:rFonts w:ascii="Arial" w:eastAsia="Arial" w:hAnsi="Arial" w:cs="Arial"/>
      <w:sz w:val="32"/>
      <w:szCs w:val="32"/>
      <w:lang w:eastAsia="en-GB"/>
    </w:rPr>
  </w:style>
  <w:style w:type="paragraph" w:styleId="Heading3">
    <w:name w:val="heading 3"/>
    <w:basedOn w:val="Normal"/>
    <w:next w:val="Normal"/>
    <w:link w:val="Heading3Char"/>
    <w:uiPriority w:val="9"/>
    <w:qFormat/>
    <w:rsid w:val="00150309"/>
    <w:pPr>
      <w:keepNext/>
      <w:keepLines/>
      <w:suppressAutoHyphens/>
      <w:autoSpaceDN w:val="0"/>
      <w:spacing w:before="320" w:after="80" w:line="276" w:lineRule="auto"/>
      <w:textAlignment w:val="baseline"/>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150309"/>
    <w:pPr>
      <w:keepNext/>
      <w:keepLines/>
      <w:suppressAutoHyphens/>
      <w:autoSpaceDN w:val="0"/>
      <w:spacing w:before="280" w:after="80" w:line="276" w:lineRule="auto"/>
      <w:textAlignment w:val="baseline"/>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150309"/>
    <w:pPr>
      <w:keepNext/>
      <w:keepLines/>
      <w:suppressAutoHyphens/>
      <w:autoSpaceDN w:val="0"/>
      <w:spacing w:before="240" w:after="80" w:line="276" w:lineRule="auto"/>
      <w:textAlignment w:val="baseline"/>
      <w:outlineLvl w:val="4"/>
    </w:pPr>
    <w:rPr>
      <w:rFonts w:ascii="Arial" w:eastAsia="Arial" w:hAnsi="Arial" w:cs="Arial"/>
      <w:color w:val="666666"/>
      <w:lang w:eastAsia="en-GB"/>
    </w:rPr>
  </w:style>
  <w:style w:type="paragraph" w:styleId="Heading6">
    <w:name w:val="heading 6"/>
    <w:basedOn w:val="Normal"/>
    <w:next w:val="Normal"/>
    <w:link w:val="Heading6Char"/>
    <w:rsid w:val="00150309"/>
    <w:pPr>
      <w:keepNext/>
      <w:keepLines/>
      <w:suppressAutoHyphens/>
      <w:autoSpaceDN w:val="0"/>
      <w:spacing w:before="240" w:after="80" w:line="276" w:lineRule="auto"/>
      <w:textAlignment w:val="baseline"/>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309"/>
    <w:rPr>
      <w:rFonts w:ascii="Arial" w:eastAsia="Arial" w:hAnsi="Arial" w:cs="Arial"/>
      <w:sz w:val="40"/>
      <w:szCs w:val="40"/>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150309"/>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150309"/>
    <w:rPr>
      <w:rFonts w:ascii="Arial" w:eastAsia="Arial" w:hAnsi="Arial" w:cs="Arial"/>
      <w:color w:val="434343"/>
      <w:sz w:val="28"/>
      <w:szCs w:val="28"/>
      <w:lang w:eastAsia="en-GB"/>
    </w:rPr>
  </w:style>
  <w:style w:type="character" w:customStyle="1" w:styleId="Heading4Char">
    <w:name w:val="Heading 4 Char"/>
    <w:basedOn w:val="DefaultParagraphFont"/>
    <w:link w:val="Heading4"/>
    <w:rsid w:val="00150309"/>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150309"/>
    <w:rPr>
      <w:rFonts w:ascii="Arial" w:eastAsia="Arial" w:hAnsi="Arial" w:cs="Arial"/>
      <w:color w:val="666666"/>
      <w:lang w:eastAsia="en-GB"/>
    </w:rPr>
  </w:style>
  <w:style w:type="character" w:customStyle="1" w:styleId="Heading6Char">
    <w:name w:val="Heading 6 Char"/>
    <w:basedOn w:val="DefaultParagraphFont"/>
    <w:link w:val="Heading6"/>
    <w:rsid w:val="00150309"/>
    <w:rPr>
      <w:rFonts w:ascii="Arial" w:eastAsia="Arial" w:hAnsi="Arial" w:cs="Arial"/>
      <w:i/>
      <w:color w:val="666666"/>
      <w:lang w:eastAsia="en-GB"/>
    </w:rPr>
  </w:style>
  <w:style w:type="paragraph" w:styleId="Title">
    <w:name w:val="Title"/>
    <w:basedOn w:val="Normal"/>
    <w:next w:val="Normal"/>
    <w:link w:val="TitleChar"/>
    <w:rsid w:val="00150309"/>
    <w:pPr>
      <w:keepNext/>
      <w:keepLines/>
      <w:suppressAutoHyphens/>
      <w:autoSpaceDN w:val="0"/>
      <w:spacing w:after="60" w:line="276" w:lineRule="auto"/>
      <w:textAlignment w:val="baseline"/>
    </w:pPr>
    <w:rPr>
      <w:rFonts w:ascii="Arial" w:eastAsia="Arial" w:hAnsi="Arial" w:cs="Arial"/>
      <w:sz w:val="52"/>
      <w:szCs w:val="52"/>
      <w:lang w:eastAsia="en-GB"/>
    </w:rPr>
  </w:style>
  <w:style w:type="character" w:customStyle="1" w:styleId="TitleChar">
    <w:name w:val="Title Char"/>
    <w:basedOn w:val="DefaultParagraphFont"/>
    <w:link w:val="Title"/>
    <w:rsid w:val="00150309"/>
    <w:rPr>
      <w:rFonts w:ascii="Arial" w:eastAsia="Arial" w:hAnsi="Arial" w:cs="Arial"/>
      <w:sz w:val="52"/>
      <w:szCs w:val="52"/>
      <w:lang w:eastAsia="en-GB"/>
    </w:rPr>
  </w:style>
  <w:style w:type="paragraph" w:styleId="Subtitle">
    <w:name w:val="Subtitle"/>
    <w:basedOn w:val="Normal"/>
    <w:next w:val="Normal"/>
    <w:link w:val="SubtitleChar"/>
    <w:rsid w:val="00150309"/>
    <w:pPr>
      <w:keepNext/>
      <w:keepLines/>
      <w:suppressAutoHyphens/>
      <w:autoSpaceDN w:val="0"/>
      <w:spacing w:after="320" w:line="276" w:lineRule="auto"/>
      <w:textAlignment w:val="baseline"/>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150309"/>
    <w:rPr>
      <w:rFonts w:ascii="Arial" w:eastAsia="Arial" w:hAnsi="Arial" w:cs="Arial"/>
      <w:color w:val="666666"/>
      <w:sz w:val="30"/>
      <w:szCs w:val="30"/>
      <w:lang w:eastAsia="en-GB"/>
    </w:rPr>
  </w:style>
  <w:style w:type="paragraph" w:styleId="CommentText">
    <w:name w:val="annotation text"/>
    <w:basedOn w:val="Normal"/>
    <w:link w:val="CommentTextChar"/>
    <w:uiPriority w:val="99"/>
    <w:rsid w:val="00150309"/>
    <w:pPr>
      <w:suppressAutoHyphens/>
      <w:autoSpaceDN w:val="0"/>
      <w:spacing w:after="0" w:line="240" w:lineRule="auto"/>
      <w:textAlignment w:val="baseline"/>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rsid w:val="00150309"/>
    <w:rPr>
      <w:rFonts w:ascii="Arial" w:eastAsia="Arial" w:hAnsi="Arial" w:cs="Arial"/>
      <w:sz w:val="20"/>
      <w:szCs w:val="20"/>
      <w:lang w:eastAsia="en-GB"/>
    </w:rPr>
  </w:style>
  <w:style w:type="character" w:styleId="CommentReference">
    <w:name w:val="annotation reference"/>
    <w:basedOn w:val="DefaultParagraphFont"/>
    <w:uiPriority w:val="99"/>
    <w:rsid w:val="00150309"/>
    <w:rPr>
      <w:sz w:val="16"/>
      <w:szCs w:val="16"/>
    </w:rPr>
  </w:style>
  <w:style w:type="paragraph" w:styleId="BalloonText">
    <w:name w:val="Balloon Text"/>
    <w:basedOn w:val="Normal"/>
    <w:link w:val="BalloonTextChar"/>
    <w:rsid w:val="00150309"/>
    <w:pPr>
      <w:suppressAutoHyphens/>
      <w:autoSpaceDN w:val="0"/>
      <w:spacing w:after="0" w:line="240" w:lineRule="auto"/>
      <w:textAlignment w:val="baseline"/>
    </w:pPr>
    <w:rPr>
      <w:rFonts w:ascii="Segoe UI" w:eastAsia="Arial" w:hAnsi="Segoe UI" w:cs="Segoe UI"/>
      <w:sz w:val="18"/>
      <w:szCs w:val="18"/>
      <w:lang w:eastAsia="en-GB"/>
    </w:rPr>
  </w:style>
  <w:style w:type="character" w:customStyle="1" w:styleId="BalloonTextChar">
    <w:name w:val="Balloon Text Char"/>
    <w:basedOn w:val="DefaultParagraphFont"/>
    <w:link w:val="BalloonText"/>
    <w:rsid w:val="00150309"/>
    <w:rPr>
      <w:rFonts w:ascii="Segoe UI" w:eastAsia="Arial" w:hAnsi="Segoe UI" w:cs="Segoe UI"/>
      <w:sz w:val="18"/>
      <w:szCs w:val="18"/>
      <w:lang w:eastAsia="en-GB"/>
    </w:rPr>
  </w:style>
  <w:style w:type="paragraph" w:styleId="Footer">
    <w:name w:val="footer"/>
    <w:basedOn w:val="Normal"/>
    <w:link w:val="FooterChar"/>
    <w:rsid w:val="00150309"/>
    <w:pPr>
      <w:tabs>
        <w:tab w:val="center" w:pos="4680"/>
        <w:tab w:val="right" w:pos="9360"/>
      </w:tabs>
      <w:suppressAutoHyphens/>
      <w:autoSpaceDN w:val="0"/>
      <w:spacing w:after="0" w:line="240" w:lineRule="auto"/>
      <w:textAlignment w:val="baseline"/>
    </w:pPr>
    <w:rPr>
      <w:rFonts w:ascii="Arial" w:eastAsia="Arial" w:hAnsi="Arial" w:cs="Arial"/>
      <w:lang w:eastAsia="en-GB"/>
    </w:rPr>
  </w:style>
  <w:style w:type="character" w:customStyle="1" w:styleId="FooterChar">
    <w:name w:val="Footer Char"/>
    <w:basedOn w:val="DefaultParagraphFont"/>
    <w:link w:val="Footer"/>
    <w:rsid w:val="00150309"/>
    <w:rPr>
      <w:rFonts w:ascii="Arial" w:eastAsia="Arial" w:hAnsi="Arial" w:cs="Arial"/>
      <w:lang w:eastAsia="en-GB"/>
    </w:rPr>
  </w:style>
  <w:style w:type="character" w:styleId="PageNumber">
    <w:name w:val="page number"/>
    <w:basedOn w:val="DefaultParagraphFont"/>
    <w:rsid w:val="00150309"/>
  </w:style>
  <w:style w:type="paragraph" w:styleId="ListParagraph">
    <w:name w:val="List Paragraph"/>
    <w:basedOn w:val="Normal"/>
    <w:uiPriority w:val="34"/>
    <w:qFormat/>
    <w:rsid w:val="00150309"/>
    <w:pPr>
      <w:suppressAutoHyphens/>
      <w:autoSpaceDN w:val="0"/>
      <w:spacing w:after="0" w:line="276" w:lineRule="auto"/>
      <w:ind w:left="720"/>
      <w:textAlignment w:val="baseline"/>
    </w:pPr>
    <w:rPr>
      <w:rFonts w:ascii="Arial" w:eastAsia="Arial" w:hAnsi="Arial" w:cs="Arial"/>
      <w:lang w:eastAsia="en-GB"/>
    </w:rPr>
  </w:style>
  <w:style w:type="character" w:styleId="Hyperlink">
    <w:name w:val="Hyperlink"/>
    <w:basedOn w:val="DefaultParagraphFont"/>
    <w:uiPriority w:val="99"/>
    <w:rsid w:val="00150309"/>
    <w:rPr>
      <w:color w:val="0000FF"/>
      <w:u w:val="single"/>
    </w:rPr>
  </w:style>
  <w:style w:type="character" w:customStyle="1" w:styleId="UnresolvedMention1">
    <w:name w:val="Unresolved Mention1"/>
    <w:basedOn w:val="DefaultParagraphFont"/>
    <w:rsid w:val="00150309"/>
    <w:rPr>
      <w:color w:val="605E5C"/>
      <w:shd w:val="clear" w:color="auto" w:fill="E1DFDD"/>
    </w:rPr>
  </w:style>
  <w:style w:type="paragraph" w:styleId="CommentSubject">
    <w:name w:val="annotation subject"/>
    <w:basedOn w:val="CommentText"/>
    <w:next w:val="CommentText"/>
    <w:link w:val="CommentSubjectChar"/>
    <w:rsid w:val="00150309"/>
    <w:rPr>
      <w:b/>
      <w:bCs/>
    </w:rPr>
  </w:style>
  <w:style w:type="character" w:customStyle="1" w:styleId="CommentSubjectChar">
    <w:name w:val="Comment Subject Char"/>
    <w:basedOn w:val="CommentTextChar"/>
    <w:link w:val="CommentSubject"/>
    <w:rsid w:val="00150309"/>
    <w:rPr>
      <w:rFonts w:ascii="Arial" w:eastAsia="Arial" w:hAnsi="Arial" w:cs="Arial"/>
      <w:b/>
      <w:bCs/>
      <w:sz w:val="20"/>
      <w:szCs w:val="20"/>
      <w:lang w:eastAsia="en-GB"/>
    </w:rPr>
  </w:style>
  <w:style w:type="paragraph" w:styleId="Revision">
    <w:name w:val="Revision"/>
    <w:rsid w:val="00150309"/>
    <w:pPr>
      <w:suppressAutoHyphens/>
      <w:autoSpaceDN w:val="0"/>
      <w:spacing w:after="0" w:line="240" w:lineRule="auto"/>
      <w:textAlignment w:val="baseline"/>
    </w:pPr>
    <w:rPr>
      <w:rFonts w:ascii="Arial" w:eastAsia="Arial" w:hAnsi="Arial" w:cs="Arial"/>
      <w:lang w:eastAsia="en-GB"/>
    </w:rPr>
  </w:style>
  <w:style w:type="paragraph" w:styleId="Header">
    <w:name w:val="header"/>
    <w:basedOn w:val="Normal"/>
    <w:link w:val="HeaderChar"/>
    <w:rsid w:val="00150309"/>
    <w:pPr>
      <w:tabs>
        <w:tab w:val="center" w:pos="4680"/>
        <w:tab w:val="right" w:pos="9360"/>
      </w:tabs>
      <w:suppressAutoHyphens/>
      <w:autoSpaceDN w:val="0"/>
      <w:spacing w:after="0" w:line="240" w:lineRule="auto"/>
      <w:textAlignment w:val="baseline"/>
    </w:pPr>
    <w:rPr>
      <w:rFonts w:ascii="Arial" w:eastAsia="Arial" w:hAnsi="Arial" w:cs="Arial"/>
      <w:lang w:eastAsia="en-GB"/>
    </w:rPr>
  </w:style>
  <w:style w:type="character" w:customStyle="1" w:styleId="HeaderChar">
    <w:name w:val="Header Char"/>
    <w:basedOn w:val="DefaultParagraphFont"/>
    <w:link w:val="Header"/>
    <w:rsid w:val="00150309"/>
    <w:rPr>
      <w:rFonts w:ascii="Arial" w:eastAsia="Arial" w:hAnsi="Arial" w:cs="Arial"/>
      <w:lang w:eastAsia="en-GB"/>
    </w:rPr>
  </w:style>
  <w:style w:type="paragraph" w:styleId="TOCHeading">
    <w:name w:val="TOC Heading"/>
    <w:basedOn w:val="Heading1"/>
    <w:next w:val="Normal"/>
    <w:rsid w:val="00150309"/>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rsid w:val="00150309"/>
    <w:pPr>
      <w:tabs>
        <w:tab w:val="right" w:leader="dot" w:pos="9631"/>
      </w:tabs>
      <w:suppressAutoHyphens/>
      <w:autoSpaceDN w:val="0"/>
      <w:spacing w:before="120" w:after="0" w:line="276" w:lineRule="auto"/>
      <w:textAlignment w:val="baseline"/>
    </w:pPr>
    <w:rPr>
      <w:rFonts w:ascii="Cambria" w:eastAsia="Arial" w:hAnsi="Cambria" w:cs="Arial"/>
      <w:b/>
      <w:bCs/>
      <w:i/>
      <w:iCs/>
      <w:sz w:val="24"/>
      <w:szCs w:val="24"/>
      <w:lang w:eastAsia="en-GB"/>
    </w:rPr>
  </w:style>
  <w:style w:type="paragraph" w:styleId="TOC2">
    <w:name w:val="toc 2"/>
    <w:basedOn w:val="Normal"/>
    <w:next w:val="Normal"/>
    <w:autoRedefine/>
    <w:rsid w:val="00150309"/>
    <w:pPr>
      <w:tabs>
        <w:tab w:val="right" w:leader="dot" w:pos="9631"/>
      </w:tabs>
      <w:suppressAutoHyphens/>
      <w:autoSpaceDN w:val="0"/>
      <w:spacing w:before="120" w:after="0" w:line="276" w:lineRule="auto"/>
      <w:ind w:left="220"/>
      <w:textAlignment w:val="baseline"/>
    </w:pPr>
    <w:rPr>
      <w:rFonts w:ascii="Cambria" w:eastAsia="Arial" w:hAnsi="Cambria" w:cs="Arial"/>
      <w:b/>
      <w:bCs/>
      <w:lang w:eastAsia="en-GB"/>
    </w:rPr>
  </w:style>
  <w:style w:type="paragraph" w:styleId="TOC3">
    <w:name w:val="toc 3"/>
    <w:basedOn w:val="Normal"/>
    <w:next w:val="Normal"/>
    <w:autoRedefine/>
    <w:rsid w:val="00150309"/>
    <w:pPr>
      <w:suppressAutoHyphens/>
      <w:autoSpaceDN w:val="0"/>
      <w:spacing w:after="0" w:line="276" w:lineRule="auto"/>
      <w:ind w:left="440"/>
      <w:textAlignment w:val="baseline"/>
    </w:pPr>
    <w:rPr>
      <w:rFonts w:ascii="Cambria" w:eastAsia="Arial" w:hAnsi="Cambria" w:cs="Arial"/>
      <w:sz w:val="20"/>
      <w:szCs w:val="20"/>
      <w:lang w:eastAsia="en-GB"/>
    </w:rPr>
  </w:style>
  <w:style w:type="paragraph" w:styleId="TOC4">
    <w:name w:val="toc 4"/>
    <w:basedOn w:val="Normal"/>
    <w:next w:val="Normal"/>
    <w:autoRedefine/>
    <w:rsid w:val="00150309"/>
    <w:pPr>
      <w:suppressAutoHyphens/>
      <w:autoSpaceDN w:val="0"/>
      <w:spacing w:after="0" w:line="276" w:lineRule="auto"/>
      <w:ind w:left="660"/>
      <w:textAlignment w:val="baseline"/>
    </w:pPr>
    <w:rPr>
      <w:rFonts w:ascii="Cambria" w:eastAsia="Arial" w:hAnsi="Cambria" w:cs="Arial"/>
      <w:sz w:val="20"/>
      <w:szCs w:val="20"/>
      <w:lang w:eastAsia="en-GB"/>
    </w:rPr>
  </w:style>
  <w:style w:type="paragraph" w:styleId="TOC5">
    <w:name w:val="toc 5"/>
    <w:basedOn w:val="Normal"/>
    <w:next w:val="Normal"/>
    <w:autoRedefine/>
    <w:rsid w:val="00150309"/>
    <w:pPr>
      <w:suppressAutoHyphens/>
      <w:autoSpaceDN w:val="0"/>
      <w:spacing w:after="0" w:line="276" w:lineRule="auto"/>
      <w:ind w:left="880"/>
      <w:textAlignment w:val="baseline"/>
    </w:pPr>
    <w:rPr>
      <w:rFonts w:ascii="Cambria" w:eastAsia="Arial" w:hAnsi="Cambria" w:cs="Arial"/>
      <w:sz w:val="20"/>
      <w:szCs w:val="20"/>
      <w:lang w:eastAsia="en-GB"/>
    </w:rPr>
  </w:style>
  <w:style w:type="paragraph" w:styleId="TOC6">
    <w:name w:val="toc 6"/>
    <w:basedOn w:val="Normal"/>
    <w:next w:val="Normal"/>
    <w:autoRedefine/>
    <w:rsid w:val="00150309"/>
    <w:pPr>
      <w:suppressAutoHyphens/>
      <w:autoSpaceDN w:val="0"/>
      <w:spacing w:after="0" w:line="276" w:lineRule="auto"/>
      <w:ind w:left="1100"/>
      <w:textAlignment w:val="baseline"/>
    </w:pPr>
    <w:rPr>
      <w:rFonts w:ascii="Cambria" w:eastAsia="Arial" w:hAnsi="Cambria" w:cs="Arial"/>
      <w:sz w:val="20"/>
      <w:szCs w:val="20"/>
      <w:lang w:eastAsia="en-GB"/>
    </w:rPr>
  </w:style>
  <w:style w:type="paragraph" w:styleId="TOC7">
    <w:name w:val="toc 7"/>
    <w:basedOn w:val="Normal"/>
    <w:next w:val="Normal"/>
    <w:autoRedefine/>
    <w:rsid w:val="00150309"/>
    <w:pPr>
      <w:suppressAutoHyphens/>
      <w:autoSpaceDN w:val="0"/>
      <w:spacing w:after="0" w:line="276" w:lineRule="auto"/>
      <w:ind w:left="1320"/>
      <w:textAlignment w:val="baseline"/>
    </w:pPr>
    <w:rPr>
      <w:rFonts w:ascii="Cambria" w:eastAsia="Arial" w:hAnsi="Cambria" w:cs="Arial"/>
      <w:sz w:val="20"/>
      <w:szCs w:val="20"/>
      <w:lang w:eastAsia="en-GB"/>
    </w:rPr>
  </w:style>
  <w:style w:type="paragraph" w:styleId="TOC8">
    <w:name w:val="toc 8"/>
    <w:basedOn w:val="Normal"/>
    <w:next w:val="Normal"/>
    <w:autoRedefine/>
    <w:rsid w:val="00150309"/>
    <w:pPr>
      <w:suppressAutoHyphens/>
      <w:autoSpaceDN w:val="0"/>
      <w:spacing w:after="0" w:line="276" w:lineRule="auto"/>
      <w:ind w:left="1540"/>
      <w:textAlignment w:val="baseline"/>
    </w:pPr>
    <w:rPr>
      <w:rFonts w:ascii="Cambria" w:eastAsia="Arial" w:hAnsi="Cambria" w:cs="Arial"/>
      <w:sz w:val="20"/>
      <w:szCs w:val="20"/>
      <w:lang w:eastAsia="en-GB"/>
    </w:rPr>
  </w:style>
  <w:style w:type="paragraph" w:styleId="TOC9">
    <w:name w:val="toc 9"/>
    <w:basedOn w:val="Normal"/>
    <w:next w:val="Normal"/>
    <w:autoRedefine/>
    <w:rsid w:val="00150309"/>
    <w:pPr>
      <w:suppressAutoHyphens/>
      <w:autoSpaceDN w:val="0"/>
      <w:spacing w:after="0" w:line="276" w:lineRule="auto"/>
      <w:ind w:left="1760"/>
      <w:textAlignment w:val="baseline"/>
    </w:pPr>
    <w:rPr>
      <w:rFonts w:ascii="Cambria" w:eastAsia="Arial" w:hAnsi="Cambria" w:cs="Arial"/>
      <w:sz w:val="20"/>
      <w:szCs w:val="20"/>
      <w:lang w:eastAsia="en-GB"/>
    </w:rPr>
  </w:style>
  <w:style w:type="paragraph" w:styleId="NormalWeb">
    <w:name w:val="Normal (Web)"/>
    <w:basedOn w:val="Normal"/>
    <w:uiPriority w:val="99"/>
    <w:rsid w:val="00150309"/>
    <w:pPr>
      <w:suppressAutoHyphens/>
      <w:autoSpaceDN w:val="0"/>
      <w:spacing w:before="100" w:after="100" w:line="240" w:lineRule="auto"/>
      <w:textAlignment w:val="baseline"/>
    </w:pPr>
    <w:rPr>
      <w:rFonts w:ascii="Times New Roman" w:eastAsia="Times New Roman" w:hAnsi="Times New Roman" w:cs="Times New Roman"/>
      <w:sz w:val="24"/>
      <w:szCs w:val="24"/>
      <w:lang w:eastAsia="en-US"/>
    </w:rPr>
  </w:style>
  <w:style w:type="paragraph" w:customStyle="1" w:styleId="Default">
    <w:name w:val="Default"/>
    <w:rsid w:val="00150309"/>
    <w:pPr>
      <w:autoSpaceDE w:val="0"/>
      <w:autoSpaceDN w:val="0"/>
      <w:adjustRightInd w:val="0"/>
      <w:spacing w:after="0" w:line="240" w:lineRule="auto"/>
    </w:pPr>
    <w:rPr>
      <w:rFonts w:ascii="Arial" w:eastAsia="Arial" w:hAnsi="Arial" w:cs="Arial"/>
      <w:color w:val="000000"/>
      <w:sz w:val="24"/>
      <w:szCs w:val="24"/>
      <w:lang w:eastAsia="en-GB"/>
    </w:rPr>
  </w:style>
  <w:style w:type="character" w:styleId="FollowedHyperlink">
    <w:name w:val="FollowedHyperlink"/>
    <w:basedOn w:val="DefaultParagraphFont"/>
    <w:uiPriority w:val="99"/>
    <w:semiHidden/>
    <w:unhideWhenUsed/>
    <w:rsid w:val="00150309"/>
    <w:rPr>
      <w:color w:val="954F72" w:themeColor="followedHyperlink"/>
      <w:u w:val="single"/>
    </w:rPr>
  </w:style>
  <w:style w:type="paragraph" w:customStyle="1" w:styleId="Body2">
    <w:name w:val="Body2"/>
    <w:basedOn w:val="Normal"/>
    <w:uiPriority w:val="99"/>
    <w:rsid w:val="00150309"/>
    <w:pPr>
      <w:spacing w:after="220" w:line="240" w:lineRule="auto"/>
      <w:ind w:left="709"/>
      <w:jc w:val="both"/>
    </w:pPr>
    <w:rPr>
      <w:rFonts w:ascii="Trebuchet MS" w:eastAsia="Times New Roman" w:hAnsi="Trebuchet MS" w:cs="Times New Roman"/>
      <w:sz w:val="20"/>
      <w:szCs w:val="20"/>
      <w:lang w:eastAsia="en-US"/>
    </w:rPr>
  </w:style>
  <w:style w:type="table" w:styleId="TableGrid">
    <w:name w:val="Table Grid"/>
    <w:basedOn w:val="TableNormal"/>
    <w:uiPriority w:val="39"/>
    <w:rsid w:val="00150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150309"/>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150309"/>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150309"/>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150309"/>
    <w:rPr>
      <w:rFonts w:ascii="Calibri" w:eastAsia="Calibri" w:hAnsi="Calibri" w:cs="Times New Roman"/>
      <w:sz w:val="20"/>
      <w:szCs w:val="20"/>
      <w:lang w:eastAsia="en-US"/>
    </w:rPr>
  </w:style>
  <w:style w:type="character" w:styleId="FootnoteReference">
    <w:name w:val="footnote reference"/>
    <w:uiPriority w:val="99"/>
    <w:unhideWhenUsed/>
    <w:rsid w:val="00150309"/>
    <w:rPr>
      <w:vertAlign w:val="superscript"/>
    </w:rPr>
  </w:style>
  <w:style w:type="paragraph" w:customStyle="1" w:styleId="paragraph">
    <w:name w:val="paragraph"/>
    <w:basedOn w:val="Normal"/>
    <w:rsid w:val="00150309"/>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150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BFE3-A0CD-40C3-AFD9-A429223B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15273</Words>
  <Characters>87057</Characters>
  <Application>Microsoft Office Word</Application>
  <DocSecurity>0</DocSecurity>
  <Lines>725</Lines>
  <Paragraphs>204</Paragraphs>
  <ScaleCrop>false</ScaleCrop>
  <Company/>
  <LinksUpToDate>false</LinksUpToDate>
  <CharactersWithSpaces>102126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Zeeshan (Commercial)</dc:creator>
  <cp:keywords/>
  <dc:description/>
  <cp:lastModifiedBy>Ahmed, Zeeshan (Commercial)</cp:lastModifiedBy>
  <cp:revision>2</cp:revision>
  <dcterms:created xsi:type="dcterms:W3CDTF">2022-06-15T13:47:00Z</dcterms:created>
  <dcterms:modified xsi:type="dcterms:W3CDTF">2022-06-15T13:47:00Z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2022-05-13T13:47:14Z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b84bfb13-8978-4762-9f4a-ada0593f0f0f</vt:lpwstr>
  </property>
  <property fmtid="{D5CDD505-2E9C-101B-9397-08002B2CF9AE}" pid="8" name="MSIP_Label_f9af038e-07b4-4369-a678-c835687cb272_ContentBits">
    <vt:lpwstr>2</vt:lpwstr>
  </property>
</Properties>
</file>