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73" w:rsidRPr="003E3471" w:rsidRDefault="00675F73" w:rsidP="003E3471">
      <w:pPr>
        <w:spacing w:before="100" w:beforeAutospacing="1" w:after="100" w:afterAutospacing="1"/>
        <w:jc w:val="center"/>
        <w:rPr>
          <w:rFonts w:cs="Arial"/>
          <w:b/>
          <w:sz w:val="22"/>
          <w:szCs w:val="22"/>
          <w:u w:val="single"/>
        </w:rPr>
      </w:pPr>
      <w:r w:rsidRPr="003E3471">
        <w:rPr>
          <w:rFonts w:cs="Arial"/>
          <w:b/>
          <w:sz w:val="22"/>
          <w:szCs w:val="22"/>
          <w:u w:val="single"/>
        </w:rPr>
        <w:t xml:space="preserve">Water </w:t>
      </w:r>
      <w:r w:rsidR="003E3471" w:rsidRPr="003E3471">
        <w:rPr>
          <w:rFonts w:cs="Arial"/>
          <w:b/>
          <w:sz w:val="22"/>
          <w:szCs w:val="22"/>
          <w:u w:val="single"/>
        </w:rPr>
        <w:t>Hygiene</w:t>
      </w:r>
      <w:r w:rsidRPr="003E3471">
        <w:rPr>
          <w:rFonts w:cs="Arial"/>
          <w:b/>
          <w:sz w:val="22"/>
          <w:szCs w:val="22"/>
          <w:u w:val="single"/>
        </w:rPr>
        <w:t xml:space="preserve"> Tender</w:t>
      </w:r>
    </w:p>
    <w:p w:rsidR="00675F73" w:rsidRDefault="00675F73" w:rsidP="00675F73">
      <w:pPr>
        <w:spacing w:before="100" w:beforeAutospacing="1" w:after="100" w:afterAutospacing="1"/>
        <w:jc w:val="left"/>
        <w:rPr>
          <w:rFonts w:cs="Arial"/>
          <w:b/>
          <w:u w:val="single"/>
        </w:rPr>
      </w:pPr>
    </w:p>
    <w:p w:rsidR="00675F73" w:rsidRPr="00675F73" w:rsidRDefault="00675F73" w:rsidP="00675F73">
      <w:pPr>
        <w:pStyle w:val="Heading2"/>
        <w:jc w:val="center"/>
        <w:rPr>
          <w:rFonts w:ascii="Arial" w:hAnsi="Arial" w:cs="Arial"/>
          <w:b/>
          <w:color w:val="auto"/>
          <w:sz w:val="24"/>
          <w:szCs w:val="24"/>
        </w:rPr>
      </w:pPr>
      <w:r w:rsidRPr="00675F73">
        <w:rPr>
          <w:rFonts w:ascii="Arial" w:hAnsi="Arial" w:cs="Arial"/>
          <w:b/>
          <w:color w:val="auto"/>
          <w:sz w:val="24"/>
          <w:szCs w:val="24"/>
        </w:rPr>
        <w:t>Trust reference number DELT056</w:t>
      </w:r>
    </w:p>
    <w:p w:rsidR="00675F73" w:rsidRDefault="00675F73" w:rsidP="00675F73">
      <w:pPr>
        <w:spacing w:before="100" w:beforeAutospacing="1" w:after="100" w:afterAutospacing="1"/>
        <w:jc w:val="left"/>
        <w:rPr>
          <w:rFonts w:cs="Arial"/>
          <w:b/>
          <w:u w:val="single"/>
        </w:rPr>
      </w:pPr>
    </w:p>
    <w:p w:rsidR="00E86C5D" w:rsidRDefault="00E86C5D" w:rsidP="00675F73">
      <w:pPr>
        <w:spacing w:before="100" w:beforeAutospacing="1" w:after="100" w:afterAutospacing="1"/>
        <w:jc w:val="left"/>
        <w:rPr>
          <w:rFonts w:cs="Arial"/>
          <w:b/>
          <w:u w:val="single"/>
        </w:rPr>
      </w:pPr>
    </w:p>
    <w:p w:rsidR="00E86C5D" w:rsidRDefault="00E86C5D" w:rsidP="00675F73">
      <w:pPr>
        <w:spacing w:before="100" w:beforeAutospacing="1" w:after="100" w:afterAutospacing="1"/>
        <w:jc w:val="left"/>
        <w:rPr>
          <w:rFonts w:cs="Arial"/>
          <w:b/>
          <w:u w:val="single"/>
        </w:rPr>
      </w:pPr>
      <w:r>
        <w:rPr>
          <w:rFonts w:cs="Arial"/>
          <w:b/>
          <w:u w:val="single"/>
        </w:rPr>
        <w:t xml:space="preserve">Please note this document is not an </w:t>
      </w:r>
      <w:proofErr w:type="spellStart"/>
      <w:r>
        <w:rPr>
          <w:rFonts w:cs="Arial"/>
          <w:b/>
          <w:u w:val="single"/>
        </w:rPr>
        <w:t>invertation</w:t>
      </w:r>
      <w:proofErr w:type="spellEnd"/>
      <w:r>
        <w:rPr>
          <w:rFonts w:cs="Arial"/>
          <w:b/>
          <w:u w:val="single"/>
        </w:rPr>
        <w:t xml:space="preserve"> to tender.  This is for information only the trust is seeking expression of </w:t>
      </w:r>
      <w:proofErr w:type="spellStart"/>
      <w:r>
        <w:rPr>
          <w:rFonts w:cs="Arial"/>
          <w:b/>
          <w:u w:val="single"/>
        </w:rPr>
        <w:t>intersts</w:t>
      </w:r>
      <w:proofErr w:type="spellEnd"/>
      <w:r>
        <w:rPr>
          <w:rFonts w:cs="Arial"/>
          <w:b/>
          <w:u w:val="single"/>
        </w:rPr>
        <w:t xml:space="preserve"> only at this point.</w:t>
      </w:r>
    </w:p>
    <w:p w:rsidR="00E86C5D" w:rsidRDefault="00E86C5D" w:rsidP="00675F73">
      <w:pPr>
        <w:spacing w:before="100" w:beforeAutospacing="1" w:after="100" w:afterAutospacing="1"/>
        <w:jc w:val="left"/>
        <w:rPr>
          <w:rFonts w:cs="Arial"/>
          <w:b/>
          <w:u w:val="single"/>
        </w:rPr>
      </w:pPr>
    </w:p>
    <w:p w:rsidR="00E86C5D" w:rsidRDefault="00E86C5D" w:rsidP="00675F73">
      <w:pPr>
        <w:spacing w:before="100" w:beforeAutospacing="1" w:after="100" w:afterAutospacing="1"/>
        <w:jc w:val="left"/>
        <w:rPr>
          <w:rFonts w:cs="Arial"/>
          <w:b/>
          <w:u w:val="single"/>
        </w:rPr>
      </w:pPr>
      <w:r>
        <w:rPr>
          <w:rFonts w:cs="Arial"/>
          <w:b/>
          <w:u w:val="single"/>
        </w:rPr>
        <w:t xml:space="preserve">If you wish to be </w:t>
      </w:r>
      <w:proofErr w:type="gramStart"/>
      <w:r>
        <w:rPr>
          <w:rFonts w:cs="Arial"/>
          <w:b/>
          <w:u w:val="single"/>
        </w:rPr>
        <w:t>included</w:t>
      </w:r>
      <w:proofErr w:type="gramEnd"/>
      <w:r>
        <w:rPr>
          <w:rFonts w:cs="Arial"/>
          <w:b/>
          <w:u w:val="single"/>
        </w:rPr>
        <w:t xml:space="preserve"> please email your interest to gemma.bushell@gmmh.nhs.uk</w:t>
      </w:r>
    </w:p>
    <w:p w:rsidR="00675F73" w:rsidRPr="003E3471" w:rsidRDefault="004570EE" w:rsidP="00675F73">
      <w:pPr>
        <w:spacing w:before="100" w:beforeAutospacing="1" w:after="100" w:afterAutospacing="1"/>
        <w:jc w:val="left"/>
        <w:rPr>
          <w:rFonts w:cs="Arial"/>
          <w:b/>
        </w:rPr>
      </w:pPr>
      <w:r>
        <w:rPr>
          <w:rFonts w:cs="Arial"/>
          <w:b/>
        </w:rPr>
        <w:t xml:space="preserve">Estimated </w:t>
      </w:r>
      <w:bookmarkStart w:id="0" w:name="_GoBack"/>
      <w:bookmarkEnd w:id="0"/>
      <w:r w:rsidR="00675F73" w:rsidRPr="003E3471">
        <w:rPr>
          <w:rFonts w:cs="Arial"/>
          <w:b/>
        </w:rPr>
        <w:t>Tender Timetable</w:t>
      </w:r>
    </w:p>
    <w:p w:rsidR="00675F73" w:rsidRDefault="00675F73" w:rsidP="00675F73">
      <w:pPr>
        <w:spacing w:before="100" w:beforeAutospacing="1" w:after="100" w:afterAutospacing="1"/>
        <w:jc w:val="left"/>
        <w:rPr>
          <w:rFonts w:cs="Arial"/>
        </w:rPr>
      </w:pPr>
    </w:p>
    <w:tbl>
      <w:tblPr>
        <w:tblStyle w:val="TableGrid"/>
        <w:tblW w:w="8534" w:type="dxa"/>
        <w:tblInd w:w="817" w:type="dxa"/>
        <w:tblLook w:val="04A0" w:firstRow="1" w:lastRow="0" w:firstColumn="1" w:lastColumn="0" w:noHBand="0" w:noVBand="1"/>
      </w:tblPr>
      <w:tblGrid>
        <w:gridCol w:w="4707"/>
        <w:gridCol w:w="3827"/>
      </w:tblGrid>
      <w:tr w:rsidR="00675F73" w:rsidRPr="002D2E91" w:rsidTr="008044F8">
        <w:trPr>
          <w:trHeight w:val="301"/>
        </w:trPr>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 xml:space="preserve">ITT issued </w:t>
            </w:r>
          </w:p>
        </w:tc>
        <w:tc>
          <w:tcPr>
            <w:tcW w:w="3827" w:type="dxa"/>
          </w:tcPr>
          <w:p w:rsidR="00675F73" w:rsidRPr="00675F73" w:rsidRDefault="00675F73" w:rsidP="008044F8">
            <w:pPr>
              <w:rPr>
                <w:rFonts w:cs="Arial"/>
                <w:color w:val="FF0000"/>
              </w:rPr>
            </w:pPr>
          </w:p>
          <w:p w:rsidR="00675F73" w:rsidRPr="00675F73" w:rsidRDefault="00675F73" w:rsidP="00E86C5D">
            <w:pPr>
              <w:pStyle w:val="Heading2"/>
              <w:jc w:val="left"/>
              <w:outlineLvl w:val="1"/>
              <w:rPr>
                <w:rFonts w:ascii="Arial" w:hAnsi="Arial" w:cs="Arial"/>
                <w:color w:val="FF0000"/>
                <w:sz w:val="20"/>
                <w:szCs w:val="20"/>
              </w:rPr>
            </w:pPr>
            <w:r w:rsidRPr="00675F73">
              <w:rPr>
                <w:rFonts w:ascii="Arial" w:hAnsi="Arial" w:cs="Arial"/>
                <w:color w:val="FF0000"/>
                <w:sz w:val="20"/>
                <w:szCs w:val="20"/>
              </w:rPr>
              <w:t>1</w:t>
            </w:r>
            <w:r w:rsidR="00E86C5D">
              <w:rPr>
                <w:rFonts w:ascii="Arial" w:hAnsi="Arial" w:cs="Arial"/>
                <w:color w:val="FF0000"/>
                <w:sz w:val="20"/>
                <w:szCs w:val="20"/>
              </w:rPr>
              <w:t>4</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January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Deadline for the receipt of clarification questions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675F73" w:rsidP="008044F8">
            <w:pPr>
              <w:pStyle w:val="Heading2"/>
              <w:jc w:val="left"/>
              <w:outlineLvl w:val="1"/>
              <w:rPr>
                <w:rFonts w:ascii="Arial" w:hAnsi="Arial" w:cs="Arial"/>
                <w:color w:val="FF0000"/>
                <w:sz w:val="20"/>
                <w:szCs w:val="20"/>
              </w:rPr>
            </w:pPr>
          </w:p>
          <w:p w:rsidR="00675F73" w:rsidRPr="00675F73" w:rsidRDefault="00675F73" w:rsidP="008044F8">
            <w:pPr>
              <w:pStyle w:val="Heading2"/>
              <w:jc w:val="left"/>
              <w:outlineLvl w:val="1"/>
              <w:rPr>
                <w:rFonts w:ascii="Arial" w:hAnsi="Arial" w:cs="Arial"/>
                <w:color w:val="FF0000"/>
                <w:sz w:val="20"/>
                <w:szCs w:val="20"/>
              </w:rPr>
            </w:pPr>
            <w:r w:rsidRPr="00675F73">
              <w:rPr>
                <w:rFonts w:ascii="Arial" w:hAnsi="Arial" w:cs="Arial"/>
                <w:color w:val="FF0000"/>
                <w:sz w:val="20"/>
                <w:szCs w:val="20"/>
              </w:rPr>
              <w:t>24</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January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Target date for responses to clarification questions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675F73" w:rsidP="008044F8">
            <w:pPr>
              <w:pStyle w:val="Heading2"/>
              <w:jc w:val="left"/>
              <w:outlineLvl w:val="1"/>
              <w:rPr>
                <w:rFonts w:ascii="Arial" w:hAnsi="Arial" w:cs="Arial"/>
                <w:color w:val="FF0000"/>
                <w:sz w:val="20"/>
                <w:szCs w:val="20"/>
              </w:rPr>
            </w:pPr>
          </w:p>
          <w:p w:rsidR="00675F73" w:rsidRPr="00675F73" w:rsidRDefault="00675F73" w:rsidP="00675F73">
            <w:pPr>
              <w:rPr>
                <w:rFonts w:cs="Arial"/>
                <w:color w:val="FF0000"/>
              </w:rPr>
            </w:pPr>
            <w:r w:rsidRPr="00675F73">
              <w:rPr>
                <w:rFonts w:cs="Arial"/>
                <w:color w:val="FF0000"/>
              </w:rPr>
              <w:t>31</w:t>
            </w:r>
            <w:r w:rsidRPr="00675F73">
              <w:rPr>
                <w:rFonts w:cs="Arial"/>
                <w:color w:val="FF0000"/>
                <w:vertAlign w:val="superscript"/>
              </w:rPr>
              <w:t>st</w:t>
            </w:r>
            <w:r w:rsidRPr="00675F73">
              <w:rPr>
                <w:rFonts w:cs="Arial"/>
                <w:color w:val="FF0000"/>
              </w:rPr>
              <w:t xml:space="preserve"> January 2019</w:t>
            </w:r>
          </w:p>
        </w:tc>
      </w:tr>
      <w:tr w:rsidR="00675F73" w:rsidRPr="002D2E91" w:rsidTr="008044F8">
        <w:trPr>
          <w:trHeight w:val="201"/>
        </w:trPr>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Deadline for receipt of Tenders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675F73" w:rsidP="00675F73">
            <w:pPr>
              <w:pStyle w:val="Heading2"/>
              <w:jc w:val="left"/>
              <w:outlineLvl w:val="1"/>
              <w:rPr>
                <w:rFonts w:ascii="Arial" w:hAnsi="Arial" w:cs="Arial"/>
                <w:color w:val="FF0000"/>
                <w:sz w:val="20"/>
                <w:szCs w:val="20"/>
              </w:rPr>
            </w:pPr>
            <w:r w:rsidRPr="00675F73">
              <w:rPr>
                <w:rFonts w:ascii="Arial" w:hAnsi="Arial" w:cs="Arial"/>
                <w:color w:val="FF0000"/>
                <w:sz w:val="20"/>
                <w:szCs w:val="20"/>
              </w:rPr>
              <w:t>12</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February 2018</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Evaluation of Tenders</w:t>
            </w:r>
          </w:p>
          <w:p w:rsidR="00675F73" w:rsidRPr="00675F73" w:rsidRDefault="00675F73" w:rsidP="008044F8">
            <w:pPr>
              <w:pStyle w:val="Heading2"/>
              <w:outlineLvl w:val="1"/>
              <w:rPr>
                <w:rFonts w:ascii="Arial" w:hAnsi="Arial" w:cs="Arial"/>
                <w:color w:val="auto"/>
                <w:sz w:val="20"/>
                <w:szCs w:val="20"/>
              </w:rPr>
            </w:pPr>
          </w:p>
        </w:tc>
        <w:tc>
          <w:tcPr>
            <w:tcW w:w="3827" w:type="dxa"/>
          </w:tcPr>
          <w:p w:rsidR="00675F73" w:rsidRPr="00675F73" w:rsidRDefault="00675F73" w:rsidP="008044F8">
            <w:pPr>
              <w:pStyle w:val="Heading2"/>
              <w:jc w:val="left"/>
              <w:outlineLvl w:val="1"/>
              <w:rPr>
                <w:rFonts w:ascii="Arial" w:hAnsi="Arial" w:cs="Arial"/>
                <w:color w:val="FF0000"/>
                <w:sz w:val="20"/>
                <w:szCs w:val="20"/>
              </w:rPr>
            </w:pPr>
            <w:r w:rsidRPr="00675F73">
              <w:rPr>
                <w:rFonts w:ascii="Arial" w:hAnsi="Arial" w:cs="Arial"/>
                <w:color w:val="FF0000"/>
                <w:sz w:val="20"/>
                <w:szCs w:val="20"/>
              </w:rPr>
              <w:t>17</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 19</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February 2019</w:t>
            </w:r>
          </w:p>
        </w:tc>
      </w:tr>
      <w:tr w:rsidR="00675F73" w:rsidRPr="002D2E91" w:rsidTr="008044F8">
        <w:trPr>
          <w:trHeight w:val="207"/>
        </w:trPr>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 xml:space="preserve">Contract Award Notice </w:t>
            </w:r>
          </w:p>
        </w:tc>
        <w:tc>
          <w:tcPr>
            <w:tcW w:w="3827" w:type="dxa"/>
          </w:tcPr>
          <w:p w:rsidR="00675F73" w:rsidRPr="00675F73" w:rsidRDefault="00675F73" w:rsidP="00675F73">
            <w:pPr>
              <w:pStyle w:val="Heading2"/>
              <w:jc w:val="left"/>
              <w:outlineLvl w:val="1"/>
              <w:rPr>
                <w:rFonts w:ascii="Arial" w:hAnsi="Arial" w:cs="Arial"/>
                <w:color w:val="FF0000"/>
                <w:sz w:val="20"/>
                <w:szCs w:val="20"/>
              </w:rPr>
            </w:pPr>
            <w:r w:rsidRPr="00675F73">
              <w:rPr>
                <w:rFonts w:ascii="Arial" w:hAnsi="Arial" w:cs="Arial"/>
                <w:color w:val="FF0000"/>
                <w:sz w:val="20"/>
                <w:szCs w:val="20"/>
              </w:rPr>
              <w:t>24</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February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 xml:space="preserve">Standstill Period </w:t>
            </w:r>
          </w:p>
        </w:tc>
        <w:tc>
          <w:tcPr>
            <w:tcW w:w="3827" w:type="dxa"/>
          </w:tcPr>
          <w:p w:rsidR="00675F73" w:rsidRPr="00675F73" w:rsidRDefault="00675F73" w:rsidP="008044F8">
            <w:pPr>
              <w:pStyle w:val="Heading2"/>
              <w:jc w:val="left"/>
              <w:outlineLvl w:val="1"/>
              <w:rPr>
                <w:rFonts w:ascii="Arial" w:hAnsi="Arial" w:cs="Arial"/>
                <w:color w:val="FF0000"/>
                <w:sz w:val="20"/>
                <w:szCs w:val="20"/>
              </w:rPr>
            </w:pPr>
            <w:r w:rsidRPr="00675F73">
              <w:rPr>
                <w:rFonts w:ascii="Arial" w:hAnsi="Arial" w:cs="Arial"/>
                <w:color w:val="FF0000"/>
                <w:sz w:val="20"/>
                <w:szCs w:val="20"/>
              </w:rPr>
              <w:t>5</w:t>
            </w:r>
            <w:r w:rsidRPr="00675F73">
              <w:rPr>
                <w:rFonts w:ascii="Arial" w:hAnsi="Arial" w:cs="Arial"/>
                <w:color w:val="FF0000"/>
                <w:sz w:val="20"/>
                <w:szCs w:val="20"/>
                <w:vertAlign w:val="superscript"/>
              </w:rPr>
              <w:t>th</w:t>
            </w:r>
            <w:r w:rsidRPr="00675F73">
              <w:rPr>
                <w:rFonts w:ascii="Arial" w:hAnsi="Arial" w:cs="Arial"/>
                <w:color w:val="FF0000"/>
                <w:sz w:val="20"/>
                <w:szCs w:val="20"/>
              </w:rPr>
              <w:t xml:space="preserve"> March 2019</w:t>
            </w:r>
          </w:p>
        </w:tc>
      </w:tr>
      <w:tr w:rsidR="00675F73" w:rsidRPr="002D2E91" w:rsidTr="008044F8">
        <w:tc>
          <w:tcPr>
            <w:tcW w:w="4707" w:type="dxa"/>
          </w:tcPr>
          <w:p w:rsidR="00675F73" w:rsidRPr="00675F73" w:rsidRDefault="00675F73" w:rsidP="008044F8">
            <w:pPr>
              <w:pStyle w:val="Heading2"/>
              <w:outlineLvl w:val="1"/>
              <w:rPr>
                <w:rFonts w:ascii="Arial" w:hAnsi="Arial" w:cs="Arial"/>
                <w:color w:val="auto"/>
                <w:sz w:val="20"/>
                <w:szCs w:val="20"/>
              </w:rPr>
            </w:pPr>
            <w:r w:rsidRPr="00675F73">
              <w:rPr>
                <w:rFonts w:ascii="Arial" w:hAnsi="Arial" w:cs="Arial"/>
                <w:color w:val="auto"/>
                <w:sz w:val="20"/>
                <w:szCs w:val="20"/>
              </w:rPr>
              <w:t>Contract Start</w:t>
            </w:r>
          </w:p>
        </w:tc>
        <w:tc>
          <w:tcPr>
            <w:tcW w:w="3827" w:type="dxa"/>
          </w:tcPr>
          <w:p w:rsidR="00675F73" w:rsidRPr="00675F73" w:rsidRDefault="00675F73" w:rsidP="00675F73">
            <w:pPr>
              <w:pStyle w:val="Heading2"/>
              <w:jc w:val="left"/>
              <w:outlineLvl w:val="1"/>
              <w:rPr>
                <w:rFonts w:ascii="Arial" w:hAnsi="Arial" w:cs="Arial"/>
                <w:color w:val="FF0000"/>
                <w:sz w:val="20"/>
                <w:szCs w:val="20"/>
              </w:rPr>
            </w:pPr>
            <w:r w:rsidRPr="00675F73">
              <w:rPr>
                <w:rFonts w:ascii="Arial" w:hAnsi="Arial" w:cs="Arial"/>
                <w:color w:val="FF0000"/>
                <w:sz w:val="20"/>
                <w:szCs w:val="20"/>
              </w:rPr>
              <w:t>1</w:t>
            </w:r>
            <w:r w:rsidRPr="00675F73">
              <w:rPr>
                <w:rFonts w:ascii="Arial" w:hAnsi="Arial" w:cs="Arial"/>
                <w:color w:val="FF0000"/>
                <w:sz w:val="20"/>
                <w:szCs w:val="20"/>
                <w:vertAlign w:val="superscript"/>
              </w:rPr>
              <w:t>st</w:t>
            </w:r>
            <w:r w:rsidRPr="00675F73">
              <w:rPr>
                <w:rFonts w:ascii="Arial" w:hAnsi="Arial" w:cs="Arial"/>
                <w:color w:val="FF0000"/>
                <w:sz w:val="20"/>
                <w:szCs w:val="20"/>
              </w:rPr>
              <w:t xml:space="preserve"> April 2019</w:t>
            </w:r>
          </w:p>
        </w:tc>
      </w:tr>
    </w:tbl>
    <w:p w:rsidR="00675F73" w:rsidRPr="00675F73" w:rsidRDefault="00675F73" w:rsidP="00675F73">
      <w:pPr>
        <w:spacing w:before="100" w:beforeAutospacing="1" w:after="100" w:afterAutospacing="1"/>
        <w:jc w:val="left"/>
        <w:rPr>
          <w:rFonts w:cs="Arial"/>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Default="00675F73" w:rsidP="00675F73">
      <w:pPr>
        <w:spacing w:before="100" w:beforeAutospacing="1" w:after="100" w:afterAutospacing="1"/>
        <w:jc w:val="left"/>
        <w:rPr>
          <w:rFonts w:cs="Arial"/>
          <w:b/>
          <w:u w:val="single"/>
        </w:rPr>
      </w:pPr>
    </w:p>
    <w:p w:rsidR="00675F73" w:rsidRPr="00675F73" w:rsidRDefault="00675F73" w:rsidP="00675F73">
      <w:pPr>
        <w:pStyle w:val="ListParagraph"/>
        <w:numPr>
          <w:ilvl w:val="0"/>
          <w:numId w:val="1"/>
        </w:numPr>
        <w:spacing w:before="100" w:beforeAutospacing="1" w:after="100" w:afterAutospacing="1"/>
        <w:jc w:val="left"/>
        <w:rPr>
          <w:rFonts w:eastAsia="Times New Roman" w:cs="Arial"/>
          <w:u w:val="single"/>
          <w:lang w:eastAsia="en-GB"/>
        </w:rPr>
      </w:pPr>
      <w:r w:rsidRPr="00675F73">
        <w:rPr>
          <w:rFonts w:cs="Arial"/>
          <w:b/>
          <w:u w:val="single"/>
        </w:rPr>
        <w:t xml:space="preserve">Contract Period </w:t>
      </w:r>
    </w:p>
    <w:p w:rsidR="00675F73" w:rsidRPr="0063625F" w:rsidRDefault="00675F73" w:rsidP="00675F73">
      <w:pPr>
        <w:spacing w:before="100" w:beforeAutospacing="1" w:after="100" w:afterAutospacing="1"/>
        <w:jc w:val="left"/>
        <w:rPr>
          <w:rFonts w:eastAsia="Times New Roman" w:cs="Arial"/>
          <w:lang w:eastAsia="en-GB"/>
        </w:rPr>
      </w:pPr>
      <w:r w:rsidRPr="0063625F">
        <w:rPr>
          <w:rFonts w:eastAsia="Times New Roman" w:cs="Arial"/>
          <w:lang w:eastAsia="en-GB"/>
        </w:rPr>
        <w:t xml:space="preserve">Contract Period, </w:t>
      </w:r>
      <w:proofErr w:type="gramStart"/>
      <w:r w:rsidRPr="0063625F">
        <w:rPr>
          <w:rFonts w:eastAsia="Times New Roman" w:cs="Arial"/>
          <w:lang w:eastAsia="en-GB"/>
        </w:rPr>
        <w:t>Twenty Four</w:t>
      </w:r>
      <w:proofErr w:type="gramEnd"/>
      <w:r w:rsidRPr="0063625F">
        <w:rPr>
          <w:rFonts w:eastAsia="Times New Roman" w:cs="Arial"/>
          <w:lang w:eastAsia="en-GB"/>
        </w:rPr>
        <w:t xml:space="preserve"> months with an option to extend for a further two twelve month periods.</w:t>
      </w:r>
    </w:p>
    <w:p w:rsidR="00675F73" w:rsidRPr="0063625F" w:rsidRDefault="00675F73" w:rsidP="00675F73">
      <w:pPr>
        <w:pStyle w:val="ListParagraph"/>
        <w:numPr>
          <w:ilvl w:val="0"/>
          <w:numId w:val="1"/>
        </w:numPr>
        <w:spacing w:before="100" w:beforeAutospacing="1" w:after="100" w:afterAutospacing="1"/>
        <w:jc w:val="left"/>
        <w:rPr>
          <w:rFonts w:eastAsia="Times New Roman" w:cs="Arial"/>
          <w:u w:val="single"/>
          <w:lang w:eastAsia="en-GB"/>
        </w:rPr>
      </w:pPr>
      <w:r w:rsidRPr="0063625F">
        <w:rPr>
          <w:rFonts w:cs="Arial"/>
          <w:b/>
          <w:u w:val="single"/>
        </w:rPr>
        <w:t>Contract Management</w:t>
      </w:r>
    </w:p>
    <w:p w:rsidR="00675F73" w:rsidRPr="0063625F" w:rsidRDefault="00675F73" w:rsidP="00675F73">
      <w:pPr>
        <w:spacing w:before="100" w:beforeAutospacing="1" w:after="100" w:afterAutospacing="1"/>
        <w:contextualSpacing/>
        <w:jc w:val="left"/>
        <w:rPr>
          <w:rFonts w:cs="Arial"/>
        </w:rPr>
      </w:pPr>
      <w:r w:rsidRPr="0063625F">
        <w:rPr>
          <w:rFonts w:cs="Arial"/>
        </w:rPr>
        <w:t>Monthly Contract meetings with the Trust's Estates Manager and a Customer Representative from the Contractor are to be undertaken.</w:t>
      </w:r>
    </w:p>
    <w:p w:rsidR="00675F73" w:rsidRPr="0063625F" w:rsidRDefault="00675F73" w:rsidP="00675F73">
      <w:pPr>
        <w:spacing w:before="100" w:beforeAutospacing="1" w:after="100" w:afterAutospacing="1"/>
        <w:ind w:left="360"/>
        <w:contextualSpacing/>
        <w:jc w:val="left"/>
        <w:rPr>
          <w:rFonts w:eastAsia="Times New Roman" w:cs="Arial"/>
          <w:u w:val="single"/>
          <w:lang w:eastAsia="en-GB"/>
        </w:rPr>
      </w:pPr>
    </w:p>
    <w:p w:rsidR="00675F73" w:rsidRPr="0063625F" w:rsidRDefault="00675F73" w:rsidP="00675F73">
      <w:pPr>
        <w:spacing w:before="100" w:beforeAutospacing="1" w:after="100" w:afterAutospacing="1"/>
        <w:contextualSpacing/>
        <w:jc w:val="left"/>
        <w:rPr>
          <w:rFonts w:cs="Arial"/>
        </w:rPr>
      </w:pPr>
      <w:r w:rsidRPr="0063625F">
        <w:rPr>
          <w:rFonts w:cs="Arial"/>
        </w:rPr>
        <w:t xml:space="preserve">It is envisaged that a formal review of performance and operational requirements will be undertaken once throughout the </w:t>
      </w:r>
      <w:proofErr w:type="gramStart"/>
      <w:r w:rsidRPr="0063625F">
        <w:rPr>
          <w:rFonts w:cs="Arial"/>
        </w:rPr>
        <w:t>twelve month</w:t>
      </w:r>
      <w:proofErr w:type="gramEnd"/>
      <w:r w:rsidRPr="0063625F">
        <w:rPr>
          <w:rFonts w:cs="Arial"/>
        </w:rPr>
        <w:t xml:space="preserve"> period or as changes in the Trust's requirements occur.</w:t>
      </w:r>
    </w:p>
    <w:p w:rsidR="00675F73" w:rsidRPr="0063625F" w:rsidRDefault="00675F73" w:rsidP="00675F73">
      <w:pPr>
        <w:spacing w:before="100" w:beforeAutospacing="1" w:after="100" w:afterAutospacing="1"/>
        <w:contextualSpacing/>
        <w:jc w:val="left"/>
        <w:rPr>
          <w:rFonts w:eastAsia="Times New Roman" w:cs="Arial"/>
          <w:u w:val="single"/>
          <w:lang w:eastAsia="en-GB"/>
        </w:rPr>
      </w:pPr>
    </w:p>
    <w:p w:rsidR="00675F73" w:rsidRPr="00D74C7F" w:rsidRDefault="00675F73" w:rsidP="00675F73">
      <w:pPr>
        <w:pStyle w:val="ListParagraph"/>
        <w:spacing w:before="100" w:beforeAutospacing="1" w:after="100" w:afterAutospacing="1"/>
        <w:ind w:left="360"/>
        <w:jc w:val="left"/>
        <w:rPr>
          <w:rFonts w:cs="Arial"/>
          <w:sz w:val="22"/>
          <w:szCs w:val="22"/>
        </w:rPr>
      </w:pPr>
    </w:p>
    <w:p w:rsidR="00675F73" w:rsidRPr="002A32EB" w:rsidRDefault="00675F73" w:rsidP="00675F73">
      <w:pPr>
        <w:pStyle w:val="ListParagraph"/>
        <w:numPr>
          <w:ilvl w:val="0"/>
          <w:numId w:val="1"/>
        </w:numPr>
        <w:spacing w:before="100" w:beforeAutospacing="1" w:after="100" w:afterAutospacing="1"/>
        <w:jc w:val="left"/>
        <w:rPr>
          <w:rFonts w:eastAsia="Times New Roman" w:cs="Arial"/>
          <w:sz w:val="22"/>
          <w:szCs w:val="22"/>
          <w:u w:val="single"/>
          <w:lang w:eastAsia="en-GB"/>
        </w:rPr>
      </w:pPr>
      <w:r w:rsidRPr="00D74C7F">
        <w:rPr>
          <w:rFonts w:cs="Arial"/>
          <w:b/>
          <w:sz w:val="22"/>
          <w:szCs w:val="22"/>
          <w:u w:val="single"/>
        </w:rPr>
        <w:t>Sites</w:t>
      </w:r>
    </w:p>
    <w:p w:rsidR="00675F73" w:rsidRPr="00EE3FB3" w:rsidRDefault="00675F73" w:rsidP="00675F73">
      <w:pPr>
        <w:spacing w:before="100" w:beforeAutospacing="1" w:after="100" w:afterAutospacing="1"/>
        <w:jc w:val="left"/>
        <w:rPr>
          <w:rFonts w:eastAsia="Times New Roman" w:cs="Arial"/>
          <w:lang w:eastAsia="en-GB"/>
        </w:rPr>
      </w:pPr>
      <w:r w:rsidRPr="00EE3FB3">
        <w:rPr>
          <w:rFonts w:eastAsia="Times New Roman" w:cs="Arial"/>
          <w:lang w:eastAsia="en-GB"/>
        </w:rPr>
        <w:t>Please see Appendix 1</w:t>
      </w:r>
    </w:p>
    <w:p w:rsidR="00675F73"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 xml:space="preserve">Scope of Work </w:t>
      </w:r>
    </w:p>
    <w:p w:rsidR="00675F73" w:rsidRDefault="00675F73" w:rsidP="00675F73">
      <w:pPr>
        <w:rPr>
          <w:rFonts w:cs="Arial"/>
        </w:rPr>
      </w:pPr>
    </w:p>
    <w:p w:rsidR="00675F73" w:rsidRDefault="00675F73" w:rsidP="00675F73">
      <w:pPr>
        <w:rPr>
          <w:rFonts w:cs="Arial"/>
          <w:lang w:val="en-US"/>
        </w:rPr>
      </w:pPr>
      <w:r w:rsidRPr="0090615B">
        <w:rPr>
          <w:rFonts w:cs="Arial"/>
        </w:rPr>
        <w:t xml:space="preserve">The successful contractor will be required to record all testing data on </w:t>
      </w:r>
      <w:proofErr w:type="spellStart"/>
      <w:r w:rsidRPr="0090615B">
        <w:rPr>
          <w:rFonts w:cs="Arial"/>
        </w:rPr>
        <w:t>GMMH’s</w:t>
      </w:r>
      <w:proofErr w:type="spellEnd"/>
      <w:r w:rsidRPr="0090615B">
        <w:rPr>
          <w:rFonts w:cs="Arial"/>
        </w:rPr>
        <w:t xml:space="preserve"> </w:t>
      </w:r>
      <w:proofErr w:type="spellStart"/>
      <w:r w:rsidRPr="0090615B">
        <w:rPr>
          <w:rFonts w:cs="Arial"/>
          <w:lang w:val="en-US"/>
        </w:rPr>
        <w:t>Micad</w:t>
      </w:r>
      <w:proofErr w:type="spellEnd"/>
      <w:r w:rsidRPr="0090615B">
        <w:rPr>
          <w:rFonts w:cs="Arial"/>
          <w:lang w:val="en-US"/>
        </w:rPr>
        <w:t xml:space="preserve"> 4 Document Exchange module </w:t>
      </w:r>
      <w:proofErr w:type="spellStart"/>
      <w:r w:rsidRPr="0090615B">
        <w:rPr>
          <w:rFonts w:cs="Arial"/>
          <w:lang w:val="en-US"/>
        </w:rPr>
        <w:t>Micad</w:t>
      </w:r>
      <w:proofErr w:type="spellEnd"/>
      <w:r w:rsidRPr="0090615B">
        <w:rPr>
          <w:rFonts w:cs="Arial"/>
          <w:lang w:val="en-US"/>
        </w:rPr>
        <w:t xml:space="preserve"> 4 is </w:t>
      </w:r>
      <w:proofErr w:type="spellStart"/>
      <w:r w:rsidRPr="0090615B">
        <w:rPr>
          <w:rFonts w:cs="Arial"/>
          <w:lang w:val="en-US"/>
        </w:rPr>
        <w:t>GMMH’s</w:t>
      </w:r>
      <w:proofErr w:type="spellEnd"/>
      <w:r w:rsidRPr="0090615B">
        <w:rPr>
          <w:rFonts w:cs="Arial"/>
          <w:lang w:val="en-US"/>
        </w:rPr>
        <w:t xml:space="preserve"> central repository for all key estates information and documentation. Training and log in details </w:t>
      </w:r>
      <w:proofErr w:type="gramStart"/>
      <w:r w:rsidRPr="0090615B">
        <w:rPr>
          <w:rFonts w:cs="Arial"/>
          <w:lang w:val="en-US"/>
        </w:rPr>
        <w:t>will be provided</w:t>
      </w:r>
      <w:proofErr w:type="gramEnd"/>
      <w:r w:rsidRPr="0090615B">
        <w:rPr>
          <w:rFonts w:cs="Arial"/>
          <w:lang w:val="en-US"/>
        </w:rPr>
        <w:t xml:space="preserve"> to the successful contractor.</w:t>
      </w:r>
    </w:p>
    <w:p w:rsidR="00675F73" w:rsidRPr="00311634" w:rsidRDefault="00675F73" w:rsidP="00675F73">
      <w:pPr>
        <w:spacing w:before="120" w:after="120"/>
        <w:rPr>
          <w:rFonts w:cs="Arial"/>
          <w:b/>
        </w:rPr>
      </w:pPr>
      <w:r w:rsidRPr="00311634">
        <w:rPr>
          <w:rFonts w:cs="Arial"/>
          <w:b/>
        </w:rPr>
        <w:t xml:space="preserve">Monthly </w:t>
      </w:r>
    </w:p>
    <w:p w:rsidR="00675F73" w:rsidRPr="0090615B" w:rsidRDefault="00675F73" w:rsidP="00675F73">
      <w:pPr>
        <w:spacing w:before="120" w:after="120"/>
        <w:rPr>
          <w:rFonts w:cs="Arial"/>
        </w:rPr>
      </w:pPr>
      <w:r w:rsidRPr="0090615B">
        <w:rPr>
          <w:rFonts w:cs="Arial"/>
        </w:rPr>
        <w:t>Draw-off Sentinel Hot and Cold Water Temperature Readings:</w:t>
      </w:r>
    </w:p>
    <w:p w:rsidR="00675F73" w:rsidRDefault="00675F73" w:rsidP="00675F73">
      <w:pPr>
        <w:rPr>
          <w:rFonts w:cs="Arial"/>
        </w:rPr>
      </w:pPr>
      <w:r w:rsidRPr="0090615B">
        <w:rPr>
          <w:rFonts w:cs="Arial"/>
        </w:rPr>
        <w:t>Provide all necessary labour, transport and equipment to attend each location identified on the Location Listings detailed in [Appendix 1]. To locate and measure the hot and cold water sentinel outlet temperatures at the relevant draw-off points after allowing the water to run for a period of two minutes for cold water and one minute for hot water; the results are to be recorded in the location log book.</w:t>
      </w:r>
    </w:p>
    <w:p w:rsidR="00675F73" w:rsidRPr="00311634" w:rsidRDefault="00675F73" w:rsidP="00675F73">
      <w:pPr>
        <w:spacing w:before="120" w:after="120"/>
        <w:rPr>
          <w:rFonts w:cs="Arial"/>
          <w:b/>
        </w:rPr>
      </w:pPr>
      <w:r w:rsidRPr="00311634">
        <w:rPr>
          <w:rFonts w:cs="Arial"/>
          <w:b/>
        </w:rPr>
        <w:t xml:space="preserve">Monthly </w:t>
      </w:r>
    </w:p>
    <w:p w:rsidR="00675F73" w:rsidRPr="0090615B" w:rsidRDefault="00675F73" w:rsidP="00675F73">
      <w:pPr>
        <w:spacing w:before="120" w:after="120"/>
        <w:rPr>
          <w:rFonts w:cs="Arial"/>
        </w:rPr>
      </w:pPr>
      <w:r w:rsidRPr="0090615B">
        <w:rPr>
          <w:rFonts w:cs="Arial"/>
        </w:rPr>
        <w:t>Expansion Vessel Flushing:</w:t>
      </w:r>
    </w:p>
    <w:p w:rsidR="00675F73" w:rsidRDefault="00675F73" w:rsidP="00675F73">
      <w:pPr>
        <w:rPr>
          <w:rFonts w:cs="Arial"/>
        </w:rPr>
      </w:pPr>
      <w:r w:rsidRPr="0090615B">
        <w:rPr>
          <w:rFonts w:cs="Arial"/>
        </w:rPr>
        <w:t xml:space="preserve">Where possible provide all necessary labour, transport and equipment to attend each location identified on the Location Listings detailed in [Appendix 1]. Flush and purge water from the vessel and supply pipe to a suitable receiver. The results are to </w:t>
      </w:r>
      <w:proofErr w:type="gramStart"/>
      <w:r w:rsidRPr="0090615B">
        <w:rPr>
          <w:rFonts w:cs="Arial"/>
        </w:rPr>
        <w:t>be recorded</w:t>
      </w:r>
      <w:proofErr w:type="gramEnd"/>
      <w:r w:rsidRPr="0090615B">
        <w:rPr>
          <w:rFonts w:cs="Arial"/>
        </w:rPr>
        <w:t xml:space="preserve"> in the building location logbook.</w:t>
      </w:r>
    </w:p>
    <w:p w:rsidR="00675F73" w:rsidRPr="00311634" w:rsidRDefault="00675F73" w:rsidP="00675F73">
      <w:pPr>
        <w:spacing w:before="120" w:after="120"/>
        <w:rPr>
          <w:rFonts w:cs="Arial"/>
          <w:b/>
        </w:rPr>
      </w:pPr>
      <w:r w:rsidRPr="00311634">
        <w:rPr>
          <w:rFonts w:cs="Arial"/>
          <w:b/>
        </w:rPr>
        <w:t xml:space="preserve">Quarterly </w:t>
      </w:r>
    </w:p>
    <w:p w:rsidR="00675F73" w:rsidRPr="0090615B" w:rsidRDefault="00675F73" w:rsidP="00675F73">
      <w:pPr>
        <w:spacing w:before="120" w:after="120"/>
        <w:rPr>
          <w:rFonts w:cs="Arial"/>
        </w:rPr>
      </w:pPr>
      <w:r w:rsidRPr="0090615B">
        <w:rPr>
          <w:rFonts w:cs="Arial"/>
        </w:rPr>
        <w:t>Showerheads and Hoses:</w:t>
      </w:r>
    </w:p>
    <w:p w:rsidR="00675F73" w:rsidRDefault="00675F73" w:rsidP="00675F73">
      <w:pPr>
        <w:spacing w:before="120" w:after="120"/>
        <w:rPr>
          <w:rFonts w:cs="Arial"/>
        </w:rPr>
      </w:pPr>
      <w:r w:rsidRPr="0090615B">
        <w:rPr>
          <w:rFonts w:cs="Arial"/>
        </w:rPr>
        <w:lastRenderedPageBreak/>
        <w:t xml:space="preserve">Provide all necessary labour, transport and equipment to attend each location identified on the Location Listings detailed in [Appendix 1]. To carefully remove the flexible hose and handset, dismantle as far as possible, mechanically clean with detergent solution and immerse into a 20ppm chlorinated solution for 3 minutes or other approved solution, ensuring that air bubbles, are not trapped in the hoses.  After replacement, the shower hose and handset </w:t>
      </w:r>
      <w:proofErr w:type="gramStart"/>
      <w:r w:rsidRPr="0090615B">
        <w:rPr>
          <w:rFonts w:cs="Arial"/>
        </w:rPr>
        <w:t>should be carefully discharged</w:t>
      </w:r>
      <w:proofErr w:type="gramEnd"/>
      <w:r w:rsidRPr="0090615B">
        <w:rPr>
          <w:rFonts w:cs="Arial"/>
        </w:rPr>
        <w:t xml:space="preserve"> for one minute to remove any solution remaining in the components. The procedure is to </w:t>
      </w:r>
      <w:proofErr w:type="gramStart"/>
      <w:r w:rsidRPr="0090615B">
        <w:rPr>
          <w:rFonts w:cs="Arial"/>
        </w:rPr>
        <w:t>be recorded</w:t>
      </w:r>
      <w:proofErr w:type="gramEnd"/>
      <w:r w:rsidRPr="0090615B">
        <w:rPr>
          <w:rFonts w:cs="Arial"/>
        </w:rPr>
        <w:t xml:space="preserve"> in the location logbook.</w:t>
      </w:r>
    </w:p>
    <w:p w:rsidR="00675F73" w:rsidRPr="00311634" w:rsidRDefault="00675F73" w:rsidP="00675F73">
      <w:pPr>
        <w:spacing w:before="120" w:after="120"/>
        <w:rPr>
          <w:rFonts w:cs="Arial"/>
          <w:b/>
        </w:rPr>
      </w:pPr>
      <w:r w:rsidRPr="00311634">
        <w:rPr>
          <w:rFonts w:cs="Arial"/>
          <w:b/>
        </w:rPr>
        <w:t xml:space="preserve">Quarterly </w:t>
      </w:r>
    </w:p>
    <w:p w:rsidR="00675F73" w:rsidRPr="0090615B" w:rsidRDefault="00675F73" w:rsidP="00675F73">
      <w:pPr>
        <w:spacing w:before="120" w:after="120"/>
        <w:rPr>
          <w:rFonts w:cs="Arial"/>
        </w:rPr>
      </w:pPr>
      <w:r w:rsidRPr="0090615B">
        <w:rPr>
          <w:rFonts w:cs="Arial"/>
        </w:rPr>
        <w:t>Spray Taps and Point of Use Water Heater Spray Nozzles:</w:t>
      </w:r>
    </w:p>
    <w:p w:rsidR="00675F73" w:rsidRDefault="00675F73" w:rsidP="00675F73">
      <w:pPr>
        <w:spacing w:before="120" w:after="120"/>
        <w:rPr>
          <w:rFonts w:cs="Arial"/>
        </w:rPr>
      </w:pPr>
      <w:r w:rsidRPr="0090615B">
        <w:rPr>
          <w:rFonts w:cs="Arial"/>
        </w:rPr>
        <w:t xml:space="preserve">Provide all necessary labour, transport and equipment to attend each location identified on the Location Listings detailed in [Appendix 1]. To carefully remove any fittings and dismantle as far as possible, mechanically clean with detergent solution and immerse into a 20ppm chlorinated solution for 3 minutes or other approved solution. After replacement, the fitting </w:t>
      </w:r>
      <w:proofErr w:type="gramStart"/>
      <w:r w:rsidRPr="0090615B">
        <w:rPr>
          <w:rFonts w:cs="Arial"/>
        </w:rPr>
        <w:t>should be carefully discharged</w:t>
      </w:r>
      <w:proofErr w:type="gramEnd"/>
      <w:r w:rsidRPr="0090615B">
        <w:rPr>
          <w:rFonts w:cs="Arial"/>
        </w:rPr>
        <w:t xml:space="preserve"> for one minute to remove any solution remaining in the components. The procedure is to </w:t>
      </w:r>
      <w:proofErr w:type="gramStart"/>
      <w:r w:rsidRPr="0090615B">
        <w:rPr>
          <w:rFonts w:cs="Arial"/>
        </w:rPr>
        <w:t>be recorded</w:t>
      </w:r>
      <w:proofErr w:type="gramEnd"/>
      <w:r w:rsidRPr="0090615B">
        <w:rPr>
          <w:rFonts w:cs="Arial"/>
        </w:rPr>
        <w:t xml:space="preserve"> in the building location logbook.</w:t>
      </w:r>
    </w:p>
    <w:p w:rsidR="00675F73" w:rsidRPr="00311634" w:rsidRDefault="00675F73" w:rsidP="00675F73">
      <w:pPr>
        <w:spacing w:before="120" w:after="120"/>
        <w:rPr>
          <w:rFonts w:cs="Arial"/>
          <w:b/>
        </w:rPr>
      </w:pPr>
      <w:r w:rsidRPr="00311634">
        <w:rPr>
          <w:rFonts w:cs="Arial"/>
          <w:b/>
        </w:rPr>
        <w:t xml:space="preserve">Six Monthly </w:t>
      </w:r>
    </w:p>
    <w:p w:rsidR="00675F73" w:rsidRPr="0090615B" w:rsidRDefault="00675F73" w:rsidP="00675F73">
      <w:pPr>
        <w:spacing w:before="120" w:after="120"/>
        <w:rPr>
          <w:rFonts w:cs="Arial"/>
        </w:rPr>
      </w:pPr>
      <w:r w:rsidRPr="0090615B">
        <w:rPr>
          <w:rFonts w:cs="Arial"/>
        </w:rPr>
        <w:t>Thermostatic Mixing Valve Maintenance:</w:t>
      </w:r>
    </w:p>
    <w:p w:rsidR="00675F73" w:rsidRDefault="00675F73" w:rsidP="00675F73">
      <w:pPr>
        <w:spacing w:before="120" w:after="120"/>
        <w:rPr>
          <w:rFonts w:cs="Arial"/>
        </w:rPr>
      </w:pPr>
      <w:r w:rsidRPr="0090615B">
        <w:rPr>
          <w:rFonts w:cs="Arial"/>
        </w:rPr>
        <w:t xml:space="preserve">Provide all necessary labour, transport and equipment to attend each location identified on the Location Listings detailed in [Appendix 1]. To locate and measure the hot and cold water supply and blended temperatures at all thermostatic mixing valves in accordance with the </w:t>
      </w:r>
      <w:proofErr w:type="spellStart"/>
      <w:r w:rsidRPr="0090615B">
        <w:rPr>
          <w:rFonts w:cs="Arial"/>
        </w:rPr>
        <w:t>HTM</w:t>
      </w:r>
      <w:proofErr w:type="spellEnd"/>
      <w:r w:rsidRPr="0090615B">
        <w:rPr>
          <w:rFonts w:cs="Arial"/>
        </w:rPr>
        <w:t xml:space="preserve"> 04-01 D 08: and manufacturer’s instructions, check that they fail-safe and continue to deliver the water at the temperature levels required. The procedure is to </w:t>
      </w:r>
      <w:proofErr w:type="gramStart"/>
      <w:r w:rsidRPr="0090615B">
        <w:rPr>
          <w:rFonts w:cs="Arial"/>
        </w:rPr>
        <w:t>be recorded</w:t>
      </w:r>
      <w:proofErr w:type="gramEnd"/>
      <w:r w:rsidRPr="0090615B">
        <w:rPr>
          <w:rFonts w:cs="Arial"/>
        </w:rPr>
        <w:t xml:space="preserve"> in the location logbook.</w:t>
      </w:r>
    </w:p>
    <w:p w:rsidR="00675F73" w:rsidRPr="0090615B" w:rsidRDefault="00675F73" w:rsidP="00675F73">
      <w:pPr>
        <w:spacing w:before="120" w:after="120"/>
        <w:rPr>
          <w:rFonts w:cs="Arial"/>
        </w:rPr>
      </w:pPr>
    </w:p>
    <w:p w:rsidR="00675F73" w:rsidRPr="00311634" w:rsidRDefault="00675F73" w:rsidP="00675F73">
      <w:pPr>
        <w:spacing w:before="120" w:after="120"/>
        <w:rPr>
          <w:rFonts w:cs="Arial"/>
          <w:b/>
        </w:rPr>
      </w:pPr>
      <w:r w:rsidRPr="00311634">
        <w:rPr>
          <w:rFonts w:cs="Arial"/>
          <w:b/>
        </w:rPr>
        <w:t xml:space="preserve">Annually </w:t>
      </w:r>
    </w:p>
    <w:p w:rsidR="00675F73" w:rsidRPr="0090615B" w:rsidRDefault="00675F73" w:rsidP="00675F73">
      <w:pPr>
        <w:spacing w:before="120" w:after="120"/>
        <w:rPr>
          <w:rFonts w:cs="Arial"/>
        </w:rPr>
      </w:pPr>
      <w:r w:rsidRPr="0090615B">
        <w:rPr>
          <w:rFonts w:cs="Arial"/>
        </w:rPr>
        <w:t>Draw-off Randomised Hot and Cold Water Temperature Readings:</w:t>
      </w:r>
    </w:p>
    <w:p w:rsidR="00675F73" w:rsidRDefault="00675F73" w:rsidP="00675F73">
      <w:pPr>
        <w:spacing w:before="120" w:after="120"/>
        <w:rPr>
          <w:rFonts w:cs="Arial"/>
        </w:rPr>
      </w:pPr>
      <w:r w:rsidRPr="0090615B">
        <w:rPr>
          <w:rFonts w:cs="Arial"/>
        </w:rPr>
        <w:t xml:space="preserve">Provide all necessary labour, transport and equipment to attend each location identified on the Location Listings detailed in [Appendix 1]. To locate and measure the hot and </w:t>
      </w:r>
      <w:proofErr w:type="gramStart"/>
      <w:r w:rsidRPr="0090615B">
        <w:rPr>
          <w:rFonts w:cs="Arial"/>
        </w:rPr>
        <w:t>cold water</w:t>
      </w:r>
      <w:proofErr w:type="gramEnd"/>
      <w:r w:rsidRPr="0090615B">
        <w:rPr>
          <w:rFonts w:cs="Arial"/>
        </w:rPr>
        <w:t xml:space="preserve"> temperatures at agreed representative outlets. The representative outlets will be determined by taking 20% of the total outlets installed within the building. The outlets to be, checked will be, selected on a rotational basis year on year. The results are to </w:t>
      </w:r>
      <w:proofErr w:type="gramStart"/>
      <w:r w:rsidRPr="0090615B">
        <w:rPr>
          <w:rFonts w:cs="Arial"/>
        </w:rPr>
        <w:t>be recorded</w:t>
      </w:r>
      <w:proofErr w:type="gramEnd"/>
      <w:r w:rsidRPr="0090615B">
        <w:rPr>
          <w:rFonts w:cs="Arial"/>
        </w:rPr>
        <w:t xml:space="preserve"> in the location logbook.</w:t>
      </w:r>
    </w:p>
    <w:p w:rsidR="00675F73" w:rsidRPr="00311634" w:rsidRDefault="00675F73" w:rsidP="00675F73">
      <w:pPr>
        <w:spacing w:before="120" w:after="120"/>
        <w:rPr>
          <w:rFonts w:cs="Arial"/>
          <w:b/>
        </w:rPr>
      </w:pPr>
      <w:r w:rsidRPr="00311634">
        <w:rPr>
          <w:rFonts w:cs="Arial"/>
          <w:b/>
        </w:rPr>
        <w:t>Annually Cold Water Storage Tanks Inspection:</w:t>
      </w:r>
    </w:p>
    <w:p w:rsidR="00675F73" w:rsidRPr="0090615B" w:rsidRDefault="00675F73" w:rsidP="00675F73">
      <w:pPr>
        <w:spacing w:before="120" w:after="120"/>
        <w:rPr>
          <w:rFonts w:cs="Arial"/>
        </w:rPr>
      </w:pPr>
      <w:r w:rsidRPr="0090615B">
        <w:rPr>
          <w:rFonts w:cs="Arial"/>
        </w:rPr>
        <w:t xml:space="preserve">Provide all necessary labour, transport and equipment to attend each location identified on the Location Listings detailed in </w:t>
      </w:r>
      <w:r w:rsidRPr="0090615B">
        <w:rPr>
          <w:rFonts w:cs="Arial"/>
          <w:b/>
        </w:rPr>
        <w:t>[Appendix 1]</w:t>
      </w:r>
      <w:r w:rsidRPr="0090615B">
        <w:rPr>
          <w:rFonts w:cs="Arial"/>
        </w:rPr>
        <w:t xml:space="preserve">. To locate and complete inspections of all cold water storage tanks within the properties. Produce a report detailing the inspection and any defects identified. The report is to </w:t>
      </w:r>
      <w:proofErr w:type="gramStart"/>
      <w:r w:rsidRPr="0090615B">
        <w:rPr>
          <w:rFonts w:cs="Arial"/>
        </w:rPr>
        <w:t>be recorded</w:t>
      </w:r>
      <w:proofErr w:type="gramEnd"/>
      <w:r w:rsidRPr="0090615B">
        <w:rPr>
          <w:rFonts w:cs="Arial"/>
        </w:rPr>
        <w:t xml:space="preserve"> in the location logbook.</w:t>
      </w:r>
    </w:p>
    <w:p w:rsidR="00675F73" w:rsidRPr="0090615B" w:rsidRDefault="00675F73" w:rsidP="00675F73">
      <w:pPr>
        <w:spacing w:before="120" w:after="120"/>
        <w:rPr>
          <w:rFonts w:cs="Arial"/>
        </w:rPr>
      </w:pPr>
    </w:p>
    <w:p w:rsidR="00675F73" w:rsidRPr="00311634" w:rsidRDefault="00675F73" w:rsidP="00675F73">
      <w:pPr>
        <w:spacing w:before="120" w:after="120"/>
        <w:rPr>
          <w:rFonts w:cs="Arial"/>
          <w:b/>
        </w:rPr>
      </w:pPr>
      <w:r w:rsidRPr="00311634">
        <w:rPr>
          <w:rFonts w:cs="Arial"/>
          <w:b/>
        </w:rPr>
        <w:t>Existing Water Draw-off Points:</w:t>
      </w:r>
    </w:p>
    <w:p w:rsidR="00675F73" w:rsidRDefault="00675F73" w:rsidP="00675F73">
      <w:pPr>
        <w:rPr>
          <w:rFonts w:cs="Arial"/>
        </w:rPr>
      </w:pPr>
      <w:r w:rsidRPr="0090615B">
        <w:rPr>
          <w:rFonts w:cs="Arial"/>
        </w:rPr>
        <w:t xml:space="preserve">Detailed in [Appendix </w:t>
      </w:r>
      <w:r>
        <w:rPr>
          <w:rFonts w:cs="Arial"/>
        </w:rPr>
        <w:t>2</w:t>
      </w:r>
      <w:r w:rsidRPr="0090615B">
        <w:rPr>
          <w:rFonts w:cs="Arial"/>
        </w:rPr>
        <w:t xml:space="preserve">] is a detailed listing of draw-off points within the buildings located throughout </w:t>
      </w:r>
      <w:proofErr w:type="spellStart"/>
      <w:r w:rsidRPr="0090615B">
        <w:rPr>
          <w:rFonts w:cs="Arial"/>
        </w:rPr>
        <w:t>GMMH</w:t>
      </w:r>
      <w:proofErr w:type="spellEnd"/>
      <w:r w:rsidRPr="0090615B">
        <w:rPr>
          <w:rFonts w:cs="Arial"/>
        </w:rPr>
        <w:t xml:space="preserve"> Trust Estate.</w:t>
      </w:r>
    </w:p>
    <w:p w:rsidR="00675F73" w:rsidRPr="0090615B" w:rsidRDefault="00675F73" w:rsidP="00675F73">
      <w:pPr>
        <w:spacing w:before="120" w:after="120"/>
        <w:rPr>
          <w:rFonts w:cs="Arial"/>
        </w:rPr>
      </w:pPr>
      <w:r w:rsidRPr="0090615B">
        <w:rPr>
          <w:rFonts w:cs="Arial"/>
        </w:rPr>
        <w:t>Domestic Cold Water Supply and Storage Information:</w:t>
      </w:r>
    </w:p>
    <w:p w:rsidR="00675F73" w:rsidRDefault="00675F73" w:rsidP="00675F73">
      <w:r w:rsidRPr="0090615B">
        <w:rPr>
          <w:rFonts w:cs="Arial"/>
        </w:rPr>
        <w:t xml:space="preserve">Detailed in [Appendix </w:t>
      </w:r>
      <w:r>
        <w:rPr>
          <w:rFonts w:cs="Arial"/>
        </w:rPr>
        <w:t>2</w:t>
      </w:r>
      <w:r w:rsidRPr="0090615B">
        <w:rPr>
          <w:rFonts w:cs="Arial"/>
        </w:rPr>
        <w:t xml:space="preserve">] is the cold water supply and storage information for the buildings located throughout the </w:t>
      </w:r>
      <w:proofErr w:type="spellStart"/>
      <w:r w:rsidRPr="0090615B">
        <w:rPr>
          <w:rFonts w:cs="Arial"/>
        </w:rPr>
        <w:t>GMMH</w:t>
      </w:r>
      <w:proofErr w:type="spellEnd"/>
      <w:r w:rsidRPr="0090615B">
        <w:rPr>
          <w:rFonts w:cs="Arial"/>
        </w:rPr>
        <w:t xml:space="preserve"> Trust estate.</w:t>
      </w:r>
    </w:p>
    <w:p w:rsidR="00675F73" w:rsidRDefault="00675F73" w:rsidP="00675F73">
      <w:pPr>
        <w:pStyle w:val="Heading3"/>
        <w:keepNext/>
        <w:spacing w:before="240" w:after="60"/>
        <w:jc w:val="left"/>
        <w:rPr>
          <w:rFonts w:cs="Arial"/>
          <w:b/>
          <w:sz w:val="22"/>
          <w:szCs w:val="22"/>
          <w:u w:val="single"/>
        </w:rPr>
      </w:pPr>
    </w:p>
    <w:p w:rsidR="00675F73" w:rsidRPr="00D5429A" w:rsidRDefault="00675F73" w:rsidP="00675F73">
      <w:pPr>
        <w:pStyle w:val="Heading3"/>
        <w:keepNext/>
        <w:spacing w:before="240" w:after="60"/>
        <w:ind w:left="360"/>
        <w:jc w:val="left"/>
        <w:rPr>
          <w:rFonts w:cs="Arial"/>
          <w:b/>
          <w:sz w:val="22"/>
          <w:szCs w:val="22"/>
          <w:u w:val="single"/>
        </w:rPr>
      </w:pPr>
    </w:p>
    <w:p w:rsidR="00675F73" w:rsidRDefault="00675F73" w:rsidP="00675F73">
      <w:pPr>
        <w:ind w:left="1080"/>
        <w:rPr>
          <w:rFonts w:cs="Arial"/>
          <w:b/>
          <w:sz w:val="22"/>
          <w:szCs w:val="22"/>
          <w:u w:val="single"/>
        </w:rPr>
      </w:pPr>
    </w:p>
    <w:p w:rsidR="00675F73" w:rsidRDefault="00675F73" w:rsidP="00675F73">
      <w:pPr>
        <w:ind w:left="1080"/>
        <w:rPr>
          <w:rFonts w:cs="Arial"/>
          <w:b/>
          <w:sz w:val="22"/>
          <w:szCs w:val="22"/>
          <w:u w:val="single"/>
        </w:rPr>
      </w:pPr>
    </w:p>
    <w:p w:rsidR="00675F73" w:rsidRPr="00814454" w:rsidRDefault="00675F73" w:rsidP="00675F73">
      <w:pPr>
        <w:spacing w:before="100" w:beforeAutospacing="1" w:after="100" w:afterAutospacing="1"/>
        <w:jc w:val="left"/>
        <w:rPr>
          <w:sz w:val="22"/>
          <w:szCs w:val="22"/>
        </w:rPr>
      </w:pPr>
    </w:p>
    <w:p w:rsidR="00675F73" w:rsidRDefault="00675F73" w:rsidP="00675F73">
      <w:pPr>
        <w:spacing w:before="100" w:beforeAutospacing="1" w:after="100" w:afterAutospacing="1"/>
        <w:contextualSpacing/>
        <w:jc w:val="left"/>
        <w:rPr>
          <w:rFonts w:cs="Arial"/>
          <w:sz w:val="22"/>
          <w:szCs w:val="22"/>
        </w:rPr>
      </w:pPr>
    </w:p>
    <w:p w:rsidR="00675F73" w:rsidRPr="00D74C7F" w:rsidRDefault="00675F73" w:rsidP="00675F73">
      <w:pPr>
        <w:pStyle w:val="Heading3"/>
        <w:keepNext/>
        <w:spacing w:before="240" w:after="60"/>
        <w:jc w:val="left"/>
        <w:rPr>
          <w:rFonts w:cs="Arial"/>
          <w:b/>
          <w:sz w:val="22"/>
          <w:szCs w:val="22"/>
          <w:u w:val="single"/>
        </w:rPr>
      </w:pPr>
    </w:p>
    <w:p w:rsidR="00675F73" w:rsidRDefault="00675F73" w:rsidP="00675F73">
      <w:pPr>
        <w:pStyle w:val="Heading3"/>
        <w:keepNext/>
        <w:spacing w:before="240" w:after="60"/>
        <w:jc w:val="left"/>
        <w:rPr>
          <w:rFonts w:cs="Arial"/>
          <w:sz w:val="22"/>
          <w:szCs w:val="22"/>
        </w:rPr>
      </w:pPr>
    </w:p>
    <w:p w:rsidR="00675F73"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 xml:space="preserve"> General Items</w:t>
      </w:r>
      <w:r>
        <w:rPr>
          <w:rFonts w:cs="Arial"/>
          <w:b/>
          <w:sz w:val="22"/>
          <w:szCs w:val="22"/>
          <w:u w:val="single"/>
        </w:rPr>
        <w:t xml:space="preserve"> </w:t>
      </w:r>
    </w:p>
    <w:p w:rsidR="00675F73" w:rsidRPr="001940D4" w:rsidRDefault="00675F73" w:rsidP="00675F73">
      <w:pPr>
        <w:pStyle w:val="Heading3"/>
        <w:keepNext/>
        <w:spacing w:before="240" w:after="60"/>
        <w:ind w:left="360"/>
        <w:jc w:val="left"/>
        <w:rPr>
          <w:rFonts w:cs="Arial"/>
          <w:sz w:val="22"/>
          <w:szCs w:val="22"/>
        </w:rPr>
      </w:pPr>
      <w:r w:rsidRPr="001940D4">
        <w:rPr>
          <w:rFonts w:cs="Arial"/>
          <w:sz w:val="22"/>
          <w:szCs w:val="22"/>
        </w:rPr>
        <w:t>Clients:</w:t>
      </w:r>
      <w:r>
        <w:rPr>
          <w:rFonts w:cs="Arial"/>
          <w:sz w:val="22"/>
          <w:szCs w:val="22"/>
        </w:rPr>
        <w:t xml:space="preserve"> </w:t>
      </w:r>
      <w:r w:rsidRPr="001940D4">
        <w:rPr>
          <w:rFonts w:cs="Arial"/>
          <w:sz w:val="22"/>
          <w:szCs w:val="22"/>
        </w:rPr>
        <w:t>Means persons receiving treatment for mental health rela</w:t>
      </w:r>
      <w:r>
        <w:rPr>
          <w:rFonts w:cs="Arial"/>
          <w:sz w:val="22"/>
          <w:szCs w:val="22"/>
        </w:rPr>
        <w:t xml:space="preserve">ted problems, </w:t>
      </w:r>
      <w:r w:rsidRPr="001940D4">
        <w:rPr>
          <w:rFonts w:cs="Arial"/>
          <w:sz w:val="22"/>
          <w:szCs w:val="22"/>
        </w:rPr>
        <w:t>within the various Trust’s buildings.</w:t>
      </w:r>
    </w:p>
    <w:p w:rsidR="00675F73" w:rsidRPr="00D74C7F" w:rsidRDefault="00675F73" w:rsidP="00675F73">
      <w:pPr>
        <w:pStyle w:val="Heading3"/>
        <w:keepNext/>
        <w:spacing w:before="240" w:after="60"/>
        <w:ind w:left="360"/>
        <w:jc w:val="left"/>
        <w:rPr>
          <w:rFonts w:cs="Arial"/>
          <w:i/>
          <w:sz w:val="22"/>
          <w:szCs w:val="22"/>
        </w:rPr>
      </w:pPr>
      <w:r w:rsidRPr="00D74C7F">
        <w:rPr>
          <w:rFonts w:cs="Arial"/>
          <w:i/>
          <w:sz w:val="22"/>
          <w:szCs w:val="22"/>
        </w:rPr>
        <w:t xml:space="preserve">Use of the Trust Sites: </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The contractor must not use the Trust’s sites or premises for any other purpose than carrying out the </w:t>
      </w:r>
      <w:r>
        <w:rPr>
          <w:rFonts w:cs="Arial"/>
          <w:sz w:val="22"/>
          <w:szCs w:val="22"/>
        </w:rPr>
        <w:t xml:space="preserve">Water Hygiene </w:t>
      </w:r>
      <w:r w:rsidRPr="00D74C7F">
        <w:rPr>
          <w:rFonts w:cs="Arial"/>
          <w:sz w:val="22"/>
          <w:szCs w:val="22"/>
        </w:rPr>
        <w:t>maintenance contract.</w:t>
      </w:r>
    </w:p>
    <w:p w:rsidR="00675F73" w:rsidRPr="00D74C7F" w:rsidRDefault="00675F73" w:rsidP="00675F73">
      <w:pPr>
        <w:pStyle w:val="Heading3"/>
        <w:keepNext/>
        <w:spacing w:before="240" w:after="60"/>
        <w:ind w:left="360"/>
        <w:jc w:val="left"/>
        <w:rPr>
          <w:rFonts w:cs="Arial"/>
          <w:i/>
          <w:sz w:val="22"/>
          <w:szCs w:val="22"/>
        </w:rPr>
      </w:pPr>
      <w:r w:rsidRPr="00D74C7F">
        <w:rPr>
          <w:rFonts w:cs="Arial"/>
          <w:i/>
          <w:sz w:val="22"/>
          <w:szCs w:val="22"/>
        </w:rPr>
        <w:t>Advertising:</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Do not display or permit advertisements to </w:t>
      </w:r>
      <w:proofErr w:type="gramStart"/>
      <w:r w:rsidRPr="00D74C7F">
        <w:rPr>
          <w:rFonts w:cs="Arial"/>
          <w:sz w:val="22"/>
          <w:szCs w:val="22"/>
        </w:rPr>
        <w:t>be displayed</w:t>
      </w:r>
      <w:proofErr w:type="gramEnd"/>
      <w:r w:rsidRPr="00D74C7F">
        <w:rPr>
          <w:rFonts w:cs="Arial"/>
          <w:sz w:val="22"/>
          <w:szCs w:val="22"/>
        </w:rPr>
        <w:t xml:space="preserve"> on any site or within any document without the consent of the Trust in writing.</w:t>
      </w:r>
    </w:p>
    <w:p w:rsidR="00675F73" w:rsidRPr="00D74C7F" w:rsidRDefault="00675F73" w:rsidP="00675F73">
      <w:pPr>
        <w:pStyle w:val="Heading3"/>
        <w:keepNext/>
        <w:spacing w:before="240" w:after="60"/>
        <w:ind w:left="360"/>
        <w:jc w:val="left"/>
        <w:rPr>
          <w:rFonts w:cs="Arial"/>
          <w:i/>
          <w:sz w:val="22"/>
          <w:szCs w:val="22"/>
        </w:rPr>
      </w:pPr>
      <w:r w:rsidRPr="00D74C7F">
        <w:rPr>
          <w:rFonts w:cs="Arial"/>
          <w:i/>
          <w:sz w:val="22"/>
          <w:szCs w:val="22"/>
        </w:rPr>
        <w:t>Security:</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The contractor shall include for and be solely responsible for the protection and safety of the works being undertaken, materials, plant and equipment, clients, staff, visitors and the </w:t>
      </w:r>
      <w:proofErr w:type="gramStart"/>
      <w:r w:rsidRPr="00D74C7F">
        <w:rPr>
          <w:rFonts w:cs="Arial"/>
          <w:sz w:val="22"/>
          <w:szCs w:val="22"/>
        </w:rPr>
        <w:t>general public</w:t>
      </w:r>
      <w:proofErr w:type="gramEnd"/>
      <w:r w:rsidRPr="00D74C7F">
        <w:rPr>
          <w:rFonts w:cs="Arial"/>
          <w:sz w:val="22"/>
          <w:szCs w:val="22"/>
        </w:rPr>
        <w:t xml:space="preserve">. </w:t>
      </w:r>
      <w:proofErr w:type="gramStart"/>
      <w:r w:rsidRPr="00D74C7F">
        <w:rPr>
          <w:rFonts w:cs="Arial"/>
          <w:sz w:val="22"/>
          <w:szCs w:val="22"/>
        </w:rPr>
        <w:t>Without delay</w:t>
      </w:r>
      <w:proofErr w:type="gramEnd"/>
      <w:r w:rsidRPr="00D74C7F">
        <w:rPr>
          <w:rFonts w:cs="Arial"/>
          <w:sz w:val="22"/>
          <w:szCs w:val="22"/>
        </w:rPr>
        <w:t xml:space="preserve"> report any incident to the Estates Manager.</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Occupied Building and Adjoining Property:</w:t>
      </w:r>
    </w:p>
    <w:p w:rsidR="00675F73" w:rsidRPr="00D74C7F" w:rsidRDefault="00675F73" w:rsidP="00675F73">
      <w:pPr>
        <w:spacing w:before="120" w:after="120"/>
        <w:ind w:left="360"/>
        <w:jc w:val="left"/>
        <w:rPr>
          <w:rFonts w:cs="Arial"/>
          <w:sz w:val="22"/>
          <w:szCs w:val="22"/>
        </w:rPr>
      </w:pPr>
      <w:r w:rsidRPr="00D74C7F">
        <w:rPr>
          <w:rFonts w:cs="Arial"/>
          <w:sz w:val="22"/>
          <w:szCs w:val="22"/>
        </w:rPr>
        <w:t>All building will be occupied and during the contract. The contractor should carry out the works without undue inconvenience and nuisance and without danger to clients, staff and visitors.</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Prevent damage to existing buildings, fences, gates, walls, roads, paved areas and other site features, which are to remain in position during the execution of the works. If any damage is </w:t>
      </w:r>
      <w:proofErr w:type="gramStart"/>
      <w:r w:rsidRPr="00D74C7F">
        <w:rPr>
          <w:rFonts w:cs="Arial"/>
          <w:sz w:val="22"/>
          <w:szCs w:val="22"/>
        </w:rPr>
        <w:t>caused</w:t>
      </w:r>
      <w:proofErr w:type="gramEnd"/>
      <w:r w:rsidRPr="00D74C7F">
        <w:rPr>
          <w:rFonts w:cs="Arial"/>
          <w:sz w:val="22"/>
          <w:szCs w:val="22"/>
        </w:rPr>
        <w:t xml:space="preserve"> this must be reported immediately to the Estates Manager or his representative and all costs incurred will be charged to the contractor.</w:t>
      </w:r>
    </w:p>
    <w:p w:rsidR="00675F73" w:rsidRPr="00D74C7F" w:rsidRDefault="00675F73" w:rsidP="00675F73">
      <w:pPr>
        <w:spacing w:before="120" w:after="120"/>
        <w:ind w:left="360"/>
        <w:jc w:val="left"/>
        <w:rPr>
          <w:rFonts w:cs="Arial"/>
          <w:sz w:val="22"/>
          <w:szCs w:val="22"/>
        </w:rPr>
      </w:pPr>
      <w:r w:rsidRPr="00D74C7F">
        <w:rPr>
          <w:rFonts w:cs="Arial"/>
          <w:sz w:val="22"/>
          <w:szCs w:val="22"/>
        </w:rPr>
        <w:t>Take all precautions to prevent damage to adjoining property. Obtain permission as necessary from the owners of adjoining property if required to gain access to undertake works on the trusts boundary.</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Nuisance:</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Take all necessary precautions to prevent nuisance from fumes, dust, rubbish and any other causes. The contractor must note that NO burning of rubbish, leaves on any of the Trust’s sites </w:t>
      </w:r>
      <w:proofErr w:type="gramStart"/>
      <w:r w:rsidRPr="00D74C7F">
        <w:rPr>
          <w:rFonts w:cs="Arial"/>
          <w:sz w:val="22"/>
          <w:szCs w:val="22"/>
        </w:rPr>
        <w:t>is allowed</w:t>
      </w:r>
      <w:proofErr w:type="gramEnd"/>
      <w:r w:rsidRPr="00D74C7F">
        <w:rPr>
          <w:rFonts w:cs="Arial"/>
          <w:sz w:val="22"/>
          <w:szCs w:val="22"/>
        </w:rPr>
        <w:t>.</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Dangerous Substances</w:t>
      </w:r>
    </w:p>
    <w:p w:rsidR="00675F73" w:rsidRPr="00D74C7F" w:rsidRDefault="00675F73" w:rsidP="00675F73">
      <w:pPr>
        <w:spacing w:before="120" w:after="120"/>
        <w:ind w:left="360"/>
        <w:jc w:val="left"/>
        <w:rPr>
          <w:rFonts w:cs="Arial"/>
          <w:b/>
          <w:sz w:val="22"/>
          <w:szCs w:val="22"/>
        </w:rPr>
      </w:pPr>
      <w:r w:rsidRPr="00D74C7F">
        <w:rPr>
          <w:rFonts w:cs="Arial"/>
          <w:sz w:val="22"/>
          <w:szCs w:val="22"/>
        </w:rPr>
        <w:t xml:space="preserve">The contractor must take all recommended safety precautions when handling or using toxic, inflammable or any other dangerous substances and keep securely stored when not in use. Remove empty containers from site and dispose of in accordance with the </w:t>
      </w:r>
      <w:r w:rsidRPr="00D74C7F">
        <w:rPr>
          <w:rFonts w:cs="Arial"/>
          <w:b/>
          <w:sz w:val="22"/>
          <w:szCs w:val="22"/>
        </w:rPr>
        <w:t>Environmental Protection Act 1990.</w:t>
      </w:r>
    </w:p>
    <w:p w:rsidR="00675F73" w:rsidRPr="00D74C7F" w:rsidRDefault="00675F73" w:rsidP="00675F73">
      <w:pPr>
        <w:spacing w:before="120" w:after="120"/>
        <w:ind w:left="360"/>
        <w:jc w:val="left"/>
        <w:rPr>
          <w:rFonts w:cs="Arial"/>
          <w:sz w:val="22"/>
          <w:szCs w:val="22"/>
        </w:rPr>
      </w:pPr>
      <w:r w:rsidRPr="00D74C7F">
        <w:rPr>
          <w:rFonts w:cs="Arial"/>
          <w:sz w:val="22"/>
          <w:szCs w:val="22"/>
        </w:rPr>
        <w:lastRenderedPageBreak/>
        <w:t xml:space="preserve">The contractor must undertake all risk assessments in accordance with </w:t>
      </w:r>
      <w:r w:rsidRPr="00D74C7F">
        <w:rPr>
          <w:rFonts w:cs="Arial"/>
          <w:b/>
          <w:sz w:val="22"/>
          <w:szCs w:val="22"/>
        </w:rPr>
        <w:t xml:space="preserve">Control of Substances Hazardous to Health Regulations 1994 </w:t>
      </w:r>
      <w:proofErr w:type="spellStart"/>
      <w:r w:rsidRPr="00D74C7F">
        <w:rPr>
          <w:rFonts w:cs="Arial"/>
          <w:b/>
          <w:sz w:val="22"/>
          <w:szCs w:val="22"/>
        </w:rPr>
        <w:t>COSHH</w:t>
      </w:r>
      <w:proofErr w:type="spellEnd"/>
      <w:r w:rsidRPr="00D74C7F">
        <w:rPr>
          <w:rFonts w:cs="Arial"/>
          <w:b/>
          <w:sz w:val="22"/>
          <w:szCs w:val="22"/>
        </w:rPr>
        <w:t>.</w:t>
      </w:r>
      <w:r w:rsidRPr="00D74C7F">
        <w:rPr>
          <w:rFonts w:cs="Arial"/>
          <w:sz w:val="22"/>
          <w:szCs w:val="22"/>
        </w:rPr>
        <w:t xml:space="preserve"> Prior to using any dangerous substance.</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All operatives who will undertake spraying of chemicals must have a valid certificate of competence in accordance with </w:t>
      </w:r>
      <w:r w:rsidRPr="00D74C7F">
        <w:rPr>
          <w:rFonts w:cs="Arial"/>
          <w:b/>
          <w:sz w:val="22"/>
          <w:szCs w:val="22"/>
        </w:rPr>
        <w:t>The Food and Environmental Protection Act 1985 [FEPA] and The Control and Pesticides Regulations 1986</w:t>
      </w:r>
      <w:proofErr w:type="gramStart"/>
      <w:r w:rsidRPr="00D74C7F">
        <w:rPr>
          <w:rFonts w:cs="Arial"/>
          <w:b/>
          <w:sz w:val="22"/>
          <w:szCs w:val="22"/>
        </w:rPr>
        <w:t>.[</w:t>
      </w:r>
      <w:proofErr w:type="spellStart"/>
      <w:proofErr w:type="gramEnd"/>
      <w:r w:rsidRPr="00D74C7F">
        <w:rPr>
          <w:rFonts w:cs="Arial"/>
          <w:b/>
          <w:sz w:val="22"/>
          <w:szCs w:val="22"/>
        </w:rPr>
        <w:t>COPR</w:t>
      </w:r>
      <w:proofErr w:type="spellEnd"/>
      <w:r w:rsidRPr="00D74C7F">
        <w:rPr>
          <w:rFonts w:cs="Arial"/>
          <w:b/>
          <w:sz w:val="22"/>
          <w:szCs w:val="22"/>
        </w:rPr>
        <w:t>]</w:t>
      </w:r>
      <w:r w:rsidRPr="00D74C7F">
        <w:rPr>
          <w:rFonts w:cs="Arial"/>
          <w:sz w:val="22"/>
          <w:szCs w:val="22"/>
        </w:rPr>
        <w:t xml:space="preserve"> This must be produced to the Estates Manager prior to any spraying being undertaken</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A full list of all Herbicides or Pesticides to </w:t>
      </w:r>
      <w:proofErr w:type="gramStart"/>
      <w:r w:rsidRPr="00D74C7F">
        <w:rPr>
          <w:rFonts w:cs="Arial"/>
          <w:sz w:val="22"/>
          <w:szCs w:val="22"/>
        </w:rPr>
        <w:t>be used</w:t>
      </w:r>
      <w:proofErr w:type="gramEnd"/>
      <w:r w:rsidRPr="00D74C7F">
        <w:rPr>
          <w:rFonts w:cs="Arial"/>
          <w:sz w:val="22"/>
          <w:szCs w:val="22"/>
        </w:rPr>
        <w:t xml:space="preserve"> must be submitted in writing for approval to the Estates Manager 7days prior to use, together with all relevant risk assessments.</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Health and Safety:</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It is the responsibility of the contractor to ensure that adequate Health and Safety training </w:t>
      </w:r>
      <w:proofErr w:type="gramStart"/>
      <w:r w:rsidRPr="00D74C7F">
        <w:rPr>
          <w:rFonts w:cs="Arial"/>
          <w:sz w:val="22"/>
          <w:szCs w:val="22"/>
        </w:rPr>
        <w:t>is provided</w:t>
      </w:r>
      <w:proofErr w:type="gramEnd"/>
      <w:r w:rsidRPr="00D74C7F">
        <w:rPr>
          <w:rFonts w:cs="Arial"/>
          <w:sz w:val="22"/>
          <w:szCs w:val="22"/>
        </w:rPr>
        <w:t xml:space="preserve"> to their staff and all necessary risk assessments are undertaken in accordance with current legislation.</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spacing w:before="120" w:after="120"/>
        <w:ind w:left="360"/>
        <w:jc w:val="left"/>
        <w:rPr>
          <w:rFonts w:cs="Arial"/>
          <w:i/>
          <w:sz w:val="22"/>
          <w:szCs w:val="22"/>
        </w:rPr>
      </w:pPr>
      <w:r w:rsidRPr="00D74C7F">
        <w:rPr>
          <w:rFonts w:cs="Arial"/>
          <w:i/>
          <w:sz w:val="22"/>
          <w:szCs w:val="22"/>
        </w:rPr>
        <w:t>Temporary Works:</w:t>
      </w:r>
    </w:p>
    <w:p w:rsidR="00675F73" w:rsidRPr="00D74C7F" w:rsidRDefault="00675F73" w:rsidP="00675F73">
      <w:pPr>
        <w:spacing w:before="120" w:after="120"/>
        <w:ind w:left="360"/>
        <w:jc w:val="left"/>
        <w:rPr>
          <w:rFonts w:cs="Arial"/>
          <w:sz w:val="22"/>
          <w:szCs w:val="22"/>
        </w:rPr>
      </w:pPr>
      <w:r w:rsidRPr="00D74C7F">
        <w:rPr>
          <w:rFonts w:cs="Arial"/>
          <w:sz w:val="22"/>
          <w:szCs w:val="22"/>
        </w:rPr>
        <w:t>The contractor must inform the Estates Manager of the intended siting of any spoil heaps, temporary works and services.</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Permanent roads, hard standing and footpaths on the various sites </w:t>
      </w:r>
      <w:proofErr w:type="gramStart"/>
      <w:r w:rsidRPr="00D74C7F">
        <w:rPr>
          <w:rFonts w:cs="Arial"/>
          <w:sz w:val="22"/>
          <w:szCs w:val="22"/>
        </w:rPr>
        <w:t>may be used</w:t>
      </w:r>
      <w:proofErr w:type="gramEnd"/>
      <w:r w:rsidRPr="00D74C7F">
        <w:rPr>
          <w:rFonts w:cs="Arial"/>
          <w:sz w:val="22"/>
          <w:szCs w:val="22"/>
        </w:rPr>
        <w:t xml:space="preserve"> providing that they are adequately maintained and left thoroughly clean and unimpaired condition.</w:t>
      </w:r>
    </w:p>
    <w:p w:rsidR="00675F73" w:rsidRPr="00D74C7F" w:rsidRDefault="00675F73" w:rsidP="00675F73">
      <w:pPr>
        <w:spacing w:before="120" w:after="120"/>
        <w:ind w:left="360"/>
        <w:jc w:val="left"/>
        <w:rPr>
          <w:rFonts w:cs="Arial"/>
          <w:sz w:val="22"/>
          <w:szCs w:val="22"/>
        </w:rPr>
      </w:pPr>
      <w:r w:rsidRPr="00D74C7F">
        <w:rPr>
          <w:rFonts w:cs="Arial"/>
          <w:sz w:val="22"/>
          <w:szCs w:val="22"/>
        </w:rPr>
        <w:t xml:space="preserve">Provide all temporary fencing, footpaths, walkways, </w:t>
      </w:r>
      <w:proofErr w:type="gramStart"/>
      <w:r w:rsidRPr="00D74C7F">
        <w:rPr>
          <w:rFonts w:cs="Arial"/>
          <w:sz w:val="22"/>
          <w:szCs w:val="22"/>
        </w:rPr>
        <w:t>guard rails</w:t>
      </w:r>
      <w:proofErr w:type="gramEnd"/>
      <w:r w:rsidRPr="00D74C7F">
        <w:rPr>
          <w:rFonts w:cs="Arial"/>
          <w:sz w:val="22"/>
          <w:szCs w:val="22"/>
        </w:rPr>
        <w:t xml:space="preserve"> and the like as may be necessary for protecting clients, staff and visitors and the general public, for the proper execution of the works to be undertaken and for meeting the requirements of any local or other authority</w:t>
      </w:r>
    </w:p>
    <w:p w:rsidR="00675F73" w:rsidRPr="00D74C7F" w:rsidRDefault="00675F73" w:rsidP="00675F73">
      <w:pPr>
        <w:spacing w:before="120" w:after="120"/>
        <w:ind w:left="360"/>
        <w:jc w:val="left"/>
        <w:rPr>
          <w:rFonts w:cs="Arial"/>
          <w:sz w:val="22"/>
          <w:szCs w:val="22"/>
        </w:rPr>
      </w:pPr>
    </w:p>
    <w:p w:rsidR="00675F73" w:rsidRPr="00D74C7F" w:rsidRDefault="00675F73" w:rsidP="00675F73">
      <w:pPr>
        <w:pStyle w:val="BodyText"/>
        <w:spacing w:before="120"/>
        <w:ind w:left="360"/>
        <w:jc w:val="left"/>
        <w:rPr>
          <w:rFonts w:cs="Arial"/>
          <w:i/>
          <w:sz w:val="22"/>
          <w:szCs w:val="22"/>
        </w:rPr>
      </w:pPr>
      <w:proofErr w:type="gramStart"/>
      <w:r w:rsidRPr="00D74C7F">
        <w:rPr>
          <w:rFonts w:cs="Arial"/>
          <w:i/>
          <w:sz w:val="22"/>
          <w:szCs w:val="22"/>
        </w:rPr>
        <w:t>Manufacturer’s</w:t>
      </w:r>
      <w:proofErr w:type="gramEnd"/>
      <w:r w:rsidRPr="00D74C7F">
        <w:rPr>
          <w:rFonts w:cs="Arial"/>
          <w:i/>
          <w:sz w:val="22"/>
          <w:szCs w:val="22"/>
        </w:rPr>
        <w:t xml:space="preserve"> Recommendation’s:</w:t>
      </w:r>
    </w:p>
    <w:p w:rsidR="00675F73" w:rsidRPr="00D74C7F" w:rsidRDefault="00675F73" w:rsidP="00675F73">
      <w:pPr>
        <w:pStyle w:val="BodyText"/>
        <w:spacing w:before="120"/>
        <w:ind w:left="360"/>
        <w:jc w:val="left"/>
        <w:rPr>
          <w:rFonts w:cs="Arial"/>
          <w:sz w:val="22"/>
          <w:szCs w:val="22"/>
        </w:rPr>
      </w:pPr>
      <w:r w:rsidRPr="00D74C7F">
        <w:rPr>
          <w:rFonts w:cs="Arial"/>
          <w:sz w:val="22"/>
          <w:szCs w:val="22"/>
        </w:rPr>
        <w:t xml:space="preserve">Handle, store, prepare and apply each product in accordance with manufacturer’s printed or written recommendations / instructions. Inform the Trust if </w:t>
      </w:r>
      <w:proofErr w:type="gramStart"/>
      <w:r w:rsidRPr="00D74C7F">
        <w:rPr>
          <w:rFonts w:cs="Arial"/>
          <w:sz w:val="22"/>
          <w:szCs w:val="22"/>
        </w:rPr>
        <w:t>these conflict</w:t>
      </w:r>
      <w:proofErr w:type="gramEnd"/>
      <w:r w:rsidRPr="00D74C7F">
        <w:rPr>
          <w:rFonts w:cs="Arial"/>
          <w:sz w:val="22"/>
          <w:szCs w:val="22"/>
        </w:rPr>
        <w:t xml:space="preserve"> with any other specified requirement and submit copies to the Trust when requested.</w:t>
      </w:r>
    </w:p>
    <w:p w:rsidR="00675F73" w:rsidRPr="00D74C7F" w:rsidRDefault="00675F73" w:rsidP="00675F73">
      <w:pPr>
        <w:pStyle w:val="BodyText"/>
        <w:spacing w:before="120"/>
        <w:jc w:val="left"/>
        <w:rPr>
          <w:rFonts w:cs="Arial"/>
          <w:sz w:val="22"/>
          <w:szCs w:val="22"/>
        </w:rPr>
      </w:pPr>
    </w:p>
    <w:p w:rsidR="00675F73" w:rsidRPr="00D74C7F" w:rsidRDefault="00675F73" w:rsidP="00675F73">
      <w:pPr>
        <w:pStyle w:val="BodyText"/>
        <w:spacing w:before="120"/>
        <w:ind w:left="360"/>
        <w:jc w:val="left"/>
        <w:rPr>
          <w:rFonts w:cs="Arial"/>
          <w:i/>
          <w:sz w:val="22"/>
          <w:szCs w:val="22"/>
        </w:rPr>
      </w:pPr>
      <w:r>
        <w:rPr>
          <w:rFonts w:cs="Arial"/>
          <w:i/>
          <w:sz w:val="22"/>
          <w:szCs w:val="22"/>
        </w:rPr>
        <w:t>Product</w:t>
      </w:r>
      <w:r w:rsidRPr="00D74C7F">
        <w:rPr>
          <w:rFonts w:cs="Arial"/>
          <w:i/>
          <w:sz w:val="22"/>
          <w:szCs w:val="22"/>
        </w:rPr>
        <w:t xml:space="preserve"> Sources:</w:t>
      </w:r>
    </w:p>
    <w:p w:rsidR="00675F73" w:rsidRPr="00D74C7F" w:rsidRDefault="00675F73" w:rsidP="00675F73">
      <w:pPr>
        <w:pStyle w:val="BodyText"/>
        <w:spacing w:before="120"/>
        <w:ind w:left="360"/>
        <w:jc w:val="left"/>
        <w:rPr>
          <w:rFonts w:cs="Arial"/>
          <w:sz w:val="22"/>
          <w:szCs w:val="22"/>
        </w:rPr>
      </w:pPr>
      <w:r w:rsidRPr="00D74C7F">
        <w:rPr>
          <w:rFonts w:cs="Arial"/>
          <w:sz w:val="22"/>
          <w:szCs w:val="22"/>
        </w:rPr>
        <w:t>Where a choice of manufacturer or source of supply is allowed for any particular product or material, the whole quantity required to complete the work must be of the same type, manufacturer and | or source Do not change without approval.</w:t>
      </w:r>
    </w:p>
    <w:p w:rsidR="00675F73" w:rsidRPr="00D74C7F" w:rsidRDefault="00675F73" w:rsidP="00675F73">
      <w:pPr>
        <w:pStyle w:val="BodyText"/>
        <w:spacing w:before="120"/>
        <w:ind w:left="360"/>
        <w:jc w:val="left"/>
        <w:rPr>
          <w:rFonts w:cs="Arial"/>
          <w:sz w:val="22"/>
          <w:szCs w:val="22"/>
        </w:rPr>
      </w:pPr>
    </w:p>
    <w:p w:rsidR="00675F73" w:rsidRPr="00D74C7F" w:rsidRDefault="00675F73" w:rsidP="00675F73">
      <w:pPr>
        <w:pStyle w:val="BodyText"/>
        <w:spacing w:before="120"/>
        <w:ind w:left="360"/>
        <w:jc w:val="left"/>
        <w:rPr>
          <w:rFonts w:cs="Arial"/>
          <w:i/>
          <w:sz w:val="22"/>
          <w:szCs w:val="22"/>
        </w:rPr>
      </w:pPr>
      <w:r w:rsidRPr="00D74C7F">
        <w:rPr>
          <w:rFonts w:cs="Arial"/>
          <w:i/>
          <w:sz w:val="22"/>
          <w:szCs w:val="22"/>
        </w:rPr>
        <w:t>Samples:</w:t>
      </w:r>
    </w:p>
    <w:p w:rsidR="00675F73" w:rsidRDefault="00675F73" w:rsidP="00675F73">
      <w:pPr>
        <w:pStyle w:val="BodyText"/>
        <w:spacing w:before="120"/>
        <w:ind w:left="360"/>
        <w:jc w:val="left"/>
        <w:rPr>
          <w:rFonts w:cs="Arial"/>
          <w:sz w:val="22"/>
          <w:szCs w:val="22"/>
        </w:rPr>
      </w:pPr>
      <w:r w:rsidRPr="00D74C7F">
        <w:rPr>
          <w:rFonts w:cs="Arial"/>
          <w:sz w:val="22"/>
          <w:szCs w:val="22"/>
        </w:rPr>
        <w:t xml:space="preserve">Where approval of products or materials is </w:t>
      </w:r>
      <w:proofErr w:type="gramStart"/>
      <w:r w:rsidRPr="00D74C7F">
        <w:rPr>
          <w:rFonts w:cs="Arial"/>
          <w:sz w:val="22"/>
          <w:szCs w:val="22"/>
        </w:rPr>
        <w:t>specified</w:t>
      </w:r>
      <w:proofErr w:type="gramEnd"/>
      <w:r w:rsidRPr="00D74C7F">
        <w:rPr>
          <w:rFonts w:cs="Arial"/>
          <w:sz w:val="22"/>
          <w:szCs w:val="22"/>
        </w:rPr>
        <w:t xml:space="preserve"> submit samples or other evidence of suitability. Do not confirm orders or use materials until approval </w:t>
      </w:r>
      <w:proofErr w:type="gramStart"/>
      <w:r w:rsidRPr="00D74C7F">
        <w:rPr>
          <w:rFonts w:cs="Arial"/>
          <w:sz w:val="22"/>
          <w:szCs w:val="22"/>
        </w:rPr>
        <w:t>has been obtained</w:t>
      </w:r>
      <w:proofErr w:type="gramEnd"/>
      <w:r w:rsidRPr="00D74C7F">
        <w:rPr>
          <w:rFonts w:cs="Arial"/>
          <w:sz w:val="22"/>
          <w:szCs w:val="22"/>
        </w:rPr>
        <w:t>.  Retain approved samples on site for comparison with products and materials used in the Works.</w:t>
      </w:r>
    </w:p>
    <w:p w:rsidR="00675F73" w:rsidRDefault="00675F73" w:rsidP="00675F73">
      <w:pPr>
        <w:pStyle w:val="BodyText"/>
        <w:spacing w:before="120"/>
        <w:ind w:left="360"/>
        <w:jc w:val="left"/>
        <w:rPr>
          <w:rFonts w:cs="Arial"/>
          <w:sz w:val="22"/>
          <w:szCs w:val="22"/>
        </w:rPr>
      </w:pPr>
    </w:p>
    <w:p w:rsidR="00675F73" w:rsidRDefault="00675F73" w:rsidP="00675F73">
      <w:pPr>
        <w:pStyle w:val="BodyText"/>
        <w:spacing w:before="120"/>
        <w:ind w:left="360"/>
        <w:jc w:val="left"/>
        <w:rPr>
          <w:rFonts w:cs="Arial"/>
          <w:sz w:val="22"/>
          <w:szCs w:val="22"/>
        </w:rPr>
      </w:pPr>
    </w:p>
    <w:p w:rsidR="00675F73" w:rsidRDefault="00675F73" w:rsidP="00675F73">
      <w:pPr>
        <w:pStyle w:val="BodyText"/>
        <w:spacing w:before="120"/>
        <w:ind w:left="360"/>
        <w:jc w:val="left"/>
        <w:rPr>
          <w:rFonts w:cs="Arial"/>
          <w:sz w:val="22"/>
          <w:szCs w:val="22"/>
        </w:rPr>
      </w:pPr>
    </w:p>
    <w:p w:rsidR="00675F73" w:rsidRPr="00D74C7F" w:rsidRDefault="00675F73" w:rsidP="00675F73">
      <w:pPr>
        <w:pStyle w:val="BodyText"/>
        <w:spacing w:before="120"/>
        <w:ind w:left="360"/>
        <w:jc w:val="left"/>
        <w:rPr>
          <w:rFonts w:cs="Arial"/>
          <w:sz w:val="22"/>
          <w:szCs w:val="22"/>
        </w:rPr>
      </w:pPr>
    </w:p>
    <w:p w:rsidR="00675F73" w:rsidRPr="00D74C7F" w:rsidRDefault="00675F73" w:rsidP="00675F73">
      <w:pPr>
        <w:pStyle w:val="BodyText"/>
        <w:spacing w:before="120"/>
        <w:jc w:val="left"/>
        <w:rPr>
          <w:rFonts w:cs="Arial"/>
          <w:sz w:val="22"/>
          <w:szCs w:val="22"/>
        </w:rPr>
      </w:pPr>
    </w:p>
    <w:p w:rsidR="00675F73" w:rsidRDefault="00675F73" w:rsidP="00675F73">
      <w:pPr>
        <w:pStyle w:val="BodyText"/>
        <w:numPr>
          <w:ilvl w:val="0"/>
          <w:numId w:val="1"/>
        </w:numPr>
        <w:overflowPunct w:val="0"/>
        <w:autoSpaceDE w:val="0"/>
        <w:autoSpaceDN w:val="0"/>
        <w:adjustRightInd w:val="0"/>
        <w:spacing w:before="120"/>
        <w:jc w:val="left"/>
        <w:textAlignment w:val="baseline"/>
        <w:rPr>
          <w:rFonts w:cs="Arial"/>
          <w:b/>
          <w:sz w:val="22"/>
          <w:szCs w:val="22"/>
          <w:u w:val="single"/>
        </w:rPr>
      </w:pPr>
      <w:r w:rsidRPr="00D45693">
        <w:rPr>
          <w:rFonts w:cs="Arial"/>
          <w:b/>
          <w:sz w:val="22"/>
          <w:szCs w:val="22"/>
        </w:rPr>
        <w:t xml:space="preserve"> </w:t>
      </w:r>
      <w:r w:rsidRPr="00D74C7F">
        <w:rPr>
          <w:rFonts w:cs="Arial"/>
          <w:b/>
          <w:sz w:val="22"/>
          <w:szCs w:val="22"/>
          <w:u w:val="single"/>
        </w:rPr>
        <w:t>Staff</w:t>
      </w:r>
    </w:p>
    <w:p w:rsidR="00675F73" w:rsidRPr="00D74C7F" w:rsidRDefault="00675F73" w:rsidP="00675F73">
      <w:pPr>
        <w:pStyle w:val="BodyText"/>
        <w:spacing w:before="120"/>
        <w:ind w:left="360"/>
        <w:jc w:val="left"/>
        <w:rPr>
          <w:rFonts w:cs="Arial"/>
          <w:b/>
          <w:sz w:val="22"/>
          <w:szCs w:val="22"/>
          <w:u w:val="single"/>
        </w:rPr>
      </w:pPr>
    </w:p>
    <w:p w:rsidR="00675F73" w:rsidRPr="00D74C7F" w:rsidRDefault="00675F73" w:rsidP="00675F73">
      <w:pPr>
        <w:pStyle w:val="BodyText"/>
        <w:spacing w:before="120"/>
        <w:ind w:left="360"/>
        <w:jc w:val="left"/>
        <w:rPr>
          <w:rFonts w:cs="Arial"/>
          <w:sz w:val="22"/>
          <w:szCs w:val="22"/>
        </w:rPr>
      </w:pPr>
      <w:r w:rsidRPr="00D74C7F">
        <w:rPr>
          <w:rFonts w:cs="Arial"/>
          <w:sz w:val="22"/>
          <w:szCs w:val="22"/>
        </w:rPr>
        <w:t xml:space="preserve">The contractor must employ sufficient staff to ensure that the </w:t>
      </w:r>
      <w:r>
        <w:rPr>
          <w:rFonts w:cs="Arial"/>
          <w:sz w:val="22"/>
          <w:szCs w:val="22"/>
        </w:rPr>
        <w:t>water hygiene</w:t>
      </w:r>
      <w:r w:rsidRPr="00D74C7F">
        <w:rPr>
          <w:rFonts w:cs="Arial"/>
          <w:sz w:val="22"/>
          <w:szCs w:val="22"/>
        </w:rPr>
        <w:t xml:space="preserve"> service </w:t>
      </w:r>
      <w:proofErr w:type="gramStart"/>
      <w:r w:rsidRPr="00D74C7F">
        <w:rPr>
          <w:rFonts w:cs="Arial"/>
          <w:sz w:val="22"/>
          <w:szCs w:val="22"/>
        </w:rPr>
        <w:t>is provided</w:t>
      </w:r>
      <w:proofErr w:type="gramEnd"/>
      <w:r w:rsidRPr="00D74C7F">
        <w:rPr>
          <w:rFonts w:cs="Arial"/>
          <w:sz w:val="22"/>
          <w:szCs w:val="22"/>
        </w:rPr>
        <w:t xml:space="preserve"> in accordance with the specification. The contractor must ensure that a sufficient reserve of staff is available to provide the service during holidays or absences.</w:t>
      </w:r>
    </w:p>
    <w:p w:rsidR="00675F73" w:rsidRPr="00D74C7F" w:rsidRDefault="00675F73" w:rsidP="00675F73">
      <w:pPr>
        <w:pStyle w:val="BodyText"/>
        <w:spacing w:before="120"/>
        <w:ind w:left="360"/>
        <w:jc w:val="left"/>
        <w:rPr>
          <w:rFonts w:cs="Arial"/>
          <w:sz w:val="22"/>
          <w:szCs w:val="22"/>
        </w:rPr>
      </w:pPr>
      <w:r w:rsidRPr="00D74C7F">
        <w:rPr>
          <w:rFonts w:cs="Arial"/>
          <w:sz w:val="22"/>
          <w:szCs w:val="22"/>
        </w:rPr>
        <w:t xml:space="preserve">The contractor must employ for the purpose of </w:t>
      </w:r>
      <w:proofErr w:type="gramStart"/>
      <w:r w:rsidRPr="00D74C7F">
        <w:rPr>
          <w:rFonts w:cs="Arial"/>
          <w:sz w:val="22"/>
          <w:szCs w:val="22"/>
        </w:rPr>
        <w:t>this</w:t>
      </w:r>
      <w:proofErr w:type="gramEnd"/>
      <w:r w:rsidRPr="00D74C7F">
        <w:rPr>
          <w:rFonts w:cs="Arial"/>
          <w:sz w:val="22"/>
          <w:szCs w:val="22"/>
        </w:rPr>
        <w:t xml:space="preserve"> contract staff who are, skilled and experienced in the duties required of them and must ensure that every person is properly and sufficiently trained and instructed and carry out the tasks with regard to:</w:t>
      </w:r>
    </w:p>
    <w:p w:rsidR="00675F73" w:rsidRPr="00D74C7F"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sz w:val="22"/>
          <w:szCs w:val="22"/>
        </w:rPr>
      </w:pPr>
      <w:r w:rsidRPr="00D74C7F">
        <w:rPr>
          <w:rFonts w:cs="Arial"/>
          <w:sz w:val="22"/>
          <w:szCs w:val="22"/>
        </w:rPr>
        <w:t>The task that person has to perform</w:t>
      </w:r>
    </w:p>
    <w:p w:rsidR="00675F73" w:rsidRPr="00D74C7F"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sz w:val="22"/>
          <w:szCs w:val="22"/>
        </w:rPr>
      </w:pPr>
      <w:r w:rsidRPr="00D74C7F">
        <w:rPr>
          <w:rFonts w:cs="Arial"/>
          <w:sz w:val="22"/>
          <w:szCs w:val="22"/>
        </w:rPr>
        <w:t xml:space="preserve">The requirements of </w:t>
      </w:r>
      <w:r w:rsidRPr="00D74C7F">
        <w:rPr>
          <w:rFonts w:cs="Arial"/>
          <w:b/>
          <w:sz w:val="22"/>
          <w:szCs w:val="22"/>
        </w:rPr>
        <w:t>Health and Safety at Work Act 1974</w:t>
      </w:r>
      <w:r w:rsidRPr="00D74C7F">
        <w:rPr>
          <w:rFonts w:cs="Arial"/>
          <w:sz w:val="22"/>
          <w:szCs w:val="22"/>
        </w:rPr>
        <w:t xml:space="preserve"> and all other relevant legislation and Codes of Practice applicable to the </w:t>
      </w:r>
      <w:r>
        <w:rPr>
          <w:rFonts w:cs="Arial"/>
          <w:sz w:val="22"/>
          <w:szCs w:val="22"/>
        </w:rPr>
        <w:t>water hygiene</w:t>
      </w:r>
      <w:r w:rsidRPr="00D74C7F">
        <w:rPr>
          <w:rFonts w:cs="Arial"/>
          <w:sz w:val="22"/>
          <w:szCs w:val="22"/>
        </w:rPr>
        <w:t xml:space="preserve"> industry.</w:t>
      </w:r>
    </w:p>
    <w:p w:rsidR="00675F73" w:rsidRPr="00D74C7F" w:rsidRDefault="00675F73" w:rsidP="00675F73">
      <w:pPr>
        <w:pStyle w:val="BodyText"/>
        <w:numPr>
          <w:ilvl w:val="0"/>
          <w:numId w:val="2"/>
        </w:numPr>
        <w:overflowPunct w:val="0"/>
        <w:autoSpaceDE w:val="0"/>
        <w:autoSpaceDN w:val="0"/>
        <w:adjustRightInd w:val="0"/>
        <w:spacing w:before="120"/>
        <w:ind w:left="709" w:hanging="283"/>
        <w:jc w:val="left"/>
        <w:textAlignment w:val="baseline"/>
        <w:rPr>
          <w:rFonts w:cs="Arial"/>
          <w:sz w:val="22"/>
          <w:szCs w:val="22"/>
        </w:rPr>
      </w:pPr>
      <w:r w:rsidRPr="00D74C7F">
        <w:rPr>
          <w:rFonts w:cs="Arial"/>
          <w:sz w:val="22"/>
          <w:szCs w:val="22"/>
        </w:rPr>
        <w:t>To be fully trained and competent in the safe use of tools, machinery and equipment and where necessary are suitably qualified</w:t>
      </w:r>
    </w:p>
    <w:p w:rsidR="00675F73" w:rsidRPr="000203BD" w:rsidRDefault="00675F73" w:rsidP="00675F73">
      <w:pPr>
        <w:pStyle w:val="BodyText"/>
        <w:spacing w:before="120"/>
        <w:ind w:firstLine="360"/>
        <w:jc w:val="left"/>
        <w:rPr>
          <w:rFonts w:cs="Arial"/>
          <w:b/>
          <w:sz w:val="22"/>
          <w:szCs w:val="22"/>
        </w:rPr>
      </w:pPr>
      <w:r w:rsidRPr="000203BD">
        <w:rPr>
          <w:rFonts w:cs="Arial"/>
          <w:b/>
          <w:sz w:val="22"/>
          <w:szCs w:val="22"/>
        </w:rPr>
        <w:t>Code of Conduct of Staff:</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Be polite, courteous, </w:t>
      </w:r>
      <w:proofErr w:type="gramStart"/>
      <w:r w:rsidRPr="00D74C7F">
        <w:rPr>
          <w:rFonts w:cs="Arial"/>
          <w:sz w:val="22"/>
          <w:szCs w:val="22"/>
        </w:rPr>
        <w:t>helpful</w:t>
      </w:r>
      <w:proofErr w:type="gramEnd"/>
      <w:r w:rsidRPr="00D74C7F">
        <w:rPr>
          <w:rFonts w:cs="Arial"/>
          <w:sz w:val="22"/>
          <w:szCs w:val="22"/>
        </w:rPr>
        <w:t xml:space="preserve"> and promote a professional image to clients, staff and visitors at all times.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Wear full </w:t>
      </w:r>
      <w:r>
        <w:rPr>
          <w:rFonts w:cs="Arial"/>
          <w:sz w:val="22"/>
          <w:szCs w:val="22"/>
        </w:rPr>
        <w:t>Supplier</w:t>
      </w:r>
      <w:r w:rsidRPr="00D74C7F">
        <w:rPr>
          <w:rFonts w:cs="Arial"/>
          <w:sz w:val="22"/>
          <w:szCs w:val="22"/>
        </w:rPr>
        <w:t xml:space="preserve"> uniform at all times. External clothing should carry visible reference to company name and service provided.</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Must display a clean and tidy appearance, hair must be clean and tidy.</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Not to commence work smelling of alcohol. Whilst on the Trust's sites the consumption of alcohol </w:t>
      </w:r>
      <w:proofErr w:type="gramStart"/>
      <w:r w:rsidRPr="00D74C7F">
        <w:rPr>
          <w:rFonts w:cs="Arial"/>
          <w:sz w:val="22"/>
          <w:szCs w:val="22"/>
        </w:rPr>
        <w:t>is not permitted</w:t>
      </w:r>
      <w:proofErr w:type="gramEnd"/>
      <w:r w:rsidRPr="00D74C7F">
        <w:rPr>
          <w:rFonts w:cs="Arial"/>
          <w:sz w:val="22"/>
          <w:szCs w:val="22"/>
        </w:rPr>
        <w:t>.</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Smoking within the site grounds or any building </w:t>
      </w:r>
      <w:proofErr w:type="gramStart"/>
      <w:r w:rsidRPr="00D74C7F">
        <w:rPr>
          <w:rFonts w:cs="Arial"/>
          <w:sz w:val="22"/>
          <w:szCs w:val="22"/>
        </w:rPr>
        <w:t>is not permitted</w:t>
      </w:r>
      <w:proofErr w:type="gramEnd"/>
      <w:r w:rsidRPr="00D74C7F">
        <w:rPr>
          <w:rFonts w:cs="Arial"/>
          <w:sz w:val="22"/>
          <w:szCs w:val="22"/>
        </w:rPr>
        <w:t>.</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Not to remove from any site keys belonging to the Trust. </w:t>
      </w:r>
      <w:proofErr w:type="gramStart"/>
      <w:r w:rsidRPr="00D74C7F">
        <w:rPr>
          <w:rFonts w:cs="Arial"/>
          <w:sz w:val="22"/>
          <w:szCs w:val="22"/>
        </w:rPr>
        <w:t>Keys which are given to the contractor for use on any site</w:t>
      </w:r>
      <w:proofErr w:type="gramEnd"/>
      <w:r w:rsidRPr="00D74C7F">
        <w:rPr>
          <w:rFonts w:cs="Arial"/>
          <w:sz w:val="22"/>
          <w:szCs w:val="22"/>
        </w:rPr>
        <w:t xml:space="preserve"> are to be handed in at the end of their work period. No copies of keys </w:t>
      </w:r>
      <w:proofErr w:type="gramStart"/>
      <w:r w:rsidRPr="00D74C7F">
        <w:rPr>
          <w:rFonts w:cs="Arial"/>
          <w:sz w:val="22"/>
          <w:szCs w:val="22"/>
        </w:rPr>
        <w:t>may be made</w:t>
      </w:r>
      <w:proofErr w:type="gramEnd"/>
      <w:r w:rsidRPr="00D74C7F">
        <w:rPr>
          <w:rFonts w:cs="Arial"/>
          <w:sz w:val="22"/>
          <w:szCs w:val="22"/>
        </w:rPr>
        <w:t xml:space="preserve"> without the expressed permission of the Trust’s Operational Estates Manager.</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Refrain from fraternising with clients, staff or visitors.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 xml:space="preserve">Any kind of harassment of clients, staff or visitors </w:t>
      </w:r>
      <w:proofErr w:type="gramStart"/>
      <w:r w:rsidRPr="00D74C7F">
        <w:rPr>
          <w:rFonts w:cs="Arial"/>
          <w:sz w:val="22"/>
          <w:szCs w:val="22"/>
        </w:rPr>
        <w:t>will not be tolerated</w:t>
      </w:r>
      <w:proofErr w:type="gramEnd"/>
      <w:r w:rsidRPr="00D74C7F">
        <w:rPr>
          <w:rFonts w:cs="Arial"/>
          <w:sz w:val="22"/>
          <w:szCs w:val="22"/>
        </w:rPr>
        <w:t>, even if meant in fun.</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Not to bring or give drugs, tobacco products, lighters, matches or alcohol to anyone or pass these on to a client by any means.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Not to give money to anyone.</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Record on your Activity work sheet any approach made by clients, staff or visitors, which have security implications</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Report any approach by anyone to the Estates Manager, who will pass the information to the appropriate personnel.</w:t>
      </w:r>
    </w:p>
    <w:p w:rsidR="00675F73" w:rsidRPr="00D74C7F" w:rsidRDefault="00675F73" w:rsidP="00675F73">
      <w:pPr>
        <w:pStyle w:val="BodyText"/>
        <w:numPr>
          <w:ilvl w:val="0"/>
          <w:numId w:val="3"/>
        </w:numPr>
        <w:overflowPunct w:val="0"/>
        <w:autoSpaceDE w:val="0"/>
        <w:autoSpaceDN w:val="0"/>
        <w:adjustRightInd w:val="0"/>
        <w:spacing w:before="120"/>
        <w:jc w:val="left"/>
        <w:textAlignment w:val="baseline"/>
        <w:rPr>
          <w:rFonts w:cs="Arial"/>
          <w:sz w:val="22"/>
          <w:szCs w:val="22"/>
        </w:rPr>
      </w:pPr>
      <w:r w:rsidRPr="00D74C7F">
        <w:rPr>
          <w:rFonts w:cs="Arial"/>
          <w:sz w:val="22"/>
          <w:szCs w:val="22"/>
        </w:rPr>
        <w:t>Be accountable for every item in the work area including, tools, equipment, machinery and debris. This is very important, as clients may use anything to harm themselves. This is especially important when working in or adjacent to occupied buildings.</w:t>
      </w:r>
    </w:p>
    <w:p w:rsidR="00675F73" w:rsidRPr="00D74C7F" w:rsidRDefault="00675F73" w:rsidP="00675F73">
      <w:pPr>
        <w:pStyle w:val="BodyText"/>
        <w:spacing w:before="120"/>
        <w:ind w:left="360"/>
        <w:jc w:val="left"/>
        <w:rPr>
          <w:rFonts w:cs="Arial"/>
          <w:sz w:val="22"/>
          <w:szCs w:val="22"/>
        </w:rPr>
      </w:pPr>
    </w:p>
    <w:p w:rsidR="00675F73" w:rsidRPr="00D74C7F"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 xml:space="preserve">Reporting Information </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It is envisaged that a formal review of performance and operational requirements will be undertaken once throughout the </w:t>
      </w:r>
      <w:proofErr w:type="gramStart"/>
      <w:r w:rsidRPr="00D74C7F">
        <w:rPr>
          <w:rFonts w:cs="Arial"/>
          <w:sz w:val="22"/>
          <w:szCs w:val="22"/>
        </w:rPr>
        <w:t>eight month</w:t>
      </w:r>
      <w:proofErr w:type="gramEnd"/>
      <w:r w:rsidRPr="00D74C7F">
        <w:rPr>
          <w:rFonts w:cs="Arial"/>
          <w:sz w:val="22"/>
          <w:szCs w:val="22"/>
        </w:rPr>
        <w:t xml:space="preserve"> period or as changes in the Trust's requirements occur.</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Monthly meetings with the Trust's Estates Manager and a Customer Representative form the Contractor are to be undertaken.</w:t>
      </w:r>
    </w:p>
    <w:p w:rsidR="00675F73" w:rsidRPr="00D74C7F" w:rsidRDefault="00675F73" w:rsidP="00675F73">
      <w:pPr>
        <w:pStyle w:val="Heading3"/>
        <w:keepNext/>
        <w:spacing w:before="240" w:after="60"/>
        <w:ind w:left="360"/>
        <w:jc w:val="left"/>
        <w:rPr>
          <w:rFonts w:cs="Arial"/>
          <w:b/>
          <w:sz w:val="22"/>
          <w:szCs w:val="22"/>
          <w:u w:val="single"/>
        </w:rPr>
      </w:pPr>
      <w:r w:rsidRPr="00D74C7F">
        <w:rPr>
          <w:rFonts w:cs="Arial"/>
          <w:sz w:val="22"/>
          <w:szCs w:val="22"/>
        </w:rPr>
        <w:t xml:space="preserve">The successful contractor will be required to submit </w:t>
      </w:r>
      <w:proofErr w:type="gramStart"/>
      <w:r w:rsidRPr="00D74C7F">
        <w:rPr>
          <w:rFonts w:cs="Arial"/>
          <w:sz w:val="22"/>
          <w:szCs w:val="22"/>
        </w:rPr>
        <w:t>activity monitoring</w:t>
      </w:r>
      <w:proofErr w:type="gramEnd"/>
      <w:r w:rsidRPr="00D74C7F">
        <w:rPr>
          <w:rFonts w:cs="Arial"/>
          <w:sz w:val="22"/>
          <w:szCs w:val="22"/>
        </w:rPr>
        <w:t xml:space="preserve"> sheets for each site </w:t>
      </w:r>
      <w:r w:rsidRPr="00D74C7F">
        <w:rPr>
          <w:rFonts w:cs="Arial"/>
          <w:b/>
          <w:sz w:val="22"/>
          <w:szCs w:val="22"/>
        </w:rPr>
        <w:t>[sheets will be provided by the Trust</w:t>
      </w:r>
      <w:r>
        <w:rPr>
          <w:rFonts w:cs="Arial"/>
          <w:sz w:val="22"/>
          <w:szCs w:val="22"/>
        </w:rPr>
        <w:t>] and a</w:t>
      </w:r>
      <w:r w:rsidRPr="00D74C7F">
        <w:rPr>
          <w:rFonts w:cs="Arial"/>
          <w:sz w:val="22"/>
          <w:szCs w:val="22"/>
        </w:rPr>
        <w:t xml:space="preserve"> programme of work to be undertaken at the various sites, divided into the four seasons, which gives a fully comprehensive plan of operations and tasks to be undertaken.</w:t>
      </w:r>
    </w:p>
    <w:p w:rsidR="00675F73" w:rsidRPr="00D74C7F"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Confidentiality</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 xml:space="preserve">In accordance with the provisions and principals of the </w:t>
      </w:r>
      <w:r w:rsidRPr="00D74C7F">
        <w:rPr>
          <w:rFonts w:cs="Arial"/>
          <w:b/>
          <w:sz w:val="22"/>
          <w:szCs w:val="22"/>
        </w:rPr>
        <w:t xml:space="preserve">Data Protection Act 1998. </w:t>
      </w:r>
      <w:r w:rsidRPr="00D74C7F">
        <w:rPr>
          <w:rFonts w:cs="Arial"/>
          <w:sz w:val="22"/>
          <w:szCs w:val="22"/>
        </w:rPr>
        <w:t>The contractor and its staff must not disclose to any person other than a person authorised by the Trust any information acquired by them in connection with the contract or any of the following elements:</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The Trust, Clients, Staff or Procedures.</w:t>
      </w:r>
    </w:p>
    <w:p w:rsidR="00675F73" w:rsidRPr="00D74C7F" w:rsidRDefault="00675F73" w:rsidP="00675F73">
      <w:pPr>
        <w:pStyle w:val="Heading3"/>
        <w:keepNext/>
        <w:spacing w:before="240" w:after="60"/>
        <w:ind w:left="360"/>
        <w:jc w:val="left"/>
        <w:rPr>
          <w:rFonts w:cs="Arial"/>
          <w:sz w:val="22"/>
          <w:szCs w:val="22"/>
        </w:rPr>
      </w:pPr>
      <w:r w:rsidRPr="00D74C7F">
        <w:rPr>
          <w:rFonts w:cs="Arial"/>
          <w:sz w:val="22"/>
          <w:szCs w:val="22"/>
        </w:rPr>
        <w:t>The identity of any client at any of the Trust’s sites or establishments.</w:t>
      </w:r>
    </w:p>
    <w:p w:rsidR="00675F73" w:rsidRDefault="00675F73" w:rsidP="00675F73">
      <w:pPr>
        <w:pStyle w:val="Heading3"/>
        <w:keepNext/>
        <w:spacing w:before="240" w:after="60"/>
        <w:ind w:left="360"/>
        <w:jc w:val="left"/>
        <w:rPr>
          <w:rFonts w:cs="Arial"/>
          <w:sz w:val="22"/>
          <w:szCs w:val="22"/>
        </w:rPr>
      </w:pPr>
      <w:r w:rsidRPr="00D74C7F">
        <w:rPr>
          <w:rFonts w:cs="Arial"/>
          <w:sz w:val="22"/>
          <w:szCs w:val="22"/>
        </w:rPr>
        <w:t>The medical condition of or treatment received by any client</w:t>
      </w:r>
    </w:p>
    <w:p w:rsidR="00675F73" w:rsidRPr="00D74C7F" w:rsidRDefault="00675F73" w:rsidP="00675F73">
      <w:pPr>
        <w:pStyle w:val="MRNumberedHeading2"/>
        <w:numPr>
          <w:ilvl w:val="0"/>
          <w:numId w:val="1"/>
        </w:numPr>
        <w:rPr>
          <w:rFonts w:cs="Arial"/>
          <w:b/>
          <w:sz w:val="22"/>
          <w:szCs w:val="22"/>
          <w:u w:val="single"/>
        </w:rPr>
      </w:pPr>
      <w:r w:rsidRPr="00D74C7F">
        <w:rPr>
          <w:rFonts w:cs="Arial"/>
          <w:b/>
          <w:sz w:val="22"/>
          <w:szCs w:val="22"/>
          <w:u w:val="single"/>
        </w:rPr>
        <w:t xml:space="preserve">Corporate Social Responsibility </w:t>
      </w:r>
    </w:p>
    <w:p w:rsidR="00675F73" w:rsidRPr="00755293" w:rsidRDefault="00675F73" w:rsidP="00675F73">
      <w:pPr>
        <w:pStyle w:val="ListParagraph"/>
        <w:spacing w:before="100" w:beforeAutospacing="1" w:after="100" w:afterAutospacing="1"/>
        <w:ind w:left="360"/>
        <w:rPr>
          <w:sz w:val="22"/>
          <w:szCs w:val="22"/>
        </w:rPr>
      </w:pPr>
      <w:r w:rsidRPr="00EA527D">
        <w:rPr>
          <w:rFonts w:cs="Arial"/>
        </w:rPr>
        <w:t xml:space="preserve">The </w:t>
      </w:r>
      <w:r w:rsidRPr="00755293">
        <w:rPr>
          <w:rFonts w:cs="Arial"/>
          <w:sz w:val="22"/>
          <w:szCs w:val="22"/>
        </w:rPr>
        <w:t xml:space="preserve">Contractor </w:t>
      </w:r>
      <w:proofErr w:type="gramStart"/>
      <w:r w:rsidRPr="00755293">
        <w:rPr>
          <w:rFonts w:cs="Arial"/>
          <w:sz w:val="22"/>
          <w:szCs w:val="22"/>
        </w:rPr>
        <w:t>will be expected</w:t>
      </w:r>
      <w:proofErr w:type="gramEnd"/>
      <w:r w:rsidRPr="00755293">
        <w:rPr>
          <w:rFonts w:cs="Arial"/>
          <w:sz w:val="22"/>
          <w:szCs w:val="22"/>
        </w:rPr>
        <w:t xml:space="preserve"> to show its commitment to Corporate Social Responsibility and best practice. The contract shall comply with the supplier code of conduct as set out in section </w:t>
      </w:r>
      <w:proofErr w:type="gramStart"/>
      <w:r w:rsidRPr="00755293">
        <w:rPr>
          <w:rFonts w:cs="Arial"/>
          <w:sz w:val="22"/>
          <w:szCs w:val="22"/>
        </w:rPr>
        <w:t>A</w:t>
      </w:r>
      <w:proofErr w:type="gramEnd"/>
      <w:r w:rsidRPr="00755293">
        <w:rPr>
          <w:rFonts w:cs="Arial"/>
          <w:sz w:val="22"/>
          <w:szCs w:val="22"/>
        </w:rPr>
        <w:t xml:space="preserve"> annexe A2.</w:t>
      </w:r>
    </w:p>
    <w:p w:rsidR="00675F73" w:rsidRPr="00D74C7F" w:rsidRDefault="00675F73" w:rsidP="00675F73">
      <w:pPr>
        <w:pStyle w:val="Heading3"/>
        <w:keepNext/>
        <w:spacing w:before="240" w:after="60"/>
        <w:jc w:val="left"/>
        <w:rPr>
          <w:rFonts w:cs="Arial"/>
          <w:b/>
          <w:sz w:val="22"/>
          <w:szCs w:val="22"/>
          <w:u w:val="single"/>
        </w:rPr>
      </w:pPr>
    </w:p>
    <w:p w:rsidR="00675F73" w:rsidRPr="00D74C7F" w:rsidRDefault="00675F73" w:rsidP="00675F73">
      <w:pPr>
        <w:pStyle w:val="Heading3"/>
        <w:keepNext/>
        <w:numPr>
          <w:ilvl w:val="0"/>
          <w:numId w:val="1"/>
        </w:numPr>
        <w:spacing w:before="240" w:after="60"/>
        <w:jc w:val="left"/>
        <w:rPr>
          <w:rFonts w:cs="Arial"/>
          <w:b/>
          <w:sz w:val="22"/>
          <w:szCs w:val="22"/>
          <w:u w:val="single"/>
        </w:rPr>
      </w:pPr>
      <w:r w:rsidRPr="00D74C7F">
        <w:rPr>
          <w:rFonts w:cs="Arial"/>
          <w:b/>
          <w:sz w:val="22"/>
          <w:szCs w:val="22"/>
          <w:u w:val="single"/>
        </w:rPr>
        <w:t>General Data Protection Regulation Clause</w:t>
      </w:r>
    </w:p>
    <w:p w:rsidR="00675F73" w:rsidRPr="00D74C7F" w:rsidRDefault="00675F73" w:rsidP="00675F73">
      <w:pPr>
        <w:pStyle w:val="ListParagraph"/>
        <w:rPr>
          <w:rFonts w:cs="Arial"/>
          <w:b/>
          <w:sz w:val="22"/>
          <w:szCs w:val="22"/>
          <w:u w:val="single"/>
        </w:rPr>
      </w:pP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Parties acknowledge that for the purposes of the Data Protection Legislation, the Customer is the Controller and the Supplier is the Processor. The only processing that the Supplier is authorised to do is listed in Call </w:t>
      </w:r>
      <w:proofErr w:type="gramStart"/>
      <w:r w:rsidRPr="00755293">
        <w:rPr>
          <w:rFonts w:ascii="Arial" w:hAnsi="Arial" w:cs="Arial"/>
          <w:color w:val="000000"/>
          <w:sz w:val="22"/>
          <w:szCs w:val="22"/>
        </w:rPr>
        <w:t>Off</w:t>
      </w:r>
      <w:proofErr w:type="gramEnd"/>
      <w:r w:rsidRPr="00755293">
        <w:rPr>
          <w:rFonts w:ascii="Arial" w:hAnsi="Arial" w:cs="Arial"/>
          <w:color w:val="000000"/>
          <w:sz w:val="22"/>
          <w:szCs w:val="22"/>
        </w:rPr>
        <w:t xml:space="preserve"> Schedule 18 by the Customer and may not be determined by the Supplier.  </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notify the Customer immediately if it considers that any of the Customer's instructions infringe the Data Protection Legislation.</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provide all reasonable assistance to the Customer in the preparation of any Data Protection Impact Assessment prior to commencing any processing.  Such assistance may, at the discretion of the Customer, include:</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 systematic description of the envisaged processing operations and the purpose of the processing;</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lastRenderedPageBreak/>
        <w:t>an assessment of the necessity and proportionality of the processing operations in relation to the Services;</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an assessment of the risks to the rights and freedoms of Data Subjects; and</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the</w:t>
      </w:r>
      <w:proofErr w:type="gramEnd"/>
      <w:r w:rsidRPr="00755293">
        <w:rPr>
          <w:rFonts w:ascii="Arial" w:hAnsi="Arial" w:cs="Arial"/>
          <w:color w:val="000000"/>
          <w:sz w:val="22"/>
          <w:szCs w:val="22"/>
        </w:rPr>
        <w:t xml:space="preserve"> measures envisaged to address the risks, including safeguards, security measures and mechanisms to ensure the protection of Personal Data.</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in relation to any Personal Data processed in connection with its obligations under this Call-Off Contract: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process</w:t>
      </w:r>
      <w:proofErr w:type="gramEnd"/>
      <w:r w:rsidRPr="00755293">
        <w:rPr>
          <w:rFonts w:ascii="Arial" w:hAnsi="Arial" w:cs="Arial"/>
          <w:color w:val="000000"/>
          <w:sz w:val="22"/>
          <w:szCs w:val="22"/>
        </w:rPr>
        <w:t xml:space="preserve"> that Personal Data only in accordance with Call Off Schedule 18 unless the Supplier is required to do otherwise by Law. If it is so required the Supplier shall promptly notify the Customer before processing the Personal Data unless prohibited by Law;</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ensure that it has in place Protective Measures, which have been reviewed and approved by the Customer as appropriate to protect against a Data Loss Event having taken account of the:</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nature of the data to be protected;</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harm that might result from a Data Loss Event;</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state of technological development; and</w:t>
      </w:r>
    </w:p>
    <w:p w:rsidR="00675F73" w:rsidRPr="00755293" w:rsidRDefault="00675F73" w:rsidP="00675F73">
      <w:pPr>
        <w:pStyle w:val="NormalWeb"/>
        <w:numPr>
          <w:ilvl w:val="4"/>
          <w:numId w:val="4"/>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cost of implementing any measures;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ensure that :</w:t>
      </w:r>
    </w:p>
    <w:p w:rsidR="00675F73" w:rsidRPr="00755293" w:rsidRDefault="00675F73" w:rsidP="00675F73">
      <w:pPr>
        <w:pStyle w:val="NormalWeb"/>
        <w:numPr>
          <w:ilvl w:val="4"/>
          <w:numId w:val="5"/>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Personnel do not process Personal Data except in accordance with this Call-Off Contract (and in particular Call Off Schedule 18;</w:t>
      </w:r>
    </w:p>
    <w:p w:rsidR="00675F73" w:rsidRPr="00755293" w:rsidRDefault="00675F73" w:rsidP="00675F73">
      <w:pPr>
        <w:pStyle w:val="NormalWeb"/>
        <w:numPr>
          <w:ilvl w:val="4"/>
          <w:numId w:val="5"/>
        </w:numPr>
        <w:spacing w:before="0" w:beforeAutospacing="0" w:after="120" w:afterAutospacing="0"/>
        <w:jc w:val="both"/>
        <w:textAlignment w:val="baseline"/>
        <w:rPr>
          <w:rFonts w:ascii="Arial" w:hAnsi="Arial" w:cs="Arial"/>
          <w:color w:val="000000"/>
          <w:sz w:val="22"/>
          <w:szCs w:val="22"/>
        </w:rPr>
      </w:pPr>
      <w:r w:rsidRPr="00F64328">
        <w:rPr>
          <w:rFonts w:ascii="Arial" w:hAnsi="Arial" w:cs="Arial"/>
          <w:color w:val="000000"/>
          <w:sz w:val="20"/>
          <w:szCs w:val="20"/>
        </w:rPr>
        <w:t xml:space="preserve">it </w:t>
      </w:r>
      <w:r w:rsidRPr="00755293">
        <w:rPr>
          <w:rFonts w:ascii="Arial" w:hAnsi="Arial" w:cs="Arial"/>
          <w:color w:val="000000"/>
          <w:sz w:val="22"/>
          <w:szCs w:val="22"/>
        </w:rPr>
        <w:t>takes all reasonable steps to ensure the reliability and integrity of any Supplier Personnel who have access to the Personal Data and ensure that they:</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are aware of and comply with the Supplier’s duties under this clause;</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are subject to appropriate confidentiality undertakings with the Supplier or any Sub-processor;</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are informed of the confidential nature of the Personal Data and do not publish, disclose or divulge any of the Personal Data to any third party unless directed in writing to do so by the Customer or as otherwise permitted by this Call-Off Contract; and</w:t>
      </w:r>
    </w:p>
    <w:p w:rsidR="00675F73" w:rsidRPr="00755293" w:rsidRDefault="00675F73" w:rsidP="00675F73">
      <w:pPr>
        <w:pStyle w:val="NormalWeb"/>
        <w:numPr>
          <w:ilvl w:val="0"/>
          <w:numId w:val="6"/>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have undergone adequate training in the use, care, protection and handling of</w:t>
      </w:r>
      <w:r w:rsidRPr="00F64328">
        <w:rPr>
          <w:rFonts w:ascii="Arial" w:hAnsi="Arial" w:cs="Arial"/>
          <w:color w:val="000000"/>
          <w:sz w:val="20"/>
          <w:szCs w:val="20"/>
        </w:rPr>
        <w:t xml:space="preserve"> </w:t>
      </w:r>
      <w:r w:rsidRPr="00755293">
        <w:rPr>
          <w:rFonts w:ascii="Arial" w:hAnsi="Arial" w:cs="Arial"/>
          <w:color w:val="000000"/>
          <w:sz w:val="22"/>
          <w:szCs w:val="22"/>
        </w:rPr>
        <w:t>Personal Data; and</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not transfer Personal Data outside of the European Economic Area unless the prior written consent of the Customer has been obtained and the following conditions are fulfilled:</w:t>
      </w:r>
    </w:p>
    <w:p w:rsidR="00675F73" w:rsidRPr="00755293" w:rsidRDefault="00675F73" w:rsidP="00675F73">
      <w:pPr>
        <w:pStyle w:val="NormalWeb"/>
        <w:numPr>
          <w:ilvl w:val="4"/>
          <w:numId w:val="7"/>
        </w:numPr>
        <w:spacing w:before="0" w:beforeAutospacing="0" w:after="120" w:afterAutospacing="0"/>
        <w:textAlignment w:val="baseline"/>
        <w:rPr>
          <w:rFonts w:ascii="Arial" w:hAnsi="Arial" w:cs="Arial"/>
          <w:color w:val="000000"/>
          <w:sz w:val="22"/>
          <w:szCs w:val="22"/>
        </w:rPr>
      </w:pPr>
      <w:r w:rsidRPr="00755293">
        <w:rPr>
          <w:rFonts w:ascii="Arial" w:hAnsi="Arial" w:cs="Arial"/>
          <w:color w:val="000000"/>
          <w:sz w:val="22"/>
          <w:szCs w:val="22"/>
        </w:rPr>
        <w:t>the Customer or the Supplier has provided appropriate safeguards in relation to the transfer;</w:t>
      </w:r>
    </w:p>
    <w:p w:rsidR="00675F73" w:rsidRPr="00755293"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Data Subject has enforceable rights and effective legal remedies;</w:t>
      </w:r>
    </w:p>
    <w:p w:rsidR="00675F73" w:rsidRPr="00755293"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complies with its obligations under the Data Protection Legislation by providing an adequate level of protection to any Personal Data that is transferred; and</w:t>
      </w:r>
    </w:p>
    <w:p w:rsidR="00675F73" w:rsidRPr="00755293" w:rsidRDefault="00675F73" w:rsidP="00675F73">
      <w:pPr>
        <w:pStyle w:val="NormalWeb"/>
        <w:numPr>
          <w:ilvl w:val="4"/>
          <w:numId w:val="7"/>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lastRenderedPageBreak/>
        <w:t>the Supplier complies with any reasonable instructions notified to it in advance by the Customer with respect to the processing of the Personal Data;</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at</w:t>
      </w:r>
      <w:proofErr w:type="gramEnd"/>
      <w:r w:rsidRPr="00755293">
        <w:rPr>
          <w:rFonts w:ascii="Arial" w:hAnsi="Arial" w:cs="Arial"/>
          <w:color w:val="000000"/>
          <w:sz w:val="22"/>
          <w:szCs w:val="22"/>
        </w:rPr>
        <w:t xml:space="preserve"> the written direction of the Customer, delete or return Personal Data (and any copies of it) to the Customer on termination of the Call-Off Contract unless the Supplier is required by Law to retain the Personal Data.</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Subject to clause 34.7.6, the Supplier shall notify the Customer immediately if it: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receives a Data Subject Access Request (or purported Data Subject Access Request);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receives a request to rectify, block or erase any Personal Data;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receives any other request, complaint or communication relating to either Party's obligations under the Data Protection Legislation;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receives any communication from the Information Commissioner or any other regulatory Customer in connection with Personal Data processed under this Call-Off Contract;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receives a request from any third party for disclosure of Personal Data where compliance with such request is required or purported to be required by Law; or</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becomes</w:t>
      </w:r>
      <w:proofErr w:type="gramEnd"/>
      <w:r w:rsidRPr="00755293">
        <w:rPr>
          <w:rFonts w:ascii="Arial" w:hAnsi="Arial" w:cs="Arial"/>
          <w:color w:val="000000"/>
          <w:sz w:val="22"/>
          <w:szCs w:val="22"/>
        </w:rPr>
        <w:t xml:space="preserve"> aware of a Data Loss Event.</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Supplier’s obligation to notify under clause 34.7.5 shall include the provision of further information to the Customer in phases, as details become available. </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Taking into account the nature of the processing, the Supplier shall provide the Customer with full assistance  in relation to either party's obligations under Data Protection Legislation and any complaint, communication or request made under Clause 34.7.5 (and insofar as possible within the timescales reasonably required by the Customer) including by promptly providing:</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Customer with full details and copies of the complaint, communication or request;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such assistance as is reasonably requested by the Customer to enable the Customer to comply with a Data Subject Access Request within the relevant timescales set out in the Data Protection Legislation;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Customer, at its request, with any Personal Data it holds in relation to a Data Subject;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assistance as requested by the Customer following any Data Loss Event;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assistance</w:t>
      </w:r>
      <w:proofErr w:type="gramEnd"/>
      <w:r w:rsidRPr="00755293">
        <w:rPr>
          <w:rFonts w:ascii="Arial" w:hAnsi="Arial" w:cs="Arial"/>
          <w:color w:val="000000"/>
          <w:sz w:val="22"/>
          <w:szCs w:val="22"/>
        </w:rPr>
        <w:t xml:space="preserve"> as requested by the Customer with respect to any request from the Information Commissioner’s Office, or any consultation by the Customer with the Information Commissioner's Office.</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maintain complete and accurate records and information to demonstrate its compliance with this clause. This requirement does not apply where the Supplier employs fewer than 250 staff, unless:</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Customer determines that the processing is not occasional;</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lastRenderedPageBreak/>
        <w:t xml:space="preserve">the Customer determines the processing includes special categories of data as referred to in Article 9(1) of the </w:t>
      </w:r>
      <w:proofErr w:type="spellStart"/>
      <w:r w:rsidRPr="00755293">
        <w:rPr>
          <w:rFonts w:ascii="Arial" w:hAnsi="Arial" w:cs="Arial"/>
          <w:color w:val="000000"/>
          <w:sz w:val="22"/>
          <w:szCs w:val="22"/>
        </w:rPr>
        <w:t>GDPR</w:t>
      </w:r>
      <w:proofErr w:type="spellEnd"/>
      <w:r w:rsidRPr="00755293">
        <w:rPr>
          <w:rFonts w:ascii="Arial" w:hAnsi="Arial" w:cs="Arial"/>
          <w:color w:val="000000"/>
          <w:sz w:val="22"/>
          <w:szCs w:val="22"/>
        </w:rPr>
        <w:t xml:space="preserve"> or Personal Data relating to criminal convictions and offences referred to in Article 10 of the </w:t>
      </w:r>
      <w:proofErr w:type="spellStart"/>
      <w:r w:rsidRPr="00755293">
        <w:rPr>
          <w:rFonts w:ascii="Arial" w:hAnsi="Arial" w:cs="Arial"/>
          <w:color w:val="000000"/>
          <w:sz w:val="22"/>
          <w:szCs w:val="22"/>
        </w:rPr>
        <w:t>GDPR</w:t>
      </w:r>
      <w:proofErr w:type="spellEnd"/>
      <w:r w:rsidRPr="00755293">
        <w:rPr>
          <w:rFonts w:ascii="Arial" w:hAnsi="Arial" w:cs="Arial"/>
          <w:color w:val="000000"/>
          <w:sz w:val="22"/>
          <w:szCs w:val="22"/>
        </w:rPr>
        <w:t xml:space="preserve">; and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the</w:t>
      </w:r>
      <w:proofErr w:type="gramEnd"/>
      <w:r w:rsidRPr="00755293">
        <w:rPr>
          <w:rFonts w:ascii="Arial" w:hAnsi="Arial" w:cs="Arial"/>
          <w:color w:val="000000"/>
          <w:sz w:val="22"/>
          <w:szCs w:val="22"/>
        </w:rPr>
        <w:t xml:space="preserve"> Customer determines that the processing is likely to result in a risk to the rights and freedoms of Data Subjects.</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Supplier shall allow for audits of its Data Processing activity by the Customer or the </w:t>
      </w:r>
      <w:proofErr w:type="gramStart"/>
      <w:r w:rsidRPr="00755293">
        <w:rPr>
          <w:rFonts w:ascii="Arial" w:hAnsi="Arial" w:cs="Arial"/>
          <w:color w:val="000000"/>
          <w:sz w:val="22"/>
          <w:szCs w:val="22"/>
        </w:rPr>
        <w:t>Customer’s</w:t>
      </w:r>
      <w:proofErr w:type="gramEnd"/>
      <w:r w:rsidRPr="00755293">
        <w:rPr>
          <w:rFonts w:ascii="Arial" w:hAnsi="Arial" w:cs="Arial"/>
          <w:color w:val="000000"/>
          <w:sz w:val="22"/>
          <w:szCs w:val="22"/>
        </w:rPr>
        <w:t xml:space="preserve"> designated auditor.</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The Supplier shall designate a Data Protection Officer if required by the Data Protection Legislation. </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Before allowing any Sub-processor to process any Personal Data related to this Call-Off Contract, the Supplier must:</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notify the Customer in writing of the intended Sub-processor and processing;</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 xml:space="preserve">obtain the written consent of the Customer; </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enter into a written agreement with the Sub-processor which give effect to the terms set out in this clause 34.7 such that they apply to the Sub-processor; and</w:t>
      </w:r>
    </w:p>
    <w:p w:rsidR="00675F73" w:rsidRPr="00755293" w:rsidRDefault="00675F73" w:rsidP="00675F73">
      <w:pPr>
        <w:pStyle w:val="NormalWeb"/>
        <w:numPr>
          <w:ilvl w:val="3"/>
          <w:numId w:val="8"/>
        </w:numPr>
        <w:spacing w:before="0" w:beforeAutospacing="0" w:after="120" w:afterAutospacing="0"/>
        <w:jc w:val="both"/>
        <w:textAlignment w:val="baseline"/>
        <w:rPr>
          <w:rFonts w:ascii="Arial" w:hAnsi="Arial" w:cs="Arial"/>
          <w:color w:val="000000"/>
          <w:sz w:val="22"/>
          <w:szCs w:val="22"/>
        </w:rPr>
      </w:pPr>
      <w:proofErr w:type="gramStart"/>
      <w:r w:rsidRPr="00755293">
        <w:rPr>
          <w:rFonts w:ascii="Arial" w:hAnsi="Arial" w:cs="Arial"/>
          <w:color w:val="000000"/>
          <w:sz w:val="22"/>
          <w:szCs w:val="22"/>
        </w:rPr>
        <w:t>provide</w:t>
      </w:r>
      <w:proofErr w:type="gramEnd"/>
      <w:r w:rsidRPr="00755293">
        <w:rPr>
          <w:rFonts w:ascii="Arial" w:hAnsi="Arial" w:cs="Arial"/>
          <w:color w:val="000000"/>
          <w:sz w:val="22"/>
          <w:szCs w:val="22"/>
        </w:rPr>
        <w:t xml:space="preserve"> the Customer with such information regarding the Sub-processor as the Customer may reasonably require.</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color w:val="000000"/>
          <w:sz w:val="22"/>
          <w:szCs w:val="22"/>
        </w:rPr>
      </w:pPr>
      <w:r w:rsidRPr="00755293">
        <w:rPr>
          <w:rFonts w:ascii="Arial" w:hAnsi="Arial" w:cs="Arial"/>
          <w:color w:val="000000"/>
          <w:sz w:val="22"/>
          <w:szCs w:val="22"/>
        </w:rPr>
        <w:t>The Supplier shall remain fully liable for all acts or omissions of any Sub-processor.</w:t>
      </w:r>
    </w:p>
    <w:p w:rsidR="00675F73" w:rsidRPr="00F64328" w:rsidRDefault="00675F73" w:rsidP="00675F73">
      <w:pPr>
        <w:pStyle w:val="NormalWeb"/>
        <w:numPr>
          <w:ilvl w:val="2"/>
          <w:numId w:val="8"/>
        </w:numPr>
        <w:spacing w:before="280" w:beforeAutospacing="0" w:after="120" w:afterAutospacing="0"/>
        <w:jc w:val="both"/>
        <w:textAlignment w:val="baseline"/>
        <w:rPr>
          <w:rFonts w:ascii="Arial" w:hAnsi="Arial" w:cs="Arial"/>
          <w:sz w:val="20"/>
          <w:szCs w:val="20"/>
        </w:rPr>
      </w:pPr>
      <w:r w:rsidRPr="00755293">
        <w:rPr>
          <w:rFonts w:ascii="Arial" w:hAnsi="Arial" w:cs="Arial"/>
          <w:color w:val="000000"/>
          <w:sz w:val="22"/>
          <w:szCs w:val="22"/>
        </w:rPr>
        <w:t>The Customer may, at any time on not less than 30 Working Days’ notice, revise this clause by replacing it with any applicable controller to processor standard clauses or</w:t>
      </w:r>
      <w:r w:rsidRPr="00F64328">
        <w:rPr>
          <w:rFonts w:ascii="Arial" w:hAnsi="Arial" w:cs="Arial"/>
          <w:color w:val="000000"/>
          <w:sz w:val="20"/>
          <w:szCs w:val="20"/>
        </w:rPr>
        <w:t xml:space="preserve"> similar terms forming part of an applicable certification scheme (which shall apply when incorporated by attachment to this Call-Off Contract).</w:t>
      </w:r>
    </w:p>
    <w:p w:rsidR="00675F73" w:rsidRPr="00755293" w:rsidRDefault="00675F73" w:rsidP="00675F73">
      <w:pPr>
        <w:pStyle w:val="NormalWeb"/>
        <w:numPr>
          <w:ilvl w:val="2"/>
          <w:numId w:val="8"/>
        </w:numPr>
        <w:spacing w:before="280" w:beforeAutospacing="0" w:after="120" w:afterAutospacing="0"/>
        <w:jc w:val="both"/>
        <w:textAlignment w:val="baseline"/>
        <w:rPr>
          <w:rFonts w:ascii="Arial" w:hAnsi="Arial" w:cs="Arial"/>
          <w:sz w:val="22"/>
          <w:szCs w:val="22"/>
        </w:rPr>
      </w:pPr>
      <w:r w:rsidRPr="00755293">
        <w:rPr>
          <w:rFonts w:ascii="Arial" w:hAnsi="Arial" w:cs="Arial"/>
          <w:color w:val="000000"/>
          <w:sz w:val="22"/>
          <w:szCs w:val="22"/>
        </w:rPr>
        <w:t xml:space="preserve">The Parties agree to take account of any non-mandatory guidance issued by the Information Commissioner’s Office publishes guidance. The Customer </w:t>
      </w:r>
      <w:proofErr w:type="gramStart"/>
      <w:r w:rsidRPr="00755293">
        <w:rPr>
          <w:rFonts w:ascii="Arial" w:hAnsi="Arial" w:cs="Arial"/>
          <w:color w:val="000000"/>
          <w:sz w:val="22"/>
          <w:szCs w:val="22"/>
        </w:rPr>
        <w:t>may on not less than 30 Working Days’ notice to the Supplier amend</w:t>
      </w:r>
      <w:proofErr w:type="gramEnd"/>
      <w:r w:rsidRPr="00755293">
        <w:rPr>
          <w:rFonts w:ascii="Arial" w:hAnsi="Arial" w:cs="Arial"/>
          <w:color w:val="000000"/>
          <w:sz w:val="22"/>
          <w:szCs w:val="22"/>
        </w:rPr>
        <w:t xml:space="preserve"> this Call-Off Contract to ensure that it complies with any guidance issued by the Information Commissioner’s Officer. </w:t>
      </w:r>
      <w:r w:rsidRPr="00755293">
        <w:rPr>
          <w:rFonts w:ascii="Arial" w:hAnsi="Arial" w:cs="Arial"/>
          <w:sz w:val="22"/>
          <w:szCs w:val="22"/>
        </w:rPr>
        <w:t xml:space="preserve"> </w:t>
      </w:r>
    </w:p>
    <w:p w:rsidR="00675F73" w:rsidRPr="00D74C7F" w:rsidRDefault="00675F73" w:rsidP="00675F73">
      <w:pPr>
        <w:pStyle w:val="Heading3"/>
        <w:keepNext/>
        <w:spacing w:before="240" w:after="60"/>
        <w:ind w:left="360"/>
        <w:jc w:val="left"/>
        <w:rPr>
          <w:rFonts w:cs="Arial"/>
          <w:b/>
          <w:sz w:val="22"/>
          <w:szCs w:val="22"/>
          <w:u w:val="single"/>
        </w:rPr>
      </w:pPr>
    </w:p>
    <w:p w:rsidR="00675F73" w:rsidRPr="00E1321F" w:rsidRDefault="00675F73" w:rsidP="00675F73">
      <w:pPr>
        <w:ind w:right="84"/>
        <w:rPr>
          <w:rFonts w:ascii="Tahoma" w:hAnsi="Tahoma" w:cs="Tahoma"/>
        </w:rPr>
      </w:pPr>
    </w:p>
    <w:p w:rsidR="00675F73" w:rsidRPr="00E1321F" w:rsidRDefault="00675F73" w:rsidP="00675F73">
      <w:pPr>
        <w:ind w:right="84"/>
        <w:rPr>
          <w:rFonts w:ascii="Tahoma" w:hAnsi="Tahoma" w:cs="Tahoma"/>
        </w:rPr>
      </w:pPr>
    </w:p>
    <w:p w:rsidR="00675F73" w:rsidRPr="00AB7A93" w:rsidRDefault="00675F73" w:rsidP="00675F73">
      <w:pPr>
        <w:ind w:left="785"/>
        <w:rPr>
          <w:rFonts w:cs="Arial"/>
        </w:rPr>
      </w:pPr>
    </w:p>
    <w:p w:rsidR="00675F73" w:rsidRPr="000242E6" w:rsidRDefault="00675F73" w:rsidP="00675F73">
      <w:pPr>
        <w:ind w:left="1069"/>
        <w:rPr>
          <w:rFonts w:cs="Arial"/>
        </w:rPr>
      </w:pPr>
    </w:p>
    <w:p w:rsidR="00675F73" w:rsidRPr="000242E6" w:rsidRDefault="00675F73" w:rsidP="00675F73">
      <w:pPr>
        <w:rPr>
          <w:rFonts w:cs="Arial"/>
        </w:rPr>
      </w:pPr>
      <w:r w:rsidRPr="000242E6">
        <w:rPr>
          <w:rFonts w:cs="Arial"/>
          <w:b/>
          <w:color w:val="000000"/>
          <w:u w:val="single"/>
        </w:rPr>
        <w:t xml:space="preserve">  </w:t>
      </w:r>
    </w:p>
    <w:p w:rsidR="00675F73" w:rsidRDefault="00675F73" w:rsidP="00675F73">
      <w:pPr>
        <w:spacing w:after="240"/>
        <w:jc w:val="left"/>
      </w:pPr>
    </w:p>
    <w:p w:rsidR="00675F73" w:rsidRDefault="00675F73" w:rsidP="00675F73">
      <w:pPr>
        <w:spacing w:after="240"/>
        <w:jc w:val="left"/>
      </w:pPr>
    </w:p>
    <w:p w:rsidR="00675F73" w:rsidRDefault="00675F73" w:rsidP="00675F73">
      <w:pPr>
        <w:spacing w:after="240"/>
        <w:jc w:val="left"/>
        <w:rPr>
          <w:rFonts w:eastAsia="Times New Roman" w:cs="Arial"/>
          <w:b/>
          <w:lang w:eastAsia="en-GB"/>
        </w:rPr>
      </w:pPr>
    </w:p>
    <w:p w:rsidR="008E2E0C" w:rsidRDefault="008E2E0C"/>
    <w:sectPr w:rsidR="008E2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B3DB2"/>
    <w:multiLevelType w:val="multilevel"/>
    <w:tmpl w:val="CEEA7BD0"/>
    <w:lvl w:ilvl="0">
      <w:start w:val="1"/>
      <w:numFmt w:val="decimal"/>
      <w:lvlText w:val="%1."/>
      <w:lvlJc w:val="left"/>
      <w:pPr>
        <w:ind w:left="360" w:hanging="360"/>
      </w:pPr>
      <w:rPr>
        <w:b/>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375D31"/>
    <w:multiLevelType w:val="hybridMultilevel"/>
    <w:tmpl w:val="DAD6C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E30CD3"/>
    <w:multiLevelType w:val="multilevel"/>
    <w:tmpl w:val="988CB8E4"/>
    <w:lvl w:ilvl="0">
      <w:start w:val="34"/>
      <w:numFmt w:val="decimal"/>
      <w:lvlText w:val="%1"/>
      <w:lvlJc w:val="left"/>
      <w:pPr>
        <w:ind w:left="570" w:hanging="570"/>
      </w:pPr>
      <w:rPr>
        <w:rFonts w:hint="default"/>
        <w:color w:val="auto"/>
      </w:rPr>
    </w:lvl>
    <w:lvl w:ilvl="1">
      <w:start w:val="7"/>
      <w:numFmt w:val="decimal"/>
      <w:lvlText w:val="%1.%2"/>
      <w:lvlJc w:val="left"/>
      <w:pPr>
        <w:ind w:left="1470" w:hanging="570"/>
      </w:pPr>
      <w:rPr>
        <w:rFonts w:hint="default"/>
        <w:color w:val="auto"/>
      </w:rPr>
    </w:lvl>
    <w:lvl w:ilvl="2">
      <w:start w:val="1"/>
      <w:numFmt w:val="upperLetter"/>
      <w:lvlText w:val="%3."/>
      <w:lvlJc w:val="left"/>
      <w:pPr>
        <w:ind w:left="1146" w:hanging="720"/>
      </w:pPr>
      <w:rPr>
        <w:rFonts w:hint="default"/>
        <w:color w:val="auto"/>
      </w:rPr>
    </w:lvl>
    <w:lvl w:ilvl="3">
      <w:start w:val="1"/>
      <w:numFmt w:val="upperRoman"/>
      <w:lvlText w:val="%4."/>
      <w:lvlJc w:val="right"/>
      <w:pPr>
        <w:ind w:left="228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3"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487"/>
        </w:tabs>
        <w:ind w:left="2487"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36645B9"/>
    <w:multiLevelType w:val="hybridMultilevel"/>
    <w:tmpl w:val="DF6CC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345"/>
        </w:tabs>
        <w:ind w:left="2345"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F865AA3"/>
    <w:multiLevelType w:val="hybridMultilevel"/>
    <w:tmpl w:val="89ECB584"/>
    <w:lvl w:ilvl="0" w:tplc="17D213A4">
      <w:start w:val="1"/>
      <w:numFmt w:val="lowerRoman"/>
      <w:lvlText w:val="%1."/>
      <w:lvlJc w:val="left"/>
      <w:pPr>
        <w:ind w:left="1996" w:hanging="720"/>
      </w:pPr>
      <w:rPr>
        <w:rFonts w:ascii="Arial" w:eastAsia="Times New Roman" w:hAnsi="Arial" w:cs="Arial"/>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628"/>
        </w:tabs>
        <w:ind w:left="2628"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73"/>
    <w:rsid w:val="003E3471"/>
    <w:rsid w:val="004570EE"/>
    <w:rsid w:val="00675F73"/>
    <w:rsid w:val="008E2E0C"/>
    <w:rsid w:val="00E8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4E6C7"/>
  <w15:chartTrackingRefBased/>
  <w15:docId w15:val="{64CCB4DC-10D5-42DE-8424-3285E30C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F73"/>
    <w:pPr>
      <w:spacing w:after="0" w:line="240" w:lineRule="auto"/>
      <w:jc w:val="both"/>
    </w:pPr>
    <w:rPr>
      <w:rFonts w:ascii="Arial" w:hAnsi="Arial"/>
      <w:sz w:val="20"/>
      <w:szCs w:val="20"/>
    </w:rPr>
  </w:style>
  <w:style w:type="paragraph" w:styleId="Heading2">
    <w:name w:val="heading 2"/>
    <w:basedOn w:val="Normal"/>
    <w:next w:val="Normal"/>
    <w:link w:val="Heading2Char"/>
    <w:uiPriority w:val="9"/>
    <w:unhideWhenUsed/>
    <w:qFormat/>
    <w:rsid w:val="00675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MCheading3"/>
    <w:link w:val="Heading3Char"/>
    <w:uiPriority w:val="1"/>
    <w:qFormat/>
    <w:rsid w:val="00675F73"/>
    <w:pPr>
      <w:spacing w:after="240" w:line="240" w:lineRule="auto"/>
      <w:jc w:val="both"/>
      <w:outlineLvl w:val="2"/>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MCheading3 Char"/>
    <w:basedOn w:val="DefaultParagraphFont"/>
    <w:link w:val="Heading3"/>
    <w:uiPriority w:val="1"/>
    <w:rsid w:val="00675F73"/>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675F73"/>
    <w:rPr>
      <w:color w:val="0563C1" w:themeColor="hyperlink"/>
      <w:u w:val="single"/>
    </w:rPr>
  </w:style>
  <w:style w:type="paragraph" w:styleId="NormalWeb">
    <w:name w:val="Normal (Web)"/>
    <w:basedOn w:val="Normal"/>
    <w:uiPriority w:val="99"/>
    <w:unhideWhenUsed/>
    <w:rsid w:val="00675F73"/>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MRNumberedHeading2">
    <w:name w:val="M&amp;R Numbered Heading 2"/>
    <w:basedOn w:val="Normal"/>
    <w:rsid w:val="00675F73"/>
    <w:pPr>
      <w:spacing w:before="240"/>
      <w:outlineLvl w:val="1"/>
    </w:pPr>
    <w:rPr>
      <w:rFonts w:eastAsia="Times New Roman" w:cs="Times New Roman"/>
      <w:szCs w:val="24"/>
      <w:lang w:eastAsia="en-GB"/>
    </w:rPr>
  </w:style>
  <w:style w:type="paragraph" w:styleId="ListParagraph">
    <w:name w:val="List Paragraph"/>
    <w:aliases w:val="Text"/>
    <w:basedOn w:val="Normal"/>
    <w:uiPriority w:val="99"/>
    <w:unhideWhenUsed/>
    <w:qFormat/>
    <w:rsid w:val="00675F73"/>
    <w:pPr>
      <w:ind w:left="720"/>
      <w:contextualSpacing/>
    </w:pPr>
  </w:style>
  <w:style w:type="paragraph" w:styleId="BodyText">
    <w:name w:val="Body Text"/>
    <w:basedOn w:val="Normal"/>
    <w:link w:val="BodyTextChar"/>
    <w:uiPriority w:val="99"/>
    <w:semiHidden/>
    <w:unhideWhenUsed/>
    <w:rsid w:val="00675F73"/>
    <w:pPr>
      <w:spacing w:after="120"/>
    </w:pPr>
  </w:style>
  <w:style w:type="character" w:customStyle="1" w:styleId="BodyTextChar">
    <w:name w:val="Body Text Char"/>
    <w:basedOn w:val="DefaultParagraphFont"/>
    <w:link w:val="BodyText"/>
    <w:uiPriority w:val="99"/>
    <w:semiHidden/>
    <w:rsid w:val="00675F73"/>
    <w:rPr>
      <w:rFonts w:ascii="Arial" w:hAnsi="Arial"/>
      <w:sz w:val="20"/>
      <w:szCs w:val="20"/>
    </w:rPr>
  </w:style>
  <w:style w:type="character" w:customStyle="1" w:styleId="Heading2Char">
    <w:name w:val="Heading 2 Char"/>
    <w:basedOn w:val="DefaultParagraphFont"/>
    <w:link w:val="Heading2"/>
    <w:uiPriority w:val="9"/>
    <w:rsid w:val="00675F7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675F73"/>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Bushell</dc:creator>
  <cp:keywords/>
  <dc:description/>
  <cp:lastModifiedBy>Gemma Bushell</cp:lastModifiedBy>
  <cp:revision>2</cp:revision>
  <dcterms:created xsi:type="dcterms:W3CDTF">2018-12-14T07:34:00Z</dcterms:created>
  <dcterms:modified xsi:type="dcterms:W3CDTF">2018-12-14T10:25:00Z</dcterms:modified>
</cp:coreProperties>
</file>