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13986" w14:textId="77777777" w:rsidR="00D37BAC" w:rsidRDefault="00E35542" w:rsidP="00D37BAC">
      <w:pPr>
        <w:spacing w:after="120"/>
        <w:jc w:val="center"/>
        <w:rPr>
          <w:b/>
        </w:rPr>
      </w:pPr>
      <w:bookmarkStart w:id="0" w:name="_Toc278544909"/>
      <w:r>
        <w:rPr>
          <w:b/>
        </w:rPr>
        <w:t>APPENDIX B</w:t>
      </w:r>
    </w:p>
    <w:p w14:paraId="70889D4C" w14:textId="77777777" w:rsidR="00D37BAC" w:rsidRDefault="00E35542" w:rsidP="00D37BAC">
      <w:pPr>
        <w:spacing w:after="120"/>
        <w:jc w:val="center"/>
        <w:rPr>
          <w:b/>
        </w:rPr>
      </w:pPr>
      <w:r>
        <w:rPr>
          <w:b/>
        </w:rPr>
        <w:t>SERVICE DESCRIPTION</w:t>
      </w:r>
    </w:p>
    <w:p w14:paraId="440761B9" w14:textId="77777777" w:rsidR="00FA5229" w:rsidRDefault="00FA5229" w:rsidP="00FA5229">
      <w:pPr>
        <w:pStyle w:val="bodystrongcentred"/>
      </w:pPr>
    </w:p>
    <w:p w14:paraId="6A3CCC72" w14:textId="77777777" w:rsidR="00FA5229" w:rsidRDefault="00FA5229" w:rsidP="00FA5229">
      <w:pPr>
        <w:pStyle w:val="bodystrongcentred"/>
      </w:pPr>
      <w:r>
        <w:t>CONTENTS</w:t>
      </w:r>
    </w:p>
    <w:p w14:paraId="397C343D" w14:textId="77777777" w:rsidR="00FA5229" w:rsidRDefault="00FA5229" w:rsidP="00FA5229"/>
    <w:p w14:paraId="6CECE78B" w14:textId="77777777" w:rsidR="000E60D4" w:rsidRDefault="00DA54AA">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A5229" w:rsidRPr="00FA5229">
        <w:rPr>
          <w:rFonts w:cs="Arial"/>
          <w:caps w:val="0"/>
        </w:rPr>
        <w:instrText xml:space="preserve"> TOC \o "1-1" \h \z \u </w:instrText>
      </w:r>
      <w:r w:rsidRPr="00FA5229">
        <w:rPr>
          <w:rFonts w:cs="Arial"/>
          <w:caps w:val="0"/>
        </w:rPr>
        <w:fldChar w:fldCharType="separate"/>
      </w:r>
      <w:hyperlink w:anchor="_Toc383464499" w:history="1">
        <w:r w:rsidR="000E60D4" w:rsidRPr="00820DA2">
          <w:rPr>
            <w:rStyle w:val="Hyperlink"/>
            <w:noProof/>
          </w:rPr>
          <w:t>1.</w:t>
        </w:r>
        <w:r w:rsidR="000E60D4">
          <w:rPr>
            <w:rFonts w:asciiTheme="minorHAnsi" w:eastAsiaTheme="minorEastAsia" w:hAnsiTheme="minorHAnsi" w:cstheme="minorBidi"/>
            <w:caps w:val="0"/>
            <w:noProof/>
            <w:szCs w:val="22"/>
            <w:lang w:eastAsia="en-GB"/>
          </w:rPr>
          <w:tab/>
        </w:r>
        <w:r w:rsidR="000E60D4" w:rsidRPr="00820DA2">
          <w:rPr>
            <w:rStyle w:val="Hyperlink"/>
            <w:noProof/>
          </w:rPr>
          <w:t>INTRODUCTION</w:t>
        </w:r>
        <w:r w:rsidR="000E60D4">
          <w:rPr>
            <w:noProof/>
            <w:webHidden/>
          </w:rPr>
          <w:tab/>
        </w:r>
        <w:r>
          <w:rPr>
            <w:noProof/>
            <w:webHidden/>
          </w:rPr>
          <w:fldChar w:fldCharType="begin"/>
        </w:r>
        <w:r w:rsidR="000E60D4">
          <w:rPr>
            <w:noProof/>
            <w:webHidden/>
          </w:rPr>
          <w:instrText xml:space="preserve"> PAGEREF _Toc383464499 \h </w:instrText>
        </w:r>
        <w:r>
          <w:rPr>
            <w:noProof/>
            <w:webHidden/>
          </w:rPr>
        </w:r>
        <w:r>
          <w:rPr>
            <w:noProof/>
            <w:webHidden/>
          </w:rPr>
          <w:fldChar w:fldCharType="separate"/>
        </w:r>
        <w:r w:rsidR="000E60D4">
          <w:rPr>
            <w:noProof/>
            <w:webHidden/>
          </w:rPr>
          <w:t>2</w:t>
        </w:r>
        <w:r>
          <w:rPr>
            <w:noProof/>
            <w:webHidden/>
          </w:rPr>
          <w:fldChar w:fldCharType="end"/>
        </w:r>
      </w:hyperlink>
    </w:p>
    <w:p w14:paraId="577BA21A" w14:textId="77777777" w:rsidR="000E60D4" w:rsidRDefault="00B9761F">
      <w:pPr>
        <w:pStyle w:val="TOC1"/>
        <w:rPr>
          <w:rFonts w:asciiTheme="minorHAnsi" w:eastAsiaTheme="minorEastAsia" w:hAnsiTheme="minorHAnsi" w:cstheme="minorBidi"/>
          <w:caps w:val="0"/>
          <w:noProof/>
          <w:szCs w:val="22"/>
          <w:lang w:eastAsia="en-GB"/>
        </w:rPr>
      </w:pPr>
      <w:hyperlink w:anchor="_Toc383464500" w:history="1">
        <w:r w:rsidR="000E60D4" w:rsidRPr="00820DA2">
          <w:rPr>
            <w:rStyle w:val="Hyperlink"/>
            <w:noProof/>
          </w:rPr>
          <w:t>2.</w:t>
        </w:r>
        <w:r w:rsidR="000E60D4">
          <w:rPr>
            <w:rFonts w:asciiTheme="minorHAnsi" w:eastAsiaTheme="minorEastAsia" w:hAnsiTheme="minorHAnsi" w:cstheme="minorBidi"/>
            <w:caps w:val="0"/>
            <w:noProof/>
            <w:szCs w:val="22"/>
            <w:lang w:eastAsia="en-GB"/>
          </w:rPr>
          <w:tab/>
        </w:r>
        <w:r w:rsidR="000E60D4" w:rsidRPr="00820DA2">
          <w:rPr>
            <w:rStyle w:val="Hyperlink"/>
            <w:noProof/>
          </w:rPr>
          <w:t>PURPOSE</w:t>
        </w:r>
        <w:r w:rsidR="000E60D4">
          <w:rPr>
            <w:noProof/>
            <w:webHidden/>
          </w:rPr>
          <w:tab/>
        </w:r>
        <w:r w:rsidR="00DA54AA">
          <w:rPr>
            <w:noProof/>
            <w:webHidden/>
          </w:rPr>
          <w:fldChar w:fldCharType="begin"/>
        </w:r>
        <w:r w:rsidR="000E60D4">
          <w:rPr>
            <w:noProof/>
            <w:webHidden/>
          </w:rPr>
          <w:instrText xml:space="preserve"> PAGEREF _Toc383464500 \h </w:instrText>
        </w:r>
        <w:r w:rsidR="00DA54AA">
          <w:rPr>
            <w:noProof/>
            <w:webHidden/>
          </w:rPr>
        </w:r>
        <w:r w:rsidR="00DA54AA">
          <w:rPr>
            <w:noProof/>
            <w:webHidden/>
          </w:rPr>
          <w:fldChar w:fldCharType="separate"/>
        </w:r>
        <w:r w:rsidR="000E60D4">
          <w:rPr>
            <w:noProof/>
            <w:webHidden/>
          </w:rPr>
          <w:t>2</w:t>
        </w:r>
        <w:r w:rsidR="00DA54AA">
          <w:rPr>
            <w:noProof/>
            <w:webHidden/>
          </w:rPr>
          <w:fldChar w:fldCharType="end"/>
        </w:r>
      </w:hyperlink>
    </w:p>
    <w:p w14:paraId="3D069AC9" w14:textId="77777777" w:rsidR="000E60D4" w:rsidRDefault="00B9761F">
      <w:pPr>
        <w:pStyle w:val="TOC1"/>
        <w:rPr>
          <w:rFonts w:asciiTheme="minorHAnsi" w:eastAsiaTheme="minorEastAsia" w:hAnsiTheme="minorHAnsi" w:cstheme="minorBidi"/>
          <w:caps w:val="0"/>
          <w:noProof/>
          <w:szCs w:val="22"/>
          <w:lang w:eastAsia="en-GB"/>
        </w:rPr>
      </w:pPr>
      <w:hyperlink w:anchor="_Toc383464501" w:history="1">
        <w:r w:rsidR="000E60D4" w:rsidRPr="00820DA2">
          <w:rPr>
            <w:rStyle w:val="Hyperlink"/>
            <w:noProof/>
          </w:rPr>
          <w:t>3.</w:t>
        </w:r>
        <w:r w:rsidR="000E60D4">
          <w:rPr>
            <w:rFonts w:asciiTheme="minorHAnsi" w:eastAsiaTheme="minorEastAsia" w:hAnsiTheme="minorHAnsi" w:cstheme="minorBidi"/>
            <w:caps w:val="0"/>
            <w:noProof/>
            <w:szCs w:val="22"/>
            <w:lang w:eastAsia="en-GB"/>
          </w:rPr>
          <w:tab/>
        </w:r>
        <w:r w:rsidR="000E60D4" w:rsidRPr="00820DA2">
          <w:rPr>
            <w:rStyle w:val="Hyperlink"/>
            <w:noProof/>
          </w:rPr>
          <w:t>background to the authority</w:t>
        </w:r>
        <w:r w:rsidR="000E60D4">
          <w:rPr>
            <w:noProof/>
            <w:webHidden/>
          </w:rPr>
          <w:tab/>
        </w:r>
        <w:r w:rsidR="00DA54AA">
          <w:rPr>
            <w:noProof/>
            <w:webHidden/>
          </w:rPr>
          <w:fldChar w:fldCharType="begin"/>
        </w:r>
        <w:r w:rsidR="000E60D4">
          <w:rPr>
            <w:noProof/>
            <w:webHidden/>
          </w:rPr>
          <w:instrText xml:space="preserve"> PAGEREF _Toc383464501 \h </w:instrText>
        </w:r>
        <w:r w:rsidR="00DA54AA">
          <w:rPr>
            <w:noProof/>
            <w:webHidden/>
          </w:rPr>
        </w:r>
        <w:r w:rsidR="00DA54AA">
          <w:rPr>
            <w:noProof/>
            <w:webHidden/>
          </w:rPr>
          <w:fldChar w:fldCharType="separate"/>
        </w:r>
        <w:r w:rsidR="000E60D4">
          <w:rPr>
            <w:noProof/>
            <w:webHidden/>
          </w:rPr>
          <w:t>2</w:t>
        </w:r>
        <w:r w:rsidR="00DA54AA">
          <w:rPr>
            <w:noProof/>
            <w:webHidden/>
          </w:rPr>
          <w:fldChar w:fldCharType="end"/>
        </w:r>
      </w:hyperlink>
    </w:p>
    <w:p w14:paraId="416CD49B" w14:textId="77777777" w:rsidR="000E60D4" w:rsidRDefault="00B9761F">
      <w:pPr>
        <w:pStyle w:val="TOC1"/>
        <w:rPr>
          <w:rFonts w:asciiTheme="minorHAnsi" w:eastAsiaTheme="minorEastAsia" w:hAnsiTheme="minorHAnsi" w:cstheme="minorBidi"/>
          <w:caps w:val="0"/>
          <w:noProof/>
          <w:szCs w:val="22"/>
          <w:lang w:eastAsia="en-GB"/>
        </w:rPr>
      </w:pPr>
      <w:hyperlink w:anchor="_Toc383464502" w:history="1">
        <w:r w:rsidR="000E60D4" w:rsidRPr="00820DA2">
          <w:rPr>
            <w:rStyle w:val="Hyperlink"/>
            <w:noProof/>
          </w:rPr>
          <w:t>4.</w:t>
        </w:r>
        <w:r w:rsidR="000E60D4">
          <w:rPr>
            <w:rFonts w:asciiTheme="minorHAnsi" w:eastAsiaTheme="minorEastAsia" w:hAnsiTheme="minorHAnsi" w:cstheme="minorBidi"/>
            <w:caps w:val="0"/>
            <w:noProof/>
            <w:szCs w:val="22"/>
            <w:lang w:eastAsia="en-GB"/>
          </w:rPr>
          <w:tab/>
        </w:r>
        <w:r w:rsidR="000E60D4" w:rsidRPr="00820DA2">
          <w:rPr>
            <w:rStyle w:val="Hyperlink"/>
            <w:noProof/>
          </w:rPr>
          <w:t>Background to requirement/OVERVIEW of requirement</w:t>
        </w:r>
        <w:r w:rsidR="000E60D4">
          <w:rPr>
            <w:noProof/>
            <w:webHidden/>
          </w:rPr>
          <w:tab/>
        </w:r>
        <w:r w:rsidR="00DA54AA">
          <w:rPr>
            <w:noProof/>
            <w:webHidden/>
          </w:rPr>
          <w:fldChar w:fldCharType="begin"/>
        </w:r>
        <w:r w:rsidR="000E60D4">
          <w:rPr>
            <w:noProof/>
            <w:webHidden/>
          </w:rPr>
          <w:instrText xml:space="preserve"> PAGEREF _Toc383464502 \h </w:instrText>
        </w:r>
        <w:r w:rsidR="00DA54AA">
          <w:rPr>
            <w:noProof/>
            <w:webHidden/>
          </w:rPr>
        </w:r>
        <w:r w:rsidR="00DA54AA">
          <w:rPr>
            <w:noProof/>
            <w:webHidden/>
          </w:rPr>
          <w:fldChar w:fldCharType="separate"/>
        </w:r>
        <w:r w:rsidR="000E60D4">
          <w:rPr>
            <w:noProof/>
            <w:webHidden/>
          </w:rPr>
          <w:t>2</w:t>
        </w:r>
        <w:r w:rsidR="00DA54AA">
          <w:rPr>
            <w:noProof/>
            <w:webHidden/>
          </w:rPr>
          <w:fldChar w:fldCharType="end"/>
        </w:r>
      </w:hyperlink>
    </w:p>
    <w:p w14:paraId="07251202" w14:textId="77777777" w:rsidR="000E60D4" w:rsidRDefault="00B9761F">
      <w:pPr>
        <w:pStyle w:val="TOC1"/>
        <w:rPr>
          <w:rFonts w:asciiTheme="minorHAnsi" w:eastAsiaTheme="minorEastAsia" w:hAnsiTheme="minorHAnsi" w:cstheme="minorBidi"/>
          <w:caps w:val="0"/>
          <w:noProof/>
          <w:szCs w:val="22"/>
          <w:lang w:eastAsia="en-GB"/>
        </w:rPr>
      </w:pPr>
      <w:hyperlink w:anchor="_Toc383464503" w:history="1">
        <w:r w:rsidR="000E60D4" w:rsidRPr="00820DA2">
          <w:rPr>
            <w:rStyle w:val="Hyperlink"/>
            <w:noProof/>
          </w:rPr>
          <w:t>5.</w:t>
        </w:r>
        <w:r w:rsidR="000E60D4">
          <w:rPr>
            <w:rFonts w:asciiTheme="minorHAnsi" w:eastAsiaTheme="minorEastAsia" w:hAnsiTheme="minorHAnsi" w:cstheme="minorBidi"/>
            <w:caps w:val="0"/>
            <w:noProof/>
            <w:szCs w:val="22"/>
            <w:lang w:eastAsia="en-GB"/>
          </w:rPr>
          <w:tab/>
        </w:r>
        <w:r w:rsidR="000E60D4" w:rsidRPr="00820DA2">
          <w:rPr>
            <w:rStyle w:val="Hyperlink"/>
            <w:noProof/>
          </w:rPr>
          <w:t>Scope of Requirements</w:t>
        </w:r>
        <w:r w:rsidR="000E60D4">
          <w:rPr>
            <w:noProof/>
            <w:webHidden/>
          </w:rPr>
          <w:tab/>
        </w:r>
        <w:r w:rsidR="00DA54AA">
          <w:rPr>
            <w:noProof/>
            <w:webHidden/>
          </w:rPr>
          <w:fldChar w:fldCharType="begin"/>
        </w:r>
        <w:r w:rsidR="000E60D4">
          <w:rPr>
            <w:noProof/>
            <w:webHidden/>
          </w:rPr>
          <w:instrText xml:space="preserve"> PAGEREF _Toc383464503 \h </w:instrText>
        </w:r>
        <w:r w:rsidR="00DA54AA">
          <w:rPr>
            <w:noProof/>
            <w:webHidden/>
          </w:rPr>
        </w:r>
        <w:r w:rsidR="00DA54AA">
          <w:rPr>
            <w:noProof/>
            <w:webHidden/>
          </w:rPr>
          <w:fldChar w:fldCharType="separate"/>
        </w:r>
        <w:r w:rsidR="000E60D4">
          <w:rPr>
            <w:noProof/>
            <w:webHidden/>
          </w:rPr>
          <w:t>2</w:t>
        </w:r>
        <w:r w:rsidR="00DA54AA">
          <w:rPr>
            <w:noProof/>
            <w:webHidden/>
          </w:rPr>
          <w:fldChar w:fldCharType="end"/>
        </w:r>
      </w:hyperlink>
    </w:p>
    <w:p w14:paraId="34308615" w14:textId="77777777" w:rsidR="000E60D4" w:rsidRDefault="00B9761F">
      <w:pPr>
        <w:pStyle w:val="TOC1"/>
        <w:rPr>
          <w:rFonts w:asciiTheme="minorHAnsi" w:eastAsiaTheme="minorEastAsia" w:hAnsiTheme="minorHAnsi" w:cstheme="minorBidi"/>
          <w:caps w:val="0"/>
          <w:noProof/>
          <w:szCs w:val="22"/>
          <w:lang w:eastAsia="en-GB"/>
        </w:rPr>
      </w:pPr>
      <w:hyperlink w:anchor="_Toc383464504" w:history="1">
        <w:r w:rsidR="000E60D4" w:rsidRPr="00820DA2">
          <w:rPr>
            <w:rStyle w:val="Hyperlink"/>
            <w:rFonts w:cs="Arial"/>
            <w:noProof/>
          </w:rPr>
          <w:t>6.</w:t>
        </w:r>
        <w:r w:rsidR="000E60D4">
          <w:rPr>
            <w:rFonts w:asciiTheme="minorHAnsi" w:eastAsiaTheme="minorEastAsia" w:hAnsiTheme="minorHAnsi" w:cstheme="minorBidi"/>
            <w:caps w:val="0"/>
            <w:noProof/>
            <w:szCs w:val="22"/>
            <w:lang w:eastAsia="en-GB"/>
          </w:rPr>
          <w:tab/>
        </w:r>
        <w:r w:rsidR="000E60D4" w:rsidRPr="00820DA2">
          <w:rPr>
            <w:rStyle w:val="Hyperlink"/>
            <w:rFonts w:cs="Arial"/>
            <w:noProof/>
          </w:rPr>
          <w:t>service levels and performance</w:t>
        </w:r>
        <w:r w:rsidR="000E60D4">
          <w:rPr>
            <w:noProof/>
            <w:webHidden/>
          </w:rPr>
          <w:tab/>
        </w:r>
        <w:r w:rsidR="00DA54AA">
          <w:rPr>
            <w:noProof/>
            <w:webHidden/>
          </w:rPr>
          <w:fldChar w:fldCharType="begin"/>
        </w:r>
        <w:r w:rsidR="000E60D4">
          <w:rPr>
            <w:noProof/>
            <w:webHidden/>
          </w:rPr>
          <w:instrText xml:space="preserve"> PAGEREF _Toc383464504 \h </w:instrText>
        </w:r>
        <w:r w:rsidR="00DA54AA">
          <w:rPr>
            <w:noProof/>
            <w:webHidden/>
          </w:rPr>
        </w:r>
        <w:r w:rsidR="00DA54AA">
          <w:rPr>
            <w:noProof/>
            <w:webHidden/>
          </w:rPr>
          <w:fldChar w:fldCharType="separate"/>
        </w:r>
        <w:r w:rsidR="000E60D4">
          <w:rPr>
            <w:noProof/>
            <w:webHidden/>
          </w:rPr>
          <w:t>3</w:t>
        </w:r>
        <w:r w:rsidR="00DA54AA">
          <w:rPr>
            <w:noProof/>
            <w:webHidden/>
          </w:rPr>
          <w:fldChar w:fldCharType="end"/>
        </w:r>
      </w:hyperlink>
    </w:p>
    <w:p w14:paraId="4494A5AD" w14:textId="77777777" w:rsidR="000E60D4" w:rsidRPr="000756DE" w:rsidRDefault="00B9761F">
      <w:pPr>
        <w:pStyle w:val="TOC1"/>
        <w:rPr>
          <w:rFonts w:asciiTheme="minorHAnsi" w:eastAsiaTheme="minorEastAsia" w:hAnsiTheme="minorHAnsi" w:cstheme="minorBidi"/>
          <w:caps w:val="0"/>
          <w:noProof/>
          <w:szCs w:val="22"/>
          <w:lang w:eastAsia="en-GB"/>
        </w:rPr>
      </w:pPr>
      <w:hyperlink w:anchor="_Toc383464505" w:history="1">
        <w:r w:rsidR="000E60D4" w:rsidRPr="000756DE">
          <w:rPr>
            <w:rStyle w:val="Hyperlink"/>
            <w:noProof/>
          </w:rPr>
          <w:t>7.</w:t>
        </w:r>
        <w:r w:rsidR="000E60D4" w:rsidRPr="000756DE">
          <w:rPr>
            <w:rFonts w:asciiTheme="minorHAnsi" w:eastAsiaTheme="minorEastAsia" w:hAnsiTheme="minorHAnsi" w:cstheme="minorBidi"/>
            <w:caps w:val="0"/>
            <w:noProof/>
            <w:szCs w:val="22"/>
            <w:lang w:eastAsia="en-GB"/>
          </w:rPr>
          <w:tab/>
        </w:r>
        <w:r w:rsidR="000E60D4" w:rsidRPr="000756DE">
          <w:rPr>
            <w:rStyle w:val="Hyperlink"/>
            <w:noProof/>
          </w:rPr>
          <w:t>[Additional Requirements]</w:t>
        </w:r>
        <w:r w:rsidR="000E60D4" w:rsidRPr="000756DE">
          <w:rPr>
            <w:noProof/>
            <w:webHidden/>
          </w:rPr>
          <w:tab/>
        </w:r>
        <w:r w:rsidR="00DA54AA" w:rsidRPr="000756DE">
          <w:rPr>
            <w:noProof/>
            <w:webHidden/>
          </w:rPr>
          <w:fldChar w:fldCharType="begin"/>
        </w:r>
        <w:r w:rsidR="000E60D4" w:rsidRPr="000756DE">
          <w:rPr>
            <w:noProof/>
            <w:webHidden/>
          </w:rPr>
          <w:instrText xml:space="preserve"> PAGEREF _Toc383464505 \h </w:instrText>
        </w:r>
        <w:r w:rsidR="00DA54AA" w:rsidRPr="000756DE">
          <w:rPr>
            <w:noProof/>
            <w:webHidden/>
          </w:rPr>
        </w:r>
        <w:r w:rsidR="00DA54AA" w:rsidRPr="000756DE">
          <w:rPr>
            <w:noProof/>
            <w:webHidden/>
          </w:rPr>
          <w:fldChar w:fldCharType="separate"/>
        </w:r>
        <w:r w:rsidR="000E60D4" w:rsidRPr="000756DE">
          <w:rPr>
            <w:noProof/>
            <w:webHidden/>
          </w:rPr>
          <w:t>4</w:t>
        </w:r>
        <w:r w:rsidR="00DA54AA" w:rsidRPr="000756DE">
          <w:rPr>
            <w:noProof/>
            <w:webHidden/>
          </w:rPr>
          <w:fldChar w:fldCharType="end"/>
        </w:r>
      </w:hyperlink>
    </w:p>
    <w:p w14:paraId="6A8F5376" w14:textId="003365A7" w:rsidR="000E60D4" w:rsidRPr="000756DE" w:rsidRDefault="00B9761F" w:rsidP="00B9761F">
      <w:pPr>
        <w:pStyle w:val="TOC1"/>
        <w:rPr>
          <w:rFonts w:asciiTheme="minorHAnsi" w:eastAsiaTheme="minorEastAsia" w:hAnsiTheme="minorHAnsi" w:cstheme="minorBidi"/>
          <w:caps w:val="0"/>
          <w:noProof/>
          <w:szCs w:val="22"/>
          <w:lang w:eastAsia="en-GB"/>
        </w:rPr>
      </w:pPr>
      <w:hyperlink w:anchor="_Toc383464506" w:history="1">
        <w:r w:rsidR="000E60D4" w:rsidRPr="000756DE">
          <w:rPr>
            <w:rStyle w:val="Hyperlink"/>
            <w:noProof/>
          </w:rPr>
          <w:t>8.</w:t>
        </w:r>
        <w:r w:rsidR="000E60D4" w:rsidRPr="000756DE">
          <w:rPr>
            <w:rFonts w:asciiTheme="minorHAnsi" w:eastAsiaTheme="minorEastAsia" w:hAnsiTheme="minorHAnsi" w:cstheme="minorBidi"/>
            <w:caps w:val="0"/>
            <w:noProof/>
            <w:szCs w:val="22"/>
            <w:lang w:eastAsia="en-GB"/>
          </w:rPr>
          <w:tab/>
        </w:r>
        <w:r w:rsidR="000E60D4" w:rsidRPr="000756DE">
          <w:rPr>
            <w:rStyle w:val="Hyperlink"/>
            <w:noProof/>
          </w:rPr>
          <w:t>[Location]</w:t>
        </w:r>
        <w:r w:rsidR="000E60D4" w:rsidRPr="000756DE">
          <w:rPr>
            <w:noProof/>
            <w:webHidden/>
          </w:rPr>
          <w:tab/>
        </w:r>
        <w:r w:rsidR="00DA54AA" w:rsidRPr="000756DE">
          <w:rPr>
            <w:noProof/>
            <w:webHidden/>
          </w:rPr>
          <w:fldChar w:fldCharType="begin"/>
        </w:r>
        <w:r w:rsidR="000E60D4" w:rsidRPr="000756DE">
          <w:rPr>
            <w:noProof/>
            <w:webHidden/>
          </w:rPr>
          <w:instrText xml:space="preserve"> PAGEREF _Toc383464506 \h </w:instrText>
        </w:r>
        <w:r w:rsidR="00DA54AA" w:rsidRPr="000756DE">
          <w:rPr>
            <w:noProof/>
            <w:webHidden/>
          </w:rPr>
        </w:r>
        <w:r w:rsidR="00DA54AA" w:rsidRPr="000756DE">
          <w:rPr>
            <w:noProof/>
            <w:webHidden/>
          </w:rPr>
          <w:fldChar w:fldCharType="separate"/>
        </w:r>
        <w:r w:rsidR="000E60D4" w:rsidRPr="000756DE">
          <w:rPr>
            <w:noProof/>
            <w:webHidden/>
          </w:rPr>
          <w:t>5</w:t>
        </w:r>
        <w:r w:rsidR="00DA54AA" w:rsidRPr="000756DE">
          <w:rPr>
            <w:noProof/>
            <w:webHidden/>
          </w:rPr>
          <w:fldChar w:fldCharType="end"/>
        </w:r>
      </w:hyperlink>
    </w:p>
    <w:p w14:paraId="1781C9DC" w14:textId="77777777" w:rsidR="000E60D4" w:rsidRDefault="00B9761F">
      <w:pPr>
        <w:pStyle w:val="TOC1"/>
        <w:rPr>
          <w:rFonts w:asciiTheme="minorHAnsi" w:eastAsiaTheme="minorEastAsia" w:hAnsiTheme="minorHAnsi" w:cstheme="minorBidi"/>
          <w:caps w:val="0"/>
          <w:noProof/>
          <w:szCs w:val="22"/>
          <w:lang w:eastAsia="en-GB"/>
        </w:rPr>
      </w:pPr>
      <w:hyperlink w:anchor="_Toc383464508" w:history="1">
        <w:r w:rsidR="000E60D4" w:rsidRPr="000756DE">
          <w:rPr>
            <w:rStyle w:val="Hyperlink"/>
            <w:noProof/>
          </w:rPr>
          <w:t>10.</w:t>
        </w:r>
        <w:r w:rsidR="000E60D4" w:rsidRPr="000756DE">
          <w:rPr>
            <w:rFonts w:asciiTheme="minorHAnsi" w:eastAsiaTheme="minorEastAsia" w:hAnsiTheme="minorHAnsi" w:cstheme="minorBidi"/>
            <w:caps w:val="0"/>
            <w:noProof/>
            <w:szCs w:val="22"/>
            <w:lang w:eastAsia="en-GB"/>
          </w:rPr>
          <w:tab/>
        </w:r>
        <w:r w:rsidR="000E60D4" w:rsidRPr="000756DE">
          <w:rPr>
            <w:rStyle w:val="Hyperlink"/>
            <w:noProof/>
          </w:rPr>
          <w:t>[PROJECT TIMETABLE]</w:t>
        </w:r>
        <w:r w:rsidR="000E60D4" w:rsidRPr="000756DE">
          <w:rPr>
            <w:noProof/>
            <w:webHidden/>
          </w:rPr>
          <w:tab/>
        </w:r>
        <w:r w:rsidR="00DA54AA" w:rsidRPr="000756DE">
          <w:rPr>
            <w:noProof/>
            <w:webHidden/>
          </w:rPr>
          <w:fldChar w:fldCharType="begin"/>
        </w:r>
        <w:r w:rsidR="000E60D4" w:rsidRPr="000756DE">
          <w:rPr>
            <w:noProof/>
            <w:webHidden/>
          </w:rPr>
          <w:instrText xml:space="preserve"> PAGEREF _Toc383464508 \h </w:instrText>
        </w:r>
        <w:r w:rsidR="00DA54AA" w:rsidRPr="000756DE">
          <w:rPr>
            <w:noProof/>
            <w:webHidden/>
          </w:rPr>
        </w:r>
        <w:r w:rsidR="00DA54AA" w:rsidRPr="000756DE">
          <w:rPr>
            <w:noProof/>
            <w:webHidden/>
          </w:rPr>
          <w:fldChar w:fldCharType="separate"/>
        </w:r>
        <w:r w:rsidR="000E60D4" w:rsidRPr="000756DE">
          <w:rPr>
            <w:noProof/>
            <w:webHidden/>
          </w:rPr>
          <w:t>5</w:t>
        </w:r>
        <w:r w:rsidR="00DA54AA" w:rsidRPr="000756DE">
          <w:rPr>
            <w:noProof/>
            <w:webHidden/>
          </w:rPr>
          <w:fldChar w:fldCharType="end"/>
        </w:r>
      </w:hyperlink>
    </w:p>
    <w:p w14:paraId="6929B74A" w14:textId="77777777" w:rsidR="00FA5229" w:rsidRPr="00D37BAC" w:rsidRDefault="00DA54AA" w:rsidP="00FA5229">
      <w:pPr>
        <w:spacing w:after="120"/>
        <w:jc w:val="center"/>
        <w:rPr>
          <w:b/>
        </w:rPr>
      </w:pPr>
      <w:r w:rsidRPr="00FA5229">
        <w:rPr>
          <w:rFonts w:cs="Arial"/>
          <w:caps/>
        </w:rPr>
        <w:fldChar w:fldCharType="end"/>
      </w:r>
    </w:p>
    <w:p w14:paraId="00697ED5" w14:textId="77777777" w:rsidR="001530F5" w:rsidRPr="001530F5" w:rsidRDefault="00FA5229" w:rsidP="001530F5">
      <w:pPr>
        <w:pStyle w:val="Heading1"/>
        <w:tabs>
          <w:tab w:val="clear" w:pos="720"/>
        </w:tabs>
        <w:overflowPunct w:val="0"/>
        <w:autoSpaceDE w:val="0"/>
        <w:autoSpaceDN w:val="0"/>
        <w:spacing w:after="120"/>
        <w:textAlignment w:val="baseline"/>
        <w:rPr>
          <w:szCs w:val="22"/>
        </w:rPr>
      </w:pPr>
      <w:bookmarkStart w:id="1" w:name="_Toc297554772"/>
      <w:bookmarkEnd w:id="0"/>
      <w:r>
        <w:rPr>
          <w:caps w:val="0"/>
          <w:szCs w:val="22"/>
        </w:rPr>
        <w:br w:type="page"/>
      </w:r>
      <w:bookmarkStart w:id="2" w:name="_Toc383464499"/>
      <w:r w:rsidR="001530F5">
        <w:rPr>
          <w:caps w:val="0"/>
          <w:szCs w:val="22"/>
        </w:rPr>
        <w:lastRenderedPageBreak/>
        <w:t>INTRODUCTION</w:t>
      </w:r>
      <w:bookmarkEnd w:id="2"/>
      <w:r w:rsidR="001530F5">
        <w:rPr>
          <w:caps w:val="0"/>
          <w:szCs w:val="22"/>
        </w:rPr>
        <w:tab/>
      </w:r>
    </w:p>
    <w:p w14:paraId="6A3368E6" w14:textId="77777777" w:rsidR="00A74A55" w:rsidRPr="0097330A" w:rsidRDefault="002C641D" w:rsidP="001530F5">
      <w:pPr>
        <w:pStyle w:val="Heading2"/>
        <w:tabs>
          <w:tab w:val="clear" w:pos="720"/>
        </w:tabs>
        <w:overflowPunct w:val="0"/>
        <w:autoSpaceDE w:val="0"/>
        <w:autoSpaceDN w:val="0"/>
        <w:spacing w:after="120"/>
        <w:textAlignment w:val="baseline"/>
        <w:rPr>
          <w:szCs w:val="22"/>
        </w:rPr>
      </w:pPr>
      <w:r w:rsidRPr="0097330A">
        <w:rPr>
          <w:szCs w:val="22"/>
        </w:rPr>
        <w:t>The Department for Transport’s Renewable Transport Fuel Obligation Unit is responsible for administering the</w:t>
      </w:r>
      <w:r w:rsidRPr="0097330A">
        <w:rPr>
          <w:rFonts w:eastAsia="SimSun"/>
          <w:szCs w:val="22"/>
        </w:rPr>
        <w:t xml:space="preserve"> </w:t>
      </w:r>
      <w:r w:rsidRPr="0097330A">
        <w:rPr>
          <w:szCs w:val="22"/>
        </w:rPr>
        <w:t>Renewable Transport Fuel Obligations Order</w:t>
      </w:r>
      <w:r w:rsidR="00E70FC7" w:rsidRPr="0097330A">
        <w:rPr>
          <w:szCs w:val="22"/>
        </w:rPr>
        <w:t>. This</w:t>
      </w:r>
      <w:r w:rsidRPr="0097330A">
        <w:rPr>
          <w:szCs w:val="22"/>
        </w:rPr>
        <w:t xml:space="preserve"> requirement seeks to </w:t>
      </w:r>
      <w:r w:rsidR="00E70FC7" w:rsidRPr="0097330A">
        <w:rPr>
          <w:szCs w:val="22"/>
        </w:rPr>
        <w:t>gain a better understanding of dioxin contamination in the biofuel supply chain and the potential effects this may have on air quality.</w:t>
      </w:r>
      <w:r w:rsidRPr="0097330A">
        <w:rPr>
          <w:szCs w:val="22"/>
        </w:rPr>
        <w:t xml:space="preserve">  </w:t>
      </w:r>
    </w:p>
    <w:p w14:paraId="514C303F" w14:textId="77777777" w:rsidR="00BD21D6" w:rsidRPr="00847C33" w:rsidRDefault="00BD21D6" w:rsidP="00BD21D6">
      <w:pPr>
        <w:pStyle w:val="Heading2"/>
        <w:numPr>
          <w:ilvl w:val="0"/>
          <w:numId w:val="0"/>
        </w:numPr>
        <w:overflowPunct w:val="0"/>
        <w:autoSpaceDE w:val="0"/>
        <w:autoSpaceDN w:val="0"/>
        <w:spacing w:after="120"/>
        <w:ind w:left="720"/>
        <w:textAlignment w:val="baseline"/>
        <w:rPr>
          <w:szCs w:val="22"/>
          <w:highlight w:val="yellow"/>
        </w:rPr>
      </w:pPr>
    </w:p>
    <w:p w14:paraId="72E3D04D" w14:textId="77777777" w:rsidR="00E35542" w:rsidRPr="00847C33" w:rsidRDefault="002C546C" w:rsidP="00FD080D">
      <w:pPr>
        <w:pStyle w:val="Heading1"/>
        <w:tabs>
          <w:tab w:val="clear" w:pos="720"/>
        </w:tabs>
        <w:overflowPunct w:val="0"/>
        <w:autoSpaceDE w:val="0"/>
        <w:autoSpaceDN w:val="0"/>
        <w:spacing w:after="120"/>
        <w:textAlignment w:val="baseline"/>
        <w:rPr>
          <w:szCs w:val="22"/>
        </w:rPr>
      </w:pPr>
      <w:bookmarkStart w:id="3" w:name="_Toc383464500"/>
      <w:r w:rsidRPr="00847C33">
        <w:rPr>
          <w:caps w:val="0"/>
          <w:szCs w:val="22"/>
        </w:rPr>
        <w:t>PURPOSE</w:t>
      </w:r>
      <w:bookmarkEnd w:id="1"/>
      <w:bookmarkEnd w:id="3"/>
    </w:p>
    <w:p w14:paraId="28BB1E00" w14:textId="77777777" w:rsidR="000E05CD" w:rsidRPr="0097330A" w:rsidRDefault="000E44F2" w:rsidP="000E44F2">
      <w:pPr>
        <w:pStyle w:val="Heading2"/>
        <w:rPr>
          <w:szCs w:val="22"/>
        </w:rPr>
      </w:pPr>
      <w:bookmarkStart w:id="4" w:name="_Toc296415791"/>
      <w:r w:rsidRPr="0097330A">
        <w:rPr>
          <w:rFonts w:eastAsia="Times New Roman" w:cs="Arial"/>
          <w:szCs w:val="22"/>
          <w:lang w:eastAsia="en-US"/>
        </w:rPr>
        <w:t xml:space="preserve">The </w:t>
      </w:r>
      <w:proofErr w:type="spellStart"/>
      <w:r w:rsidRPr="0097330A">
        <w:rPr>
          <w:rFonts w:eastAsia="Times New Roman" w:cs="Arial"/>
          <w:szCs w:val="22"/>
          <w:lang w:eastAsia="en-US"/>
        </w:rPr>
        <w:t>DfT</w:t>
      </w:r>
      <w:proofErr w:type="spellEnd"/>
      <w:r w:rsidRPr="0097330A">
        <w:rPr>
          <w:rFonts w:eastAsia="Times New Roman" w:cs="Arial"/>
          <w:szCs w:val="22"/>
          <w:lang w:eastAsia="en-US"/>
        </w:rPr>
        <w:t xml:space="preserve"> operate a process to recognise new waste biofuel </w:t>
      </w:r>
      <w:proofErr w:type="spellStart"/>
      <w:r w:rsidRPr="0097330A">
        <w:rPr>
          <w:rFonts w:eastAsia="Times New Roman" w:cs="Arial"/>
          <w:szCs w:val="22"/>
          <w:lang w:eastAsia="en-US"/>
        </w:rPr>
        <w:t>feedstocks</w:t>
      </w:r>
      <w:proofErr w:type="spellEnd"/>
      <w:r w:rsidRPr="0097330A">
        <w:rPr>
          <w:rFonts w:eastAsia="Times New Roman" w:cs="Arial"/>
          <w:szCs w:val="22"/>
          <w:lang w:eastAsia="en-US"/>
        </w:rPr>
        <w:t xml:space="preserve"> that benefit from double counting. This means that two renewable transport fuel certificates are eligible per litre of fuel supplied</w:t>
      </w:r>
      <w:r w:rsidRPr="0097330A">
        <w:rPr>
          <w:szCs w:val="22"/>
        </w:rPr>
        <w:t xml:space="preserve">. Economic operators look to find novel waste materials to convert into biofuel. The </w:t>
      </w:r>
      <w:proofErr w:type="spellStart"/>
      <w:r w:rsidRPr="0097330A">
        <w:rPr>
          <w:szCs w:val="22"/>
        </w:rPr>
        <w:t>DfT</w:t>
      </w:r>
      <w:proofErr w:type="spellEnd"/>
      <w:r w:rsidRPr="0097330A">
        <w:rPr>
          <w:szCs w:val="22"/>
        </w:rPr>
        <w:t xml:space="preserve"> are aware that some of this material has been contaminated with, or is at risk of being contaminated with, a number of potentially harmful compounds.</w:t>
      </w:r>
      <w:r w:rsidR="00654C55" w:rsidRPr="0097330A">
        <w:rPr>
          <w:szCs w:val="22"/>
        </w:rPr>
        <w:t xml:space="preserve"> </w:t>
      </w:r>
      <w:r w:rsidR="00E70FC7" w:rsidRPr="0097330A">
        <w:rPr>
          <w:szCs w:val="22"/>
        </w:rPr>
        <w:t>T</w:t>
      </w:r>
      <w:r w:rsidRPr="0097330A">
        <w:rPr>
          <w:szCs w:val="22"/>
        </w:rPr>
        <w:t>his</w:t>
      </w:r>
      <w:r w:rsidR="00E70FC7" w:rsidRPr="0097330A">
        <w:rPr>
          <w:szCs w:val="22"/>
        </w:rPr>
        <w:t xml:space="preserve"> requirement aims to gain a greater understanding of contaminants entering biofuel production pathways</w:t>
      </w:r>
      <w:r w:rsidR="000E05CD" w:rsidRPr="0097330A">
        <w:rPr>
          <w:szCs w:val="22"/>
        </w:rPr>
        <w:t xml:space="preserve">. </w:t>
      </w:r>
      <w:r w:rsidR="00C30AF0" w:rsidRPr="0097330A">
        <w:rPr>
          <w:szCs w:val="22"/>
        </w:rPr>
        <w:t>Primary objectives</w:t>
      </w:r>
      <w:r w:rsidR="000E05CD" w:rsidRPr="0097330A">
        <w:rPr>
          <w:szCs w:val="22"/>
        </w:rPr>
        <w:t xml:space="preserve"> as follows;</w:t>
      </w:r>
    </w:p>
    <w:p w14:paraId="2D7A9B93" w14:textId="77777777" w:rsidR="00A74A55" w:rsidRPr="0097330A" w:rsidRDefault="000E05CD" w:rsidP="006007CB">
      <w:pPr>
        <w:pStyle w:val="Heading2"/>
        <w:numPr>
          <w:ilvl w:val="0"/>
          <w:numId w:val="26"/>
        </w:numPr>
        <w:overflowPunct w:val="0"/>
        <w:autoSpaceDE w:val="0"/>
        <w:autoSpaceDN w:val="0"/>
        <w:spacing w:after="120"/>
        <w:textAlignment w:val="baseline"/>
        <w:rPr>
          <w:szCs w:val="22"/>
        </w:rPr>
      </w:pPr>
      <w:r w:rsidRPr="0097330A">
        <w:rPr>
          <w:szCs w:val="22"/>
        </w:rPr>
        <w:t xml:space="preserve">Establish the potential sources and origins of dioxins in biofuel </w:t>
      </w:r>
      <w:proofErr w:type="spellStart"/>
      <w:r w:rsidRPr="0097330A">
        <w:rPr>
          <w:szCs w:val="22"/>
        </w:rPr>
        <w:t>feedstocks</w:t>
      </w:r>
      <w:proofErr w:type="spellEnd"/>
    </w:p>
    <w:p w14:paraId="53AF2B5F" w14:textId="77777777" w:rsidR="000E05CD" w:rsidRPr="0097330A" w:rsidRDefault="000E05CD" w:rsidP="006007CB">
      <w:pPr>
        <w:pStyle w:val="Heading2"/>
        <w:numPr>
          <w:ilvl w:val="0"/>
          <w:numId w:val="26"/>
        </w:numPr>
        <w:overflowPunct w:val="0"/>
        <w:autoSpaceDE w:val="0"/>
        <w:autoSpaceDN w:val="0"/>
        <w:spacing w:after="120"/>
        <w:textAlignment w:val="baseline"/>
        <w:rPr>
          <w:szCs w:val="22"/>
        </w:rPr>
      </w:pPr>
      <w:r w:rsidRPr="0097330A">
        <w:rPr>
          <w:szCs w:val="22"/>
        </w:rPr>
        <w:t xml:space="preserve">Identify those </w:t>
      </w:r>
      <w:proofErr w:type="spellStart"/>
      <w:r w:rsidRPr="0097330A">
        <w:rPr>
          <w:szCs w:val="22"/>
        </w:rPr>
        <w:t>feedstocks</w:t>
      </w:r>
      <w:proofErr w:type="spellEnd"/>
      <w:r w:rsidRPr="0097330A">
        <w:rPr>
          <w:szCs w:val="22"/>
        </w:rPr>
        <w:t xml:space="preserve"> most at risk of dioxin contamination</w:t>
      </w:r>
    </w:p>
    <w:p w14:paraId="021FB49B" w14:textId="77777777" w:rsidR="00E071F6" w:rsidRPr="0097330A" w:rsidRDefault="00E071F6" w:rsidP="006007CB">
      <w:pPr>
        <w:pStyle w:val="ListParagraph"/>
        <w:numPr>
          <w:ilvl w:val="0"/>
          <w:numId w:val="26"/>
        </w:numPr>
      </w:pPr>
      <w:r w:rsidRPr="0097330A">
        <w:rPr>
          <w:iCs/>
        </w:rPr>
        <w:t>Establish the expected range of dioxin presence in a feedstock known to be contaminated</w:t>
      </w:r>
    </w:p>
    <w:p w14:paraId="156050AA" w14:textId="77777777" w:rsidR="00E071F6" w:rsidRPr="0097330A" w:rsidRDefault="00C30AF0" w:rsidP="006007CB">
      <w:pPr>
        <w:pStyle w:val="Heading2"/>
        <w:numPr>
          <w:ilvl w:val="0"/>
          <w:numId w:val="26"/>
        </w:numPr>
        <w:overflowPunct w:val="0"/>
        <w:autoSpaceDE w:val="0"/>
        <w:autoSpaceDN w:val="0"/>
        <w:spacing w:after="120"/>
        <w:textAlignment w:val="baseline"/>
        <w:rPr>
          <w:szCs w:val="22"/>
        </w:rPr>
      </w:pPr>
      <w:r w:rsidRPr="0097330A">
        <w:rPr>
          <w:szCs w:val="22"/>
        </w:rPr>
        <w:t xml:space="preserve">Determine, through mathematical modelling, how much </w:t>
      </w:r>
      <w:r w:rsidR="007D4BD4" w:rsidRPr="0097330A">
        <w:rPr>
          <w:szCs w:val="22"/>
        </w:rPr>
        <w:t>of the dioxin could be transferr</w:t>
      </w:r>
      <w:r w:rsidRPr="0097330A">
        <w:rPr>
          <w:szCs w:val="22"/>
        </w:rPr>
        <w:t>ed into the finished fuel</w:t>
      </w:r>
      <w:r w:rsidR="007D4BD4" w:rsidRPr="0097330A">
        <w:rPr>
          <w:szCs w:val="22"/>
        </w:rPr>
        <w:t>.</w:t>
      </w:r>
    </w:p>
    <w:p w14:paraId="2B033FA3" w14:textId="77777777" w:rsidR="00BD21D6" w:rsidRPr="00847C33" w:rsidRDefault="00BD21D6" w:rsidP="00BD21D6">
      <w:pPr>
        <w:pStyle w:val="Heading2"/>
        <w:numPr>
          <w:ilvl w:val="0"/>
          <w:numId w:val="0"/>
        </w:numPr>
        <w:overflowPunct w:val="0"/>
        <w:autoSpaceDE w:val="0"/>
        <w:autoSpaceDN w:val="0"/>
        <w:spacing w:after="120"/>
        <w:ind w:left="720"/>
        <w:textAlignment w:val="baseline"/>
        <w:rPr>
          <w:szCs w:val="22"/>
          <w:highlight w:val="yellow"/>
        </w:rPr>
      </w:pPr>
    </w:p>
    <w:p w14:paraId="36AD0B56" w14:textId="77777777" w:rsidR="000C73A3" w:rsidRPr="00847C33" w:rsidRDefault="000C73A3" w:rsidP="00FD080D">
      <w:pPr>
        <w:pStyle w:val="Heading1"/>
        <w:tabs>
          <w:tab w:val="clear" w:pos="720"/>
        </w:tabs>
        <w:overflowPunct w:val="0"/>
        <w:autoSpaceDE w:val="0"/>
        <w:autoSpaceDN w:val="0"/>
        <w:spacing w:after="120"/>
        <w:textAlignment w:val="baseline"/>
        <w:rPr>
          <w:szCs w:val="22"/>
        </w:rPr>
      </w:pPr>
      <w:bookmarkStart w:id="5" w:name="_Toc383464501"/>
      <w:bookmarkStart w:id="6" w:name="_Toc297554773"/>
      <w:bookmarkStart w:id="7" w:name="_Toc296415805"/>
      <w:bookmarkStart w:id="8" w:name="_Toc296415793"/>
      <w:bookmarkEnd w:id="4"/>
      <w:r w:rsidRPr="00847C33">
        <w:rPr>
          <w:szCs w:val="22"/>
        </w:rPr>
        <w:t>background to the authority</w:t>
      </w:r>
      <w:bookmarkEnd w:id="5"/>
    </w:p>
    <w:p w14:paraId="3883FE1F" w14:textId="62AF29DD" w:rsidR="00BD21D6" w:rsidRPr="00833FB4" w:rsidRDefault="00654C55" w:rsidP="00833FB4">
      <w:pPr>
        <w:pStyle w:val="Heading2"/>
      </w:pPr>
      <w:r w:rsidRPr="0097330A">
        <w:t xml:space="preserve">The Renewable Transport Fuel Obligation (RTFO) supports the government’s policy on reducing greenhouse gas emissions from vehicles </w:t>
      </w:r>
      <w:r w:rsidR="007F2856" w:rsidRPr="0097330A">
        <w:t xml:space="preserve">and non-road mobile machinery </w:t>
      </w:r>
      <w:r w:rsidRPr="0097330A">
        <w:t>by encouraging the production of biofuels that don’t damage the environment.</w:t>
      </w:r>
      <w:r w:rsidR="007F2856" w:rsidRPr="0097330A">
        <w:t xml:space="preserve"> The RTFO Unit sits within the</w:t>
      </w:r>
      <w:r w:rsidR="00AA48AD" w:rsidRPr="0097330A">
        <w:t xml:space="preserve"> Low Carbon Fuels</w:t>
      </w:r>
      <w:r w:rsidR="007F2856" w:rsidRPr="0097330A">
        <w:t xml:space="preserve"> </w:t>
      </w:r>
      <w:r w:rsidR="00EF3BFA" w:rsidRPr="0097330A">
        <w:t xml:space="preserve">Division </w:t>
      </w:r>
      <w:r w:rsidR="007F2856" w:rsidRPr="0097330A">
        <w:t>of the Department for Transport</w:t>
      </w:r>
      <w:r w:rsidR="00AA48AD" w:rsidRPr="0097330A">
        <w:t>’s</w:t>
      </w:r>
      <w:r w:rsidR="00EF3BFA" w:rsidRPr="0097330A">
        <w:t xml:space="preserve"> Energy</w:t>
      </w:r>
      <w:r w:rsidR="007D4BD4" w:rsidRPr="0097330A">
        <w:t>,</w:t>
      </w:r>
      <w:r w:rsidR="00EF3BFA" w:rsidRPr="0097330A">
        <w:t xml:space="preserve"> Technology &amp; International Directorate</w:t>
      </w:r>
      <w:r w:rsidR="007F2856" w:rsidRPr="0097330A">
        <w:t>.</w:t>
      </w:r>
      <w:bookmarkStart w:id="9" w:name="_Toc297554774"/>
      <w:bookmarkEnd w:id="6"/>
      <w:bookmarkEnd w:id="7"/>
    </w:p>
    <w:p w14:paraId="3AB8B298" w14:textId="77777777" w:rsidR="00BD21D6" w:rsidRPr="00A74A55" w:rsidRDefault="00BD21D6" w:rsidP="00BD21D6">
      <w:pPr>
        <w:pStyle w:val="Heading2"/>
        <w:numPr>
          <w:ilvl w:val="0"/>
          <w:numId w:val="0"/>
        </w:numPr>
        <w:spacing w:after="120"/>
        <w:ind w:left="720"/>
        <w:rPr>
          <w:highlight w:val="green"/>
        </w:rPr>
      </w:pPr>
    </w:p>
    <w:p w14:paraId="5AA8480F" w14:textId="77777777" w:rsidR="00460E5D" w:rsidRDefault="00DA54F8" w:rsidP="00460E5D">
      <w:pPr>
        <w:pStyle w:val="Heading1"/>
      </w:pPr>
      <w:bookmarkStart w:id="10" w:name="_Toc383464503"/>
      <w:bookmarkEnd w:id="9"/>
      <w:bookmarkEnd w:id="8"/>
      <w:r>
        <w:t xml:space="preserve">Scope of </w:t>
      </w:r>
      <w:r w:rsidR="00460E5D">
        <w:t>Requirements</w:t>
      </w:r>
      <w:bookmarkEnd w:id="10"/>
    </w:p>
    <w:p w14:paraId="04E1554C" w14:textId="77777777" w:rsidR="006007CB" w:rsidRPr="0097330A" w:rsidRDefault="00B16D14" w:rsidP="0097330A">
      <w:pPr>
        <w:pStyle w:val="Heading2"/>
        <w:numPr>
          <w:ilvl w:val="0"/>
          <w:numId w:val="0"/>
        </w:numPr>
      </w:pPr>
      <w:r w:rsidRPr="0097330A">
        <w:t xml:space="preserve">What is to </w:t>
      </w:r>
      <w:r w:rsidR="00743607" w:rsidRPr="0097330A">
        <w:t xml:space="preserve">be </w:t>
      </w:r>
      <w:r w:rsidRPr="0097330A">
        <w:t xml:space="preserve">delivered / </w:t>
      </w:r>
      <w:r w:rsidR="00CC3237" w:rsidRPr="0097330A">
        <w:t xml:space="preserve">outputs expectations </w:t>
      </w:r>
    </w:p>
    <w:p w14:paraId="53920306" w14:textId="77777777" w:rsidR="006007CB" w:rsidRPr="0097330A" w:rsidRDefault="00743607" w:rsidP="006007CB">
      <w:pPr>
        <w:pStyle w:val="Heading2"/>
      </w:pPr>
      <w:r w:rsidRPr="0097330A">
        <w:t>A narrative literature review</w:t>
      </w:r>
      <w:r w:rsidR="000B430B" w:rsidRPr="0097330A">
        <w:t xml:space="preserve"> addressing</w:t>
      </w:r>
      <w:r w:rsidR="006007CB" w:rsidRPr="0097330A">
        <w:t>;</w:t>
      </w:r>
      <w:r w:rsidRPr="0097330A">
        <w:t xml:space="preserve"> </w:t>
      </w:r>
    </w:p>
    <w:p w14:paraId="238AE2C9" w14:textId="77777777" w:rsidR="000B430B" w:rsidRPr="0097330A" w:rsidRDefault="000B430B" w:rsidP="006007CB">
      <w:pPr>
        <w:pStyle w:val="Heading2"/>
        <w:numPr>
          <w:ilvl w:val="0"/>
          <w:numId w:val="29"/>
        </w:numPr>
      </w:pPr>
      <w:r w:rsidRPr="0097330A">
        <w:rPr>
          <w:iCs/>
        </w:rPr>
        <w:t>P</w:t>
      </w:r>
      <w:r w:rsidR="00743607" w:rsidRPr="0097330A">
        <w:rPr>
          <w:iCs/>
        </w:rPr>
        <w:t>otential sources of dioxin</w:t>
      </w:r>
      <w:r w:rsidR="00366AAF" w:rsidRPr="0097330A">
        <w:rPr>
          <w:iCs/>
        </w:rPr>
        <w:t>(</w:t>
      </w:r>
      <w:r w:rsidR="00743607" w:rsidRPr="0097330A">
        <w:rPr>
          <w:iCs/>
        </w:rPr>
        <w:t>s</w:t>
      </w:r>
      <w:r w:rsidR="00366AAF" w:rsidRPr="0097330A">
        <w:rPr>
          <w:iCs/>
        </w:rPr>
        <w:t>)</w:t>
      </w:r>
      <w:r w:rsidR="00743607" w:rsidRPr="0097330A">
        <w:rPr>
          <w:iCs/>
        </w:rPr>
        <w:t xml:space="preserve"> </w:t>
      </w:r>
      <w:r w:rsidR="00366AAF" w:rsidRPr="0097330A">
        <w:rPr>
          <w:iCs/>
        </w:rPr>
        <w:t>and</w:t>
      </w:r>
      <w:r w:rsidR="00366AAF" w:rsidRPr="0097330A">
        <w:t xml:space="preserve"> possible sources of dioxin(s)</w:t>
      </w:r>
      <w:r w:rsidR="00366AAF" w:rsidRPr="0097330A">
        <w:rPr>
          <w:iCs/>
        </w:rPr>
        <w:t xml:space="preserve"> </w:t>
      </w:r>
      <w:r w:rsidR="00743607" w:rsidRPr="0097330A">
        <w:rPr>
          <w:iCs/>
        </w:rPr>
        <w:t xml:space="preserve">in biofuel </w:t>
      </w:r>
      <w:proofErr w:type="spellStart"/>
      <w:r w:rsidR="00743607" w:rsidRPr="0097330A">
        <w:rPr>
          <w:iCs/>
        </w:rPr>
        <w:t>feedstocks</w:t>
      </w:r>
      <w:proofErr w:type="spellEnd"/>
      <w:r w:rsidRPr="0097330A">
        <w:t>.</w:t>
      </w:r>
    </w:p>
    <w:p w14:paraId="222AF830" w14:textId="77777777" w:rsidR="000B430B" w:rsidRPr="0097330A" w:rsidRDefault="00FF5EE0" w:rsidP="006007CB">
      <w:pPr>
        <w:pStyle w:val="Heading2"/>
        <w:numPr>
          <w:ilvl w:val="0"/>
          <w:numId w:val="29"/>
        </w:numPr>
      </w:pPr>
      <w:r w:rsidRPr="0097330A">
        <w:rPr>
          <w:iCs/>
        </w:rPr>
        <w:t xml:space="preserve">Those </w:t>
      </w:r>
      <w:proofErr w:type="spellStart"/>
      <w:r w:rsidRPr="0097330A">
        <w:rPr>
          <w:iCs/>
        </w:rPr>
        <w:t>feedstocks</w:t>
      </w:r>
      <w:proofErr w:type="spellEnd"/>
      <w:r w:rsidRPr="0097330A">
        <w:rPr>
          <w:iCs/>
        </w:rPr>
        <w:t xml:space="preserve"> </w:t>
      </w:r>
      <w:r w:rsidR="006007CB" w:rsidRPr="0097330A">
        <w:rPr>
          <w:iCs/>
        </w:rPr>
        <w:t>most</w:t>
      </w:r>
      <w:r w:rsidR="000B430B" w:rsidRPr="0097330A">
        <w:rPr>
          <w:iCs/>
        </w:rPr>
        <w:t xml:space="preserve"> at risk of dioxin contamination and </w:t>
      </w:r>
      <w:r w:rsidR="006007CB" w:rsidRPr="0097330A">
        <w:rPr>
          <w:iCs/>
        </w:rPr>
        <w:t>the expected range of dioxin presence in a kno</w:t>
      </w:r>
      <w:r w:rsidRPr="0097330A">
        <w:rPr>
          <w:iCs/>
        </w:rPr>
        <w:t>wn to be contaminated feedstock.</w:t>
      </w:r>
      <w:r w:rsidR="00366AAF" w:rsidRPr="0097330A">
        <w:rPr>
          <w:iCs/>
        </w:rPr>
        <w:t xml:space="preserve"> </w:t>
      </w:r>
      <w:r w:rsidR="006007CB" w:rsidRPr="0097330A">
        <w:rPr>
          <w:iCs/>
        </w:rPr>
        <w:t xml:space="preserve"> </w:t>
      </w:r>
    </w:p>
    <w:p w14:paraId="658001A2" w14:textId="77777777" w:rsidR="00366AAF" w:rsidRPr="0097330A" w:rsidRDefault="00366AAF" w:rsidP="006007CB">
      <w:pPr>
        <w:pStyle w:val="Heading2"/>
        <w:numPr>
          <w:ilvl w:val="0"/>
          <w:numId w:val="29"/>
        </w:numPr>
      </w:pPr>
      <w:r w:rsidRPr="0097330A">
        <w:rPr>
          <w:iCs/>
        </w:rPr>
        <w:t>The concentrations that</w:t>
      </w:r>
      <w:r w:rsidR="000B430B" w:rsidRPr="0097330A">
        <w:rPr>
          <w:iCs/>
        </w:rPr>
        <w:t xml:space="preserve"> dioxins</w:t>
      </w:r>
      <w:r w:rsidR="006007CB" w:rsidRPr="0097330A">
        <w:rPr>
          <w:iCs/>
        </w:rPr>
        <w:t xml:space="preserve"> </w:t>
      </w:r>
      <w:r w:rsidRPr="0097330A">
        <w:rPr>
          <w:iCs/>
        </w:rPr>
        <w:t xml:space="preserve">can </w:t>
      </w:r>
      <w:r w:rsidR="006007CB" w:rsidRPr="0097330A">
        <w:rPr>
          <w:iCs/>
        </w:rPr>
        <w:t>reas</w:t>
      </w:r>
      <w:r w:rsidRPr="0097330A">
        <w:rPr>
          <w:iCs/>
        </w:rPr>
        <w:t xml:space="preserve">onably be expected to occur in biofuels. </w:t>
      </w:r>
    </w:p>
    <w:p w14:paraId="7ACB8687" w14:textId="77777777" w:rsidR="00366AAF" w:rsidRPr="0097330A" w:rsidRDefault="00366AAF" w:rsidP="006007CB">
      <w:pPr>
        <w:pStyle w:val="Heading2"/>
        <w:numPr>
          <w:ilvl w:val="0"/>
          <w:numId w:val="29"/>
        </w:numPr>
      </w:pPr>
      <w:r w:rsidRPr="0097330A">
        <w:rPr>
          <w:iCs/>
        </w:rPr>
        <w:t>S</w:t>
      </w:r>
      <w:r w:rsidR="006007CB" w:rsidRPr="0097330A">
        <w:rPr>
          <w:iCs/>
        </w:rPr>
        <w:t xml:space="preserve">pecific fuel production pathways that are most </w:t>
      </w:r>
      <w:r w:rsidR="00F90258" w:rsidRPr="0097330A">
        <w:rPr>
          <w:iCs/>
        </w:rPr>
        <w:t>susceptible to</w:t>
      </w:r>
      <w:r w:rsidR="006007CB" w:rsidRPr="0097330A">
        <w:rPr>
          <w:iCs/>
        </w:rPr>
        <w:t xml:space="preserve"> dioxins bei</w:t>
      </w:r>
      <w:r w:rsidRPr="0097330A">
        <w:rPr>
          <w:iCs/>
        </w:rPr>
        <w:t>ng present in the finished fuel.</w:t>
      </w:r>
      <w:r w:rsidR="006007CB" w:rsidRPr="0097330A">
        <w:rPr>
          <w:iCs/>
        </w:rPr>
        <w:t xml:space="preserve"> </w:t>
      </w:r>
    </w:p>
    <w:p w14:paraId="6CF4F1B6" w14:textId="77777777" w:rsidR="00F90258" w:rsidRPr="0097330A" w:rsidRDefault="00366AAF" w:rsidP="006007CB">
      <w:pPr>
        <w:pStyle w:val="Heading2"/>
        <w:numPr>
          <w:ilvl w:val="0"/>
          <w:numId w:val="29"/>
        </w:numPr>
      </w:pPr>
      <w:r w:rsidRPr="0097330A">
        <w:rPr>
          <w:iCs/>
        </w:rPr>
        <w:lastRenderedPageBreak/>
        <w:t>Whether certain</w:t>
      </w:r>
      <w:r w:rsidR="006007CB" w:rsidRPr="0097330A">
        <w:rPr>
          <w:iCs/>
        </w:rPr>
        <w:t xml:space="preserve"> </w:t>
      </w:r>
      <w:r w:rsidRPr="0097330A">
        <w:rPr>
          <w:iCs/>
        </w:rPr>
        <w:t>types of conversion plant c</w:t>
      </w:r>
      <w:r w:rsidR="006007CB" w:rsidRPr="0097330A">
        <w:rPr>
          <w:iCs/>
        </w:rPr>
        <w:t>ould r</w:t>
      </w:r>
      <w:r w:rsidR="00FF5EE0" w:rsidRPr="0097330A">
        <w:rPr>
          <w:iCs/>
        </w:rPr>
        <w:t>ule out the presence of dioxins, o</w:t>
      </w:r>
      <w:r w:rsidR="006007CB" w:rsidRPr="0097330A">
        <w:rPr>
          <w:iCs/>
        </w:rPr>
        <w:t>r others t</w:t>
      </w:r>
      <w:r w:rsidR="00FF5EE0" w:rsidRPr="0097330A">
        <w:rPr>
          <w:iCs/>
        </w:rPr>
        <w:t>hat would make them more likely.</w:t>
      </w:r>
      <w:r w:rsidR="006007CB" w:rsidRPr="0097330A">
        <w:rPr>
          <w:rFonts w:eastAsia="Times New Roman"/>
          <w:iCs/>
          <w:color w:val="000000"/>
          <w:sz w:val="24"/>
          <w:lang w:eastAsia="en-US"/>
        </w:rPr>
        <w:t xml:space="preserve"> </w:t>
      </w:r>
    </w:p>
    <w:p w14:paraId="0BE9B8F3" w14:textId="77777777" w:rsidR="00F90258" w:rsidRPr="0097330A" w:rsidRDefault="001F678A" w:rsidP="000539C7">
      <w:pPr>
        <w:pStyle w:val="Heading2"/>
        <w:numPr>
          <w:ilvl w:val="0"/>
          <w:numId w:val="29"/>
        </w:numPr>
      </w:pPr>
      <w:r w:rsidRPr="0097330A">
        <w:rPr>
          <w:iCs/>
        </w:rPr>
        <w:t>Whether there are</w:t>
      </w:r>
      <w:r w:rsidR="00FF5EE0" w:rsidRPr="0097330A">
        <w:rPr>
          <w:iCs/>
        </w:rPr>
        <w:t xml:space="preserve"> tests available that can</w:t>
      </w:r>
      <w:r w:rsidR="006007CB" w:rsidRPr="0097330A">
        <w:rPr>
          <w:iCs/>
        </w:rPr>
        <w:t xml:space="preserve"> ident</w:t>
      </w:r>
      <w:r w:rsidR="00FF5EE0" w:rsidRPr="0097330A">
        <w:rPr>
          <w:iCs/>
        </w:rPr>
        <w:t>ify dioxin presence in the fuel.</w:t>
      </w:r>
      <w:r w:rsidR="00A3717D" w:rsidRPr="0097330A">
        <w:rPr>
          <w:iCs/>
        </w:rPr>
        <w:t xml:space="preserve"> At what sort of scale</w:t>
      </w:r>
      <w:r w:rsidR="006007CB" w:rsidRPr="0097330A">
        <w:rPr>
          <w:iCs/>
        </w:rPr>
        <w:t xml:space="preserve"> they operate - consignment si</w:t>
      </w:r>
      <w:r w:rsidR="00FF5EE0" w:rsidRPr="0097330A">
        <w:rPr>
          <w:iCs/>
        </w:rPr>
        <w:t>ze, sample size, cost etc.</w:t>
      </w:r>
      <w:r w:rsidR="006007CB" w:rsidRPr="0097330A">
        <w:rPr>
          <w:rFonts w:eastAsia="Times New Roman" w:cs="Arial"/>
          <w:iCs/>
          <w:sz w:val="24"/>
          <w:szCs w:val="24"/>
          <w:lang w:eastAsia="en-US"/>
        </w:rPr>
        <w:t xml:space="preserve"> </w:t>
      </w:r>
      <w:r w:rsidR="006007CB" w:rsidRPr="0097330A">
        <w:rPr>
          <w:iCs/>
        </w:rPr>
        <w:t>To what extent would the dilution of the contaminated feedstock with other biofuels and blending with fos</w:t>
      </w:r>
      <w:r w:rsidR="007D4BD4" w:rsidRPr="0097330A">
        <w:rPr>
          <w:iCs/>
        </w:rPr>
        <w:t>sil fuels mitigate the situation?</w:t>
      </w:r>
    </w:p>
    <w:p w14:paraId="2068F010" w14:textId="77777777" w:rsidR="000539C7" w:rsidRPr="0097330A" w:rsidRDefault="000539C7" w:rsidP="000539C7">
      <w:pPr>
        <w:pStyle w:val="Heading2"/>
        <w:numPr>
          <w:ilvl w:val="0"/>
          <w:numId w:val="29"/>
        </w:numPr>
      </w:pPr>
      <w:r w:rsidRPr="0097330A">
        <w:rPr>
          <w:iCs/>
        </w:rPr>
        <w:t xml:space="preserve">Whether any work has </w:t>
      </w:r>
      <w:r w:rsidR="00FF5EE0" w:rsidRPr="0097330A">
        <w:rPr>
          <w:iCs/>
        </w:rPr>
        <w:t>previously been done in</w:t>
      </w:r>
      <w:r w:rsidRPr="0097330A">
        <w:rPr>
          <w:iCs/>
        </w:rPr>
        <w:t xml:space="preserve"> this field i</w:t>
      </w:r>
      <w:r w:rsidR="007D4BD4" w:rsidRPr="0097330A">
        <w:rPr>
          <w:iCs/>
        </w:rPr>
        <w:t>.</w:t>
      </w:r>
      <w:r w:rsidRPr="0097330A">
        <w:rPr>
          <w:iCs/>
        </w:rPr>
        <w:t>e</w:t>
      </w:r>
      <w:r w:rsidR="007D4BD4" w:rsidRPr="0097330A">
        <w:rPr>
          <w:iCs/>
        </w:rPr>
        <w:t>.</w:t>
      </w:r>
      <w:r w:rsidRPr="0097330A">
        <w:rPr>
          <w:iCs/>
        </w:rPr>
        <w:t xml:space="preserve"> literature reviews, modelling, fuel testing.</w:t>
      </w:r>
    </w:p>
    <w:p w14:paraId="74CE489C" w14:textId="77777777" w:rsidR="006007CB" w:rsidRPr="0097330A" w:rsidRDefault="00F90258" w:rsidP="006007CB">
      <w:pPr>
        <w:pStyle w:val="Heading2"/>
        <w:numPr>
          <w:ilvl w:val="0"/>
          <w:numId w:val="29"/>
        </w:numPr>
      </w:pPr>
      <w:r w:rsidRPr="0097330A">
        <w:rPr>
          <w:iCs/>
        </w:rPr>
        <w:t>E</w:t>
      </w:r>
      <w:r w:rsidR="006007CB" w:rsidRPr="0097330A">
        <w:rPr>
          <w:iCs/>
        </w:rPr>
        <w:t>xisting regulations or quality standards that control the emission of dioxins to the atmosphere from burning contaminated fuels in vehicle engines</w:t>
      </w:r>
      <w:r w:rsidRPr="0097330A">
        <w:rPr>
          <w:iCs/>
        </w:rPr>
        <w:t>.</w:t>
      </w:r>
    </w:p>
    <w:p w14:paraId="28C48EB8" w14:textId="77777777" w:rsidR="004A6CC6" w:rsidRPr="0097330A" w:rsidRDefault="000539C7" w:rsidP="004A6CC6">
      <w:pPr>
        <w:pStyle w:val="Heading2"/>
      </w:pPr>
      <w:r w:rsidRPr="0097330A">
        <w:t>Scenario modelling</w:t>
      </w:r>
      <w:r w:rsidR="004A6CC6" w:rsidRPr="0097330A">
        <w:t xml:space="preserve"> report addressing;</w:t>
      </w:r>
    </w:p>
    <w:p w14:paraId="17A4010A" w14:textId="77777777" w:rsidR="00743607" w:rsidRPr="0097330A" w:rsidRDefault="004A6CC6" w:rsidP="004A6CC6">
      <w:pPr>
        <w:pStyle w:val="Heading2"/>
        <w:numPr>
          <w:ilvl w:val="0"/>
          <w:numId w:val="32"/>
        </w:numPr>
      </w:pPr>
      <w:r w:rsidRPr="0097330A">
        <w:t>T</w:t>
      </w:r>
      <w:r w:rsidR="000539C7" w:rsidRPr="0097330A">
        <w:t>he likely impacts of burning dioxin contaminated biofuels.</w:t>
      </w:r>
    </w:p>
    <w:p w14:paraId="09C88818" w14:textId="77777777" w:rsidR="00974F48" w:rsidRPr="0097330A" w:rsidRDefault="00974F48" w:rsidP="00974F48">
      <w:pPr>
        <w:pStyle w:val="Heading2"/>
      </w:pPr>
      <w:r w:rsidRPr="0097330A">
        <w:t xml:space="preserve">Presentation of </w:t>
      </w:r>
      <w:r w:rsidR="007D4BD4" w:rsidRPr="0097330A">
        <w:t>findings by potential p</w:t>
      </w:r>
      <w:r w:rsidRPr="0097330A">
        <w:t>rovider to interested parties.</w:t>
      </w:r>
    </w:p>
    <w:p w14:paraId="6D19C1AE" w14:textId="77777777" w:rsidR="00B16D14" w:rsidRPr="0097330A" w:rsidRDefault="00B16D14" w:rsidP="00BD21D6">
      <w:pPr>
        <w:pStyle w:val="Heading2"/>
      </w:pPr>
      <w:r w:rsidRPr="0097330A">
        <w:t>To ensure the objectives are met</w:t>
      </w:r>
      <w:r w:rsidR="00891FF1" w:rsidRPr="0097330A">
        <w:t>;</w:t>
      </w:r>
    </w:p>
    <w:p w14:paraId="10281C8F" w14:textId="77777777" w:rsidR="00743607" w:rsidRPr="0097330A" w:rsidRDefault="004A6CC6" w:rsidP="004A6CC6">
      <w:pPr>
        <w:pStyle w:val="Heading2"/>
        <w:numPr>
          <w:ilvl w:val="0"/>
          <w:numId w:val="32"/>
        </w:numPr>
      </w:pPr>
      <w:proofErr w:type="spellStart"/>
      <w:r w:rsidRPr="0097330A">
        <w:t>DfT</w:t>
      </w:r>
      <w:proofErr w:type="spellEnd"/>
      <w:r w:rsidRPr="0097330A">
        <w:t xml:space="preserve"> to r</w:t>
      </w:r>
      <w:r w:rsidR="007D4BD4" w:rsidRPr="0097330A">
        <w:t>eceive weekly updates from the potential p</w:t>
      </w:r>
      <w:r w:rsidRPr="0097330A">
        <w:t>rovider.</w:t>
      </w:r>
    </w:p>
    <w:p w14:paraId="6DDC6699" w14:textId="77777777" w:rsidR="004A6CC6" w:rsidRPr="0097330A" w:rsidRDefault="004A6CC6" w:rsidP="004A6CC6">
      <w:pPr>
        <w:pStyle w:val="Heading2"/>
        <w:numPr>
          <w:ilvl w:val="0"/>
          <w:numId w:val="32"/>
        </w:numPr>
      </w:pPr>
      <w:proofErr w:type="spellStart"/>
      <w:r w:rsidRPr="0097330A">
        <w:t>DfT</w:t>
      </w:r>
      <w:proofErr w:type="spellEnd"/>
      <w:r w:rsidRPr="0097330A">
        <w:t xml:space="preserve"> to receive</w:t>
      </w:r>
      <w:r w:rsidR="00974F48" w:rsidRPr="0097330A">
        <w:t xml:space="preserve"> interim report detailing progress from </w:t>
      </w:r>
      <w:r w:rsidR="007D4BD4" w:rsidRPr="0097330A">
        <w:t>the potential p</w:t>
      </w:r>
      <w:r w:rsidR="00974F48" w:rsidRPr="0097330A">
        <w:t>rovider.</w:t>
      </w:r>
    </w:p>
    <w:p w14:paraId="3B58F4D1" w14:textId="77777777" w:rsidR="00FF5EE0" w:rsidRPr="0097330A" w:rsidRDefault="00FF5EE0" w:rsidP="004A6CC6">
      <w:pPr>
        <w:pStyle w:val="Heading2"/>
        <w:numPr>
          <w:ilvl w:val="0"/>
          <w:numId w:val="32"/>
        </w:numPr>
      </w:pPr>
      <w:proofErr w:type="spellStart"/>
      <w:r w:rsidRPr="0097330A">
        <w:t>DfT</w:t>
      </w:r>
      <w:proofErr w:type="spellEnd"/>
      <w:r w:rsidRPr="0097330A">
        <w:t xml:space="preserve"> to receive a final report containing literature review and</w:t>
      </w:r>
      <w:r w:rsidR="00891FF1" w:rsidRPr="0097330A">
        <w:t xml:space="preserve"> modelling scenarios.</w:t>
      </w:r>
      <w:r w:rsidRPr="0097330A">
        <w:t xml:space="preserve"> </w:t>
      </w:r>
    </w:p>
    <w:p w14:paraId="135E0A87" w14:textId="3D4C5D86" w:rsidR="00BD21D6" w:rsidRPr="00833FB4" w:rsidRDefault="007D4BD4" w:rsidP="00833FB4">
      <w:pPr>
        <w:pStyle w:val="Heading2"/>
        <w:numPr>
          <w:ilvl w:val="0"/>
          <w:numId w:val="32"/>
        </w:numPr>
      </w:pPr>
      <w:r w:rsidRPr="0097330A">
        <w:t>Potential p</w:t>
      </w:r>
      <w:r w:rsidR="00974F48" w:rsidRPr="0097330A">
        <w:t>rovider to present findings to interested parties.</w:t>
      </w:r>
    </w:p>
    <w:p w14:paraId="19C6A653" w14:textId="77777777" w:rsidR="00635317" w:rsidRPr="00635317" w:rsidRDefault="00635317" w:rsidP="00635317">
      <w:pPr>
        <w:pStyle w:val="ListParagraph"/>
        <w:widowControl w:val="0"/>
        <w:ind w:left="1134"/>
        <w:rPr>
          <w:rFonts w:cs="Arial"/>
          <w:szCs w:val="20"/>
        </w:rPr>
      </w:pPr>
    </w:p>
    <w:p w14:paraId="74E78A5A" w14:textId="77777777" w:rsidR="00A028E8" w:rsidRDefault="00A028E8" w:rsidP="00FD080D">
      <w:pPr>
        <w:pStyle w:val="Heading1"/>
        <w:tabs>
          <w:tab w:val="clear" w:pos="720"/>
          <w:tab w:val="num" w:pos="0"/>
        </w:tabs>
        <w:overflowPunct w:val="0"/>
        <w:autoSpaceDE w:val="0"/>
        <w:autoSpaceDN w:val="0"/>
        <w:spacing w:after="120"/>
        <w:ind w:left="709" w:hanging="709"/>
        <w:textAlignment w:val="baseline"/>
        <w:rPr>
          <w:rFonts w:cs="Arial"/>
          <w:szCs w:val="22"/>
        </w:rPr>
      </w:pPr>
      <w:bookmarkStart w:id="11" w:name="_Toc302637211"/>
      <w:bookmarkStart w:id="12" w:name="_Toc383464504"/>
      <w:r w:rsidRPr="004E1D36">
        <w:rPr>
          <w:rFonts w:cs="Arial"/>
          <w:szCs w:val="22"/>
        </w:rPr>
        <w:t>service levels a</w:t>
      </w:r>
      <w:r>
        <w:rPr>
          <w:rFonts w:cs="Arial"/>
          <w:szCs w:val="22"/>
        </w:rPr>
        <w:t>nd performance</w:t>
      </w:r>
      <w:bookmarkEnd w:id="11"/>
      <w:bookmarkEnd w:id="12"/>
    </w:p>
    <w:p w14:paraId="71B3947B" w14:textId="77777777" w:rsidR="00453D4F" w:rsidRDefault="00453D4F" w:rsidP="00FD080D">
      <w:pPr>
        <w:pStyle w:val="Heading2"/>
        <w:tabs>
          <w:tab w:val="clear" w:pos="720"/>
          <w:tab w:val="num" w:pos="132"/>
        </w:tabs>
        <w:overflowPunct w:val="0"/>
        <w:autoSpaceDE w:val="0"/>
        <w:autoSpaceDN w:val="0"/>
        <w:spacing w:after="120"/>
        <w:ind w:left="709" w:hanging="709"/>
        <w:textAlignment w:val="baseline"/>
      </w:pPr>
      <w:r>
        <w:t xml:space="preserve">The Authority will measure the quality of the </w:t>
      </w:r>
      <w:r w:rsidR="00FD080D">
        <w:t xml:space="preserve">Supplier’s </w:t>
      </w:r>
      <w:r>
        <w:t>delivery by:</w:t>
      </w:r>
    </w:p>
    <w:p w14:paraId="11542135" w14:textId="77777777" w:rsidR="00764B11" w:rsidRPr="00CC21A7" w:rsidRDefault="007D4BD4" w:rsidP="0097330A">
      <w:pPr>
        <w:pStyle w:val="Heading3"/>
        <w:rPr>
          <w:b/>
        </w:rPr>
      </w:pPr>
      <w:r>
        <w:t>The Plan as at the effective d</w:t>
      </w:r>
      <w:r w:rsidR="00764B11" w:rsidRPr="00CC21A7">
        <w:t>ate is set out below:</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2523"/>
        <w:gridCol w:w="1134"/>
        <w:gridCol w:w="1417"/>
        <w:gridCol w:w="2948"/>
      </w:tblGrid>
      <w:tr w:rsidR="00764B11" w:rsidRPr="009F6433" w14:paraId="624521E5" w14:textId="77777777" w:rsidTr="00764B11">
        <w:trPr>
          <w:tblHeader/>
        </w:trPr>
        <w:tc>
          <w:tcPr>
            <w:tcW w:w="1158" w:type="dxa"/>
            <w:tcBorders>
              <w:bottom w:val="single" w:sz="4" w:space="0" w:color="auto"/>
            </w:tcBorders>
          </w:tcPr>
          <w:p w14:paraId="638A9EBB" w14:textId="77777777" w:rsidR="00764B11" w:rsidRPr="00CC21A7" w:rsidRDefault="00764B11" w:rsidP="00941019">
            <w:pPr>
              <w:pStyle w:val="MarginText"/>
              <w:rPr>
                <w:rFonts w:cs="Arial"/>
                <w:sz w:val="20"/>
              </w:rPr>
            </w:pPr>
            <w:r w:rsidRPr="00CC21A7">
              <w:rPr>
                <w:rFonts w:cs="Arial"/>
                <w:sz w:val="20"/>
              </w:rPr>
              <w:t>Milestone</w:t>
            </w:r>
          </w:p>
        </w:tc>
        <w:tc>
          <w:tcPr>
            <w:tcW w:w="2523" w:type="dxa"/>
            <w:tcBorders>
              <w:bottom w:val="single" w:sz="4" w:space="0" w:color="auto"/>
            </w:tcBorders>
          </w:tcPr>
          <w:p w14:paraId="57F859C7" w14:textId="77777777" w:rsidR="00764B11" w:rsidRPr="00CC21A7" w:rsidRDefault="00764B11" w:rsidP="00941019">
            <w:pPr>
              <w:pStyle w:val="MarginText"/>
              <w:rPr>
                <w:rFonts w:cs="Arial"/>
                <w:sz w:val="20"/>
              </w:rPr>
            </w:pPr>
            <w:r w:rsidRPr="00CC21A7">
              <w:rPr>
                <w:rFonts w:cs="Arial"/>
                <w:sz w:val="20"/>
              </w:rPr>
              <w:t>Deliverables</w:t>
            </w:r>
          </w:p>
          <w:p w14:paraId="6D990C12" w14:textId="77777777" w:rsidR="00764B11" w:rsidRPr="00CC21A7" w:rsidRDefault="00764B11" w:rsidP="00941019">
            <w:pPr>
              <w:pStyle w:val="MarginText"/>
              <w:jc w:val="left"/>
              <w:rPr>
                <w:rFonts w:cs="Arial"/>
                <w:sz w:val="20"/>
              </w:rPr>
            </w:pPr>
            <w:r w:rsidRPr="00CC21A7">
              <w:rPr>
                <w:rFonts w:cs="Arial"/>
                <w:sz w:val="20"/>
              </w:rPr>
              <w:t>(bulleted list showing all Deliverables (and associated tasks) required for each Milestone)</w:t>
            </w:r>
          </w:p>
        </w:tc>
        <w:tc>
          <w:tcPr>
            <w:tcW w:w="1134" w:type="dxa"/>
            <w:tcBorders>
              <w:bottom w:val="single" w:sz="4" w:space="0" w:color="auto"/>
            </w:tcBorders>
          </w:tcPr>
          <w:p w14:paraId="2370F425" w14:textId="77777777" w:rsidR="00764B11" w:rsidRPr="00CC21A7" w:rsidRDefault="00764B11" w:rsidP="00941019">
            <w:pPr>
              <w:pStyle w:val="MarginText"/>
              <w:rPr>
                <w:rFonts w:cs="Arial"/>
                <w:sz w:val="20"/>
              </w:rPr>
            </w:pPr>
            <w:r w:rsidRPr="00CC21A7">
              <w:rPr>
                <w:rFonts w:cs="Arial"/>
                <w:sz w:val="20"/>
              </w:rPr>
              <w:t>Duration</w:t>
            </w:r>
          </w:p>
          <w:p w14:paraId="3F52EE9B" w14:textId="77777777" w:rsidR="00764B11" w:rsidRPr="00CC21A7" w:rsidRDefault="00764B11" w:rsidP="00941019">
            <w:pPr>
              <w:pStyle w:val="MarginText"/>
              <w:rPr>
                <w:rFonts w:cs="Arial"/>
                <w:sz w:val="20"/>
              </w:rPr>
            </w:pPr>
            <w:r w:rsidRPr="00CC21A7">
              <w:rPr>
                <w:rFonts w:cs="Arial"/>
                <w:sz w:val="20"/>
              </w:rPr>
              <w:t>(Working Days)</w:t>
            </w:r>
          </w:p>
        </w:tc>
        <w:tc>
          <w:tcPr>
            <w:tcW w:w="1417" w:type="dxa"/>
            <w:tcBorders>
              <w:bottom w:val="single" w:sz="4" w:space="0" w:color="auto"/>
            </w:tcBorders>
          </w:tcPr>
          <w:p w14:paraId="6B988EDE" w14:textId="77777777" w:rsidR="00764B11" w:rsidRPr="00CC21A7" w:rsidRDefault="00764B11" w:rsidP="00941019">
            <w:pPr>
              <w:pStyle w:val="MarginText"/>
              <w:rPr>
                <w:rFonts w:cs="Arial"/>
                <w:sz w:val="20"/>
              </w:rPr>
            </w:pPr>
            <w:r w:rsidRPr="00CC21A7">
              <w:rPr>
                <w:rFonts w:cs="Arial"/>
                <w:sz w:val="20"/>
              </w:rPr>
              <w:t>Milestone Date</w:t>
            </w:r>
          </w:p>
        </w:tc>
        <w:tc>
          <w:tcPr>
            <w:tcW w:w="2948" w:type="dxa"/>
            <w:tcBorders>
              <w:bottom w:val="single" w:sz="4" w:space="0" w:color="auto"/>
            </w:tcBorders>
          </w:tcPr>
          <w:p w14:paraId="56ADBD54" w14:textId="77777777" w:rsidR="00764B11" w:rsidRPr="00CC21A7" w:rsidRDefault="00764B11" w:rsidP="00941019">
            <w:pPr>
              <w:pStyle w:val="MarginText"/>
              <w:rPr>
                <w:rFonts w:cs="Arial"/>
                <w:sz w:val="20"/>
              </w:rPr>
            </w:pPr>
            <w:r w:rsidRPr="00CC21A7">
              <w:rPr>
                <w:rFonts w:cs="Arial"/>
                <w:sz w:val="20"/>
              </w:rPr>
              <w:t>Customer Responsibilities (if applicable)</w:t>
            </w:r>
          </w:p>
        </w:tc>
      </w:tr>
      <w:tr w:rsidR="00764B11" w:rsidRPr="009F6433" w14:paraId="68B103BD" w14:textId="77777777" w:rsidTr="00764B11">
        <w:trPr>
          <w:tblHeader/>
        </w:trPr>
        <w:tc>
          <w:tcPr>
            <w:tcW w:w="1158" w:type="dxa"/>
            <w:shd w:val="clear" w:color="auto" w:fill="auto"/>
          </w:tcPr>
          <w:p w14:paraId="11323AFE" w14:textId="77777777" w:rsidR="00764B11" w:rsidRPr="009722F8" w:rsidRDefault="00891FF1" w:rsidP="00941019">
            <w:pPr>
              <w:pStyle w:val="MarginText"/>
              <w:rPr>
                <w:rFonts w:cs="Arial"/>
                <w:sz w:val="20"/>
              </w:rPr>
            </w:pPr>
            <w:r w:rsidRPr="009722F8">
              <w:rPr>
                <w:rFonts w:cs="Arial"/>
                <w:sz w:val="20"/>
              </w:rPr>
              <w:t>01</w:t>
            </w:r>
          </w:p>
        </w:tc>
        <w:tc>
          <w:tcPr>
            <w:tcW w:w="2523" w:type="dxa"/>
            <w:shd w:val="clear" w:color="auto" w:fill="auto"/>
          </w:tcPr>
          <w:p w14:paraId="4F0DCBDC" w14:textId="77777777" w:rsidR="00764B11" w:rsidRPr="009722F8" w:rsidRDefault="009128FD" w:rsidP="00941019">
            <w:pPr>
              <w:pStyle w:val="MarginText"/>
              <w:rPr>
                <w:rFonts w:cs="Arial"/>
                <w:sz w:val="20"/>
              </w:rPr>
            </w:pPr>
            <w:r w:rsidRPr="009722F8">
              <w:rPr>
                <w:rFonts w:cs="Arial"/>
                <w:sz w:val="20"/>
              </w:rPr>
              <w:t xml:space="preserve">Provide </w:t>
            </w:r>
            <w:proofErr w:type="spellStart"/>
            <w:r w:rsidRPr="009722F8">
              <w:rPr>
                <w:rFonts w:cs="Arial"/>
                <w:sz w:val="20"/>
              </w:rPr>
              <w:t>DfT</w:t>
            </w:r>
            <w:proofErr w:type="spellEnd"/>
            <w:r w:rsidRPr="009722F8">
              <w:rPr>
                <w:rFonts w:cs="Arial"/>
                <w:sz w:val="20"/>
              </w:rPr>
              <w:t xml:space="preserve"> with weekly progress updates</w:t>
            </w:r>
          </w:p>
        </w:tc>
        <w:tc>
          <w:tcPr>
            <w:tcW w:w="1134" w:type="dxa"/>
            <w:shd w:val="clear" w:color="auto" w:fill="auto"/>
          </w:tcPr>
          <w:p w14:paraId="5F52897E" w14:textId="77777777" w:rsidR="00764B11" w:rsidRPr="009722F8" w:rsidRDefault="009128FD" w:rsidP="00941019">
            <w:pPr>
              <w:pStyle w:val="MarginText"/>
              <w:rPr>
                <w:rFonts w:cs="Arial"/>
                <w:sz w:val="20"/>
              </w:rPr>
            </w:pPr>
            <w:r w:rsidRPr="009722F8">
              <w:rPr>
                <w:rFonts w:cs="Arial"/>
                <w:sz w:val="20"/>
              </w:rPr>
              <w:t>Every 5 working days</w:t>
            </w:r>
          </w:p>
        </w:tc>
        <w:tc>
          <w:tcPr>
            <w:tcW w:w="1417" w:type="dxa"/>
            <w:shd w:val="clear" w:color="auto" w:fill="auto"/>
          </w:tcPr>
          <w:p w14:paraId="7C71870E" w14:textId="77777777" w:rsidR="00764B11" w:rsidRPr="009722F8" w:rsidRDefault="009128FD" w:rsidP="00941019">
            <w:pPr>
              <w:pStyle w:val="MarginText"/>
              <w:rPr>
                <w:rFonts w:cs="Arial"/>
                <w:sz w:val="20"/>
              </w:rPr>
            </w:pPr>
            <w:r w:rsidRPr="009722F8">
              <w:rPr>
                <w:rFonts w:cs="Arial"/>
                <w:sz w:val="20"/>
              </w:rPr>
              <w:t>Weekly</w:t>
            </w:r>
          </w:p>
        </w:tc>
        <w:tc>
          <w:tcPr>
            <w:tcW w:w="2948" w:type="dxa"/>
            <w:shd w:val="clear" w:color="auto" w:fill="auto"/>
          </w:tcPr>
          <w:p w14:paraId="2A570D96" w14:textId="77777777" w:rsidR="00764B11" w:rsidRPr="009722F8" w:rsidRDefault="009128FD" w:rsidP="00941019">
            <w:pPr>
              <w:pStyle w:val="MarginText"/>
              <w:rPr>
                <w:rFonts w:cs="Arial"/>
                <w:sz w:val="20"/>
              </w:rPr>
            </w:pPr>
            <w:r w:rsidRPr="009722F8">
              <w:rPr>
                <w:rFonts w:cs="Arial"/>
                <w:sz w:val="20"/>
              </w:rPr>
              <w:t xml:space="preserve">Ensure </w:t>
            </w:r>
            <w:r w:rsidR="00FC092D" w:rsidRPr="009722F8">
              <w:rPr>
                <w:rFonts w:cs="Arial"/>
                <w:sz w:val="20"/>
              </w:rPr>
              <w:t xml:space="preserve">timely </w:t>
            </w:r>
            <w:r w:rsidRPr="009722F8">
              <w:rPr>
                <w:rFonts w:cs="Arial"/>
                <w:sz w:val="20"/>
              </w:rPr>
              <w:t>delivery of weekly update</w:t>
            </w:r>
          </w:p>
        </w:tc>
      </w:tr>
      <w:tr w:rsidR="00764B11" w:rsidRPr="009F6433" w14:paraId="5EBB51C6" w14:textId="77777777" w:rsidTr="00764B11">
        <w:trPr>
          <w:tblHeader/>
        </w:trPr>
        <w:tc>
          <w:tcPr>
            <w:tcW w:w="1158" w:type="dxa"/>
            <w:shd w:val="clear" w:color="auto" w:fill="auto"/>
          </w:tcPr>
          <w:p w14:paraId="69E9581A" w14:textId="77777777" w:rsidR="00764B11" w:rsidRPr="009722F8" w:rsidRDefault="009128FD" w:rsidP="00941019">
            <w:pPr>
              <w:pStyle w:val="MarginText"/>
              <w:rPr>
                <w:rFonts w:cs="Arial"/>
                <w:sz w:val="20"/>
              </w:rPr>
            </w:pPr>
            <w:r w:rsidRPr="009722F8">
              <w:rPr>
                <w:rFonts w:cs="Arial"/>
                <w:sz w:val="20"/>
              </w:rPr>
              <w:t>02</w:t>
            </w:r>
          </w:p>
        </w:tc>
        <w:tc>
          <w:tcPr>
            <w:tcW w:w="2523" w:type="dxa"/>
            <w:shd w:val="clear" w:color="auto" w:fill="auto"/>
          </w:tcPr>
          <w:p w14:paraId="37E5D39C" w14:textId="77777777" w:rsidR="00764B11" w:rsidRPr="009722F8" w:rsidRDefault="009128FD" w:rsidP="00891FF1">
            <w:pPr>
              <w:pStyle w:val="MarginText"/>
              <w:rPr>
                <w:rFonts w:cs="Arial"/>
                <w:sz w:val="20"/>
              </w:rPr>
            </w:pPr>
            <w:r w:rsidRPr="009722F8">
              <w:rPr>
                <w:rFonts w:cs="Arial"/>
                <w:sz w:val="20"/>
              </w:rPr>
              <w:t>Interim report (literature review)</w:t>
            </w:r>
          </w:p>
        </w:tc>
        <w:tc>
          <w:tcPr>
            <w:tcW w:w="1134" w:type="dxa"/>
            <w:shd w:val="clear" w:color="auto" w:fill="auto"/>
          </w:tcPr>
          <w:p w14:paraId="06F3CC4F" w14:textId="77777777" w:rsidR="00764B11" w:rsidRPr="009722F8" w:rsidRDefault="009128FD" w:rsidP="00941019">
            <w:pPr>
              <w:pStyle w:val="MarginText"/>
              <w:rPr>
                <w:rFonts w:cs="Arial"/>
                <w:sz w:val="20"/>
              </w:rPr>
            </w:pPr>
            <w:r w:rsidRPr="009722F8">
              <w:rPr>
                <w:rFonts w:cs="Arial"/>
                <w:sz w:val="20"/>
              </w:rPr>
              <w:t xml:space="preserve">After </w:t>
            </w:r>
            <w:r w:rsidR="009A27D3" w:rsidRPr="009722F8">
              <w:rPr>
                <w:rFonts w:cs="Arial"/>
                <w:sz w:val="20"/>
              </w:rPr>
              <w:t>23</w:t>
            </w:r>
            <w:r w:rsidR="001A6C08" w:rsidRPr="009722F8">
              <w:rPr>
                <w:rFonts w:cs="Arial"/>
                <w:sz w:val="20"/>
              </w:rPr>
              <w:t xml:space="preserve"> working days</w:t>
            </w:r>
          </w:p>
        </w:tc>
        <w:tc>
          <w:tcPr>
            <w:tcW w:w="1417" w:type="dxa"/>
            <w:shd w:val="clear" w:color="auto" w:fill="auto"/>
          </w:tcPr>
          <w:p w14:paraId="51F1B4DC" w14:textId="77777777" w:rsidR="00764B11" w:rsidRPr="009722F8" w:rsidRDefault="001A6C08" w:rsidP="00941019">
            <w:pPr>
              <w:pStyle w:val="MarginText"/>
              <w:rPr>
                <w:rFonts w:cs="Arial"/>
                <w:sz w:val="20"/>
              </w:rPr>
            </w:pPr>
            <w:r w:rsidRPr="009722F8">
              <w:rPr>
                <w:rFonts w:cs="Arial"/>
                <w:sz w:val="20"/>
              </w:rPr>
              <w:t>13/05/15</w:t>
            </w:r>
          </w:p>
        </w:tc>
        <w:tc>
          <w:tcPr>
            <w:tcW w:w="2948" w:type="dxa"/>
            <w:shd w:val="clear" w:color="auto" w:fill="auto"/>
          </w:tcPr>
          <w:p w14:paraId="40B444AC" w14:textId="77777777" w:rsidR="00764B11" w:rsidRPr="009722F8" w:rsidRDefault="00FC092D" w:rsidP="00941019">
            <w:pPr>
              <w:pStyle w:val="MarginText"/>
              <w:rPr>
                <w:rFonts w:cs="Arial"/>
                <w:sz w:val="20"/>
              </w:rPr>
            </w:pPr>
            <w:r w:rsidRPr="009722F8">
              <w:rPr>
                <w:rFonts w:cs="Arial"/>
                <w:sz w:val="20"/>
              </w:rPr>
              <w:t>Ensure timely delivery of interim report</w:t>
            </w:r>
          </w:p>
        </w:tc>
      </w:tr>
      <w:tr w:rsidR="00FC092D" w:rsidRPr="009F6433" w14:paraId="3B020F0C" w14:textId="77777777" w:rsidTr="00764B11">
        <w:trPr>
          <w:tblHeader/>
        </w:trPr>
        <w:tc>
          <w:tcPr>
            <w:tcW w:w="1158" w:type="dxa"/>
            <w:shd w:val="clear" w:color="auto" w:fill="auto"/>
          </w:tcPr>
          <w:p w14:paraId="533D0A38" w14:textId="77777777" w:rsidR="00FC092D" w:rsidRPr="009722F8" w:rsidRDefault="00E06003" w:rsidP="00941019">
            <w:pPr>
              <w:pStyle w:val="MarginText"/>
              <w:rPr>
                <w:rFonts w:cs="Arial"/>
                <w:sz w:val="20"/>
              </w:rPr>
            </w:pPr>
            <w:r w:rsidRPr="009722F8">
              <w:rPr>
                <w:rFonts w:cs="Arial"/>
                <w:sz w:val="20"/>
              </w:rPr>
              <w:lastRenderedPageBreak/>
              <w:t>03</w:t>
            </w:r>
          </w:p>
        </w:tc>
        <w:tc>
          <w:tcPr>
            <w:tcW w:w="2523" w:type="dxa"/>
            <w:shd w:val="clear" w:color="auto" w:fill="auto"/>
          </w:tcPr>
          <w:p w14:paraId="67BDF8C2" w14:textId="77777777" w:rsidR="00FC092D" w:rsidRPr="009722F8" w:rsidRDefault="00E06003" w:rsidP="00891FF1">
            <w:pPr>
              <w:pStyle w:val="MarginText"/>
              <w:rPr>
                <w:rFonts w:cs="Arial"/>
                <w:sz w:val="20"/>
              </w:rPr>
            </w:pPr>
            <w:r w:rsidRPr="009722F8">
              <w:rPr>
                <w:rFonts w:cs="Arial"/>
                <w:sz w:val="20"/>
              </w:rPr>
              <w:t>Contractor meeting (face-to-face)</w:t>
            </w:r>
          </w:p>
        </w:tc>
        <w:tc>
          <w:tcPr>
            <w:tcW w:w="1134" w:type="dxa"/>
            <w:shd w:val="clear" w:color="auto" w:fill="auto"/>
          </w:tcPr>
          <w:p w14:paraId="7DFD1253" w14:textId="77777777" w:rsidR="00FC092D" w:rsidRPr="009722F8" w:rsidRDefault="00E06003" w:rsidP="00941019">
            <w:pPr>
              <w:pStyle w:val="MarginText"/>
              <w:rPr>
                <w:rFonts w:cs="Arial"/>
                <w:sz w:val="20"/>
              </w:rPr>
            </w:pPr>
            <w:r w:rsidRPr="009722F8">
              <w:rPr>
                <w:rFonts w:cs="Arial"/>
                <w:sz w:val="20"/>
              </w:rPr>
              <w:t xml:space="preserve">After </w:t>
            </w:r>
            <w:r w:rsidR="009A27D3" w:rsidRPr="009722F8">
              <w:rPr>
                <w:rFonts w:cs="Arial"/>
                <w:sz w:val="20"/>
              </w:rPr>
              <w:t xml:space="preserve"> 28</w:t>
            </w:r>
            <w:r w:rsidR="00EF32E4" w:rsidRPr="009722F8">
              <w:rPr>
                <w:rFonts w:cs="Arial"/>
                <w:sz w:val="20"/>
              </w:rPr>
              <w:t xml:space="preserve"> working days</w:t>
            </w:r>
          </w:p>
        </w:tc>
        <w:tc>
          <w:tcPr>
            <w:tcW w:w="1417" w:type="dxa"/>
            <w:shd w:val="clear" w:color="auto" w:fill="auto"/>
          </w:tcPr>
          <w:p w14:paraId="70B4F0E9" w14:textId="77777777" w:rsidR="00FC092D" w:rsidRPr="009722F8" w:rsidRDefault="00E06003" w:rsidP="00941019">
            <w:pPr>
              <w:pStyle w:val="MarginText"/>
              <w:rPr>
                <w:rFonts w:cs="Arial"/>
                <w:sz w:val="20"/>
              </w:rPr>
            </w:pPr>
            <w:r w:rsidRPr="009722F8">
              <w:rPr>
                <w:rFonts w:cs="Arial"/>
                <w:sz w:val="20"/>
              </w:rPr>
              <w:t>20/05/15</w:t>
            </w:r>
          </w:p>
        </w:tc>
        <w:tc>
          <w:tcPr>
            <w:tcW w:w="2948" w:type="dxa"/>
            <w:shd w:val="clear" w:color="auto" w:fill="auto"/>
          </w:tcPr>
          <w:p w14:paraId="688B1719" w14:textId="77777777" w:rsidR="00FC092D" w:rsidRPr="009722F8" w:rsidRDefault="00EF32E4" w:rsidP="00941019">
            <w:pPr>
              <w:pStyle w:val="MarginText"/>
              <w:rPr>
                <w:rFonts w:cs="Arial"/>
                <w:sz w:val="20"/>
              </w:rPr>
            </w:pPr>
            <w:r w:rsidRPr="009722F8">
              <w:rPr>
                <w:rFonts w:cs="Arial"/>
                <w:sz w:val="20"/>
              </w:rPr>
              <w:t>Arrange meeting</w:t>
            </w:r>
          </w:p>
        </w:tc>
      </w:tr>
      <w:tr w:rsidR="007E21B0" w:rsidRPr="009F6433" w14:paraId="5A275234" w14:textId="77777777" w:rsidTr="00764B11">
        <w:trPr>
          <w:tblHeader/>
        </w:trPr>
        <w:tc>
          <w:tcPr>
            <w:tcW w:w="1158" w:type="dxa"/>
            <w:shd w:val="clear" w:color="auto" w:fill="auto"/>
          </w:tcPr>
          <w:p w14:paraId="59080797" w14:textId="77777777" w:rsidR="007E21B0" w:rsidRPr="009722F8" w:rsidRDefault="007E21B0" w:rsidP="00941019">
            <w:pPr>
              <w:pStyle w:val="MarginText"/>
              <w:rPr>
                <w:rFonts w:cs="Arial"/>
                <w:sz w:val="20"/>
              </w:rPr>
            </w:pPr>
            <w:r w:rsidRPr="009722F8">
              <w:rPr>
                <w:rFonts w:cs="Arial"/>
                <w:sz w:val="20"/>
              </w:rPr>
              <w:t>04</w:t>
            </w:r>
          </w:p>
        </w:tc>
        <w:tc>
          <w:tcPr>
            <w:tcW w:w="2523" w:type="dxa"/>
            <w:shd w:val="clear" w:color="auto" w:fill="auto"/>
          </w:tcPr>
          <w:p w14:paraId="24180998" w14:textId="77777777" w:rsidR="007E21B0" w:rsidRPr="009722F8" w:rsidRDefault="007E21B0" w:rsidP="00891FF1">
            <w:pPr>
              <w:pStyle w:val="MarginText"/>
              <w:rPr>
                <w:rFonts w:cs="Arial"/>
                <w:sz w:val="20"/>
              </w:rPr>
            </w:pPr>
            <w:r w:rsidRPr="009722F8">
              <w:rPr>
                <w:rFonts w:cs="Arial"/>
                <w:sz w:val="20"/>
              </w:rPr>
              <w:t>Modelling complete (draft report)</w:t>
            </w:r>
          </w:p>
        </w:tc>
        <w:tc>
          <w:tcPr>
            <w:tcW w:w="1134" w:type="dxa"/>
            <w:shd w:val="clear" w:color="auto" w:fill="auto"/>
          </w:tcPr>
          <w:p w14:paraId="4934C89C" w14:textId="77777777" w:rsidR="007E21B0" w:rsidRPr="009722F8" w:rsidRDefault="00D51F1B" w:rsidP="00941019">
            <w:pPr>
              <w:pStyle w:val="MarginText"/>
              <w:rPr>
                <w:rFonts w:cs="Arial"/>
                <w:sz w:val="20"/>
              </w:rPr>
            </w:pPr>
            <w:r w:rsidRPr="009722F8">
              <w:rPr>
                <w:rFonts w:cs="Arial"/>
                <w:sz w:val="20"/>
              </w:rPr>
              <w:t>After 45 working days</w:t>
            </w:r>
          </w:p>
        </w:tc>
        <w:tc>
          <w:tcPr>
            <w:tcW w:w="1417" w:type="dxa"/>
            <w:shd w:val="clear" w:color="auto" w:fill="auto"/>
          </w:tcPr>
          <w:p w14:paraId="0900F1F3" w14:textId="77777777" w:rsidR="007E21B0" w:rsidRPr="009722F8" w:rsidRDefault="007E21B0" w:rsidP="00941019">
            <w:pPr>
              <w:pStyle w:val="MarginText"/>
              <w:rPr>
                <w:rFonts w:cs="Arial"/>
                <w:sz w:val="20"/>
              </w:rPr>
            </w:pPr>
            <w:r w:rsidRPr="009722F8">
              <w:rPr>
                <w:rFonts w:cs="Arial"/>
                <w:sz w:val="20"/>
              </w:rPr>
              <w:t>12/06/15</w:t>
            </w:r>
          </w:p>
        </w:tc>
        <w:tc>
          <w:tcPr>
            <w:tcW w:w="2948" w:type="dxa"/>
            <w:shd w:val="clear" w:color="auto" w:fill="auto"/>
          </w:tcPr>
          <w:p w14:paraId="044EB2A0" w14:textId="77777777" w:rsidR="007E21B0" w:rsidRPr="009722F8" w:rsidRDefault="007E21B0" w:rsidP="00941019">
            <w:pPr>
              <w:pStyle w:val="MarginText"/>
              <w:rPr>
                <w:rFonts w:cs="Arial"/>
                <w:sz w:val="20"/>
              </w:rPr>
            </w:pPr>
            <w:r w:rsidRPr="009722F8">
              <w:rPr>
                <w:rFonts w:cs="Arial"/>
                <w:sz w:val="20"/>
              </w:rPr>
              <w:t>Ensure timely delivery of draft report</w:t>
            </w:r>
          </w:p>
        </w:tc>
      </w:tr>
      <w:tr w:rsidR="00FC092D" w:rsidRPr="009F6433" w14:paraId="0E03AB2B" w14:textId="77777777" w:rsidTr="00764B11">
        <w:trPr>
          <w:tblHeader/>
        </w:trPr>
        <w:tc>
          <w:tcPr>
            <w:tcW w:w="1158" w:type="dxa"/>
            <w:shd w:val="clear" w:color="auto" w:fill="auto"/>
          </w:tcPr>
          <w:p w14:paraId="318989EE" w14:textId="77777777" w:rsidR="00FC092D" w:rsidRPr="009722F8" w:rsidRDefault="007E21B0" w:rsidP="00941019">
            <w:pPr>
              <w:pStyle w:val="MarginText"/>
              <w:rPr>
                <w:rFonts w:cs="Arial"/>
                <w:sz w:val="20"/>
              </w:rPr>
            </w:pPr>
            <w:r w:rsidRPr="009722F8">
              <w:rPr>
                <w:rFonts w:cs="Arial"/>
                <w:sz w:val="20"/>
              </w:rPr>
              <w:t>05</w:t>
            </w:r>
          </w:p>
        </w:tc>
        <w:tc>
          <w:tcPr>
            <w:tcW w:w="2523" w:type="dxa"/>
            <w:shd w:val="clear" w:color="auto" w:fill="auto"/>
          </w:tcPr>
          <w:p w14:paraId="047D3EAA" w14:textId="77777777" w:rsidR="00FC092D" w:rsidRPr="009722F8" w:rsidRDefault="00EF32E4" w:rsidP="00891FF1">
            <w:pPr>
              <w:pStyle w:val="MarginText"/>
              <w:rPr>
                <w:rFonts w:cs="Arial"/>
                <w:sz w:val="20"/>
              </w:rPr>
            </w:pPr>
            <w:r w:rsidRPr="009722F8">
              <w:rPr>
                <w:rFonts w:cs="Arial"/>
                <w:sz w:val="20"/>
              </w:rPr>
              <w:t>Final report</w:t>
            </w:r>
          </w:p>
        </w:tc>
        <w:tc>
          <w:tcPr>
            <w:tcW w:w="1134" w:type="dxa"/>
            <w:shd w:val="clear" w:color="auto" w:fill="auto"/>
          </w:tcPr>
          <w:p w14:paraId="53D9B302" w14:textId="77777777" w:rsidR="00FC092D" w:rsidRPr="009722F8" w:rsidRDefault="00EF32E4" w:rsidP="00941019">
            <w:pPr>
              <w:pStyle w:val="MarginText"/>
              <w:rPr>
                <w:rFonts w:cs="Arial"/>
                <w:sz w:val="20"/>
              </w:rPr>
            </w:pPr>
            <w:r w:rsidRPr="009722F8">
              <w:rPr>
                <w:rFonts w:cs="Arial"/>
                <w:sz w:val="20"/>
              </w:rPr>
              <w:t xml:space="preserve">After </w:t>
            </w:r>
            <w:r w:rsidR="009A27D3" w:rsidRPr="009722F8">
              <w:rPr>
                <w:rFonts w:cs="Arial"/>
                <w:sz w:val="20"/>
              </w:rPr>
              <w:t>57</w:t>
            </w:r>
            <w:r w:rsidR="007E21B0" w:rsidRPr="009722F8">
              <w:rPr>
                <w:rFonts w:cs="Arial"/>
                <w:sz w:val="20"/>
              </w:rPr>
              <w:t xml:space="preserve"> working days</w:t>
            </w:r>
          </w:p>
        </w:tc>
        <w:tc>
          <w:tcPr>
            <w:tcW w:w="1417" w:type="dxa"/>
            <w:shd w:val="clear" w:color="auto" w:fill="auto"/>
          </w:tcPr>
          <w:p w14:paraId="61B536DB" w14:textId="77777777" w:rsidR="00FC092D" w:rsidRPr="009722F8" w:rsidRDefault="00EF32E4" w:rsidP="00941019">
            <w:pPr>
              <w:pStyle w:val="MarginText"/>
              <w:rPr>
                <w:rFonts w:cs="Arial"/>
                <w:sz w:val="20"/>
              </w:rPr>
            </w:pPr>
            <w:r w:rsidRPr="009722F8">
              <w:rPr>
                <w:rFonts w:cs="Arial"/>
                <w:sz w:val="20"/>
              </w:rPr>
              <w:t>30/06/15</w:t>
            </w:r>
          </w:p>
        </w:tc>
        <w:tc>
          <w:tcPr>
            <w:tcW w:w="2948" w:type="dxa"/>
            <w:shd w:val="clear" w:color="auto" w:fill="auto"/>
          </w:tcPr>
          <w:p w14:paraId="00065551" w14:textId="77777777" w:rsidR="00FC092D" w:rsidRPr="009722F8" w:rsidRDefault="00EF32E4" w:rsidP="00941019">
            <w:pPr>
              <w:pStyle w:val="MarginText"/>
              <w:rPr>
                <w:rFonts w:cs="Arial"/>
                <w:sz w:val="20"/>
              </w:rPr>
            </w:pPr>
            <w:r w:rsidRPr="009722F8">
              <w:rPr>
                <w:rFonts w:cs="Arial"/>
                <w:sz w:val="20"/>
              </w:rPr>
              <w:t>Ensure timely delivery of final report</w:t>
            </w:r>
          </w:p>
        </w:tc>
      </w:tr>
      <w:tr w:rsidR="00FC092D" w:rsidRPr="009F6433" w14:paraId="4A05527F" w14:textId="77777777" w:rsidTr="00764B11">
        <w:trPr>
          <w:tblHeader/>
        </w:trPr>
        <w:tc>
          <w:tcPr>
            <w:tcW w:w="1158" w:type="dxa"/>
            <w:shd w:val="clear" w:color="auto" w:fill="auto"/>
          </w:tcPr>
          <w:p w14:paraId="3DCA4094" w14:textId="77777777" w:rsidR="00FC092D" w:rsidRPr="009722F8" w:rsidRDefault="009A27D3" w:rsidP="00941019">
            <w:pPr>
              <w:pStyle w:val="MarginText"/>
              <w:rPr>
                <w:rFonts w:cs="Arial"/>
                <w:sz w:val="20"/>
              </w:rPr>
            </w:pPr>
            <w:r w:rsidRPr="009722F8">
              <w:rPr>
                <w:rFonts w:cs="Arial"/>
                <w:sz w:val="20"/>
              </w:rPr>
              <w:t>06</w:t>
            </w:r>
          </w:p>
        </w:tc>
        <w:tc>
          <w:tcPr>
            <w:tcW w:w="2523" w:type="dxa"/>
            <w:shd w:val="clear" w:color="auto" w:fill="auto"/>
          </w:tcPr>
          <w:p w14:paraId="131C387E" w14:textId="77777777" w:rsidR="00FC092D" w:rsidRPr="009722F8" w:rsidRDefault="009A27D3" w:rsidP="00891FF1">
            <w:pPr>
              <w:pStyle w:val="MarginText"/>
              <w:rPr>
                <w:rFonts w:cs="Arial"/>
                <w:sz w:val="20"/>
              </w:rPr>
            </w:pPr>
            <w:r w:rsidRPr="009722F8">
              <w:rPr>
                <w:rFonts w:cs="Arial"/>
                <w:sz w:val="20"/>
              </w:rPr>
              <w:t xml:space="preserve">Presentation of findings </w:t>
            </w:r>
          </w:p>
        </w:tc>
        <w:tc>
          <w:tcPr>
            <w:tcW w:w="1134" w:type="dxa"/>
            <w:shd w:val="clear" w:color="auto" w:fill="auto"/>
          </w:tcPr>
          <w:p w14:paraId="3CAFE90E" w14:textId="77777777" w:rsidR="00FC092D" w:rsidRPr="009722F8" w:rsidRDefault="00FC092D" w:rsidP="00941019">
            <w:pPr>
              <w:pStyle w:val="MarginText"/>
              <w:rPr>
                <w:rFonts w:cs="Arial"/>
                <w:sz w:val="20"/>
              </w:rPr>
            </w:pPr>
          </w:p>
        </w:tc>
        <w:tc>
          <w:tcPr>
            <w:tcW w:w="1417" w:type="dxa"/>
            <w:shd w:val="clear" w:color="auto" w:fill="auto"/>
          </w:tcPr>
          <w:p w14:paraId="438C892A" w14:textId="77777777" w:rsidR="00FC092D" w:rsidRPr="009722F8" w:rsidRDefault="009A27D3" w:rsidP="00941019">
            <w:pPr>
              <w:pStyle w:val="MarginText"/>
              <w:rPr>
                <w:rFonts w:cs="Arial"/>
                <w:sz w:val="20"/>
              </w:rPr>
            </w:pPr>
            <w:r w:rsidRPr="009722F8">
              <w:rPr>
                <w:rFonts w:cs="Arial"/>
                <w:sz w:val="20"/>
              </w:rPr>
              <w:t>07/15</w:t>
            </w:r>
          </w:p>
        </w:tc>
        <w:tc>
          <w:tcPr>
            <w:tcW w:w="2948" w:type="dxa"/>
            <w:shd w:val="clear" w:color="auto" w:fill="auto"/>
          </w:tcPr>
          <w:p w14:paraId="0176EA40" w14:textId="77777777" w:rsidR="00FC092D" w:rsidRPr="009722F8" w:rsidRDefault="009A27D3" w:rsidP="00941019">
            <w:pPr>
              <w:pStyle w:val="MarginText"/>
              <w:rPr>
                <w:rFonts w:cs="Arial"/>
                <w:sz w:val="20"/>
              </w:rPr>
            </w:pPr>
            <w:r w:rsidRPr="009722F8">
              <w:rPr>
                <w:rFonts w:cs="Arial"/>
                <w:sz w:val="20"/>
              </w:rPr>
              <w:t>Arrange a date for presentation</w:t>
            </w:r>
          </w:p>
        </w:tc>
      </w:tr>
    </w:tbl>
    <w:p w14:paraId="493AA349" w14:textId="77777777" w:rsidR="00764B11" w:rsidRPr="009F6433" w:rsidRDefault="00764B11" w:rsidP="00764B11">
      <w:pPr>
        <w:pStyle w:val="Heading3"/>
        <w:numPr>
          <w:ilvl w:val="0"/>
          <w:numId w:val="0"/>
        </w:numPr>
        <w:rPr>
          <w:b/>
          <w:highlight w:val="yellow"/>
        </w:rPr>
      </w:pPr>
    </w:p>
    <w:p w14:paraId="699701F5" w14:textId="544E73AD" w:rsidR="00764B11" w:rsidRPr="00CC21A7" w:rsidRDefault="00764B11" w:rsidP="00764B11">
      <w:pPr>
        <w:pStyle w:val="Heading3"/>
        <w:rPr>
          <w:b/>
        </w:rPr>
      </w:pPr>
      <w:r w:rsidRPr="00CC21A7">
        <w:rPr>
          <w:rFonts w:cs="Arial"/>
          <w:szCs w:val="22"/>
        </w:rPr>
        <w:t>If so required by the Customer, the Supplier shall produce a further version of the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r w:rsidR="009866CD">
        <w:rPr>
          <w:rFonts w:cs="Arial"/>
          <w:szCs w:val="22"/>
        </w:rPr>
        <w:t xml:space="preserve"> </w:t>
      </w:r>
    </w:p>
    <w:p w14:paraId="6132F70F" w14:textId="77777777" w:rsidR="00764B11" w:rsidRPr="00CC21A7" w:rsidRDefault="00764B11" w:rsidP="00764B11">
      <w:pPr>
        <w:pStyle w:val="Heading3"/>
        <w:rPr>
          <w:b/>
        </w:rPr>
      </w:pPr>
      <w:r w:rsidRPr="00CC21A7">
        <w:rPr>
          <w:rFonts w:cs="Arial"/>
          <w:szCs w:val="22"/>
        </w:rPr>
        <w:t>The Customer shall have the right to require the Supplier to include any reasonable changes or provisions in each version of the Implementation Plan.</w:t>
      </w:r>
    </w:p>
    <w:p w14:paraId="7B3CD93B" w14:textId="77777777" w:rsidR="00764B11" w:rsidRPr="00CC21A7" w:rsidRDefault="00764B11" w:rsidP="00764B11">
      <w:pPr>
        <w:pStyle w:val="Heading3"/>
        <w:rPr>
          <w:b/>
        </w:rPr>
      </w:pPr>
      <w:r w:rsidRPr="00CC21A7">
        <w:rPr>
          <w:rFonts w:cs="Arial"/>
          <w:szCs w:val="22"/>
        </w:rPr>
        <w:t>The Supplier shall perform its obligations so as to achieve each Milestone by the Milestone Date.</w:t>
      </w:r>
    </w:p>
    <w:p w14:paraId="6866A404" w14:textId="77777777" w:rsidR="005E433A" w:rsidRPr="00CC21A7" w:rsidRDefault="00764B11" w:rsidP="005E433A">
      <w:pPr>
        <w:pStyle w:val="Heading3"/>
        <w:rPr>
          <w:b/>
        </w:rPr>
      </w:pPr>
      <w:r w:rsidRPr="00CC21A7">
        <w:rPr>
          <w:rFonts w:cs="Arial"/>
          <w:szCs w:val="22"/>
        </w:rPr>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r w:rsidR="009F6433" w:rsidRPr="00CC21A7">
        <w:rPr>
          <w:rFonts w:cs="Arial"/>
          <w:szCs w:val="22"/>
        </w:rPr>
        <w:t>]</w:t>
      </w:r>
    </w:p>
    <w:p w14:paraId="44AF29C2" w14:textId="77777777" w:rsidR="00BA6D3D" w:rsidRPr="00CC21A7" w:rsidRDefault="00BA6D3D" w:rsidP="006007CB">
      <w:pPr>
        <w:pStyle w:val="ListParagraph"/>
        <w:numPr>
          <w:ilvl w:val="0"/>
          <w:numId w:val="25"/>
        </w:numPr>
        <w:jc w:val="both"/>
        <w:rPr>
          <w:rFonts w:cs="Arial"/>
          <w:i/>
          <w:szCs w:val="22"/>
        </w:rPr>
      </w:pPr>
      <w:r w:rsidRPr="00CC21A7">
        <w:rPr>
          <w:rFonts w:cs="Arial"/>
          <w:i/>
          <w:szCs w:val="22"/>
        </w:rPr>
        <w:t>Payment can only be made following satisfactory delivery of pre-agreed certified products and deliverables.</w:t>
      </w:r>
    </w:p>
    <w:p w14:paraId="0EE1DE6E" w14:textId="77777777" w:rsidR="00BA6D3D" w:rsidRPr="00CC21A7" w:rsidRDefault="00BA6D3D" w:rsidP="00BA6D3D">
      <w:pPr>
        <w:jc w:val="both"/>
        <w:rPr>
          <w:rFonts w:cs="Arial"/>
          <w:i/>
          <w:szCs w:val="22"/>
        </w:rPr>
      </w:pPr>
    </w:p>
    <w:p w14:paraId="0A1EEB78" w14:textId="77777777" w:rsidR="00D57358" w:rsidRPr="00CC21A7" w:rsidRDefault="00BA6D3D" w:rsidP="006007CB">
      <w:pPr>
        <w:pStyle w:val="ListParagraph"/>
        <w:numPr>
          <w:ilvl w:val="0"/>
          <w:numId w:val="25"/>
        </w:numPr>
        <w:jc w:val="both"/>
        <w:rPr>
          <w:rFonts w:cs="Arial"/>
          <w:i/>
          <w:szCs w:val="22"/>
        </w:rPr>
      </w:pPr>
      <w:r w:rsidRPr="00CC21A7">
        <w:rPr>
          <w:rFonts w:cs="Arial"/>
          <w:i/>
          <w:szCs w:val="22"/>
        </w:rPr>
        <w:t xml:space="preserve">Before payment can be considered, each invoice must include a detailed elemental breakdown of work completed and the associated costs. </w:t>
      </w:r>
    </w:p>
    <w:p w14:paraId="5F3C1556" w14:textId="77777777" w:rsidR="00BD21D6" w:rsidRPr="00ED6B85" w:rsidRDefault="00BD21D6" w:rsidP="009722F8">
      <w:pPr>
        <w:pStyle w:val="Heading3"/>
        <w:numPr>
          <w:ilvl w:val="0"/>
          <w:numId w:val="0"/>
        </w:numPr>
        <w:rPr>
          <w:highlight w:val="yellow"/>
        </w:rPr>
      </w:pPr>
    </w:p>
    <w:p w14:paraId="1F0B6DAB" w14:textId="77777777" w:rsidR="00E14E59" w:rsidRPr="009722F8" w:rsidRDefault="00ED6B85" w:rsidP="009722F8">
      <w:pPr>
        <w:pStyle w:val="Heading1"/>
        <w:spacing w:after="120"/>
      </w:pPr>
      <w:bookmarkStart w:id="13" w:name="_Toc383464505"/>
      <w:r w:rsidRPr="009722F8">
        <w:t>[</w:t>
      </w:r>
      <w:r w:rsidR="00A028E8" w:rsidRPr="009722F8">
        <w:t>Additional Requirements</w:t>
      </w:r>
      <w:bookmarkEnd w:id="13"/>
      <w:r w:rsidRPr="009722F8">
        <w:t>]</w:t>
      </w:r>
    </w:p>
    <w:p w14:paraId="147B0267" w14:textId="77777777" w:rsidR="00937E14" w:rsidRDefault="009A27D3" w:rsidP="00FD080D">
      <w:pPr>
        <w:pStyle w:val="Heading2"/>
        <w:spacing w:after="120"/>
      </w:pPr>
      <w:r w:rsidRPr="009722F8">
        <w:t>Payments will be made to the successful provider</w:t>
      </w:r>
      <w:r w:rsidR="00A049D1" w:rsidRPr="009722F8">
        <w:t xml:space="preserve"> upon the sat</w:t>
      </w:r>
      <w:r w:rsidR="007D4BD4" w:rsidRPr="009722F8">
        <w:t>isfactory delivery of specific d</w:t>
      </w:r>
      <w:r w:rsidR="00A049D1" w:rsidRPr="009722F8">
        <w:t xml:space="preserve">eliverables, namely the </w:t>
      </w:r>
      <w:r w:rsidR="007D4BD4" w:rsidRPr="009722F8">
        <w:t>i</w:t>
      </w:r>
      <w:r w:rsidR="00A049D1" w:rsidRPr="009722F8">
        <w:t>nterim report (literature review), the draft report detailing modelling scenarios and a final report.</w:t>
      </w:r>
    </w:p>
    <w:p w14:paraId="4ECF68AC" w14:textId="1227E7FC" w:rsidR="00B9761F" w:rsidRPr="009722F8" w:rsidRDefault="00B9761F" w:rsidP="00B9761F">
      <w:pPr>
        <w:pStyle w:val="Heading2"/>
      </w:pPr>
      <w:r w:rsidRPr="00B9761F">
        <w:t>The Potential Provider must grant a perpetual, irrevocable, worldwide, royalty free licence to the Department and the Crown, and any person authorised by either of them, to use, reproduce, publish, modify, adapt, enhance and otherwise deal with the results.</w:t>
      </w:r>
      <w:bookmarkStart w:id="14" w:name="_GoBack"/>
      <w:bookmarkEnd w:id="14"/>
    </w:p>
    <w:p w14:paraId="4E17F59F" w14:textId="77777777" w:rsidR="00BD21D6" w:rsidRPr="00F83B65" w:rsidRDefault="00BD21D6" w:rsidP="00BD21D6">
      <w:pPr>
        <w:pStyle w:val="Heading2"/>
        <w:numPr>
          <w:ilvl w:val="0"/>
          <w:numId w:val="0"/>
        </w:numPr>
        <w:spacing w:after="120"/>
        <w:ind w:left="720"/>
        <w:rPr>
          <w:highlight w:val="yellow"/>
        </w:rPr>
      </w:pPr>
    </w:p>
    <w:p w14:paraId="0836A430" w14:textId="77777777" w:rsidR="000C73A3" w:rsidRPr="009722F8" w:rsidRDefault="00ED6B85" w:rsidP="000C73A3">
      <w:pPr>
        <w:pStyle w:val="Heading1"/>
      </w:pPr>
      <w:bookmarkStart w:id="15" w:name="_Toc383464506"/>
      <w:r w:rsidRPr="009722F8">
        <w:t>[</w:t>
      </w:r>
      <w:r w:rsidR="000C73A3" w:rsidRPr="009722F8">
        <w:t>Location</w:t>
      </w:r>
      <w:bookmarkEnd w:id="15"/>
      <w:r w:rsidRPr="009722F8">
        <w:t>]</w:t>
      </w:r>
    </w:p>
    <w:p w14:paraId="4C23E022" w14:textId="3A75D585" w:rsidR="006C1417" w:rsidRPr="006C1417" w:rsidRDefault="007D4BD4" w:rsidP="00B9761F">
      <w:pPr>
        <w:pStyle w:val="Heading2"/>
      </w:pPr>
      <w:r w:rsidRPr="009722F8">
        <w:t>The location of the s</w:t>
      </w:r>
      <w:r w:rsidR="00A049D1" w:rsidRPr="009722F8">
        <w:t>ervices will be carried out at the prem</w:t>
      </w:r>
      <w:r w:rsidR="00B9761F">
        <w:t>ises of the successful provider.</w:t>
      </w:r>
    </w:p>
    <w:p w14:paraId="175A5D95" w14:textId="77777777" w:rsidR="00273AF5" w:rsidRPr="009722F8" w:rsidRDefault="00ED6B85" w:rsidP="00273AF5">
      <w:pPr>
        <w:pStyle w:val="Heading1"/>
      </w:pPr>
      <w:bookmarkStart w:id="16" w:name="_Toc383464508"/>
      <w:r w:rsidRPr="009722F8">
        <w:t>[</w:t>
      </w:r>
      <w:r w:rsidR="00273AF5" w:rsidRPr="009722F8">
        <w:t>PROJECT TIMETABLE</w:t>
      </w:r>
      <w:bookmarkEnd w:id="16"/>
      <w:r w:rsidRPr="009722F8">
        <w:t>]</w:t>
      </w:r>
    </w:p>
    <w:p w14:paraId="00C4DFD2" w14:textId="77777777" w:rsidR="00BD21D6" w:rsidRPr="009722F8" w:rsidRDefault="00B5129D" w:rsidP="00B5129D">
      <w:pPr>
        <w:pStyle w:val="Heading2"/>
      </w:pPr>
      <w:r w:rsidRPr="009722F8">
        <w:t>Key targets/milestones as follows;</w:t>
      </w:r>
    </w:p>
    <w:tbl>
      <w:tblPr>
        <w:tblStyle w:val="TableGrid"/>
        <w:tblW w:w="0" w:type="auto"/>
        <w:tblLook w:val="04A0" w:firstRow="1" w:lastRow="0" w:firstColumn="1" w:lastColumn="0" w:noHBand="0" w:noVBand="1"/>
      </w:tblPr>
      <w:tblGrid>
        <w:gridCol w:w="4622"/>
        <w:gridCol w:w="4623"/>
      </w:tblGrid>
      <w:tr w:rsidR="008A1207" w:rsidRPr="009722F8" w14:paraId="6E430B4A" w14:textId="77777777" w:rsidTr="008A1207">
        <w:tc>
          <w:tcPr>
            <w:tcW w:w="4622" w:type="dxa"/>
          </w:tcPr>
          <w:p w14:paraId="1BCB21BB" w14:textId="77777777" w:rsidR="008A1207" w:rsidRPr="009722F8" w:rsidRDefault="00A649EC" w:rsidP="00B5129D">
            <w:pPr>
              <w:pStyle w:val="Heading2"/>
              <w:numPr>
                <w:ilvl w:val="0"/>
                <w:numId w:val="0"/>
              </w:numPr>
              <w:outlineLvl w:val="1"/>
            </w:pPr>
            <w:r w:rsidRPr="009722F8">
              <w:t>Key targets/milestones</w:t>
            </w:r>
          </w:p>
        </w:tc>
        <w:tc>
          <w:tcPr>
            <w:tcW w:w="4623" w:type="dxa"/>
          </w:tcPr>
          <w:p w14:paraId="5AD9BD61" w14:textId="77777777" w:rsidR="008A1207" w:rsidRPr="009722F8" w:rsidRDefault="00A649EC" w:rsidP="00B5129D">
            <w:pPr>
              <w:pStyle w:val="Heading2"/>
              <w:numPr>
                <w:ilvl w:val="0"/>
                <w:numId w:val="0"/>
              </w:numPr>
              <w:outlineLvl w:val="1"/>
            </w:pPr>
            <w:r w:rsidRPr="009722F8">
              <w:t>Completion date</w:t>
            </w:r>
          </w:p>
        </w:tc>
      </w:tr>
      <w:tr w:rsidR="008A1207" w:rsidRPr="009722F8" w14:paraId="17EFC28D" w14:textId="77777777" w:rsidTr="008A1207">
        <w:tc>
          <w:tcPr>
            <w:tcW w:w="4622" w:type="dxa"/>
          </w:tcPr>
          <w:p w14:paraId="1D14FE56" w14:textId="77777777" w:rsidR="008A1207" w:rsidRPr="009722F8" w:rsidRDefault="00A649EC" w:rsidP="00B5129D">
            <w:pPr>
              <w:pStyle w:val="Heading2"/>
              <w:numPr>
                <w:ilvl w:val="0"/>
                <w:numId w:val="0"/>
              </w:numPr>
              <w:outlineLvl w:val="1"/>
            </w:pPr>
            <w:r w:rsidRPr="009722F8">
              <w:t>Work begins</w:t>
            </w:r>
          </w:p>
        </w:tc>
        <w:tc>
          <w:tcPr>
            <w:tcW w:w="4623" w:type="dxa"/>
          </w:tcPr>
          <w:p w14:paraId="496DE4CF" w14:textId="77777777" w:rsidR="008A1207" w:rsidRPr="009722F8" w:rsidRDefault="00A649EC" w:rsidP="00B5129D">
            <w:pPr>
              <w:pStyle w:val="Heading2"/>
              <w:numPr>
                <w:ilvl w:val="0"/>
                <w:numId w:val="0"/>
              </w:numPr>
              <w:outlineLvl w:val="1"/>
            </w:pPr>
            <w:r w:rsidRPr="009722F8">
              <w:t>13/04/15</w:t>
            </w:r>
          </w:p>
        </w:tc>
      </w:tr>
      <w:tr w:rsidR="008A1207" w:rsidRPr="009722F8" w14:paraId="45AE64C5" w14:textId="77777777" w:rsidTr="008A1207">
        <w:tc>
          <w:tcPr>
            <w:tcW w:w="4622" w:type="dxa"/>
          </w:tcPr>
          <w:p w14:paraId="64075D88" w14:textId="77777777" w:rsidR="008A1207" w:rsidRPr="009722F8" w:rsidRDefault="00A649EC" w:rsidP="00B5129D">
            <w:pPr>
              <w:pStyle w:val="Heading2"/>
              <w:numPr>
                <w:ilvl w:val="0"/>
                <w:numId w:val="0"/>
              </w:numPr>
              <w:outlineLvl w:val="1"/>
            </w:pPr>
            <w:r w:rsidRPr="009722F8">
              <w:t>Interim report (Literature review)</w:t>
            </w:r>
          </w:p>
        </w:tc>
        <w:tc>
          <w:tcPr>
            <w:tcW w:w="4623" w:type="dxa"/>
          </w:tcPr>
          <w:p w14:paraId="099C2119" w14:textId="77777777" w:rsidR="008A1207" w:rsidRPr="009722F8" w:rsidRDefault="00A649EC" w:rsidP="00B5129D">
            <w:pPr>
              <w:pStyle w:val="Heading2"/>
              <w:numPr>
                <w:ilvl w:val="0"/>
                <w:numId w:val="0"/>
              </w:numPr>
              <w:outlineLvl w:val="1"/>
            </w:pPr>
            <w:r w:rsidRPr="009722F8">
              <w:t>13/05/15</w:t>
            </w:r>
          </w:p>
        </w:tc>
      </w:tr>
      <w:tr w:rsidR="008A1207" w:rsidRPr="009722F8" w14:paraId="45AD0432" w14:textId="77777777" w:rsidTr="008A1207">
        <w:tc>
          <w:tcPr>
            <w:tcW w:w="4622" w:type="dxa"/>
          </w:tcPr>
          <w:p w14:paraId="4E5CA53E" w14:textId="77777777" w:rsidR="008A1207" w:rsidRPr="009722F8" w:rsidRDefault="00A649EC" w:rsidP="00B5129D">
            <w:pPr>
              <w:pStyle w:val="Heading2"/>
              <w:numPr>
                <w:ilvl w:val="0"/>
                <w:numId w:val="0"/>
              </w:numPr>
              <w:outlineLvl w:val="1"/>
            </w:pPr>
            <w:r w:rsidRPr="009722F8">
              <w:t>Contractor meeting</w:t>
            </w:r>
          </w:p>
        </w:tc>
        <w:tc>
          <w:tcPr>
            <w:tcW w:w="4623" w:type="dxa"/>
          </w:tcPr>
          <w:p w14:paraId="533C26E5" w14:textId="77777777" w:rsidR="008A1207" w:rsidRPr="009722F8" w:rsidRDefault="00A649EC" w:rsidP="00B5129D">
            <w:pPr>
              <w:pStyle w:val="Heading2"/>
              <w:numPr>
                <w:ilvl w:val="0"/>
                <w:numId w:val="0"/>
              </w:numPr>
              <w:outlineLvl w:val="1"/>
            </w:pPr>
            <w:r w:rsidRPr="009722F8">
              <w:t>20/05/15</w:t>
            </w:r>
          </w:p>
        </w:tc>
      </w:tr>
      <w:tr w:rsidR="008A1207" w:rsidRPr="009722F8" w14:paraId="621F06F8" w14:textId="77777777" w:rsidTr="008A1207">
        <w:tc>
          <w:tcPr>
            <w:tcW w:w="4622" w:type="dxa"/>
          </w:tcPr>
          <w:p w14:paraId="1986C650" w14:textId="77777777" w:rsidR="008A1207" w:rsidRPr="009722F8" w:rsidRDefault="00220D13" w:rsidP="00B5129D">
            <w:pPr>
              <w:pStyle w:val="Heading2"/>
              <w:numPr>
                <w:ilvl w:val="0"/>
                <w:numId w:val="0"/>
              </w:numPr>
              <w:outlineLvl w:val="1"/>
              <w:rPr>
                <w:szCs w:val="22"/>
              </w:rPr>
            </w:pPr>
            <w:r w:rsidRPr="009722F8">
              <w:rPr>
                <w:rFonts w:eastAsia="Calibri" w:cs="Arial"/>
                <w:szCs w:val="22"/>
                <w:lang w:eastAsia="en-US"/>
              </w:rPr>
              <w:t>Modelling complete (d</w:t>
            </w:r>
            <w:r w:rsidR="0039696F" w:rsidRPr="009722F8">
              <w:rPr>
                <w:rFonts w:eastAsia="Calibri" w:cs="Arial"/>
                <w:szCs w:val="22"/>
                <w:lang w:eastAsia="en-US"/>
              </w:rPr>
              <w:t>raft report)</w:t>
            </w:r>
          </w:p>
        </w:tc>
        <w:tc>
          <w:tcPr>
            <w:tcW w:w="4623" w:type="dxa"/>
          </w:tcPr>
          <w:p w14:paraId="62729DDD" w14:textId="77777777" w:rsidR="008A1207" w:rsidRPr="009722F8" w:rsidRDefault="0039696F" w:rsidP="00B5129D">
            <w:pPr>
              <w:pStyle w:val="Heading2"/>
              <w:numPr>
                <w:ilvl w:val="0"/>
                <w:numId w:val="0"/>
              </w:numPr>
              <w:outlineLvl w:val="1"/>
              <w:rPr>
                <w:szCs w:val="22"/>
              </w:rPr>
            </w:pPr>
            <w:r w:rsidRPr="009722F8">
              <w:rPr>
                <w:rFonts w:eastAsia="Calibri" w:cs="Arial"/>
                <w:szCs w:val="22"/>
                <w:lang w:eastAsia="en-US"/>
              </w:rPr>
              <w:t>12/06/15</w:t>
            </w:r>
          </w:p>
        </w:tc>
      </w:tr>
      <w:tr w:rsidR="008A1207" w:rsidRPr="009722F8" w14:paraId="6849B10A" w14:textId="77777777" w:rsidTr="008A1207">
        <w:tc>
          <w:tcPr>
            <w:tcW w:w="4622" w:type="dxa"/>
          </w:tcPr>
          <w:p w14:paraId="5B5B3035" w14:textId="77777777" w:rsidR="008A1207" w:rsidRPr="009722F8" w:rsidRDefault="0039696F" w:rsidP="00B5129D">
            <w:pPr>
              <w:pStyle w:val="Heading2"/>
              <w:numPr>
                <w:ilvl w:val="0"/>
                <w:numId w:val="0"/>
              </w:numPr>
              <w:outlineLvl w:val="1"/>
              <w:rPr>
                <w:szCs w:val="22"/>
              </w:rPr>
            </w:pPr>
            <w:r w:rsidRPr="009722F8">
              <w:rPr>
                <w:rFonts w:eastAsia="Calibri" w:cs="Arial"/>
                <w:szCs w:val="22"/>
                <w:lang w:eastAsia="en-US"/>
              </w:rPr>
              <w:t>Final report</w:t>
            </w:r>
          </w:p>
        </w:tc>
        <w:tc>
          <w:tcPr>
            <w:tcW w:w="4623" w:type="dxa"/>
          </w:tcPr>
          <w:p w14:paraId="54555278" w14:textId="77777777" w:rsidR="008A1207" w:rsidRPr="009722F8" w:rsidRDefault="0039696F" w:rsidP="00B5129D">
            <w:pPr>
              <w:pStyle w:val="Heading2"/>
              <w:numPr>
                <w:ilvl w:val="0"/>
                <w:numId w:val="0"/>
              </w:numPr>
              <w:outlineLvl w:val="1"/>
              <w:rPr>
                <w:szCs w:val="22"/>
              </w:rPr>
            </w:pPr>
            <w:r w:rsidRPr="009722F8">
              <w:rPr>
                <w:rFonts w:eastAsia="Calibri" w:cs="Arial"/>
                <w:szCs w:val="22"/>
                <w:lang w:eastAsia="en-US"/>
              </w:rPr>
              <w:t>30/06/15</w:t>
            </w:r>
          </w:p>
        </w:tc>
      </w:tr>
      <w:tr w:rsidR="0039696F" w:rsidRPr="009722F8" w14:paraId="07B6B06C" w14:textId="77777777" w:rsidTr="008A1207">
        <w:tc>
          <w:tcPr>
            <w:tcW w:w="4622" w:type="dxa"/>
          </w:tcPr>
          <w:p w14:paraId="6E19B89A" w14:textId="77777777" w:rsidR="0039696F" w:rsidRPr="009722F8" w:rsidRDefault="0039696F" w:rsidP="00B5129D">
            <w:pPr>
              <w:pStyle w:val="Heading2"/>
              <w:numPr>
                <w:ilvl w:val="0"/>
                <w:numId w:val="0"/>
              </w:numPr>
              <w:outlineLvl w:val="1"/>
              <w:rPr>
                <w:rFonts w:eastAsia="Calibri" w:cs="Arial"/>
                <w:sz w:val="24"/>
                <w:szCs w:val="24"/>
                <w:lang w:eastAsia="en-US"/>
              </w:rPr>
            </w:pPr>
            <w:r w:rsidRPr="009722F8">
              <w:rPr>
                <w:rFonts w:eastAsia="Calibri" w:cs="Arial"/>
                <w:sz w:val="24"/>
                <w:szCs w:val="24"/>
                <w:lang w:eastAsia="en-US"/>
              </w:rPr>
              <w:t>Presentation of findings</w:t>
            </w:r>
          </w:p>
        </w:tc>
        <w:tc>
          <w:tcPr>
            <w:tcW w:w="4623" w:type="dxa"/>
          </w:tcPr>
          <w:p w14:paraId="6BCBE254" w14:textId="77777777" w:rsidR="0039696F" w:rsidRPr="009722F8" w:rsidRDefault="0039696F" w:rsidP="00B5129D">
            <w:pPr>
              <w:pStyle w:val="Heading2"/>
              <w:numPr>
                <w:ilvl w:val="0"/>
                <w:numId w:val="0"/>
              </w:numPr>
              <w:outlineLvl w:val="1"/>
            </w:pPr>
            <w:r w:rsidRPr="009722F8">
              <w:rPr>
                <w:rFonts w:eastAsia="Calibri" w:cs="Arial"/>
                <w:sz w:val="24"/>
                <w:szCs w:val="24"/>
                <w:lang w:eastAsia="en-US"/>
              </w:rPr>
              <w:t>07/15</w:t>
            </w:r>
          </w:p>
        </w:tc>
      </w:tr>
    </w:tbl>
    <w:p w14:paraId="069AD51D" w14:textId="77777777" w:rsidR="00B5129D" w:rsidRPr="009722F8" w:rsidRDefault="00B5129D" w:rsidP="00B5129D">
      <w:pPr>
        <w:pStyle w:val="Heading2"/>
        <w:numPr>
          <w:ilvl w:val="0"/>
          <w:numId w:val="0"/>
        </w:numPr>
        <w:rPr>
          <w:highlight w:val="yellow"/>
        </w:rPr>
      </w:pPr>
    </w:p>
    <w:p w14:paraId="7CEE5DA6" w14:textId="77777777" w:rsidR="00BD21D6" w:rsidRPr="009722F8" w:rsidRDefault="00BD21D6" w:rsidP="00273AF5">
      <w:pPr>
        <w:pStyle w:val="Heading2"/>
        <w:numPr>
          <w:ilvl w:val="0"/>
          <w:numId w:val="0"/>
        </w:numPr>
        <w:ind w:left="720"/>
        <w:rPr>
          <w:b/>
          <w:highlight w:val="yellow"/>
        </w:rPr>
      </w:pPr>
    </w:p>
    <w:p w14:paraId="16317665" w14:textId="77777777" w:rsidR="00A74A55" w:rsidRPr="00273AF5" w:rsidRDefault="00A74A55" w:rsidP="00273AF5">
      <w:pPr>
        <w:pStyle w:val="Heading2"/>
        <w:numPr>
          <w:ilvl w:val="0"/>
          <w:numId w:val="0"/>
        </w:numPr>
        <w:ind w:left="720"/>
        <w:rPr>
          <w:highlight w:val="yellow"/>
        </w:rPr>
      </w:pPr>
    </w:p>
    <w:p w14:paraId="0297D12B" w14:textId="77777777" w:rsidR="00273AF5" w:rsidRPr="00273AF5" w:rsidRDefault="00273AF5" w:rsidP="00273AF5">
      <w:pPr>
        <w:pStyle w:val="Heading1"/>
        <w:numPr>
          <w:ilvl w:val="0"/>
          <w:numId w:val="0"/>
        </w:numPr>
        <w:ind w:left="720"/>
        <w:rPr>
          <w:highlight w:val="yellow"/>
        </w:rPr>
      </w:pPr>
    </w:p>
    <w:p w14:paraId="1540153F" w14:textId="77777777" w:rsidR="00941019" w:rsidRPr="00FD080D" w:rsidRDefault="00941019" w:rsidP="00952576">
      <w:pPr>
        <w:pStyle w:val="Heading2"/>
        <w:numPr>
          <w:ilvl w:val="0"/>
          <w:numId w:val="0"/>
        </w:numPr>
        <w:spacing w:after="120"/>
        <w:rPr>
          <w:highlight w:val="yellow"/>
        </w:rPr>
      </w:pPr>
    </w:p>
    <w:p w14:paraId="567BD553" w14:textId="77777777" w:rsidR="00B459C5" w:rsidRPr="002F4D97" w:rsidRDefault="00B459C5" w:rsidP="00FD080D">
      <w:pPr>
        <w:pStyle w:val="Heading1"/>
        <w:numPr>
          <w:ilvl w:val="0"/>
          <w:numId w:val="0"/>
        </w:numPr>
        <w:spacing w:after="120"/>
        <w:ind w:left="720"/>
      </w:pPr>
    </w:p>
    <w:p w14:paraId="67B3ADE9" w14:textId="77777777" w:rsidR="00A028E8" w:rsidRPr="002F4D97" w:rsidRDefault="00A028E8" w:rsidP="00FD080D">
      <w:pPr>
        <w:pStyle w:val="Heading2"/>
        <w:numPr>
          <w:ilvl w:val="0"/>
          <w:numId w:val="0"/>
        </w:numPr>
        <w:spacing w:after="120"/>
      </w:pPr>
    </w:p>
    <w:sectPr w:rsidR="00A028E8" w:rsidRPr="002F4D97"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FE5B6" w14:textId="77777777" w:rsidR="000E60D4" w:rsidRDefault="000E60D4">
      <w:pPr>
        <w:spacing w:line="20" w:lineRule="exact"/>
      </w:pPr>
    </w:p>
  </w:endnote>
  <w:endnote w:type="continuationSeparator" w:id="0">
    <w:p w14:paraId="597AE364" w14:textId="77777777" w:rsidR="000E60D4" w:rsidRDefault="000E60D4">
      <w:pPr>
        <w:spacing w:line="20" w:lineRule="exact"/>
      </w:pPr>
      <w:r>
        <w:t xml:space="preserve"> </w:t>
      </w:r>
    </w:p>
  </w:endnote>
  <w:endnote w:type="continuationNotice" w:id="1">
    <w:p w14:paraId="723A4BEC" w14:textId="77777777" w:rsidR="000E60D4" w:rsidRDefault="000E60D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077B2" w14:textId="77777777" w:rsidR="000E60D4" w:rsidRDefault="00CD299A" w:rsidP="00074357">
    <w:pPr>
      <w:pStyle w:val="Footer"/>
      <w:pBdr>
        <w:top w:val="single" w:sz="6" w:space="1" w:color="auto"/>
      </w:pBdr>
      <w:tabs>
        <w:tab w:val="clear" w:pos="4153"/>
        <w:tab w:val="clear" w:pos="8306"/>
      </w:tabs>
      <w:ind w:right="-43"/>
      <w:jc w:val="center"/>
      <w:rPr>
        <w:sz w:val="18"/>
        <w:szCs w:val="18"/>
      </w:rPr>
    </w:pPr>
    <w:r>
      <w:rPr>
        <w:sz w:val="18"/>
        <w:szCs w:val="18"/>
      </w:rPr>
      <w:t>OFFICIAL</w:t>
    </w:r>
  </w:p>
  <w:p w14:paraId="76DCAE05" w14:textId="77777777" w:rsidR="000E60D4" w:rsidRDefault="000E60D4" w:rsidP="00074357">
    <w:pPr>
      <w:pStyle w:val="Footer"/>
      <w:pBdr>
        <w:top w:val="single" w:sz="6" w:space="1" w:color="auto"/>
      </w:pBdr>
      <w:tabs>
        <w:tab w:val="clear" w:pos="4153"/>
        <w:tab w:val="clear" w:pos="8306"/>
      </w:tabs>
      <w:ind w:right="-43"/>
      <w:jc w:val="center"/>
    </w:pPr>
  </w:p>
  <w:p w14:paraId="0B0CE52A" w14:textId="77777777" w:rsidR="000E60D4" w:rsidRPr="00074357" w:rsidRDefault="000E60D4" w:rsidP="00074357">
    <w:pPr>
      <w:pStyle w:val="Footer"/>
      <w:tabs>
        <w:tab w:val="clear" w:pos="8306"/>
      </w:tabs>
      <w:ind w:right="-43"/>
      <w:jc w:val="center"/>
      <w:rPr>
        <w:sz w:val="24"/>
      </w:rPr>
    </w:pPr>
    <w:r w:rsidRPr="00C81EC7">
      <w:rPr>
        <w:rFonts w:cs="Arial"/>
        <w:szCs w:val="22"/>
      </w:rPr>
      <w:t xml:space="preserve">Page </w:t>
    </w:r>
    <w:r w:rsidR="00DA54AA" w:rsidRPr="00C81EC7">
      <w:rPr>
        <w:rFonts w:cs="Arial"/>
        <w:szCs w:val="22"/>
      </w:rPr>
      <w:fldChar w:fldCharType="begin"/>
    </w:r>
    <w:r w:rsidRPr="00C81EC7">
      <w:rPr>
        <w:rFonts w:cs="Arial"/>
        <w:szCs w:val="22"/>
      </w:rPr>
      <w:instrText xml:space="preserve"> PAGE </w:instrText>
    </w:r>
    <w:r w:rsidR="00DA54AA" w:rsidRPr="00C81EC7">
      <w:rPr>
        <w:rFonts w:cs="Arial"/>
        <w:szCs w:val="22"/>
      </w:rPr>
      <w:fldChar w:fldCharType="separate"/>
    </w:r>
    <w:r w:rsidR="00B9761F">
      <w:rPr>
        <w:rFonts w:cs="Arial"/>
        <w:noProof/>
        <w:szCs w:val="22"/>
      </w:rPr>
      <w:t>5</w:t>
    </w:r>
    <w:r w:rsidR="00DA54AA" w:rsidRPr="00C81EC7">
      <w:rPr>
        <w:rFonts w:cs="Arial"/>
        <w:szCs w:val="22"/>
      </w:rPr>
      <w:fldChar w:fldCharType="end"/>
    </w:r>
    <w:r w:rsidRPr="00C81EC7">
      <w:rPr>
        <w:rFonts w:cs="Arial"/>
        <w:szCs w:val="22"/>
      </w:rPr>
      <w:t xml:space="preserve"> of </w:t>
    </w:r>
    <w:r w:rsidR="00DA54AA" w:rsidRPr="00C81EC7">
      <w:rPr>
        <w:rFonts w:cs="Arial"/>
        <w:szCs w:val="22"/>
      </w:rPr>
      <w:fldChar w:fldCharType="begin"/>
    </w:r>
    <w:r w:rsidRPr="00C81EC7">
      <w:rPr>
        <w:rFonts w:cs="Arial"/>
        <w:szCs w:val="22"/>
      </w:rPr>
      <w:instrText xml:space="preserve"> NUMPAGES </w:instrText>
    </w:r>
    <w:r w:rsidR="00DA54AA" w:rsidRPr="00C81EC7">
      <w:rPr>
        <w:rFonts w:cs="Arial"/>
        <w:szCs w:val="22"/>
      </w:rPr>
      <w:fldChar w:fldCharType="separate"/>
    </w:r>
    <w:r w:rsidR="00B9761F">
      <w:rPr>
        <w:rFonts w:cs="Arial"/>
        <w:noProof/>
        <w:szCs w:val="22"/>
      </w:rPr>
      <w:t>5</w:t>
    </w:r>
    <w:r w:rsidR="00DA54AA"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4EE3E" w14:textId="77777777" w:rsidR="000E60D4" w:rsidRDefault="000E60D4">
      <w:r>
        <w:separator/>
      </w:r>
    </w:p>
  </w:footnote>
  <w:footnote w:type="continuationSeparator" w:id="0">
    <w:p w14:paraId="1A45C93E" w14:textId="77777777" w:rsidR="000E60D4" w:rsidRDefault="000E60D4">
      <w:r>
        <w:continuationSeparator/>
      </w:r>
    </w:p>
  </w:footnote>
  <w:footnote w:type="continuationNotice" w:id="1">
    <w:p w14:paraId="55D0A76F" w14:textId="77777777" w:rsidR="000E60D4" w:rsidRDefault="000E60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08159" w14:textId="77777777" w:rsidR="000E60D4" w:rsidRDefault="00CD299A" w:rsidP="00074357">
    <w:pPr>
      <w:pStyle w:val="Header"/>
      <w:jc w:val="center"/>
      <w:rPr>
        <w:b/>
      </w:rPr>
    </w:pPr>
    <w:r>
      <w:rPr>
        <w:sz w:val="18"/>
        <w:szCs w:val="18"/>
      </w:rPr>
      <w:t>OFFICIAL</w:t>
    </w:r>
  </w:p>
  <w:p w14:paraId="668F1FAD" w14:textId="77777777" w:rsidR="000E60D4" w:rsidRDefault="000E60D4" w:rsidP="00806295">
    <w:pPr>
      <w:pStyle w:val="Header"/>
      <w:jc w:val="center"/>
      <w:rPr>
        <w:b/>
      </w:rPr>
    </w:pPr>
  </w:p>
  <w:p w14:paraId="1BBF22B7" w14:textId="77777777" w:rsidR="000E60D4" w:rsidRDefault="00ED2695" w:rsidP="008D52B0">
    <w:pPr>
      <w:pStyle w:val="Header"/>
      <w:jc w:val="center"/>
      <w:rPr>
        <w:b/>
      </w:rPr>
    </w:pPr>
    <w:r>
      <w:rPr>
        <w:b/>
      </w:rPr>
      <w:t>RM5289 SO8778 Air Quality Impacts of Biofuels</w:t>
    </w:r>
  </w:p>
  <w:p w14:paraId="0EA38B6B" w14:textId="77777777" w:rsidR="000E60D4" w:rsidRPr="00C81EC7" w:rsidRDefault="000E60D4" w:rsidP="00074357">
    <w:pPr>
      <w:pStyle w:val="Header"/>
      <w:jc w:val="center"/>
      <w:rPr>
        <w:b/>
      </w:rPr>
    </w:pPr>
    <w:r>
      <w:rPr>
        <w:b/>
      </w:rPr>
      <w:t>Appendix B – Service Description</w:t>
    </w:r>
  </w:p>
  <w:p w14:paraId="33283F8B" w14:textId="77777777" w:rsidR="000E60D4" w:rsidRDefault="000E60D4" w:rsidP="00074357">
    <w:pPr>
      <w:pStyle w:val="Header"/>
      <w:tabs>
        <w:tab w:val="clear" w:pos="4153"/>
        <w:tab w:val="clear" w:pos="8306"/>
        <w:tab w:val="center" w:pos="4514"/>
      </w:tabs>
    </w:pPr>
    <w:r>
      <w:tab/>
    </w:r>
  </w:p>
  <w:p w14:paraId="2A1A8FC3" w14:textId="77777777" w:rsidR="000E60D4" w:rsidRPr="00074357" w:rsidRDefault="006C5B24" w:rsidP="00074357">
    <w:pPr>
      <w:pStyle w:val="Header"/>
    </w:pPr>
    <w:r>
      <w:rPr>
        <w:noProof/>
        <w:lang w:eastAsia="en-GB"/>
      </w:rPr>
      <mc:AlternateContent>
        <mc:Choice Requires="wps">
          <w:drawing>
            <wp:anchor distT="0" distB="0" distL="114300" distR="114300" simplePos="0" relativeHeight="251657216" behindDoc="0" locked="0" layoutInCell="1" allowOverlap="1" wp14:anchorId="263B47DC" wp14:editId="4B408229">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2CD3AB"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DB69E3"/>
    <w:multiLevelType w:val="hybridMultilevel"/>
    <w:tmpl w:val="CED40FF0"/>
    <w:name w:val="Recital Numbering List2"/>
    <w:lvl w:ilvl="0" w:tplc="F8F0A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CD56816"/>
    <w:multiLevelType w:val="hybridMultilevel"/>
    <w:tmpl w:val="C1AED044"/>
    <w:lvl w:ilvl="0" w:tplc="D2E08D94">
      <w:start w:val="1"/>
      <w:numFmt w:val="bullet"/>
      <w:lvlText w:val=""/>
      <w:lvlJc w:val="left"/>
      <w:pPr>
        <w:tabs>
          <w:tab w:val="num" w:pos="1440"/>
        </w:tabs>
        <w:ind w:left="1440" w:hanging="360"/>
      </w:pPr>
      <w:rPr>
        <w:rFonts w:ascii="Symbol" w:hAnsi="Symbol" w:hint="default"/>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2E2FAC"/>
    <w:multiLevelType w:val="hybridMultilevel"/>
    <w:tmpl w:val="689EFBBE"/>
    <w:name w:val="Recital Numbering List2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D694AD6"/>
    <w:multiLevelType w:val="hybridMultilevel"/>
    <w:tmpl w:val="503A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nsid w:val="3207063B"/>
    <w:multiLevelType w:val="hybridMultilevel"/>
    <w:tmpl w:val="A1387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CDD2B66"/>
    <w:multiLevelType w:val="hybridMultilevel"/>
    <w:tmpl w:val="40AEDF9E"/>
    <w:lvl w:ilvl="0" w:tplc="B8309A64">
      <w:start w:val="1"/>
      <w:numFmt w:val="bullet"/>
      <w:pStyle w:val="StyleHeading3Arial11ptAutoLeft0cmFirstline0cm"/>
      <w:lvlText w:val=""/>
      <w:lvlJc w:val="left"/>
      <w:pPr>
        <w:tabs>
          <w:tab w:val="num" w:pos="720"/>
        </w:tabs>
        <w:ind w:left="720" w:hanging="360"/>
      </w:pPr>
      <w:rPr>
        <w:rFonts w:ascii="Symbol" w:hAnsi="Symbol" w:hint="default"/>
      </w:rPr>
    </w:lvl>
    <w:lvl w:ilvl="1" w:tplc="94723EF6" w:tentative="1">
      <w:start w:val="1"/>
      <w:numFmt w:val="bullet"/>
      <w:lvlText w:val="o"/>
      <w:lvlJc w:val="left"/>
      <w:pPr>
        <w:tabs>
          <w:tab w:val="num" w:pos="1440"/>
        </w:tabs>
        <w:ind w:left="1440" w:hanging="360"/>
      </w:pPr>
      <w:rPr>
        <w:rFonts w:ascii="Courier New" w:hAnsi="Courier New" w:cs="Courier New" w:hint="default"/>
      </w:rPr>
    </w:lvl>
    <w:lvl w:ilvl="2" w:tplc="BDE0F2D4" w:tentative="1">
      <w:start w:val="1"/>
      <w:numFmt w:val="bullet"/>
      <w:lvlText w:val=""/>
      <w:lvlJc w:val="left"/>
      <w:pPr>
        <w:tabs>
          <w:tab w:val="num" w:pos="2160"/>
        </w:tabs>
        <w:ind w:left="2160" w:hanging="360"/>
      </w:pPr>
      <w:rPr>
        <w:rFonts w:ascii="Wingdings" w:hAnsi="Wingdings" w:hint="default"/>
      </w:rPr>
    </w:lvl>
    <w:lvl w:ilvl="3" w:tplc="5B6E2834" w:tentative="1">
      <w:start w:val="1"/>
      <w:numFmt w:val="bullet"/>
      <w:lvlText w:val=""/>
      <w:lvlJc w:val="left"/>
      <w:pPr>
        <w:tabs>
          <w:tab w:val="num" w:pos="2880"/>
        </w:tabs>
        <w:ind w:left="2880" w:hanging="360"/>
      </w:pPr>
      <w:rPr>
        <w:rFonts w:ascii="Symbol" w:hAnsi="Symbol" w:hint="default"/>
      </w:rPr>
    </w:lvl>
    <w:lvl w:ilvl="4" w:tplc="B4B4F666" w:tentative="1">
      <w:start w:val="1"/>
      <w:numFmt w:val="bullet"/>
      <w:lvlText w:val="o"/>
      <w:lvlJc w:val="left"/>
      <w:pPr>
        <w:tabs>
          <w:tab w:val="num" w:pos="3600"/>
        </w:tabs>
        <w:ind w:left="3600" w:hanging="360"/>
      </w:pPr>
      <w:rPr>
        <w:rFonts w:ascii="Courier New" w:hAnsi="Courier New" w:cs="Courier New" w:hint="default"/>
      </w:rPr>
    </w:lvl>
    <w:lvl w:ilvl="5" w:tplc="4258BEE0" w:tentative="1">
      <w:start w:val="1"/>
      <w:numFmt w:val="bullet"/>
      <w:lvlText w:val=""/>
      <w:lvlJc w:val="left"/>
      <w:pPr>
        <w:tabs>
          <w:tab w:val="num" w:pos="4320"/>
        </w:tabs>
        <w:ind w:left="4320" w:hanging="360"/>
      </w:pPr>
      <w:rPr>
        <w:rFonts w:ascii="Wingdings" w:hAnsi="Wingdings" w:hint="default"/>
      </w:rPr>
    </w:lvl>
    <w:lvl w:ilvl="6" w:tplc="1B4C8816" w:tentative="1">
      <w:start w:val="1"/>
      <w:numFmt w:val="bullet"/>
      <w:lvlText w:val=""/>
      <w:lvlJc w:val="left"/>
      <w:pPr>
        <w:tabs>
          <w:tab w:val="num" w:pos="5040"/>
        </w:tabs>
        <w:ind w:left="5040" w:hanging="360"/>
      </w:pPr>
      <w:rPr>
        <w:rFonts w:ascii="Symbol" w:hAnsi="Symbol" w:hint="default"/>
      </w:rPr>
    </w:lvl>
    <w:lvl w:ilvl="7" w:tplc="54EEA6B6" w:tentative="1">
      <w:start w:val="1"/>
      <w:numFmt w:val="bullet"/>
      <w:lvlText w:val="o"/>
      <w:lvlJc w:val="left"/>
      <w:pPr>
        <w:tabs>
          <w:tab w:val="num" w:pos="5760"/>
        </w:tabs>
        <w:ind w:left="5760" w:hanging="360"/>
      </w:pPr>
      <w:rPr>
        <w:rFonts w:ascii="Courier New" w:hAnsi="Courier New" w:cs="Courier New" w:hint="default"/>
      </w:rPr>
    </w:lvl>
    <w:lvl w:ilvl="8" w:tplc="17FEE36A" w:tentative="1">
      <w:start w:val="1"/>
      <w:numFmt w:val="bullet"/>
      <w:lvlText w:val=""/>
      <w:lvlJc w:val="left"/>
      <w:pPr>
        <w:tabs>
          <w:tab w:val="num" w:pos="6480"/>
        </w:tabs>
        <w:ind w:left="6480" w:hanging="360"/>
      </w:pPr>
      <w:rPr>
        <w:rFonts w:ascii="Wingdings" w:hAnsi="Wingdings" w:hint="default"/>
      </w:rPr>
    </w:lvl>
  </w:abstractNum>
  <w:abstractNum w:abstractNumId="21">
    <w:nsid w:val="3FA02DD3"/>
    <w:multiLevelType w:val="hybridMultilevel"/>
    <w:tmpl w:val="7B7CE2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FE96B42"/>
    <w:multiLevelType w:val="hybridMultilevel"/>
    <w:tmpl w:val="3C862EE8"/>
    <w:name w:val="Recital Numbering List"/>
    <w:lvl w:ilvl="0" w:tplc="6D6C36DE">
      <w:start w:val="1"/>
      <w:numFmt w:val="lowerRoman"/>
      <w:lvlText w:val="%1."/>
      <w:lvlJc w:val="right"/>
      <w:pPr>
        <w:ind w:left="1037" w:hanging="360"/>
      </w:pPr>
      <w:rPr>
        <w:rFonts w:hint="default"/>
      </w:rPr>
    </w:lvl>
    <w:lvl w:ilvl="1" w:tplc="299A5028" w:tentative="1">
      <w:start w:val="1"/>
      <w:numFmt w:val="bullet"/>
      <w:lvlText w:val="o"/>
      <w:lvlJc w:val="left"/>
      <w:pPr>
        <w:ind w:left="1757" w:hanging="360"/>
      </w:pPr>
      <w:rPr>
        <w:rFonts w:ascii="Courier New" w:hAnsi="Courier New" w:cs="Courier New" w:hint="default"/>
      </w:rPr>
    </w:lvl>
    <w:lvl w:ilvl="2" w:tplc="92F683B2" w:tentative="1">
      <w:start w:val="1"/>
      <w:numFmt w:val="bullet"/>
      <w:lvlText w:val=""/>
      <w:lvlJc w:val="left"/>
      <w:pPr>
        <w:ind w:left="2477" w:hanging="360"/>
      </w:pPr>
      <w:rPr>
        <w:rFonts w:ascii="Wingdings" w:hAnsi="Wingdings" w:hint="default"/>
      </w:rPr>
    </w:lvl>
    <w:lvl w:ilvl="3" w:tplc="E206B276" w:tentative="1">
      <w:start w:val="1"/>
      <w:numFmt w:val="bullet"/>
      <w:lvlText w:val=""/>
      <w:lvlJc w:val="left"/>
      <w:pPr>
        <w:ind w:left="3197" w:hanging="360"/>
      </w:pPr>
      <w:rPr>
        <w:rFonts w:ascii="Symbol" w:hAnsi="Symbol" w:hint="default"/>
      </w:rPr>
    </w:lvl>
    <w:lvl w:ilvl="4" w:tplc="DE829AB4" w:tentative="1">
      <w:start w:val="1"/>
      <w:numFmt w:val="bullet"/>
      <w:lvlText w:val="o"/>
      <w:lvlJc w:val="left"/>
      <w:pPr>
        <w:ind w:left="3917" w:hanging="360"/>
      </w:pPr>
      <w:rPr>
        <w:rFonts w:ascii="Courier New" w:hAnsi="Courier New" w:cs="Courier New" w:hint="default"/>
      </w:rPr>
    </w:lvl>
    <w:lvl w:ilvl="5" w:tplc="6D5A88FE" w:tentative="1">
      <w:start w:val="1"/>
      <w:numFmt w:val="bullet"/>
      <w:lvlText w:val=""/>
      <w:lvlJc w:val="left"/>
      <w:pPr>
        <w:ind w:left="4637" w:hanging="360"/>
      </w:pPr>
      <w:rPr>
        <w:rFonts w:ascii="Wingdings" w:hAnsi="Wingdings" w:hint="default"/>
      </w:rPr>
    </w:lvl>
    <w:lvl w:ilvl="6" w:tplc="ED683928" w:tentative="1">
      <w:start w:val="1"/>
      <w:numFmt w:val="bullet"/>
      <w:lvlText w:val=""/>
      <w:lvlJc w:val="left"/>
      <w:pPr>
        <w:ind w:left="5357" w:hanging="360"/>
      </w:pPr>
      <w:rPr>
        <w:rFonts w:ascii="Symbol" w:hAnsi="Symbol" w:hint="default"/>
      </w:rPr>
    </w:lvl>
    <w:lvl w:ilvl="7" w:tplc="40D80B62" w:tentative="1">
      <w:start w:val="1"/>
      <w:numFmt w:val="bullet"/>
      <w:lvlText w:val="o"/>
      <w:lvlJc w:val="left"/>
      <w:pPr>
        <w:ind w:left="6077" w:hanging="360"/>
      </w:pPr>
      <w:rPr>
        <w:rFonts w:ascii="Courier New" w:hAnsi="Courier New" w:cs="Courier New" w:hint="default"/>
      </w:rPr>
    </w:lvl>
    <w:lvl w:ilvl="8" w:tplc="1248942E" w:tentative="1">
      <w:start w:val="1"/>
      <w:numFmt w:val="bullet"/>
      <w:lvlText w:val=""/>
      <w:lvlJc w:val="left"/>
      <w:pPr>
        <w:ind w:left="6797" w:hanging="360"/>
      </w:pPr>
      <w:rPr>
        <w:rFonts w:ascii="Wingdings" w:hAnsi="Wingdings" w:hint="default"/>
      </w:rPr>
    </w:lvl>
  </w:abstractNum>
  <w:abstractNum w:abstractNumId="24">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nsid w:val="517258E5"/>
    <w:multiLevelType w:val="hybridMultilevel"/>
    <w:tmpl w:val="2ED065C4"/>
    <w:lvl w:ilvl="0" w:tplc="12FCA08A">
      <w:start w:val="1"/>
      <w:numFmt w:val="bullet"/>
      <w:lvlText w:val=""/>
      <w:lvlJc w:val="left"/>
      <w:pPr>
        <w:tabs>
          <w:tab w:val="num" w:pos="1332"/>
        </w:tabs>
        <w:ind w:left="1332" w:hanging="360"/>
      </w:pPr>
      <w:rPr>
        <w:rFonts w:ascii="Symbol" w:hAnsi="Symbol" w:hint="default"/>
      </w:rPr>
    </w:lvl>
    <w:lvl w:ilvl="1" w:tplc="4592515E" w:tentative="1">
      <w:start w:val="1"/>
      <w:numFmt w:val="bullet"/>
      <w:lvlText w:val="o"/>
      <w:lvlJc w:val="left"/>
      <w:pPr>
        <w:tabs>
          <w:tab w:val="num" w:pos="2052"/>
        </w:tabs>
        <w:ind w:left="2052" w:hanging="360"/>
      </w:pPr>
      <w:rPr>
        <w:rFonts w:ascii="Courier New" w:hAnsi="Courier New" w:hint="default"/>
      </w:rPr>
    </w:lvl>
    <w:lvl w:ilvl="2" w:tplc="DABC138A" w:tentative="1">
      <w:start w:val="1"/>
      <w:numFmt w:val="bullet"/>
      <w:lvlText w:val=""/>
      <w:lvlJc w:val="left"/>
      <w:pPr>
        <w:tabs>
          <w:tab w:val="num" w:pos="2772"/>
        </w:tabs>
        <w:ind w:left="2772" w:hanging="360"/>
      </w:pPr>
      <w:rPr>
        <w:rFonts w:ascii="Wingdings" w:hAnsi="Wingdings" w:hint="default"/>
      </w:rPr>
    </w:lvl>
    <w:lvl w:ilvl="3" w:tplc="D5BACF3E" w:tentative="1">
      <w:start w:val="1"/>
      <w:numFmt w:val="bullet"/>
      <w:lvlText w:val=""/>
      <w:lvlJc w:val="left"/>
      <w:pPr>
        <w:tabs>
          <w:tab w:val="num" w:pos="3492"/>
        </w:tabs>
        <w:ind w:left="3492" w:hanging="360"/>
      </w:pPr>
      <w:rPr>
        <w:rFonts w:ascii="Symbol" w:hAnsi="Symbol" w:hint="default"/>
      </w:rPr>
    </w:lvl>
    <w:lvl w:ilvl="4" w:tplc="08AE41E6" w:tentative="1">
      <w:start w:val="1"/>
      <w:numFmt w:val="bullet"/>
      <w:lvlText w:val="o"/>
      <w:lvlJc w:val="left"/>
      <w:pPr>
        <w:tabs>
          <w:tab w:val="num" w:pos="4212"/>
        </w:tabs>
        <w:ind w:left="4212" w:hanging="360"/>
      </w:pPr>
      <w:rPr>
        <w:rFonts w:ascii="Courier New" w:hAnsi="Courier New" w:hint="default"/>
      </w:rPr>
    </w:lvl>
    <w:lvl w:ilvl="5" w:tplc="63DEDBD0" w:tentative="1">
      <w:start w:val="1"/>
      <w:numFmt w:val="bullet"/>
      <w:lvlText w:val=""/>
      <w:lvlJc w:val="left"/>
      <w:pPr>
        <w:tabs>
          <w:tab w:val="num" w:pos="4932"/>
        </w:tabs>
        <w:ind w:left="4932" w:hanging="360"/>
      </w:pPr>
      <w:rPr>
        <w:rFonts w:ascii="Wingdings" w:hAnsi="Wingdings" w:hint="default"/>
      </w:rPr>
    </w:lvl>
    <w:lvl w:ilvl="6" w:tplc="4BF444CA" w:tentative="1">
      <w:start w:val="1"/>
      <w:numFmt w:val="bullet"/>
      <w:lvlText w:val=""/>
      <w:lvlJc w:val="left"/>
      <w:pPr>
        <w:tabs>
          <w:tab w:val="num" w:pos="5652"/>
        </w:tabs>
        <w:ind w:left="5652" w:hanging="360"/>
      </w:pPr>
      <w:rPr>
        <w:rFonts w:ascii="Symbol" w:hAnsi="Symbol" w:hint="default"/>
      </w:rPr>
    </w:lvl>
    <w:lvl w:ilvl="7" w:tplc="5134C03C" w:tentative="1">
      <w:start w:val="1"/>
      <w:numFmt w:val="bullet"/>
      <w:lvlText w:val="o"/>
      <w:lvlJc w:val="left"/>
      <w:pPr>
        <w:tabs>
          <w:tab w:val="num" w:pos="6372"/>
        </w:tabs>
        <w:ind w:left="6372" w:hanging="360"/>
      </w:pPr>
      <w:rPr>
        <w:rFonts w:ascii="Courier New" w:hAnsi="Courier New" w:hint="default"/>
      </w:rPr>
    </w:lvl>
    <w:lvl w:ilvl="8" w:tplc="3FFE7DA2" w:tentative="1">
      <w:start w:val="1"/>
      <w:numFmt w:val="bullet"/>
      <w:lvlText w:val=""/>
      <w:lvlJc w:val="left"/>
      <w:pPr>
        <w:tabs>
          <w:tab w:val="num" w:pos="7092"/>
        </w:tabs>
        <w:ind w:left="7092" w:hanging="360"/>
      </w:pPr>
      <w:rPr>
        <w:rFonts w:ascii="Wingdings" w:hAnsi="Wingdings" w:hint="default"/>
      </w:rPr>
    </w:lvl>
  </w:abstractNum>
  <w:abstractNum w:abstractNumId="26">
    <w:nsid w:val="5AA077B7"/>
    <w:multiLevelType w:val="hybridMultilevel"/>
    <w:tmpl w:val="5C48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B93432"/>
    <w:multiLevelType w:val="hybridMultilevel"/>
    <w:tmpl w:val="6030A292"/>
    <w:lvl w:ilvl="0" w:tplc="0809001B">
      <w:start w:val="1"/>
      <w:numFmt w:val="bullet"/>
      <w:pStyle w:val="PQQbullet"/>
      <w:lvlText w:val=""/>
      <w:lvlJc w:val="left"/>
      <w:pPr>
        <w:tabs>
          <w:tab w:val="num" w:pos="1372"/>
        </w:tabs>
        <w:ind w:left="1372" w:hanging="532"/>
      </w:pPr>
      <w:rPr>
        <w:rFonts w:ascii="Symbol" w:hAnsi="Symbol" w:hint="default"/>
      </w:rPr>
    </w:lvl>
    <w:lvl w:ilvl="1" w:tplc="08090003">
      <w:start w:val="1"/>
      <w:numFmt w:val="bullet"/>
      <w:lvlText w:val="o"/>
      <w:lvlJc w:val="left"/>
      <w:pPr>
        <w:tabs>
          <w:tab w:val="num" w:pos="1658"/>
        </w:tabs>
        <w:ind w:left="165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nsid w:val="5F6F7512"/>
    <w:multiLevelType w:val="hybridMultilevel"/>
    <w:tmpl w:val="EAF093EC"/>
    <w:name w:val="Appendicies Heading List"/>
    <w:lvl w:ilvl="0" w:tplc="6FB014EE">
      <w:start w:val="1"/>
      <w:numFmt w:val="bullet"/>
      <w:lvlText w:val=""/>
      <w:lvlJc w:val="left"/>
      <w:pPr>
        <w:ind w:left="1798" w:hanging="360"/>
      </w:pPr>
      <w:rPr>
        <w:rFonts w:ascii="Symbol" w:hAnsi="Symbol" w:hint="default"/>
      </w:rPr>
    </w:lvl>
    <w:lvl w:ilvl="1" w:tplc="42F4DB98" w:tentative="1">
      <w:start w:val="1"/>
      <w:numFmt w:val="bullet"/>
      <w:lvlText w:val="o"/>
      <w:lvlJc w:val="left"/>
      <w:pPr>
        <w:ind w:left="2518" w:hanging="360"/>
      </w:pPr>
      <w:rPr>
        <w:rFonts w:ascii="Courier New" w:hAnsi="Courier New" w:cs="Courier New" w:hint="default"/>
      </w:rPr>
    </w:lvl>
    <w:lvl w:ilvl="2" w:tplc="137E17E6" w:tentative="1">
      <w:start w:val="1"/>
      <w:numFmt w:val="bullet"/>
      <w:lvlText w:val=""/>
      <w:lvlJc w:val="left"/>
      <w:pPr>
        <w:ind w:left="3238" w:hanging="360"/>
      </w:pPr>
      <w:rPr>
        <w:rFonts w:ascii="Wingdings" w:hAnsi="Wingdings" w:hint="default"/>
      </w:rPr>
    </w:lvl>
    <w:lvl w:ilvl="3" w:tplc="2F5C55F8" w:tentative="1">
      <w:start w:val="1"/>
      <w:numFmt w:val="bullet"/>
      <w:lvlText w:val=""/>
      <w:lvlJc w:val="left"/>
      <w:pPr>
        <w:ind w:left="3958" w:hanging="360"/>
      </w:pPr>
      <w:rPr>
        <w:rFonts w:ascii="Symbol" w:hAnsi="Symbol" w:hint="default"/>
      </w:rPr>
    </w:lvl>
    <w:lvl w:ilvl="4" w:tplc="72467CC0" w:tentative="1">
      <w:start w:val="1"/>
      <w:numFmt w:val="bullet"/>
      <w:lvlText w:val="o"/>
      <w:lvlJc w:val="left"/>
      <w:pPr>
        <w:ind w:left="4678" w:hanging="360"/>
      </w:pPr>
      <w:rPr>
        <w:rFonts w:ascii="Courier New" w:hAnsi="Courier New" w:cs="Courier New" w:hint="default"/>
      </w:rPr>
    </w:lvl>
    <w:lvl w:ilvl="5" w:tplc="3932BB7E" w:tentative="1">
      <w:start w:val="1"/>
      <w:numFmt w:val="bullet"/>
      <w:lvlText w:val=""/>
      <w:lvlJc w:val="left"/>
      <w:pPr>
        <w:ind w:left="5398" w:hanging="360"/>
      </w:pPr>
      <w:rPr>
        <w:rFonts w:ascii="Wingdings" w:hAnsi="Wingdings" w:hint="default"/>
      </w:rPr>
    </w:lvl>
    <w:lvl w:ilvl="6" w:tplc="53B818E0" w:tentative="1">
      <w:start w:val="1"/>
      <w:numFmt w:val="bullet"/>
      <w:lvlText w:val=""/>
      <w:lvlJc w:val="left"/>
      <w:pPr>
        <w:ind w:left="6118" w:hanging="360"/>
      </w:pPr>
      <w:rPr>
        <w:rFonts w:ascii="Symbol" w:hAnsi="Symbol" w:hint="default"/>
      </w:rPr>
    </w:lvl>
    <w:lvl w:ilvl="7" w:tplc="8D103A00" w:tentative="1">
      <w:start w:val="1"/>
      <w:numFmt w:val="bullet"/>
      <w:lvlText w:val="o"/>
      <w:lvlJc w:val="left"/>
      <w:pPr>
        <w:ind w:left="6838" w:hanging="360"/>
      </w:pPr>
      <w:rPr>
        <w:rFonts w:ascii="Courier New" w:hAnsi="Courier New" w:cs="Courier New" w:hint="default"/>
      </w:rPr>
    </w:lvl>
    <w:lvl w:ilvl="8" w:tplc="9196D4FC" w:tentative="1">
      <w:start w:val="1"/>
      <w:numFmt w:val="bullet"/>
      <w:lvlText w:val=""/>
      <w:lvlJc w:val="left"/>
      <w:pPr>
        <w:ind w:left="7558" w:hanging="360"/>
      </w:pPr>
      <w:rPr>
        <w:rFonts w:ascii="Wingdings" w:hAnsi="Wingdings" w:hint="default"/>
      </w:rPr>
    </w:lvl>
  </w:abstractNum>
  <w:abstractNum w:abstractNumId="29">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45734BE"/>
    <w:multiLevelType w:val="hybridMultilevel"/>
    <w:tmpl w:val="1B2CE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6A714C9C"/>
    <w:multiLevelType w:val="hybridMultilevel"/>
    <w:tmpl w:val="533C7EEA"/>
    <w:name w:val="List Bullet "/>
    <w:lvl w:ilvl="0" w:tplc="02722598">
      <w:start w:val="3"/>
      <w:numFmt w:val="bullet"/>
      <w:lvlText w:val=""/>
      <w:lvlJc w:val="left"/>
      <w:pPr>
        <w:ind w:left="720" w:hanging="360"/>
      </w:pPr>
      <w:rPr>
        <w:rFonts w:ascii="Wingdings" w:eastAsia="SimSun" w:hAnsi="Wingdings" w:cs="Times New Roman"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2">
    <w:nsid w:val="6ACC6C64"/>
    <w:multiLevelType w:val="hybridMultilevel"/>
    <w:tmpl w:val="2E6C3E94"/>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33">
    <w:nsid w:val="79965273"/>
    <w:multiLevelType w:val="hybridMultilevel"/>
    <w:tmpl w:val="21E25B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4"/>
  </w:num>
  <w:num w:numId="3">
    <w:abstractNumId w:val="14"/>
  </w:num>
  <w:num w:numId="4">
    <w:abstractNumId w:val="16"/>
  </w:num>
  <w:num w:numId="5">
    <w:abstractNumId w:val="5"/>
  </w:num>
  <w:num w:numId="6">
    <w:abstractNumId w:val="22"/>
  </w:num>
  <w:num w:numId="7">
    <w:abstractNumId w:val="19"/>
  </w:num>
  <w:num w:numId="8">
    <w:abstractNumId w:val="13"/>
  </w:num>
  <w:num w:numId="9">
    <w:abstractNumId w:val="4"/>
  </w:num>
  <w:num w:numId="10">
    <w:abstractNumId w:val="3"/>
  </w:num>
  <w:num w:numId="11">
    <w:abstractNumId w:val="2"/>
  </w:num>
  <w:num w:numId="12">
    <w:abstractNumId w:val="1"/>
  </w:num>
  <w:num w:numId="13">
    <w:abstractNumId w:val="0"/>
  </w:num>
  <w:num w:numId="14">
    <w:abstractNumId w:val="34"/>
  </w:num>
  <w:num w:numId="15">
    <w:abstractNumId w:val="10"/>
  </w:num>
  <w:num w:numId="16">
    <w:abstractNumId w:val="29"/>
  </w:num>
  <w:num w:numId="17">
    <w:abstractNumId w:val="9"/>
  </w:num>
  <w:num w:numId="18">
    <w:abstractNumId w:val="20"/>
  </w:num>
  <w:num w:numId="19">
    <w:abstractNumId w:val="18"/>
  </w:num>
  <w:num w:numId="20">
    <w:abstractNumId w:val="27"/>
  </w:num>
  <w:num w:numId="21">
    <w:abstractNumId w:val="12"/>
  </w:num>
  <w:num w:numId="22">
    <w:abstractNumId w:val="8"/>
  </w:num>
  <w:num w:numId="23">
    <w:abstractNumId w:val="25"/>
  </w:num>
  <w:num w:numId="24">
    <w:abstractNumId w:val="33"/>
  </w:num>
  <w:num w:numId="25">
    <w:abstractNumId w:val="26"/>
  </w:num>
  <w:num w:numId="26">
    <w:abstractNumId w:val="32"/>
  </w:num>
  <w:num w:numId="27">
    <w:abstractNumId w:val="17"/>
  </w:num>
  <w:num w:numId="28">
    <w:abstractNumId w:val="30"/>
  </w:num>
  <w:num w:numId="29">
    <w:abstractNumId w:val="15"/>
  </w:num>
  <w:num w:numId="30">
    <w:abstractNumId w:val="7"/>
  </w:num>
  <w:num w:numId="31">
    <w:abstractNumId w:val="21"/>
  </w:num>
  <w:num w:numId="3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5229"/>
    <w:rsid w:val="00026CBD"/>
    <w:rsid w:val="00026E28"/>
    <w:rsid w:val="00027C05"/>
    <w:rsid w:val="000318CA"/>
    <w:rsid w:val="0003289F"/>
    <w:rsid w:val="00035A45"/>
    <w:rsid w:val="00037CB6"/>
    <w:rsid w:val="00040A60"/>
    <w:rsid w:val="000459DD"/>
    <w:rsid w:val="000507E9"/>
    <w:rsid w:val="00051F62"/>
    <w:rsid w:val="00052A65"/>
    <w:rsid w:val="000539C7"/>
    <w:rsid w:val="0005414E"/>
    <w:rsid w:val="000541C6"/>
    <w:rsid w:val="00056F7F"/>
    <w:rsid w:val="00060D0E"/>
    <w:rsid w:val="00064F9B"/>
    <w:rsid w:val="00066D70"/>
    <w:rsid w:val="0007280F"/>
    <w:rsid w:val="00074357"/>
    <w:rsid w:val="00074D97"/>
    <w:rsid w:val="000756DE"/>
    <w:rsid w:val="000763EA"/>
    <w:rsid w:val="000812AE"/>
    <w:rsid w:val="0008330B"/>
    <w:rsid w:val="00090D6B"/>
    <w:rsid w:val="000910A7"/>
    <w:rsid w:val="00094E2D"/>
    <w:rsid w:val="00096F76"/>
    <w:rsid w:val="000A0C5F"/>
    <w:rsid w:val="000A0D22"/>
    <w:rsid w:val="000A5E95"/>
    <w:rsid w:val="000B1C66"/>
    <w:rsid w:val="000B29B2"/>
    <w:rsid w:val="000B430B"/>
    <w:rsid w:val="000B5C9F"/>
    <w:rsid w:val="000C2484"/>
    <w:rsid w:val="000C2E05"/>
    <w:rsid w:val="000C5EC7"/>
    <w:rsid w:val="000C68BF"/>
    <w:rsid w:val="000C73A3"/>
    <w:rsid w:val="000C7C2B"/>
    <w:rsid w:val="000D5CB0"/>
    <w:rsid w:val="000E05CD"/>
    <w:rsid w:val="000E3471"/>
    <w:rsid w:val="000E44F2"/>
    <w:rsid w:val="000E4C53"/>
    <w:rsid w:val="000E60D4"/>
    <w:rsid w:val="000E6CD7"/>
    <w:rsid w:val="000F232D"/>
    <w:rsid w:val="000F3348"/>
    <w:rsid w:val="000F3500"/>
    <w:rsid w:val="000F3E1D"/>
    <w:rsid w:val="00100B77"/>
    <w:rsid w:val="0010318E"/>
    <w:rsid w:val="0010453E"/>
    <w:rsid w:val="0010463B"/>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3CB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63E6"/>
    <w:rsid w:val="0018756A"/>
    <w:rsid w:val="001962E6"/>
    <w:rsid w:val="001A1780"/>
    <w:rsid w:val="001A3C4D"/>
    <w:rsid w:val="001A6C08"/>
    <w:rsid w:val="001A7AB1"/>
    <w:rsid w:val="001B2EA8"/>
    <w:rsid w:val="001B38BD"/>
    <w:rsid w:val="001B3C1C"/>
    <w:rsid w:val="001B485F"/>
    <w:rsid w:val="001B4B79"/>
    <w:rsid w:val="001B52D8"/>
    <w:rsid w:val="001B7875"/>
    <w:rsid w:val="001C18A7"/>
    <w:rsid w:val="001C210F"/>
    <w:rsid w:val="001C3766"/>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1F5B7D"/>
    <w:rsid w:val="001F678A"/>
    <w:rsid w:val="002014DC"/>
    <w:rsid w:val="00202978"/>
    <w:rsid w:val="00204498"/>
    <w:rsid w:val="00205CD6"/>
    <w:rsid w:val="00206015"/>
    <w:rsid w:val="002136EC"/>
    <w:rsid w:val="00215015"/>
    <w:rsid w:val="0022047E"/>
    <w:rsid w:val="00220D13"/>
    <w:rsid w:val="002222F1"/>
    <w:rsid w:val="002229A8"/>
    <w:rsid w:val="002235BF"/>
    <w:rsid w:val="0022513D"/>
    <w:rsid w:val="00225865"/>
    <w:rsid w:val="0022592F"/>
    <w:rsid w:val="002262A5"/>
    <w:rsid w:val="002268D4"/>
    <w:rsid w:val="0022721A"/>
    <w:rsid w:val="00227460"/>
    <w:rsid w:val="00234955"/>
    <w:rsid w:val="00235A5E"/>
    <w:rsid w:val="00241853"/>
    <w:rsid w:val="00243547"/>
    <w:rsid w:val="00245342"/>
    <w:rsid w:val="00245B30"/>
    <w:rsid w:val="00246795"/>
    <w:rsid w:val="00250446"/>
    <w:rsid w:val="00257039"/>
    <w:rsid w:val="00257F38"/>
    <w:rsid w:val="002600C6"/>
    <w:rsid w:val="002608F4"/>
    <w:rsid w:val="0026119D"/>
    <w:rsid w:val="002630FA"/>
    <w:rsid w:val="002634FE"/>
    <w:rsid w:val="0027062E"/>
    <w:rsid w:val="00273AF5"/>
    <w:rsid w:val="00273C21"/>
    <w:rsid w:val="00274416"/>
    <w:rsid w:val="00275B97"/>
    <w:rsid w:val="00277524"/>
    <w:rsid w:val="002802B6"/>
    <w:rsid w:val="00280B5B"/>
    <w:rsid w:val="002848C1"/>
    <w:rsid w:val="0028697F"/>
    <w:rsid w:val="00286F62"/>
    <w:rsid w:val="002876FE"/>
    <w:rsid w:val="00293E2C"/>
    <w:rsid w:val="002A08BF"/>
    <w:rsid w:val="002A43CC"/>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41D"/>
    <w:rsid w:val="002C671C"/>
    <w:rsid w:val="002D2841"/>
    <w:rsid w:val="002D3A27"/>
    <w:rsid w:val="002E05A6"/>
    <w:rsid w:val="002E0DBC"/>
    <w:rsid w:val="002E5436"/>
    <w:rsid w:val="002E594B"/>
    <w:rsid w:val="002F13FD"/>
    <w:rsid w:val="002F1F7F"/>
    <w:rsid w:val="002F42F4"/>
    <w:rsid w:val="002F4D97"/>
    <w:rsid w:val="0030285B"/>
    <w:rsid w:val="00311429"/>
    <w:rsid w:val="00314691"/>
    <w:rsid w:val="00316D27"/>
    <w:rsid w:val="00323541"/>
    <w:rsid w:val="00323EAA"/>
    <w:rsid w:val="003255B1"/>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AAF"/>
    <w:rsid w:val="00366F85"/>
    <w:rsid w:val="003729F0"/>
    <w:rsid w:val="00373767"/>
    <w:rsid w:val="0037526E"/>
    <w:rsid w:val="00376922"/>
    <w:rsid w:val="00376FF7"/>
    <w:rsid w:val="00386338"/>
    <w:rsid w:val="00386706"/>
    <w:rsid w:val="003874EB"/>
    <w:rsid w:val="003908EB"/>
    <w:rsid w:val="00390BC3"/>
    <w:rsid w:val="0039193D"/>
    <w:rsid w:val="0039696F"/>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E6DB2"/>
    <w:rsid w:val="003F06FF"/>
    <w:rsid w:val="003F1C5D"/>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F11"/>
    <w:rsid w:val="00450BBD"/>
    <w:rsid w:val="0045279B"/>
    <w:rsid w:val="00453D4F"/>
    <w:rsid w:val="00453EE6"/>
    <w:rsid w:val="00460E5D"/>
    <w:rsid w:val="00461688"/>
    <w:rsid w:val="00466CA2"/>
    <w:rsid w:val="00470A2A"/>
    <w:rsid w:val="00476F39"/>
    <w:rsid w:val="004771C4"/>
    <w:rsid w:val="00480506"/>
    <w:rsid w:val="00480E50"/>
    <w:rsid w:val="004900A1"/>
    <w:rsid w:val="004909B0"/>
    <w:rsid w:val="0049625F"/>
    <w:rsid w:val="004A1958"/>
    <w:rsid w:val="004A225E"/>
    <w:rsid w:val="004A2A99"/>
    <w:rsid w:val="004A2D0B"/>
    <w:rsid w:val="004A31F5"/>
    <w:rsid w:val="004A4371"/>
    <w:rsid w:val="004A6CC6"/>
    <w:rsid w:val="004B4E34"/>
    <w:rsid w:val="004B6951"/>
    <w:rsid w:val="004C0636"/>
    <w:rsid w:val="004C1460"/>
    <w:rsid w:val="004C252B"/>
    <w:rsid w:val="004C50CD"/>
    <w:rsid w:val="004C53C2"/>
    <w:rsid w:val="004C5C6B"/>
    <w:rsid w:val="004C63D6"/>
    <w:rsid w:val="004C74D1"/>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0766C"/>
    <w:rsid w:val="005121E9"/>
    <w:rsid w:val="005147FE"/>
    <w:rsid w:val="00515D51"/>
    <w:rsid w:val="00517904"/>
    <w:rsid w:val="00522AAC"/>
    <w:rsid w:val="00527040"/>
    <w:rsid w:val="00531360"/>
    <w:rsid w:val="0053220D"/>
    <w:rsid w:val="00533F76"/>
    <w:rsid w:val="005364E3"/>
    <w:rsid w:val="0054536C"/>
    <w:rsid w:val="00545E13"/>
    <w:rsid w:val="00561BB6"/>
    <w:rsid w:val="00564CCA"/>
    <w:rsid w:val="005713C4"/>
    <w:rsid w:val="00572952"/>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33A"/>
    <w:rsid w:val="005E4793"/>
    <w:rsid w:val="005E4F6C"/>
    <w:rsid w:val="005E5DD9"/>
    <w:rsid w:val="005E77ED"/>
    <w:rsid w:val="005E7C19"/>
    <w:rsid w:val="005F11AF"/>
    <w:rsid w:val="005F2A14"/>
    <w:rsid w:val="005F2F66"/>
    <w:rsid w:val="005F6E6D"/>
    <w:rsid w:val="005F79C0"/>
    <w:rsid w:val="006007CB"/>
    <w:rsid w:val="00600D97"/>
    <w:rsid w:val="00600EA9"/>
    <w:rsid w:val="00601DFB"/>
    <w:rsid w:val="00605194"/>
    <w:rsid w:val="006054F0"/>
    <w:rsid w:val="006072D7"/>
    <w:rsid w:val="0061104D"/>
    <w:rsid w:val="00613296"/>
    <w:rsid w:val="00613C61"/>
    <w:rsid w:val="00617599"/>
    <w:rsid w:val="006278EE"/>
    <w:rsid w:val="00627B4B"/>
    <w:rsid w:val="0063134B"/>
    <w:rsid w:val="00632838"/>
    <w:rsid w:val="00635317"/>
    <w:rsid w:val="006373DB"/>
    <w:rsid w:val="00641ACD"/>
    <w:rsid w:val="0064354C"/>
    <w:rsid w:val="006455A0"/>
    <w:rsid w:val="0064629E"/>
    <w:rsid w:val="00646B4C"/>
    <w:rsid w:val="00650B3E"/>
    <w:rsid w:val="00653D40"/>
    <w:rsid w:val="00654173"/>
    <w:rsid w:val="00654C55"/>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1417"/>
    <w:rsid w:val="006C160C"/>
    <w:rsid w:val="006C2069"/>
    <w:rsid w:val="006C3FE6"/>
    <w:rsid w:val="006C466F"/>
    <w:rsid w:val="006C5B24"/>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0877"/>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35B9"/>
    <w:rsid w:val="00743607"/>
    <w:rsid w:val="0075008F"/>
    <w:rsid w:val="0075444C"/>
    <w:rsid w:val="00755A73"/>
    <w:rsid w:val="00756064"/>
    <w:rsid w:val="00760E17"/>
    <w:rsid w:val="0076417D"/>
    <w:rsid w:val="007642C7"/>
    <w:rsid w:val="00764B11"/>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7BA"/>
    <w:rsid w:val="007948B4"/>
    <w:rsid w:val="007957E7"/>
    <w:rsid w:val="007A1810"/>
    <w:rsid w:val="007A1EDB"/>
    <w:rsid w:val="007A4212"/>
    <w:rsid w:val="007B22E8"/>
    <w:rsid w:val="007B3FCD"/>
    <w:rsid w:val="007B5019"/>
    <w:rsid w:val="007B52CD"/>
    <w:rsid w:val="007B7B17"/>
    <w:rsid w:val="007C0E56"/>
    <w:rsid w:val="007C33F9"/>
    <w:rsid w:val="007C389F"/>
    <w:rsid w:val="007C79FC"/>
    <w:rsid w:val="007D04CE"/>
    <w:rsid w:val="007D1C75"/>
    <w:rsid w:val="007D4BD4"/>
    <w:rsid w:val="007D5356"/>
    <w:rsid w:val="007D5C41"/>
    <w:rsid w:val="007D6A11"/>
    <w:rsid w:val="007D758C"/>
    <w:rsid w:val="007D7AF4"/>
    <w:rsid w:val="007D7EEC"/>
    <w:rsid w:val="007E0034"/>
    <w:rsid w:val="007E21B0"/>
    <w:rsid w:val="007E3BEA"/>
    <w:rsid w:val="007E4B21"/>
    <w:rsid w:val="007E4D19"/>
    <w:rsid w:val="007E581E"/>
    <w:rsid w:val="007E5ED3"/>
    <w:rsid w:val="007E69D2"/>
    <w:rsid w:val="007E6E3C"/>
    <w:rsid w:val="007F062B"/>
    <w:rsid w:val="007F2856"/>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3FB4"/>
    <w:rsid w:val="0083566B"/>
    <w:rsid w:val="00836748"/>
    <w:rsid w:val="00837A47"/>
    <w:rsid w:val="00842735"/>
    <w:rsid w:val="008427F2"/>
    <w:rsid w:val="00843256"/>
    <w:rsid w:val="008433A5"/>
    <w:rsid w:val="00843CA8"/>
    <w:rsid w:val="00843FCC"/>
    <w:rsid w:val="00845DE9"/>
    <w:rsid w:val="00846256"/>
    <w:rsid w:val="00846B23"/>
    <w:rsid w:val="00847C33"/>
    <w:rsid w:val="008519A1"/>
    <w:rsid w:val="0085331D"/>
    <w:rsid w:val="00854513"/>
    <w:rsid w:val="00854DF5"/>
    <w:rsid w:val="008556F2"/>
    <w:rsid w:val="00856E6C"/>
    <w:rsid w:val="00861D08"/>
    <w:rsid w:val="00862C72"/>
    <w:rsid w:val="00862E1D"/>
    <w:rsid w:val="008633FF"/>
    <w:rsid w:val="008659C2"/>
    <w:rsid w:val="00873E83"/>
    <w:rsid w:val="0087642E"/>
    <w:rsid w:val="00877AA1"/>
    <w:rsid w:val="0088161D"/>
    <w:rsid w:val="00882465"/>
    <w:rsid w:val="00890886"/>
    <w:rsid w:val="008916A4"/>
    <w:rsid w:val="00891FF1"/>
    <w:rsid w:val="00896FCC"/>
    <w:rsid w:val="008A1207"/>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4F1F"/>
    <w:rsid w:val="008E6D8C"/>
    <w:rsid w:val="008E7D6B"/>
    <w:rsid w:val="008F0B3A"/>
    <w:rsid w:val="008F0B5B"/>
    <w:rsid w:val="008F0F5B"/>
    <w:rsid w:val="008F3252"/>
    <w:rsid w:val="008F48B8"/>
    <w:rsid w:val="008F7730"/>
    <w:rsid w:val="00900BFA"/>
    <w:rsid w:val="00900E71"/>
    <w:rsid w:val="009021F5"/>
    <w:rsid w:val="009024C9"/>
    <w:rsid w:val="0090447A"/>
    <w:rsid w:val="00905BFB"/>
    <w:rsid w:val="009064EA"/>
    <w:rsid w:val="009066E0"/>
    <w:rsid w:val="00910C56"/>
    <w:rsid w:val="00911C93"/>
    <w:rsid w:val="009128FD"/>
    <w:rsid w:val="00912B1E"/>
    <w:rsid w:val="0091531E"/>
    <w:rsid w:val="00915583"/>
    <w:rsid w:val="00923A8C"/>
    <w:rsid w:val="00923ACC"/>
    <w:rsid w:val="00926AFD"/>
    <w:rsid w:val="00932346"/>
    <w:rsid w:val="00932D6C"/>
    <w:rsid w:val="00934359"/>
    <w:rsid w:val="00937E14"/>
    <w:rsid w:val="00941019"/>
    <w:rsid w:val="009448C5"/>
    <w:rsid w:val="0094512F"/>
    <w:rsid w:val="00951437"/>
    <w:rsid w:val="00951FEC"/>
    <w:rsid w:val="00952576"/>
    <w:rsid w:val="009572E2"/>
    <w:rsid w:val="00964906"/>
    <w:rsid w:val="0096553E"/>
    <w:rsid w:val="00965F55"/>
    <w:rsid w:val="00970943"/>
    <w:rsid w:val="00970C86"/>
    <w:rsid w:val="00971A11"/>
    <w:rsid w:val="009722F8"/>
    <w:rsid w:val="0097330A"/>
    <w:rsid w:val="009738CD"/>
    <w:rsid w:val="00974F48"/>
    <w:rsid w:val="0097525F"/>
    <w:rsid w:val="009758F3"/>
    <w:rsid w:val="0097705B"/>
    <w:rsid w:val="0098237E"/>
    <w:rsid w:val="00983AEF"/>
    <w:rsid w:val="00985750"/>
    <w:rsid w:val="009866CD"/>
    <w:rsid w:val="00986DDB"/>
    <w:rsid w:val="00993750"/>
    <w:rsid w:val="00995864"/>
    <w:rsid w:val="00996944"/>
    <w:rsid w:val="00997A9A"/>
    <w:rsid w:val="009A041A"/>
    <w:rsid w:val="009A0DA6"/>
    <w:rsid w:val="009A27D3"/>
    <w:rsid w:val="009A28B5"/>
    <w:rsid w:val="009A3653"/>
    <w:rsid w:val="009A37CD"/>
    <w:rsid w:val="009B0A14"/>
    <w:rsid w:val="009B0E63"/>
    <w:rsid w:val="009B2117"/>
    <w:rsid w:val="009C2B62"/>
    <w:rsid w:val="009C3578"/>
    <w:rsid w:val="009C3DAF"/>
    <w:rsid w:val="009D08E6"/>
    <w:rsid w:val="009D12CD"/>
    <w:rsid w:val="009D29AF"/>
    <w:rsid w:val="009D7801"/>
    <w:rsid w:val="009E2289"/>
    <w:rsid w:val="009E22EF"/>
    <w:rsid w:val="009E38B3"/>
    <w:rsid w:val="009E4369"/>
    <w:rsid w:val="009E46E8"/>
    <w:rsid w:val="009E7CA6"/>
    <w:rsid w:val="009F0DAB"/>
    <w:rsid w:val="009F2942"/>
    <w:rsid w:val="009F6433"/>
    <w:rsid w:val="00A028E8"/>
    <w:rsid w:val="00A03D60"/>
    <w:rsid w:val="00A04242"/>
    <w:rsid w:val="00A049D1"/>
    <w:rsid w:val="00A055F2"/>
    <w:rsid w:val="00A06EEA"/>
    <w:rsid w:val="00A07797"/>
    <w:rsid w:val="00A07BA2"/>
    <w:rsid w:val="00A11943"/>
    <w:rsid w:val="00A126CF"/>
    <w:rsid w:val="00A12F0A"/>
    <w:rsid w:val="00A13177"/>
    <w:rsid w:val="00A150ED"/>
    <w:rsid w:val="00A163C2"/>
    <w:rsid w:val="00A203DA"/>
    <w:rsid w:val="00A2190A"/>
    <w:rsid w:val="00A26DB5"/>
    <w:rsid w:val="00A3180D"/>
    <w:rsid w:val="00A33F0B"/>
    <w:rsid w:val="00A3630D"/>
    <w:rsid w:val="00A363DA"/>
    <w:rsid w:val="00A3717D"/>
    <w:rsid w:val="00A37384"/>
    <w:rsid w:val="00A4055F"/>
    <w:rsid w:val="00A413AE"/>
    <w:rsid w:val="00A425FC"/>
    <w:rsid w:val="00A46AE8"/>
    <w:rsid w:val="00A50DAC"/>
    <w:rsid w:val="00A520BB"/>
    <w:rsid w:val="00A53C90"/>
    <w:rsid w:val="00A544DF"/>
    <w:rsid w:val="00A54C8F"/>
    <w:rsid w:val="00A5594A"/>
    <w:rsid w:val="00A57890"/>
    <w:rsid w:val="00A6238E"/>
    <w:rsid w:val="00A63F3F"/>
    <w:rsid w:val="00A646DE"/>
    <w:rsid w:val="00A649EC"/>
    <w:rsid w:val="00A72352"/>
    <w:rsid w:val="00A73E58"/>
    <w:rsid w:val="00A74A55"/>
    <w:rsid w:val="00A81243"/>
    <w:rsid w:val="00A845EC"/>
    <w:rsid w:val="00A852B4"/>
    <w:rsid w:val="00A90772"/>
    <w:rsid w:val="00A9295D"/>
    <w:rsid w:val="00A949A8"/>
    <w:rsid w:val="00A959B8"/>
    <w:rsid w:val="00A9628B"/>
    <w:rsid w:val="00A96390"/>
    <w:rsid w:val="00AA196D"/>
    <w:rsid w:val="00AA220C"/>
    <w:rsid w:val="00AA31FA"/>
    <w:rsid w:val="00AA341B"/>
    <w:rsid w:val="00AA48AD"/>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16D14"/>
    <w:rsid w:val="00B21EB6"/>
    <w:rsid w:val="00B238B0"/>
    <w:rsid w:val="00B240CE"/>
    <w:rsid w:val="00B316A1"/>
    <w:rsid w:val="00B366A1"/>
    <w:rsid w:val="00B36D8D"/>
    <w:rsid w:val="00B37052"/>
    <w:rsid w:val="00B42707"/>
    <w:rsid w:val="00B432A0"/>
    <w:rsid w:val="00B4536E"/>
    <w:rsid w:val="00B459C5"/>
    <w:rsid w:val="00B46D5E"/>
    <w:rsid w:val="00B4720A"/>
    <w:rsid w:val="00B50FC5"/>
    <w:rsid w:val="00B5129D"/>
    <w:rsid w:val="00B53806"/>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61F"/>
    <w:rsid w:val="00B979BD"/>
    <w:rsid w:val="00B97A23"/>
    <w:rsid w:val="00BA4A84"/>
    <w:rsid w:val="00BA53B5"/>
    <w:rsid w:val="00BA6D3D"/>
    <w:rsid w:val="00BB0A71"/>
    <w:rsid w:val="00BB5C1E"/>
    <w:rsid w:val="00BB6DF6"/>
    <w:rsid w:val="00BB7AA8"/>
    <w:rsid w:val="00BC0359"/>
    <w:rsid w:val="00BC0592"/>
    <w:rsid w:val="00BC1EBF"/>
    <w:rsid w:val="00BC2E68"/>
    <w:rsid w:val="00BC44B6"/>
    <w:rsid w:val="00BC4E67"/>
    <w:rsid w:val="00BC79C0"/>
    <w:rsid w:val="00BD1D37"/>
    <w:rsid w:val="00BD21D6"/>
    <w:rsid w:val="00BD42DB"/>
    <w:rsid w:val="00BD6245"/>
    <w:rsid w:val="00BE1049"/>
    <w:rsid w:val="00BE17A9"/>
    <w:rsid w:val="00BE7C8B"/>
    <w:rsid w:val="00BF19C4"/>
    <w:rsid w:val="00BF3BAD"/>
    <w:rsid w:val="00BF3CBD"/>
    <w:rsid w:val="00BF423A"/>
    <w:rsid w:val="00C02A15"/>
    <w:rsid w:val="00C02C4F"/>
    <w:rsid w:val="00C12346"/>
    <w:rsid w:val="00C1747F"/>
    <w:rsid w:val="00C25BEE"/>
    <w:rsid w:val="00C26F1C"/>
    <w:rsid w:val="00C30AF0"/>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1D40"/>
    <w:rsid w:val="00CA2595"/>
    <w:rsid w:val="00CA3052"/>
    <w:rsid w:val="00CA3130"/>
    <w:rsid w:val="00CA69F1"/>
    <w:rsid w:val="00CB14F9"/>
    <w:rsid w:val="00CB1680"/>
    <w:rsid w:val="00CB3318"/>
    <w:rsid w:val="00CC2078"/>
    <w:rsid w:val="00CC21A7"/>
    <w:rsid w:val="00CC2812"/>
    <w:rsid w:val="00CC3237"/>
    <w:rsid w:val="00CC5CB2"/>
    <w:rsid w:val="00CD10B1"/>
    <w:rsid w:val="00CD299A"/>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7BAC"/>
    <w:rsid w:val="00D42A06"/>
    <w:rsid w:val="00D4371F"/>
    <w:rsid w:val="00D440C9"/>
    <w:rsid w:val="00D44A45"/>
    <w:rsid w:val="00D463B4"/>
    <w:rsid w:val="00D47B67"/>
    <w:rsid w:val="00D5114F"/>
    <w:rsid w:val="00D51F1B"/>
    <w:rsid w:val="00D53F84"/>
    <w:rsid w:val="00D57358"/>
    <w:rsid w:val="00D62E47"/>
    <w:rsid w:val="00D70A58"/>
    <w:rsid w:val="00D71B5F"/>
    <w:rsid w:val="00D7211C"/>
    <w:rsid w:val="00D74C4C"/>
    <w:rsid w:val="00D80252"/>
    <w:rsid w:val="00D8251C"/>
    <w:rsid w:val="00D82A24"/>
    <w:rsid w:val="00D82DB4"/>
    <w:rsid w:val="00D83B95"/>
    <w:rsid w:val="00D846CA"/>
    <w:rsid w:val="00D84A3C"/>
    <w:rsid w:val="00D92179"/>
    <w:rsid w:val="00D94567"/>
    <w:rsid w:val="00D95773"/>
    <w:rsid w:val="00D9647E"/>
    <w:rsid w:val="00DA54AA"/>
    <w:rsid w:val="00DA54F8"/>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1254"/>
    <w:rsid w:val="00DE29D7"/>
    <w:rsid w:val="00DE3681"/>
    <w:rsid w:val="00DF4C9B"/>
    <w:rsid w:val="00DF5C2C"/>
    <w:rsid w:val="00E024D2"/>
    <w:rsid w:val="00E030C9"/>
    <w:rsid w:val="00E05439"/>
    <w:rsid w:val="00E05F1D"/>
    <w:rsid w:val="00E06003"/>
    <w:rsid w:val="00E071F6"/>
    <w:rsid w:val="00E074E6"/>
    <w:rsid w:val="00E10534"/>
    <w:rsid w:val="00E13CFC"/>
    <w:rsid w:val="00E14310"/>
    <w:rsid w:val="00E14E59"/>
    <w:rsid w:val="00E20D35"/>
    <w:rsid w:val="00E22084"/>
    <w:rsid w:val="00E22767"/>
    <w:rsid w:val="00E240D9"/>
    <w:rsid w:val="00E255D9"/>
    <w:rsid w:val="00E25C2D"/>
    <w:rsid w:val="00E2791D"/>
    <w:rsid w:val="00E3410E"/>
    <w:rsid w:val="00E35542"/>
    <w:rsid w:val="00E41D60"/>
    <w:rsid w:val="00E420B0"/>
    <w:rsid w:val="00E42476"/>
    <w:rsid w:val="00E43AB0"/>
    <w:rsid w:val="00E450B0"/>
    <w:rsid w:val="00E50B0C"/>
    <w:rsid w:val="00E57A45"/>
    <w:rsid w:val="00E57EE4"/>
    <w:rsid w:val="00E613F6"/>
    <w:rsid w:val="00E63383"/>
    <w:rsid w:val="00E63E21"/>
    <w:rsid w:val="00E7010B"/>
    <w:rsid w:val="00E70BA3"/>
    <w:rsid w:val="00E70FC7"/>
    <w:rsid w:val="00E7139A"/>
    <w:rsid w:val="00E7148B"/>
    <w:rsid w:val="00E7286E"/>
    <w:rsid w:val="00E83567"/>
    <w:rsid w:val="00E84FBC"/>
    <w:rsid w:val="00E8578F"/>
    <w:rsid w:val="00E876BF"/>
    <w:rsid w:val="00E90397"/>
    <w:rsid w:val="00E90BDB"/>
    <w:rsid w:val="00E9160D"/>
    <w:rsid w:val="00E92407"/>
    <w:rsid w:val="00E927E9"/>
    <w:rsid w:val="00EA3ACD"/>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2695"/>
    <w:rsid w:val="00ED3242"/>
    <w:rsid w:val="00ED3ECF"/>
    <w:rsid w:val="00ED6B85"/>
    <w:rsid w:val="00ED6D4F"/>
    <w:rsid w:val="00EE2602"/>
    <w:rsid w:val="00EE3490"/>
    <w:rsid w:val="00EE3CAE"/>
    <w:rsid w:val="00EE6DC8"/>
    <w:rsid w:val="00EF0368"/>
    <w:rsid w:val="00EF14C7"/>
    <w:rsid w:val="00EF32E4"/>
    <w:rsid w:val="00EF3BFA"/>
    <w:rsid w:val="00EF5B11"/>
    <w:rsid w:val="00F000D3"/>
    <w:rsid w:val="00F015C6"/>
    <w:rsid w:val="00F072DE"/>
    <w:rsid w:val="00F07323"/>
    <w:rsid w:val="00F10E1E"/>
    <w:rsid w:val="00F1110B"/>
    <w:rsid w:val="00F16205"/>
    <w:rsid w:val="00F172D8"/>
    <w:rsid w:val="00F2043B"/>
    <w:rsid w:val="00F204D0"/>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6463B"/>
    <w:rsid w:val="00F70732"/>
    <w:rsid w:val="00F718BA"/>
    <w:rsid w:val="00F722CD"/>
    <w:rsid w:val="00F7526B"/>
    <w:rsid w:val="00F75F09"/>
    <w:rsid w:val="00F80355"/>
    <w:rsid w:val="00F8366A"/>
    <w:rsid w:val="00F8387B"/>
    <w:rsid w:val="00F83B65"/>
    <w:rsid w:val="00F87597"/>
    <w:rsid w:val="00F90258"/>
    <w:rsid w:val="00F9070D"/>
    <w:rsid w:val="00F950A3"/>
    <w:rsid w:val="00FA0C0A"/>
    <w:rsid w:val="00FA11A4"/>
    <w:rsid w:val="00FA27DB"/>
    <w:rsid w:val="00FA361A"/>
    <w:rsid w:val="00FA4876"/>
    <w:rsid w:val="00FA5229"/>
    <w:rsid w:val="00FA5C55"/>
    <w:rsid w:val="00FA79DC"/>
    <w:rsid w:val="00FB1A3D"/>
    <w:rsid w:val="00FB2431"/>
    <w:rsid w:val="00FC0100"/>
    <w:rsid w:val="00FC092D"/>
    <w:rsid w:val="00FC0D7C"/>
    <w:rsid w:val="00FC38BB"/>
    <w:rsid w:val="00FC7CF2"/>
    <w:rsid w:val="00FD080D"/>
    <w:rsid w:val="00FD0FBD"/>
    <w:rsid w:val="00FD330F"/>
    <w:rsid w:val="00FD4289"/>
    <w:rsid w:val="00FD6F08"/>
    <w:rsid w:val="00FE008E"/>
    <w:rsid w:val="00FE0D7E"/>
    <w:rsid w:val="00FE10AA"/>
    <w:rsid w:val="00FE2F95"/>
    <w:rsid w:val="00FE7D76"/>
    <w:rsid w:val="00FF4D9A"/>
    <w:rsid w:val="00FF5EE0"/>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23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toc 1" w:uiPriority="39"/>
    <w:lsdException w:name="toc 9" w:uiPriority="39"/>
    <w:lsdException w:name="annotation text" w:uiPriority="99"/>
    <w:lsdException w:name="caption" w:qFormat="1"/>
    <w:lsdException w:name="annotation reference"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uiPriority w:val="99"/>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toc 1" w:uiPriority="39"/>
    <w:lsdException w:name="toc 9" w:uiPriority="39"/>
    <w:lsdException w:name="annotation text" w:uiPriority="99"/>
    <w:lsdException w:name="caption" w:qFormat="1"/>
    <w:lsdException w:name="annotation reference"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uiPriority w:val="99"/>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0B4D8-DA9D-4FC2-8558-D55EEE91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5</Pages>
  <Words>1104</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7383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jonesa</cp:lastModifiedBy>
  <cp:revision>2</cp:revision>
  <cp:lastPrinted>2011-04-12T11:10:00Z</cp:lastPrinted>
  <dcterms:created xsi:type="dcterms:W3CDTF">2015-02-26T12:28:00Z</dcterms:created>
  <dcterms:modified xsi:type="dcterms:W3CDTF">2015-02-26T12:28:00Z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