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EC00C8"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99282"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01920DD4" w:rsidR="006A3905" w:rsidRPr="00436F5E" w:rsidRDefault="00F35931" w:rsidP="002468CA">
      <w:pPr>
        <w:pStyle w:val="DefaultText"/>
        <w:jc w:val="center"/>
        <w:rPr>
          <w:rFonts w:ascii="Arial" w:hAnsi="Arial" w:cs="Arial"/>
          <w:b/>
          <w:bCs/>
          <w:sz w:val="28"/>
          <w:szCs w:val="28"/>
          <w:lang w:val="en-GB"/>
        </w:rPr>
      </w:pPr>
      <w:r>
        <w:rPr>
          <w:rFonts w:ascii="Arial" w:hAnsi="Arial" w:cs="Arial"/>
          <w:b/>
          <w:bCs/>
          <w:sz w:val="28"/>
          <w:szCs w:val="28"/>
          <w:lang w:val="en-GB"/>
        </w:rPr>
        <w:t>HEALTH PARTNERS GROUP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58D5A672" w:rsidR="006D4068" w:rsidRPr="00287A9C" w:rsidRDefault="00F35931" w:rsidP="00B46115">
      <w:pPr>
        <w:rPr>
          <w:rFonts w:ascii="Arial" w:eastAsia="Arial" w:hAnsi="Arial"/>
          <w:color w:val="000000" w:themeColor="text1"/>
          <w:szCs w:val="24"/>
        </w:rPr>
      </w:pPr>
      <w:r>
        <w:rPr>
          <w:rFonts w:ascii="Arial" w:hAnsi="Arial"/>
          <w:b/>
          <w:noProof/>
        </w:rPr>
        <w:t>HEALTH PARTNERS GROUP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D5658A" w:rsidRPr="00D5658A">
        <w:rPr>
          <w:rFonts w:asciiTheme="minorBidi" w:hAnsiTheme="minorBidi" w:cstheme="minorBidi"/>
          <w:b/>
          <w:bCs/>
          <w:szCs w:val="24"/>
        </w:rPr>
        <w:t>10284664</w:t>
      </w:r>
      <w:r w:rsidR="00D5658A">
        <w:t xml:space="preserve"> </w:t>
      </w:r>
      <w:r w:rsidR="006D4068" w:rsidRPr="007A7B68">
        <w:rPr>
          <w:rFonts w:ascii="Arial" w:hAnsi="Arial" w:cs="Arial"/>
          <w:noProof/>
        </w:rPr>
        <w:t xml:space="preserve">and whose registered office is at </w:t>
      </w:r>
      <w:r w:rsidR="00F93A31" w:rsidRPr="00B044D7">
        <w:rPr>
          <w:rFonts w:asciiTheme="minorBidi" w:hAnsiTheme="minorBidi" w:cstheme="minorBidi"/>
          <w:b/>
          <w:bCs/>
          <w:szCs w:val="24"/>
        </w:rPr>
        <w:t>Park Cottage, Middlewood Hall, Barnsley, England, S73 9HQ</w:t>
      </w:r>
      <w:r w:rsidR="00B46115">
        <w:rPr>
          <w:rFonts w:ascii="Arial" w:eastAsia="Arial" w:hAnsi="Arial"/>
          <w:color w:val="00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295ACD">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32A715ED"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B044D7">
        <w:rPr>
          <w:rFonts w:ascii="Arial" w:hAnsi="Arial" w:cs="Arial"/>
          <w:b/>
          <w:bCs/>
          <w:noProof/>
          <w:lang w:val="en-GB"/>
        </w:rPr>
        <w:t>8</w:t>
      </w:r>
      <w:r w:rsidR="00630FFD" w:rsidRPr="00630FFD">
        <w:rPr>
          <w:rFonts w:ascii="Arial" w:hAnsi="Arial" w:cs="Arial"/>
          <w:b/>
          <w:bCs/>
          <w:noProof/>
          <w:lang w:val="en-GB"/>
        </w:rPr>
        <w:t xml:space="preserve">50.00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76D8D360" w14:textId="77777777" w:rsidR="00295ACD" w:rsidRDefault="00295ACD" w:rsidP="005B2C51">
      <w:pPr>
        <w:shd w:val="clear" w:color="auto" w:fill="FFFFFF"/>
        <w:ind w:left="709" w:hanging="709"/>
        <w:rPr>
          <w:rFonts w:ascii="Arial" w:hAnsi="Arial" w:cs="Arial"/>
          <w:szCs w:val="24"/>
        </w:rPr>
      </w:pPr>
    </w:p>
    <w:p w14:paraId="52F09316" w14:textId="77777777" w:rsidR="00295ACD" w:rsidRDefault="00295ACD" w:rsidP="005B2C51">
      <w:pPr>
        <w:shd w:val="clear" w:color="auto" w:fill="FFFFFF"/>
        <w:ind w:left="709" w:hanging="709"/>
        <w:rPr>
          <w:rFonts w:ascii="Arial" w:hAnsi="Arial" w:cs="Arial"/>
          <w:szCs w:val="24"/>
        </w:rPr>
      </w:pPr>
    </w:p>
    <w:p w14:paraId="3CDEA577" w14:textId="77777777" w:rsidR="00295ACD" w:rsidRDefault="00295ACD"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B044D7"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0AE6574E" w:rsidR="00880436" w:rsidRPr="00B044D7" w:rsidRDefault="00B044D7"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B044D7">
              <w:rPr>
                <w:rFonts w:ascii="Arial" w:hAnsi="Arial"/>
                <w:b/>
                <w:noProof/>
              </w:rPr>
              <w:t>HEALTH PARTNERS GROUP LIMITED</w:t>
            </w:r>
          </w:p>
          <w:p w14:paraId="08BBAFDF" w14:textId="1A788496" w:rsidR="0011757A" w:rsidRPr="00B044D7" w:rsidRDefault="00B044D7"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B044D7">
              <w:rPr>
                <w:rFonts w:asciiTheme="minorBidi" w:hAnsiTheme="minorBidi" w:cstheme="minorBidi"/>
                <w:szCs w:val="24"/>
              </w:rPr>
              <w:t>Park Cottage, Middlewood Hall, Barnsley, England, S73 9HQ</w:t>
            </w:r>
          </w:p>
        </w:tc>
      </w:tr>
    </w:tbl>
    <w:p w14:paraId="5308B5DF" w14:textId="77777777" w:rsidR="006D4068" w:rsidRPr="00B044D7" w:rsidRDefault="006D4068" w:rsidP="006D4068">
      <w:pPr>
        <w:tabs>
          <w:tab w:val="left" w:pos="851"/>
        </w:tabs>
        <w:ind w:left="851" w:hanging="851"/>
        <w:rPr>
          <w:rFonts w:ascii="Arial" w:hAnsi="Arial"/>
          <w:noProof/>
        </w:rPr>
      </w:pPr>
      <w:r w:rsidRPr="00B044D7">
        <w:rPr>
          <w:rFonts w:ascii="Arial" w:hAnsi="Arial"/>
          <w:noProof/>
        </w:rPr>
        <w:t xml:space="preserve">     </w:t>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p>
    <w:p w14:paraId="10360268" w14:textId="77777777" w:rsidR="006D4068" w:rsidRPr="00B044D7" w:rsidRDefault="006D4068" w:rsidP="006D4068">
      <w:pPr>
        <w:pStyle w:val="DefaultText2"/>
        <w:tabs>
          <w:tab w:val="left" w:pos="851"/>
        </w:tabs>
        <w:ind w:left="851" w:hanging="851"/>
        <w:rPr>
          <w:rFonts w:ascii="Arial" w:hAnsi="Arial"/>
          <w:noProof/>
          <w:lang w:val="en-GB"/>
        </w:rPr>
      </w:pPr>
    </w:p>
    <w:p w14:paraId="030713D2" w14:textId="77777777" w:rsidR="009F7083" w:rsidRPr="00B044D7"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64044303"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599279"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599280"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2CBDE4C4" w14:textId="77777777" w:rsidR="00383D57" w:rsidRPr="00383D57" w:rsidRDefault="00383D57" w:rsidP="00383D57">
      <w:pPr>
        <w:pStyle w:val="NormalWeb"/>
        <w:rPr>
          <w:rFonts w:asciiTheme="minorBidi" w:hAnsiTheme="minorBidi" w:cstheme="minorBidi"/>
          <w:b/>
          <w:bCs/>
          <w:color w:val="000000"/>
        </w:rPr>
      </w:pPr>
      <w:r w:rsidRPr="00383D57">
        <w:rPr>
          <w:rFonts w:asciiTheme="minorBidi" w:hAnsiTheme="minorBidi" w:cstheme="minorBidi"/>
          <w:b/>
          <w:bCs/>
          <w:color w:val="000000"/>
        </w:rPr>
        <w:t>Asbestos – Management in Buildings</w:t>
      </w:r>
    </w:p>
    <w:p w14:paraId="0BFE040E" w14:textId="77777777" w:rsidR="00383D57" w:rsidRPr="00383D57" w:rsidRDefault="00383D57" w:rsidP="00383D57">
      <w:pPr>
        <w:pStyle w:val="NormalWeb"/>
        <w:rPr>
          <w:rFonts w:asciiTheme="minorBidi" w:hAnsiTheme="minorBidi" w:cstheme="minorBidi"/>
          <w:b/>
          <w:bCs/>
          <w:color w:val="000000"/>
        </w:rPr>
      </w:pPr>
      <w:r w:rsidRPr="00383D57">
        <w:rPr>
          <w:rFonts w:asciiTheme="minorBidi" w:hAnsiTheme="minorBidi" w:cstheme="minorBidi"/>
          <w:b/>
          <w:bCs/>
          <w:color w:val="000000"/>
        </w:rPr>
        <w:t>COSHH: Practical Assessment and Control</w:t>
      </w:r>
    </w:p>
    <w:p w14:paraId="2AEE4030" w14:textId="77777777" w:rsidR="00383D57" w:rsidRPr="00383D57" w:rsidRDefault="00383D57" w:rsidP="00383D57">
      <w:pPr>
        <w:pStyle w:val="NormalWeb"/>
        <w:rPr>
          <w:rFonts w:asciiTheme="minorBidi" w:hAnsiTheme="minorBidi" w:cstheme="minorBidi"/>
          <w:color w:val="000000"/>
          <w:sz w:val="27"/>
          <w:szCs w:val="27"/>
        </w:rPr>
      </w:pPr>
      <w:r w:rsidRPr="00383D57">
        <w:rPr>
          <w:rFonts w:asciiTheme="minorBidi" w:hAnsiTheme="minorBidi" w:cstheme="minorBidi"/>
          <w:b/>
          <w:bCs/>
          <w:color w:val="000000"/>
        </w:rPr>
        <w:t>Social Value</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599281"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26F70A2E"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62E21B92" w14:textId="77777777" w:rsidR="00EC00C8" w:rsidRDefault="00EC00C8" w:rsidP="009E6B87">
            <w:pPr>
              <w:pStyle w:val="DefaultText1"/>
              <w:tabs>
                <w:tab w:val="left" w:pos="1134"/>
              </w:tabs>
              <w:ind w:left="1134" w:hanging="1134"/>
              <w:rPr>
                <w:rFonts w:ascii="Arial" w:hAnsi="Arial" w:cs="Arial"/>
                <w:noProof/>
                <w:szCs w:val="24"/>
                <w:lang w:val="en-GB"/>
              </w:rPr>
            </w:pPr>
          </w:p>
          <w:p w14:paraId="3FD72453" w14:textId="5D8F70AA"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5A1CB204"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EC00C8">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9CBD" w14:textId="77777777" w:rsidR="00665408" w:rsidRDefault="00665408">
      <w:r>
        <w:separator/>
      </w:r>
    </w:p>
  </w:endnote>
  <w:endnote w:type="continuationSeparator" w:id="0">
    <w:p w14:paraId="452F34C1" w14:textId="77777777" w:rsidR="00665408" w:rsidRDefault="0066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4DFD" w14:textId="77777777" w:rsidR="00665408" w:rsidRDefault="00665408">
      <w:r>
        <w:separator/>
      </w:r>
    </w:p>
  </w:footnote>
  <w:footnote w:type="continuationSeparator" w:id="0">
    <w:p w14:paraId="6CC7D20A" w14:textId="77777777" w:rsidR="00665408" w:rsidRDefault="00665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9E9"/>
    <w:rsid w:val="00263A5A"/>
    <w:rsid w:val="00266978"/>
    <w:rsid w:val="00273975"/>
    <w:rsid w:val="0028007D"/>
    <w:rsid w:val="002844B5"/>
    <w:rsid w:val="00287A9C"/>
    <w:rsid w:val="0029522E"/>
    <w:rsid w:val="00295ACD"/>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3D57"/>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5306D"/>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5408"/>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44D7"/>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58A"/>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00C8"/>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5931"/>
    <w:rsid w:val="00F37EA5"/>
    <w:rsid w:val="00F427C9"/>
    <w:rsid w:val="00F703B1"/>
    <w:rsid w:val="00F768FC"/>
    <w:rsid w:val="00F846A7"/>
    <w:rsid w:val="00F93A31"/>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087994718">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2536</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17212</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2024-01-02T14:59:00Z</dcterms:created>
  <dcterms:modified xsi:type="dcterms:W3CDTF">2024-02-16T14:35:00Z</dcterms:modified>
</cp:coreProperties>
</file>