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5225C" w14:textId="77777777" w:rsidR="00E346DA" w:rsidRDefault="00E346DA" w:rsidP="004A59CA">
      <w:pPr>
        <w:jc w:val="center"/>
        <w:rPr>
          <w:b/>
          <w:sz w:val="32"/>
        </w:rPr>
      </w:pPr>
    </w:p>
    <w:p w14:paraId="14C50668" w14:textId="77777777" w:rsidR="00DE3CCF" w:rsidRPr="00DE3CCF" w:rsidRDefault="00DE3CCF" w:rsidP="004A59CA">
      <w:pPr>
        <w:jc w:val="center"/>
        <w:rPr>
          <w:rFonts w:ascii="Arial" w:hAnsi="Arial" w:cs="Arial"/>
          <w:b/>
          <w:color w:val="FF0000"/>
          <w:sz w:val="24"/>
          <w:szCs w:val="24"/>
        </w:rPr>
      </w:pPr>
      <w:r w:rsidRPr="00DE3CCF">
        <w:rPr>
          <w:rFonts w:ascii="Arial" w:hAnsi="Arial" w:cs="Arial"/>
          <w:b/>
          <w:color w:val="FF0000"/>
          <w:sz w:val="24"/>
          <w:szCs w:val="24"/>
        </w:rPr>
        <w:t>Important Note: This document does not represent the final service specification. This is an early incomplete draft. It is intended to give prospective bidders an insight into the service required. As such, all statements in this document are potentially subject to change and additions and deletions may occur.</w:t>
      </w:r>
    </w:p>
    <w:p w14:paraId="66A90142" w14:textId="39B26FC3" w:rsidR="00DE3CCF" w:rsidRPr="00DE3CCF" w:rsidRDefault="00DE3CCF" w:rsidP="004A59CA">
      <w:pPr>
        <w:jc w:val="center"/>
        <w:rPr>
          <w:rFonts w:ascii="Arial" w:hAnsi="Arial" w:cs="Arial"/>
          <w:b/>
          <w:color w:val="FF0000"/>
          <w:sz w:val="24"/>
          <w:szCs w:val="24"/>
        </w:rPr>
      </w:pPr>
      <w:r w:rsidRPr="00DE3CCF">
        <w:rPr>
          <w:rFonts w:ascii="Arial" w:hAnsi="Arial" w:cs="Arial"/>
          <w:b/>
          <w:color w:val="FF0000"/>
          <w:sz w:val="24"/>
          <w:szCs w:val="24"/>
        </w:rPr>
        <w:t>A full and final specification will be issued with the ITT Pack.</w:t>
      </w:r>
    </w:p>
    <w:p w14:paraId="66D3D459" w14:textId="6593802C" w:rsidR="00E346DA" w:rsidRPr="00DE3CCF" w:rsidRDefault="00DE3CCF" w:rsidP="004A59CA">
      <w:pPr>
        <w:jc w:val="center"/>
        <w:rPr>
          <w:b/>
          <w:color w:val="FF0000"/>
          <w:sz w:val="24"/>
          <w:szCs w:val="24"/>
        </w:rPr>
      </w:pPr>
      <w:r>
        <w:rPr>
          <w:b/>
          <w:color w:val="FF0000"/>
          <w:sz w:val="24"/>
          <w:szCs w:val="24"/>
        </w:rPr>
        <w:t xml:space="preserve"> </w:t>
      </w:r>
    </w:p>
    <w:p w14:paraId="4FA37733" w14:textId="77777777" w:rsidR="00E346DA" w:rsidRDefault="00E346DA" w:rsidP="004A59CA">
      <w:pPr>
        <w:jc w:val="center"/>
        <w:rPr>
          <w:b/>
          <w:sz w:val="36"/>
        </w:rPr>
      </w:pPr>
      <w:bookmarkStart w:id="0" w:name="_GoBack"/>
      <w:bookmarkEnd w:id="0"/>
    </w:p>
    <w:p w14:paraId="4D20AFED" w14:textId="77777777" w:rsidR="00E346DA" w:rsidRPr="00E346DA" w:rsidRDefault="00E346DA" w:rsidP="004A59CA">
      <w:pPr>
        <w:jc w:val="center"/>
        <w:rPr>
          <w:b/>
          <w:sz w:val="36"/>
        </w:rPr>
      </w:pPr>
    </w:p>
    <w:p w14:paraId="7A09ED1D" w14:textId="77777777" w:rsidR="00E346DA" w:rsidRPr="001878D7" w:rsidRDefault="00E346DA" w:rsidP="004A59CA">
      <w:pPr>
        <w:jc w:val="center"/>
        <w:rPr>
          <w:rFonts w:ascii="Arial" w:hAnsi="Arial" w:cs="Arial"/>
          <w:sz w:val="36"/>
        </w:rPr>
      </w:pPr>
      <w:r w:rsidRPr="001878D7">
        <w:rPr>
          <w:rFonts w:ascii="Arial" w:hAnsi="Arial" w:cs="Arial"/>
          <w:sz w:val="36"/>
        </w:rPr>
        <w:t>University Hospitals Birmingham NHS Foundation Trust</w:t>
      </w:r>
    </w:p>
    <w:p w14:paraId="69DA5F74" w14:textId="77777777" w:rsidR="00E346DA" w:rsidRPr="001878D7" w:rsidRDefault="00E346DA" w:rsidP="004A59CA">
      <w:pPr>
        <w:jc w:val="center"/>
        <w:rPr>
          <w:rFonts w:ascii="Arial" w:hAnsi="Arial" w:cs="Arial"/>
          <w:b/>
          <w:sz w:val="36"/>
        </w:rPr>
      </w:pPr>
    </w:p>
    <w:p w14:paraId="798CD0F6" w14:textId="77777777" w:rsidR="00E346DA" w:rsidRPr="001878D7" w:rsidRDefault="00E346DA" w:rsidP="004A59CA">
      <w:pPr>
        <w:jc w:val="center"/>
        <w:rPr>
          <w:rFonts w:ascii="Arial" w:hAnsi="Arial" w:cs="Arial"/>
          <w:b/>
          <w:sz w:val="36"/>
        </w:rPr>
      </w:pPr>
      <w:r w:rsidRPr="001878D7">
        <w:rPr>
          <w:rFonts w:ascii="Arial" w:hAnsi="Arial" w:cs="Arial"/>
          <w:b/>
          <w:sz w:val="36"/>
        </w:rPr>
        <w:t>Service Specification for the Delivery of an Ophthalmology Outpatient Glaucoma Service</w:t>
      </w:r>
    </w:p>
    <w:p w14:paraId="2A3955D2" w14:textId="77777777" w:rsidR="00E346DA" w:rsidRPr="001878D7" w:rsidRDefault="00E346DA" w:rsidP="004A59CA">
      <w:pPr>
        <w:jc w:val="center"/>
        <w:rPr>
          <w:rFonts w:ascii="Arial" w:hAnsi="Arial" w:cs="Arial"/>
          <w:b/>
          <w:sz w:val="36"/>
        </w:rPr>
      </w:pPr>
    </w:p>
    <w:p w14:paraId="749E14DB" w14:textId="65565883" w:rsidR="00E346DA" w:rsidRPr="001878D7" w:rsidRDefault="003A0522" w:rsidP="004A59CA">
      <w:pPr>
        <w:jc w:val="center"/>
        <w:rPr>
          <w:rFonts w:ascii="Arial" w:hAnsi="Arial" w:cs="Arial"/>
          <w:sz w:val="36"/>
        </w:rPr>
      </w:pPr>
      <w:r>
        <w:rPr>
          <w:rFonts w:ascii="Arial" w:hAnsi="Arial" w:cs="Arial"/>
          <w:sz w:val="36"/>
        </w:rPr>
        <w:t xml:space="preserve">March </w:t>
      </w:r>
      <w:r w:rsidR="00E346DA" w:rsidRPr="001878D7">
        <w:rPr>
          <w:rFonts w:ascii="Arial" w:hAnsi="Arial" w:cs="Arial"/>
          <w:sz w:val="36"/>
        </w:rPr>
        <w:t>2017</w:t>
      </w:r>
    </w:p>
    <w:p w14:paraId="6F92FEE8" w14:textId="77777777" w:rsidR="00C50B7E" w:rsidRDefault="00C50B7E" w:rsidP="004A59CA">
      <w:pPr>
        <w:jc w:val="center"/>
        <w:rPr>
          <w:sz w:val="36"/>
        </w:rPr>
      </w:pPr>
    </w:p>
    <w:p w14:paraId="31003125" w14:textId="77777777" w:rsidR="00E6303D" w:rsidRDefault="00E6303D" w:rsidP="00CE676E">
      <w:pPr>
        <w:jc w:val="both"/>
        <w:rPr>
          <w:b/>
          <w:sz w:val="32"/>
        </w:rPr>
      </w:pPr>
    </w:p>
    <w:p w14:paraId="6F6A264A" w14:textId="77777777" w:rsidR="00E6303D" w:rsidRDefault="00E6303D" w:rsidP="00CE676E">
      <w:pPr>
        <w:jc w:val="both"/>
        <w:rPr>
          <w:b/>
          <w:sz w:val="32"/>
        </w:rPr>
      </w:pPr>
    </w:p>
    <w:p w14:paraId="564BDA85" w14:textId="77777777" w:rsidR="00E6303D" w:rsidRDefault="00E6303D" w:rsidP="00CE676E">
      <w:pPr>
        <w:jc w:val="both"/>
        <w:rPr>
          <w:b/>
          <w:sz w:val="32"/>
        </w:rPr>
      </w:pPr>
    </w:p>
    <w:p w14:paraId="370B010D" w14:textId="77777777" w:rsidR="00E6303D" w:rsidRDefault="00E6303D" w:rsidP="00CE676E">
      <w:pPr>
        <w:jc w:val="both"/>
        <w:rPr>
          <w:b/>
          <w:sz w:val="32"/>
        </w:rPr>
      </w:pPr>
    </w:p>
    <w:p w14:paraId="3C34164E" w14:textId="77777777" w:rsidR="00E6303D" w:rsidRDefault="00E6303D" w:rsidP="00CE676E">
      <w:pPr>
        <w:jc w:val="both"/>
        <w:rPr>
          <w:b/>
          <w:sz w:val="32"/>
        </w:rPr>
      </w:pPr>
    </w:p>
    <w:p w14:paraId="35488C39" w14:textId="77777777" w:rsidR="00E6303D" w:rsidRDefault="00E6303D" w:rsidP="00CE676E">
      <w:pPr>
        <w:jc w:val="both"/>
        <w:rPr>
          <w:b/>
          <w:sz w:val="32"/>
        </w:rPr>
      </w:pPr>
    </w:p>
    <w:p w14:paraId="3B383109" w14:textId="77777777" w:rsidR="00E6303D" w:rsidRDefault="00E6303D" w:rsidP="00CE676E">
      <w:pPr>
        <w:jc w:val="both"/>
        <w:rPr>
          <w:b/>
          <w:sz w:val="32"/>
        </w:rPr>
      </w:pPr>
    </w:p>
    <w:p w14:paraId="5192AE21" w14:textId="77777777" w:rsidR="004614FE" w:rsidRDefault="004614FE" w:rsidP="00CE676E">
      <w:pPr>
        <w:jc w:val="both"/>
        <w:rPr>
          <w:b/>
          <w:sz w:val="32"/>
        </w:rPr>
      </w:pPr>
    </w:p>
    <w:p w14:paraId="1C4BA17F" w14:textId="77777777" w:rsidR="004614FE" w:rsidRDefault="003723F0">
      <w:pPr>
        <w:pStyle w:val="TOC1"/>
        <w:tabs>
          <w:tab w:val="left" w:pos="440"/>
          <w:tab w:val="right" w:leader="dot" w:pos="9016"/>
        </w:tabs>
        <w:rPr>
          <w:rFonts w:eastAsiaTheme="minorEastAsia"/>
          <w:b w:val="0"/>
          <w:noProof/>
          <w:sz w:val="22"/>
          <w:szCs w:val="22"/>
          <w:lang w:eastAsia="en-GB"/>
        </w:rPr>
      </w:pPr>
      <w:r w:rsidRPr="00BF7A6D">
        <w:rPr>
          <w:rFonts w:ascii="Arial" w:hAnsi="Arial" w:cs="Arial"/>
          <w:b w:val="0"/>
          <w:sz w:val="22"/>
          <w:szCs w:val="22"/>
        </w:rPr>
        <w:fldChar w:fldCharType="begin"/>
      </w:r>
      <w:r w:rsidRPr="00BF7A6D">
        <w:rPr>
          <w:rFonts w:ascii="Arial" w:hAnsi="Arial" w:cs="Arial"/>
          <w:b w:val="0"/>
          <w:sz w:val="22"/>
          <w:szCs w:val="22"/>
        </w:rPr>
        <w:instrText xml:space="preserve"> TOC \o "1-3" </w:instrText>
      </w:r>
      <w:r w:rsidRPr="00BF7A6D">
        <w:rPr>
          <w:rFonts w:ascii="Arial" w:hAnsi="Arial" w:cs="Arial"/>
          <w:b w:val="0"/>
          <w:sz w:val="22"/>
          <w:szCs w:val="22"/>
        </w:rPr>
        <w:fldChar w:fldCharType="separate"/>
      </w:r>
      <w:r w:rsidR="004614FE">
        <w:rPr>
          <w:noProof/>
        </w:rPr>
        <w:t>1.</w:t>
      </w:r>
      <w:r w:rsidR="004614FE">
        <w:rPr>
          <w:rFonts w:eastAsiaTheme="minorEastAsia"/>
          <w:b w:val="0"/>
          <w:noProof/>
          <w:sz w:val="22"/>
          <w:szCs w:val="22"/>
          <w:lang w:eastAsia="en-GB"/>
        </w:rPr>
        <w:tab/>
      </w:r>
      <w:r w:rsidR="004614FE">
        <w:rPr>
          <w:noProof/>
        </w:rPr>
        <w:t>Introduction &amp; Purpose</w:t>
      </w:r>
      <w:r w:rsidR="004614FE">
        <w:rPr>
          <w:noProof/>
        </w:rPr>
        <w:tab/>
      </w:r>
      <w:r w:rsidR="004614FE">
        <w:rPr>
          <w:noProof/>
        </w:rPr>
        <w:fldChar w:fldCharType="begin"/>
      </w:r>
      <w:r w:rsidR="004614FE">
        <w:rPr>
          <w:noProof/>
        </w:rPr>
        <w:instrText xml:space="preserve"> PAGEREF _Toc476153192 \h </w:instrText>
      </w:r>
      <w:r w:rsidR="004614FE">
        <w:rPr>
          <w:noProof/>
        </w:rPr>
      </w:r>
      <w:r w:rsidR="004614FE">
        <w:rPr>
          <w:noProof/>
        </w:rPr>
        <w:fldChar w:fldCharType="separate"/>
      </w:r>
      <w:r w:rsidR="00DE3CCF">
        <w:rPr>
          <w:noProof/>
        </w:rPr>
        <w:t>3</w:t>
      </w:r>
      <w:r w:rsidR="004614FE">
        <w:rPr>
          <w:noProof/>
        </w:rPr>
        <w:fldChar w:fldCharType="end"/>
      </w:r>
    </w:p>
    <w:p w14:paraId="1C7F3984" w14:textId="77777777" w:rsidR="004614FE" w:rsidRDefault="004614FE">
      <w:pPr>
        <w:pStyle w:val="TOC1"/>
        <w:tabs>
          <w:tab w:val="left" w:pos="440"/>
          <w:tab w:val="right" w:leader="dot" w:pos="9016"/>
        </w:tabs>
        <w:rPr>
          <w:rFonts w:eastAsiaTheme="minorEastAsia"/>
          <w:b w:val="0"/>
          <w:noProof/>
          <w:sz w:val="22"/>
          <w:szCs w:val="22"/>
          <w:lang w:eastAsia="en-GB"/>
        </w:rPr>
      </w:pPr>
      <w:r>
        <w:rPr>
          <w:noProof/>
        </w:rPr>
        <w:t>2.</w:t>
      </w:r>
      <w:r>
        <w:rPr>
          <w:rFonts w:eastAsiaTheme="minorEastAsia"/>
          <w:b w:val="0"/>
          <w:noProof/>
          <w:sz w:val="22"/>
          <w:szCs w:val="22"/>
          <w:lang w:eastAsia="en-GB"/>
        </w:rPr>
        <w:tab/>
      </w:r>
      <w:r>
        <w:rPr>
          <w:noProof/>
        </w:rPr>
        <w:t>Scope</w:t>
      </w:r>
      <w:r>
        <w:rPr>
          <w:noProof/>
        </w:rPr>
        <w:tab/>
      </w:r>
      <w:r>
        <w:rPr>
          <w:noProof/>
        </w:rPr>
        <w:fldChar w:fldCharType="begin"/>
      </w:r>
      <w:r>
        <w:rPr>
          <w:noProof/>
        </w:rPr>
        <w:instrText xml:space="preserve"> PAGEREF _Toc476153193 \h </w:instrText>
      </w:r>
      <w:r>
        <w:rPr>
          <w:noProof/>
        </w:rPr>
      </w:r>
      <w:r>
        <w:rPr>
          <w:noProof/>
        </w:rPr>
        <w:fldChar w:fldCharType="separate"/>
      </w:r>
      <w:r w:rsidR="00DE3CCF">
        <w:rPr>
          <w:noProof/>
        </w:rPr>
        <w:t>3</w:t>
      </w:r>
      <w:r>
        <w:rPr>
          <w:noProof/>
        </w:rPr>
        <w:fldChar w:fldCharType="end"/>
      </w:r>
    </w:p>
    <w:p w14:paraId="57CE2F27" w14:textId="77777777" w:rsidR="004614FE" w:rsidRDefault="004614FE">
      <w:pPr>
        <w:pStyle w:val="TOC2"/>
        <w:tabs>
          <w:tab w:val="left" w:pos="880"/>
          <w:tab w:val="right" w:leader="dot" w:pos="9016"/>
        </w:tabs>
        <w:rPr>
          <w:rFonts w:eastAsiaTheme="minorEastAsia"/>
          <w:b w:val="0"/>
          <w:noProof/>
          <w:lang w:eastAsia="en-GB"/>
        </w:rPr>
      </w:pPr>
      <w:r>
        <w:rPr>
          <w:noProof/>
        </w:rPr>
        <w:t xml:space="preserve">2.1 </w:t>
      </w:r>
      <w:r>
        <w:rPr>
          <w:rFonts w:eastAsiaTheme="minorEastAsia"/>
          <w:b w:val="0"/>
          <w:noProof/>
          <w:lang w:eastAsia="en-GB"/>
        </w:rPr>
        <w:tab/>
      </w:r>
      <w:r>
        <w:rPr>
          <w:noProof/>
        </w:rPr>
        <w:t>Aims and Objectives of Service</w:t>
      </w:r>
      <w:r>
        <w:rPr>
          <w:noProof/>
        </w:rPr>
        <w:tab/>
      </w:r>
      <w:r>
        <w:rPr>
          <w:noProof/>
        </w:rPr>
        <w:fldChar w:fldCharType="begin"/>
      </w:r>
      <w:r>
        <w:rPr>
          <w:noProof/>
        </w:rPr>
        <w:instrText xml:space="preserve"> PAGEREF _Toc476153194 \h </w:instrText>
      </w:r>
      <w:r>
        <w:rPr>
          <w:noProof/>
        </w:rPr>
      </w:r>
      <w:r>
        <w:rPr>
          <w:noProof/>
        </w:rPr>
        <w:fldChar w:fldCharType="separate"/>
      </w:r>
      <w:r w:rsidR="00DE3CCF">
        <w:rPr>
          <w:noProof/>
        </w:rPr>
        <w:t>3</w:t>
      </w:r>
      <w:r>
        <w:rPr>
          <w:noProof/>
        </w:rPr>
        <w:fldChar w:fldCharType="end"/>
      </w:r>
    </w:p>
    <w:p w14:paraId="1BF3DFD5" w14:textId="77777777" w:rsidR="004614FE" w:rsidRDefault="004614FE">
      <w:pPr>
        <w:pStyle w:val="TOC2"/>
        <w:tabs>
          <w:tab w:val="left" w:pos="880"/>
          <w:tab w:val="right" w:leader="dot" w:pos="9016"/>
        </w:tabs>
        <w:rPr>
          <w:rFonts w:eastAsiaTheme="minorEastAsia"/>
          <w:b w:val="0"/>
          <w:noProof/>
          <w:lang w:eastAsia="en-GB"/>
        </w:rPr>
      </w:pPr>
      <w:r>
        <w:rPr>
          <w:noProof/>
        </w:rPr>
        <w:t xml:space="preserve">2.2 </w:t>
      </w:r>
      <w:r>
        <w:rPr>
          <w:rFonts w:eastAsiaTheme="minorEastAsia"/>
          <w:b w:val="0"/>
          <w:noProof/>
          <w:lang w:eastAsia="en-GB"/>
        </w:rPr>
        <w:tab/>
      </w:r>
      <w:r>
        <w:rPr>
          <w:noProof/>
        </w:rPr>
        <w:t>Service Description and Care Pathway</w:t>
      </w:r>
      <w:r>
        <w:rPr>
          <w:noProof/>
        </w:rPr>
        <w:tab/>
      </w:r>
      <w:r>
        <w:rPr>
          <w:noProof/>
        </w:rPr>
        <w:fldChar w:fldCharType="begin"/>
      </w:r>
      <w:r>
        <w:rPr>
          <w:noProof/>
        </w:rPr>
        <w:instrText xml:space="preserve"> PAGEREF _Toc476153195 \h </w:instrText>
      </w:r>
      <w:r>
        <w:rPr>
          <w:noProof/>
        </w:rPr>
      </w:r>
      <w:r>
        <w:rPr>
          <w:noProof/>
        </w:rPr>
        <w:fldChar w:fldCharType="separate"/>
      </w:r>
      <w:r w:rsidR="00DE3CCF">
        <w:rPr>
          <w:noProof/>
        </w:rPr>
        <w:t>3</w:t>
      </w:r>
      <w:r>
        <w:rPr>
          <w:noProof/>
        </w:rPr>
        <w:fldChar w:fldCharType="end"/>
      </w:r>
    </w:p>
    <w:p w14:paraId="75DEC119" w14:textId="77777777" w:rsidR="004614FE" w:rsidRDefault="004614FE">
      <w:pPr>
        <w:pStyle w:val="TOC3"/>
        <w:tabs>
          <w:tab w:val="left" w:pos="1320"/>
          <w:tab w:val="right" w:leader="dot" w:pos="9016"/>
        </w:tabs>
        <w:rPr>
          <w:rFonts w:eastAsiaTheme="minorEastAsia"/>
          <w:noProof/>
          <w:lang w:eastAsia="en-GB"/>
        </w:rPr>
      </w:pPr>
      <w:r>
        <w:rPr>
          <w:noProof/>
        </w:rPr>
        <w:t>2.2.1</w:t>
      </w:r>
      <w:r>
        <w:rPr>
          <w:rFonts w:eastAsiaTheme="minorEastAsia"/>
          <w:noProof/>
          <w:lang w:eastAsia="en-GB"/>
        </w:rPr>
        <w:tab/>
      </w:r>
      <w:r>
        <w:rPr>
          <w:noProof/>
        </w:rPr>
        <w:t>Stage 1: Referral</w:t>
      </w:r>
      <w:r>
        <w:rPr>
          <w:noProof/>
        </w:rPr>
        <w:tab/>
      </w:r>
      <w:r>
        <w:rPr>
          <w:noProof/>
        </w:rPr>
        <w:fldChar w:fldCharType="begin"/>
      </w:r>
      <w:r>
        <w:rPr>
          <w:noProof/>
        </w:rPr>
        <w:instrText xml:space="preserve"> PAGEREF _Toc476153196 \h </w:instrText>
      </w:r>
      <w:r>
        <w:rPr>
          <w:noProof/>
        </w:rPr>
      </w:r>
      <w:r>
        <w:rPr>
          <w:noProof/>
        </w:rPr>
        <w:fldChar w:fldCharType="separate"/>
      </w:r>
      <w:r w:rsidR="00DE3CCF">
        <w:rPr>
          <w:noProof/>
        </w:rPr>
        <w:t>4</w:t>
      </w:r>
      <w:r>
        <w:rPr>
          <w:noProof/>
        </w:rPr>
        <w:fldChar w:fldCharType="end"/>
      </w:r>
    </w:p>
    <w:p w14:paraId="7DA2CA4C" w14:textId="77777777" w:rsidR="004614FE" w:rsidRDefault="004614FE">
      <w:pPr>
        <w:pStyle w:val="TOC3"/>
        <w:tabs>
          <w:tab w:val="left" w:pos="1320"/>
          <w:tab w:val="right" w:leader="dot" w:pos="9016"/>
        </w:tabs>
        <w:rPr>
          <w:rFonts w:eastAsiaTheme="minorEastAsia"/>
          <w:noProof/>
          <w:lang w:eastAsia="en-GB"/>
        </w:rPr>
      </w:pPr>
      <w:r>
        <w:rPr>
          <w:noProof/>
        </w:rPr>
        <w:t>2.2.2</w:t>
      </w:r>
      <w:r>
        <w:rPr>
          <w:rFonts w:eastAsiaTheme="minorEastAsia"/>
          <w:noProof/>
          <w:lang w:eastAsia="en-GB"/>
        </w:rPr>
        <w:tab/>
      </w:r>
      <w:r>
        <w:rPr>
          <w:noProof/>
        </w:rPr>
        <w:t>Stage 2: Triage</w:t>
      </w:r>
      <w:r>
        <w:rPr>
          <w:noProof/>
        </w:rPr>
        <w:tab/>
      </w:r>
      <w:r>
        <w:rPr>
          <w:noProof/>
        </w:rPr>
        <w:fldChar w:fldCharType="begin"/>
      </w:r>
      <w:r>
        <w:rPr>
          <w:noProof/>
        </w:rPr>
        <w:instrText xml:space="preserve"> PAGEREF _Toc476153197 \h </w:instrText>
      </w:r>
      <w:r>
        <w:rPr>
          <w:noProof/>
        </w:rPr>
      </w:r>
      <w:r>
        <w:rPr>
          <w:noProof/>
        </w:rPr>
        <w:fldChar w:fldCharType="separate"/>
      </w:r>
      <w:r w:rsidR="00DE3CCF">
        <w:rPr>
          <w:noProof/>
        </w:rPr>
        <w:t>4</w:t>
      </w:r>
      <w:r>
        <w:rPr>
          <w:noProof/>
        </w:rPr>
        <w:fldChar w:fldCharType="end"/>
      </w:r>
    </w:p>
    <w:p w14:paraId="6937CD4D" w14:textId="77777777" w:rsidR="004614FE" w:rsidRDefault="004614FE">
      <w:pPr>
        <w:pStyle w:val="TOC3"/>
        <w:tabs>
          <w:tab w:val="left" w:pos="1320"/>
          <w:tab w:val="right" w:leader="dot" w:pos="9016"/>
        </w:tabs>
        <w:rPr>
          <w:rFonts w:eastAsiaTheme="minorEastAsia"/>
          <w:noProof/>
          <w:lang w:eastAsia="en-GB"/>
        </w:rPr>
      </w:pPr>
      <w:r>
        <w:rPr>
          <w:noProof/>
        </w:rPr>
        <w:t>2.2.3</w:t>
      </w:r>
      <w:r>
        <w:rPr>
          <w:rFonts w:eastAsiaTheme="minorEastAsia"/>
          <w:noProof/>
          <w:lang w:eastAsia="en-GB"/>
        </w:rPr>
        <w:tab/>
      </w:r>
      <w:r>
        <w:rPr>
          <w:noProof/>
        </w:rPr>
        <w:t>Stage 3: Clinical Assessment</w:t>
      </w:r>
      <w:r>
        <w:rPr>
          <w:noProof/>
        </w:rPr>
        <w:tab/>
      </w:r>
      <w:r>
        <w:rPr>
          <w:noProof/>
        </w:rPr>
        <w:fldChar w:fldCharType="begin"/>
      </w:r>
      <w:r>
        <w:rPr>
          <w:noProof/>
        </w:rPr>
        <w:instrText xml:space="preserve"> PAGEREF _Toc476153198 \h </w:instrText>
      </w:r>
      <w:r>
        <w:rPr>
          <w:noProof/>
        </w:rPr>
      </w:r>
      <w:r>
        <w:rPr>
          <w:noProof/>
        </w:rPr>
        <w:fldChar w:fldCharType="separate"/>
      </w:r>
      <w:r w:rsidR="00DE3CCF">
        <w:rPr>
          <w:noProof/>
        </w:rPr>
        <w:t>5</w:t>
      </w:r>
      <w:r>
        <w:rPr>
          <w:noProof/>
        </w:rPr>
        <w:fldChar w:fldCharType="end"/>
      </w:r>
    </w:p>
    <w:p w14:paraId="1CCC0161" w14:textId="77777777" w:rsidR="004614FE" w:rsidRDefault="004614FE">
      <w:pPr>
        <w:pStyle w:val="TOC3"/>
        <w:tabs>
          <w:tab w:val="left" w:pos="1320"/>
          <w:tab w:val="right" w:leader="dot" w:pos="9016"/>
        </w:tabs>
        <w:rPr>
          <w:rFonts w:eastAsiaTheme="minorEastAsia"/>
          <w:noProof/>
          <w:lang w:eastAsia="en-GB"/>
        </w:rPr>
      </w:pPr>
      <w:r>
        <w:rPr>
          <w:noProof/>
        </w:rPr>
        <w:t>2.2.4</w:t>
      </w:r>
      <w:r>
        <w:rPr>
          <w:rFonts w:eastAsiaTheme="minorEastAsia"/>
          <w:noProof/>
          <w:lang w:eastAsia="en-GB"/>
        </w:rPr>
        <w:tab/>
      </w:r>
      <w:r>
        <w:rPr>
          <w:noProof/>
        </w:rPr>
        <w:t>Stage 4: Diagnostics</w:t>
      </w:r>
      <w:r>
        <w:rPr>
          <w:noProof/>
        </w:rPr>
        <w:tab/>
      </w:r>
      <w:r>
        <w:rPr>
          <w:noProof/>
        </w:rPr>
        <w:fldChar w:fldCharType="begin"/>
      </w:r>
      <w:r>
        <w:rPr>
          <w:noProof/>
        </w:rPr>
        <w:instrText xml:space="preserve"> PAGEREF _Toc476153199 \h </w:instrText>
      </w:r>
      <w:r>
        <w:rPr>
          <w:noProof/>
        </w:rPr>
      </w:r>
      <w:r>
        <w:rPr>
          <w:noProof/>
        </w:rPr>
        <w:fldChar w:fldCharType="separate"/>
      </w:r>
      <w:r w:rsidR="00DE3CCF">
        <w:rPr>
          <w:noProof/>
        </w:rPr>
        <w:t>5</w:t>
      </w:r>
      <w:r>
        <w:rPr>
          <w:noProof/>
        </w:rPr>
        <w:fldChar w:fldCharType="end"/>
      </w:r>
    </w:p>
    <w:p w14:paraId="595DAA1F" w14:textId="77777777" w:rsidR="004614FE" w:rsidRDefault="004614FE">
      <w:pPr>
        <w:pStyle w:val="TOC3"/>
        <w:tabs>
          <w:tab w:val="left" w:pos="1320"/>
          <w:tab w:val="right" w:leader="dot" w:pos="9016"/>
        </w:tabs>
        <w:rPr>
          <w:rFonts w:eastAsiaTheme="minorEastAsia"/>
          <w:noProof/>
          <w:lang w:eastAsia="en-GB"/>
        </w:rPr>
      </w:pPr>
      <w:r>
        <w:rPr>
          <w:noProof/>
        </w:rPr>
        <w:t>2.2.5</w:t>
      </w:r>
      <w:r>
        <w:rPr>
          <w:rFonts w:eastAsiaTheme="minorEastAsia"/>
          <w:noProof/>
          <w:lang w:eastAsia="en-GB"/>
        </w:rPr>
        <w:tab/>
      </w:r>
      <w:r>
        <w:rPr>
          <w:noProof/>
        </w:rPr>
        <w:t>Stage 5: Treatment</w:t>
      </w:r>
      <w:r>
        <w:rPr>
          <w:noProof/>
        </w:rPr>
        <w:tab/>
      </w:r>
      <w:r>
        <w:rPr>
          <w:noProof/>
        </w:rPr>
        <w:fldChar w:fldCharType="begin"/>
      </w:r>
      <w:r>
        <w:rPr>
          <w:noProof/>
        </w:rPr>
        <w:instrText xml:space="preserve"> PAGEREF _Toc476153200 \h </w:instrText>
      </w:r>
      <w:r>
        <w:rPr>
          <w:noProof/>
        </w:rPr>
      </w:r>
      <w:r>
        <w:rPr>
          <w:noProof/>
        </w:rPr>
        <w:fldChar w:fldCharType="separate"/>
      </w:r>
      <w:r w:rsidR="00DE3CCF">
        <w:rPr>
          <w:noProof/>
        </w:rPr>
        <w:t>6</w:t>
      </w:r>
      <w:r>
        <w:rPr>
          <w:noProof/>
        </w:rPr>
        <w:fldChar w:fldCharType="end"/>
      </w:r>
    </w:p>
    <w:p w14:paraId="795456D4" w14:textId="77777777" w:rsidR="004614FE" w:rsidRDefault="004614FE">
      <w:pPr>
        <w:pStyle w:val="TOC3"/>
        <w:tabs>
          <w:tab w:val="left" w:pos="1320"/>
          <w:tab w:val="right" w:leader="dot" w:pos="9016"/>
        </w:tabs>
        <w:rPr>
          <w:rFonts w:eastAsiaTheme="minorEastAsia"/>
          <w:noProof/>
          <w:lang w:eastAsia="en-GB"/>
        </w:rPr>
      </w:pPr>
      <w:r>
        <w:rPr>
          <w:noProof/>
        </w:rPr>
        <w:t>2.2.6</w:t>
      </w:r>
      <w:r>
        <w:rPr>
          <w:rFonts w:eastAsiaTheme="minorEastAsia"/>
          <w:noProof/>
          <w:lang w:eastAsia="en-GB"/>
        </w:rPr>
        <w:tab/>
      </w:r>
      <w:r>
        <w:rPr>
          <w:noProof/>
        </w:rPr>
        <w:t>Stage 6: Onward Referral</w:t>
      </w:r>
      <w:r>
        <w:rPr>
          <w:noProof/>
        </w:rPr>
        <w:tab/>
      </w:r>
      <w:r>
        <w:rPr>
          <w:noProof/>
        </w:rPr>
        <w:fldChar w:fldCharType="begin"/>
      </w:r>
      <w:r>
        <w:rPr>
          <w:noProof/>
        </w:rPr>
        <w:instrText xml:space="preserve"> PAGEREF _Toc476153201 \h </w:instrText>
      </w:r>
      <w:r>
        <w:rPr>
          <w:noProof/>
        </w:rPr>
      </w:r>
      <w:r>
        <w:rPr>
          <w:noProof/>
        </w:rPr>
        <w:fldChar w:fldCharType="separate"/>
      </w:r>
      <w:r w:rsidR="00DE3CCF">
        <w:rPr>
          <w:noProof/>
        </w:rPr>
        <w:t>7</w:t>
      </w:r>
      <w:r>
        <w:rPr>
          <w:noProof/>
        </w:rPr>
        <w:fldChar w:fldCharType="end"/>
      </w:r>
    </w:p>
    <w:p w14:paraId="3393EE9D" w14:textId="77777777" w:rsidR="004614FE" w:rsidRDefault="004614FE">
      <w:pPr>
        <w:pStyle w:val="TOC3"/>
        <w:tabs>
          <w:tab w:val="left" w:pos="1320"/>
          <w:tab w:val="right" w:leader="dot" w:pos="9016"/>
        </w:tabs>
        <w:rPr>
          <w:rFonts w:eastAsiaTheme="minorEastAsia"/>
          <w:noProof/>
          <w:lang w:eastAsia="en-GB"/>
        </w:rPr>
      </w:pPr>
      <w:r>
        <w:rPr>
          <w:noProof/>
        </w:rPr>
        <w:t>2.2.7</w:t>
      </w:r>
      <w:r>
        <w:rPr>
          <w:rFonts w:eastAsiaTheme="minorEastAsia"/>
          <w:noProof/>
          <w:lang w:eastAsia="en-GB"/>
        </w:rPr>
        <w:tab/>
      </w:r>
      <w:r>
        <w:rPr>
          <w:noProof/>
        </w:rPr>
        <w:t>Stage 7: Discharge</w:t>
      </w:r>
      <w:r>
        <w:rPr>
          <w:noProof/>
        </w:rPr>
        <w:tab/>
      </w:r>
      <w:r>
        <w:rPr>
          <w:noProof/>
        </w:rPr>
        <w:fldChar w:fldCharType="begin"/>
      </w:r>
      <w:r>
        <w:rPr>
          <w:noProof/>
        </w:rPr>
        <w:instrText xml:space="preserve"> PAGEREF _Toc476153202 \h </w:instrText>
      </w:r>
      <w:r>
        <w:rPr>
          <w:noProof/>
        </w:rPr>
      </w:r>
      <w:r>
        <w:rPr>
          <w:noProof/>
        </w:rPr>
        <w:fldChar w:fldCharType="separate"/>
      </w:r>
      <w:r w:rsidR="00DE3CCF">
        <w:rPr>
          <w:noProof/>
        </w:rPr>
        <w:t>7</w:t>
      </w:r>
      <w:r>
        <w:rPr>
          <w:noProof/>
        </w:rPr>
        <w:fldChar w:fldCharType="end"/>
      </w:r>
    </w:p>
    <w:p w14:paraId="4D35D094" w14:textId="77777777" w:rsidR="004614FE" w:rsidRDefault="004614FE">
      <w:pPr>
        <w:pStyle w:val="TOC1"/>
        <w:tabs>
          <w:tab w:val="left" w:pos="440"/>
          <w:tab w:val="right" w:leader="dot" w:pos="9016"/>
        </w:tabs>
        <w:rPr>
          <w:rFonts w:eastAsiaTheme="minorEastAsia"/>
          <w:b w:val="0"/>
          <w:noProof/>
          <w:sz w:val="22"/>
          <w:szCs w:val="22"/>
          <w:lang w:eastAsia="en-GB"/>
        </w:rPr>
      </w:pPr>
      <w:r>
        <w:rPr>
          <w:noProof/>
        </w:rPr>
        <w:t>3.</w:t>
      </w:r>
      <w:r>
        <w:rPr>
          <w:rFonts w:eastAsiaTheme="minorEastAsia"/>
          <w:b w:val="0"/>
          <w:noProof/>
          <w:sz w:val="22"/>
          <w:szCs w:val="22"/>
          <w:lang w:eastAsia="en-GB"/>
        </w:rPr>
        <w:tab/>
      </w:r>
      <w:r>
        <w:rPr>
          <w:noProof/>
        </w:rPr>
        <w:t>Key Service Outcomes</w:t>
      </w:r>
      <w:r>
        <w:rPr>
          <w:noProof/>
        </w:rPr>
        <w:tab/>
      </w:r>
      <w:r>
        <w:rPr>
          <w:noProof/>
        </w:rPr>
        <w:fldChar w:fldCharType="begin"/>
      </w:r>
      <w:r>
        <w:rPr>
          <w:noProof/>
        </w:rPr>
        <w:instrText xml:space="preserve"> PAGEREF _Toc476153203 \h </w:instrText>
      </w:r>
      <w:r>
        <w:rPr>
          <w:noProof/>
        </w:rPr>
      </w:r>
      <w:r>
        <w:rPr>
          <w:noProof/>
        </w:rPr>
        <w:fldChar w:fldCharType="separate"/>
      </w:r>
      <w:r w:rsidR="00DE3CCF">
        <w:rPr>
          <w:noProof/>
        </w:rPr>
        <w:t>8</w:t>
      </w:r>
      <w:r>
        <w:rPr>
          <w:noProof/>
        </w:rPr>
        <w:fldChar w:fldCharType="end"/>
      </w:r>
    </w:p>
    <w:p w14:paraId="248FABEA" w14:textId="77777777" w:rsidR="004614FE" w:rsidRDefault="004614FE">
      <w:pPr>
        <w:pStyle w:val="TOC1"/>
        <w:tabs>
          <w:tab w:val="left" w:pos="440"/>
          <w:tab w:val="right" w:leader="dot" w:pos="9016"/>
        </w:tabs>
        <w:rPr>
          <w:rFonts w:eastAsiaTheme="minorEastAsia"/>
          <w:b w:val="0"/>
          <w:noProof/>
          <w:sz w:val="22"/>
          <w:szCs w:val="22"/>
          <w:lang w:eastAsia="en-GB"/>
        </w:rPr>
      </w:pPr>
      <w:r>
        <w:rPr>
          <w:noProof/>
        </w:rPr>
        <w:t>4.</w:t>
      </w:r>
      <w:r>
        <w:rPr>
          <w:rFonts w:eastAsiaTheme="minorEastAsia"/>
          <w:b w:val="0"/>
          <w:noProof/>
          <w:sz w:val="22"/>
          <w:szCs w:val="22"/>
          <w:lang w:eastAsia="en-GB"/>
        </w:rPr>
        <w:tab/>
      </w:r>
      <w:r>
        <w:rPr>
          <w:noProof/>
        </w:rPr>
        <w:t>The Sub-Contractor’s Premises</w:t>
      </w:r>
      <w:r>
        <w:rPr>
          <w:noProof/>
        </w:rPr>
        <w:tab/>
      </w:r>
      <w:r>
        <w:rPr>
          <w:noProof/>
        </w:rPr>
        <w:fldChar w:fldCharType="begin"/>
      </w:r>
      <w:r>
        <w:rPr>
          <w:noProof/>
        </w:rPr>
        <w:instrText xml:space="preserve"> PAGEREF _Toc476153204 \h </w:instrText>
      </w:r>
      <w:r>
        <w:rPr>
          <w:noProof/>
        </w:rPr>
      </w:r>
      <w:r>
        <w:rPr>
          <w:noProof/>
        </w:rPr>
        <w:fldChar w:fldCharType="separate"/>
      </w:r>
      <w:r w:rsidR="00DE3CCF">
        <w:rPr>
          <w:noProof/>
        </w:rPr>
        <w:t>8</w:t>
      </w:r>
      <w:r>
        <w:rPr>
          <w:noProof/>
        </w:rPr>
        <w:fldChar w:fldCharType="end"/>
      </w:r>
    </w:p>
    <w:p w14:paraId="36C2E3EF" w14:textId="77777777" w:rsidR="004614FE" w:rsidRDefault="004614FE">
      <w:pPr>
        <w:pStyle w:val="TOC1"/>
        <w:tabs>
          <w:tab w:val="left" w:pos="440"/>
          <w:tab w:val="right" w:leader="dot" w:pos="9016"/>
        </w:tabs>
        <w:rPr>
          <w:rFonts w:eastAsiaTheme="minorEastAsia"/>
          <w:b w:val="0"/>
          <w:noProof/>
          <w:sz w:val="22"/>
          <w:szCs w:val="22"/>
          <w:lang w:eastAsia="en-GB"/>
        </w:rPr>
      </w:pPr>
      <w:r>
        <w:rPr>
          <w:noProof/>
        </w:rPr>
        <w:t>5.</w:t>
      </w:r>
      <w:r>
        <w:rPr>
          <w:rFonts w:eastAsiaTheme="minorEastAsia"/>
          <w:b w:val="0"/>
          <w:noProof/>
          <w:sz w:val="22"/>
          <w:szCs w:val="22"/>
          <w:lang w:eastAsia="en-GB"/>
        </w:rPr>
        <w:tab/>
      </w:r>
      <w:r>
        <w:rPr>
          <w:noProof/>
        </w:rPr>
        <w:t>Quality and Governance</w:t>
      </w:r>
      <w:r>
        <w:rPr>
          <w:noProof/>
        </w:rPr>
        <w:tab/>
      </w:r>
      <w:r>
        <w:rPr>
          <w:noProof/>
        </w:rPr>
        <w:fldChar w:fldCharType="begin"/>
      </w:r>
      <w:r>
        <w:rPr>
          <w:noProof/>
        </w:rPr>
        <w:instrText xml:space="preserve"> PAGEREF _Toc476153205 \h </w:instrText>
      </w:r>
      <w:r>
        <w:rPr>
          <w:noProof/>
        </w:rPr>
      </w:r>
      <w:r>
        <w:rPr>
          <w:noProof/>
        </w:rPr>
        <w:fldChar w:fldCharType="separate"/>
      </w:r>
      <w:r w:rsidR="00DE3CCF">
        <w:rPr>
          <w:noProof/>
        </w:rPr>
        <w:t>9</w:t>
      </w:r>
      <w:r>
        <w:rPr>
          <w:noProof/>
        </w:rPr>
        <w:fldChar w:fldCharType="end"/>
      </w:r>
    </w:p>
    <w:p w14:paraId="6DAF1CF1" w14:textId="77777777" w:rsidR="004614FE" w:rsidRPr="0072736E" w:rsidRDefault="004614FE">
      <w:pPr>
        <w:pStyle w:val="TOC2"/>
        <w:tabs>
          <w:tab w:val="left" w:pos="880"/>
          <w:tab w:val="right" w:leader="dot" w:pos="9016"/>
        </w:tabs>
        <w:rPr>
          <w:rFonts w:eastAsiaTheme="minorEastAsia"/>
          <w:b w:val="0"/>
          <w:noProof/>
          <w:lang w:eastAsia="en-GB"/>
        </w:rPr>
      </w:pPr>
      <w:r w:rsidRPr="0072736E">
        <w:rPr>
          <w:b w:val="0"/>
          <w:noProof/>
        </w:rPr>
        <w:t xml:space="preserve">5.1  </w:t>
      </w:r>
      <w:r w:rsidRPr="0072736E">
        <w:rPr>
          <w:rFonts w:eastAsiaTheme="minorEastAsia"/>
          <w:b w:val="0"/>
          <w:noProof/>
          <w:lang w:eastAsia="en-GB"/>
        </w:rPr>
        <w:tab/>
      </w:r>
      <w:r w:rsidRPr="0072736E">
        <w:rPr>
          <w:b w:val="0"/>
          <w:noProof/>
        </w:rPr>
        <w:t>Applicable Service Standards</w:t>
      </w:r>
      <w:r w:rsidRPr="0072736E">
        <w:rPr>
          <w:b w:val="0"/>
          <w:noProof/>
        </w:rPr>
        <w:tab/>
      </w:r>
      <w:r w:rsidRPr="0072736E">
        <w:rPr>
          <w:b w:val="0"/>
          <w:noProof/>
        </w:rPr>
        <w:fldChar w:fldCharType="begin"/>
      </w:r>
      <w:r w:rsidRPr="0072736E">
        <w:rPr>
          <w:b w:val="0"/>
          <w:noProof/>
        </w:rPr>
        <w:instrText xml:space="preserve"> PAGEREF _Toc476153206 \h </w:instrText>
      </w:r>
      <w:r w:rsidRPr="0072736E">
        <w:rPr>
          <w:b w:val="0"/>
          <w:noProof/>
        </w:rPr>
      </w:r>
      <w:r w:rsidRPr="0072736E">
        <w:rPr>
          <w:b w:val="0"/>
          <w:noProof/>
        </w:rPr>
        <w:fldChar w:fldCharType="separate"/>
      </w:r>
      <w:r w:rsidR="00DE3CCF">
        <w:rPr>
          <w:b w:val="0"/>
          <w:noProof/>
        </w:rPr>
        <w:t>9</w:t>
      </w:r>
      <w:r w:rsidRPr="0072736E">
        <w:rPr>
          <w:b w:val="0"/>
          <w:noProof/>
        </w:rPr>
        <w:fldChar w:fldCharType="end"/>
      </w:r>
    </w:p>
    <w:p w14:paraId="71F63093" w14:textId="77777777" w:rsidR="004614FE" w:rsidRPr="0072736E" w:rsidRDefault="004614FE">
      <w:pPr>
        <w:pStyle w:val="TOC2"/>
        <w:tabs>
          <w:tab w:val="left" w:pos="880"/>
          <w:tab w:val="right" w:leader="dot" w:pos="9016"/>
        </w:tabs>
        <w:rPr>
          <w:rFonts w:eastAsiaTheme="minorEastAsia"/>
          <w:b w:val="0"/>
          <w:noProof/>
          <w:lang w:eastAsia="en-GB"/>
        </w:rPr>
      </w:pPr>
      <w:r w:rsidRPr="0072736E">
        <w:rPr>
          <w:b w:val="0"/>
          <w:noProof/>
        </w:rPr>
        <w:t xml:space="preserve">5.2 </w:t>
      </w:r>
      <w:r w:rsidRPr="0072736E">
        <w:rPr>
          <w:rFonts w:eastAsiaTheme="minorEastAsia"/>
          <w:b w:val="0"/>
          <w:noProof/>
          <w:lang w:eastAsia="en-GB"/>
        </w:rPr>
        <w:tab/>
      </w:r>
      <w:r w:rsidRPr="0072736E">
        <w:rPr>
          <w:b w:val="0"/>
          <w:noProof/>
        </w:rPr>
        <w:t>Staff and Staff Management</w:t>
      </w:r>
      <w:r w:rsidRPr="0072736E">
        <w:rPr>
          <w:b w:val="0"/>
          <w:noProof/>
        </w:rPr>
        <w:tab/>
      </w:r>
      <w:r w:rsidRPr="0072736E">
        <w:rPr>
          <w:b w:val="0"/>
          <w:noProof/>
        </w:rPr>
        <w:fldChar w:fldCharType="begin"/>
      </w:r>
      <w:r w:rsidRPr="0072736E">
        <w:rPr>
          <w:b w:val="0"/>
          <w:noProof/>
        </w:rPr>
        <w:instrText xml:space="preserve"> PAGEREF _Toc476153207 \h </w:instrText>
      </w:r>
      <w:r w:rsidRPr="0072736E">
        <w:rPr>
          <w:b w:val="0"/>
          <w:noProof/>
        </w:rPr>
      </w:r>
      <w:r w:rsidRPr="0072736E">
        <w:rPr>
          <w:b w:val="0"/>
          <w:noProof/>
        </w:rPr>
        <w:fldChar w:fldCharType="separate"/>
      </w:r>
      <w:r w:rsidR="00DE3CCF">
        <w:rPr>
          <w:b w:val="0"/>
          <w:noProof/>
        </w:rPr>
        <w:t>9</w:t>
      </w:r>
      <w:r w:rsidRPr="0072736E">
        <w:rPr>
          <w:b w:val="0"/>
          <w:noProof/>
        </w:rPr>
        <w:fldChar w:fldCharType="end"/>
      </w:r>
    </w:p>
    <w:p w14:paraId="0CB26E51" w14:textId="77777777" w:rsidR="004614FE" w:rsidRPr="0072736E" w:rsidRDefault="004614FE">
      <w:pPr>
        <w:pStyle w:val="TOC2"/>
        <w:tabs>
          <w:tab w:val="left" w:pos="880"/>
          <w:tab w:val="right" w:leader="dot" w:pos="9016"/>
        </w:tabs>
        <w:rPr>
          <w:rFonts w:eastAsiaTheme="minorEastAsia"/>
          <w:b w:val="0"/>
          <w:noProof/>
          <w:lang w:eastAsia="en-GB"/>
        </w:rPr>
      </w:pPr>
      <w:r w:rsidRPr="0072736E">
        <w:rPr>
          <w:b w:val="0"/>
          <w:noProof/>
        </w:rPr>
        <w:t xml:space="preserve">5.3  </w:t>
      </w:r>
      <w:r w:rsidRPr="0072736E">
        <w:rPr>
          <w:rFonts w:eastAsiaTheme="minorEastAsia"/>
          <w:b w:val="0"/>
          <w:noProof/>
          <w:lang w:eastAsia="en-GB"/>
        </w:rPr>
        <w:tab/>
      </w:r>
      <w:r w:rsidRPr="0072736E">
        <w:rPr>
          <w:b w:val="0"/>
          <w:noProof/>
        </w:rPr>
        <w:t>Clinical Effectiveness and Audit</w:t>
      </w:r>
      <w:r w:rsidRPr="0072736E">
        <w:rPr>
          <w:b w:val="0"/>
          <w:noProof/>
        </w:rPr>
        <w:tab/>
      </w:r>
      <w:r w:rsidRPr="0072736E">
        <w:rPr>
          <w:b w:val="0"/>
          <w:noProof/>
        </w:rPr>
        <w:fldChar w:fldCharType="begin"/>
      </w:r>
      <w:r w:rsidRPr="0072736E">
        <w:rPr>
          <w:b w:val="0"/>
          <w:noProof/>
        </w:rPr>
        <w:instrText xml:space="preserve"> PAGEREF _Toc476153208 \h </w:instrText>
      </w:r>
      <w:r w:rsidRPr="0072736E">
        <w:rPr>
          <w:b w:val="0"/>
          <w:noProof/>
        </w:rPr>
      </w:r>
      <w:r w:rsidRPr="0072736E">
        <w:rPr>
          <w:b w:val="0"/>
          <w:noProof/>
        </w:rPr>
        <w:fldChar w:fldCharType="separate"/>
      </w:r>
      <w:r w:rsidR="00DE3CCF">
        <w:rPr>
          <w:b w:val="0"/>
          <w:noProof/>
        </w:rPr>
        <w:t>10</w:t>
      </w:r>
      <w:r w:rsidRPr="0072736E">
        <w:rPr>
          <w:b w:val="0"/>
          <w:noProof/>
        </w:rPr>
        <w:fldChar w:fldCharType="end"/>
      </w:r>
    </w:p>
    <w:p w14:paraId="343ED718" w14:textId="77777777" w:rsidR="004614FE" w:rsidRPr="0072736E" w:rsidRDefault="004614FE">
      <w:pPr>
        <w:pStyle w:val="TOC2"/>
        <w:tabs>
          <w:tab w:val="left" w:pos="880"/>
          <w:tab w:val="right" w:leader="dot" w:pos="9016"/>
        </w:tabs>
        <w:rPr>
          <w:rFonts w:eastAsiaTheme="minorEastAsia"/>
          <w:b w:val="0"/>
          <w:noProof/>
          <w:lang w:eastAsia="en-GB"/>
        </w:rPr>
      </w:pPr>
      <w:r w:rsidRPr="0072736E">
        <w:rPr>
          <w:b w:val="0"/>
          <w:noProof/>
        </w:rPr>
        <w:t xml:space="preserve">5.4 </w:t>
      </w:r>
      <w:r w:rsidRPr="0072736E">
        <w:rPr>
          <w:rFonts w:eastAsiaTheme="minorEastAsia"/>
          <w:b w:val="0"/>
          <w:noProof/>
          <w:lang w:eastAsia="en-GB"/>
        </w:rPr>
        <w:tab/>
      </w:r>
      <w:r w:rsidRPr="0072736E">
        <w:rPr>
          <w:b w:val="0"/>
          <w:noProof/>
        </w:rPr>
        <w:t>Risk and Incident Management</w:t>
      </w:r>
      <w:r w:rsidRPr="0072736E">
        <w:rPr>
          <w:b w:val="0"/>
          <w:noProof/>
        </w:rPr>
        <w:tab/>
      </w:r>
      <w:r w:rsidRPr="0072736E">
        <w:rPr>
          <w:b w:val="0"/>
          <w:noProof/>
        </w:rPr>
        <w:fldChar w:fldCharType="begin"/>
      </w:r>
      <w:r w:rsidRPr="0072736E">
        <w:rPr>
          <w:b w:val="0"/>
          <w:noProof/>
        </w:rPr>
        <w:instrText xml:space="preserve"> PAGEREF _Toc476153209 \h </w:instrText>
      </w:r>
      <w:r w:rsidRPr="0072736E">
        <w:rPr>
          <w:b w:val="0"/>
          <w:noProof/>
        </w:rPr>
      </w:r>
      <w:r w:rsidRPr="0072736E">
        <w:rPr>
          <w:b w:val="0"/>
          <w:noProof/>
        </w:rPr>
        <w:fldChar w:fldCharType="separate"/>
      </w:r>
      <w:r w:rsidR="00DE3CCF">
        <w:rPr>
          <w:b w:val="0"/>
          <w:noProof/>
        </w:rPr>
        <w:t>11</w:t>
      </w:r>
      <w:r w:rsidRPr="0072736E">
        <w:rPr>
          <w:b w:val="0"/>
          <w:noProof/>
        </w:rPr>
        <w:fldChar w:fldCharType="end"/>
      </w:r>
    </w:p>
    <w:p w14:paraId="69CE7A00" w14:textId="77777777" w:rsidR="004614FE" w:rsidRPr="0072736E" w:rsidRDefault="004614FE">
      <w:pPr>
        <w:pStyle w:val="TOC2"/>
        <w:tabs>
          <w:tab w:val="left" w:pos="880"/>
          <w:tab w:val="right" w:leader="dot" w:pos="9016"/>
        </w:tabs>
        <w:rPr>
          <w:rFonts w:eastAsiaTheme="minorEastAsia"/>
          <w:b w:val="0"/>
          <w:noProof/>
          <w:lang w:eastAsia="en-GB"/>
        </w:rPr>
      </w:pPr>
      <w:r w:rsidRPr="0072736E">
        <w:rPr>
          <w:b w:val="0"/>
          <w:noProof/>
        </w:rPr>
        <w:t xml:space="preserve">5.7 </w:t>
      </w:r>
      <w:r w:rsidRPr="0072736E">
        <w:rPr>
          <w:rFonts w:eastAsiaTheme="minorEastAsia"/>
          <w:b w:val="0"/>
          <w:noProof/>
          <w:lang w:eastAsia="en-GB"/>
        </w:rPr>
        <w:tab/>
      </w:r>
      <w:r w:rsidRPr="0072736E">
        <w:rPr>
          <w:b w:val="0"/>
          <w:noProof/>
        </w:rPr>
        <w:t>Patients and Public Involvement</w:t>
      </w:r>
      <w:r w:rsidRPr="0072736E">
        <w:rPr>
          <w:b w:val="0"/>
          <w:noProof/>
        </w:rPr>
        <w:tab/>
      </w:r>
      <w:r w:rsidRPr="0072736E">
        <w:rPr>
          <w:b w:val="0"/>
          <w:noProof/>
        </w:rPr>
        <w:fldChar w:fldCharType="begin"/>
      </w:r>
      <w:r w:rsidRPr="0072736E">
        <w:rPr>
          <w:b w:val="0"/>
          <w:noProof/>
        </w:rPr>
        <w:instrText xml:space="preserve"> PAGEREF _Toc476153210 \h </w:instrText>
      </w:r>
      <w:r w:rsidRPr="0072736E">
        <w:rPr>
          <w:b w:val="0"/>
          <w:noProof/>
        </w:rPr>
      </w:r>
      <w:r w:rsidRPr="0072736E">
        <w:rPr>
          <w:b w:val="0"/>
          <w:noProof/>
        </w:rPr>
        <w:fldChar w:fldCharType="separate"/>
      </w:r>
      <w:r w:rsidR="00DE3CCF">
        <w:rPr>
          <w:b w:val="0"/>
          <w:noProof/>
        </w:rPr>
        <w:t>12</w:t>
      </w:r>
      <w:r w:rsidRPr="0072736E">
        <w:rPr>
          <w:b w:val="0"/>
          <w:noProof/>
        </w:rPr>
        <w:fldChar w:fldCharType="end"/>
      </w:r>
    </w:p>
    <w:p w14:paraId="312B3A60" w14:textId="77777777" w:rsidR="004614FE" w:rsidRPr="0072736E" w:rsidRDefault="004614FE">
      <w:pPr>
        <w:pStyle w:val="TOC2"/>
        <w:tabs>
          <w:tab w:val="left" w:pos="880"/>
          <w:tab w:val="right" w:leader="dot" w:pos="9016"/>
        </w:tabs>
        <w:rPr>
          <w:rFonts w:eastAsiaTheme="minorEastAsia"/>
          <w:b w:val="0"/>
          <w:noProof/>
          <w:lang w:eastAsia="en-GB"/>
        </w:rPr>
      </w:pPr>
      <w:r w:rsidRPr="0072736E">
        <w:rPr>
          <w:b w:val="0"/>
          <w:noProof/>
        </w:rPr>
        <w:t>5.8</w:t>
      </w:r>
      <w:r w:rsidRPr="0072736E">
        <w:rPr>
          <w:rFonts w:eastAsiaTheme="minorEastAsia"/>
          <w:b w:val="0"/>
          <w:noProof/>
          <w:lang w:eastAsia="en-GB"/>
        </w:rPr>
        <w:tab/>
      </w:r>
      <w:r w:rsidRPr="0072736E">
        <w:rPr>
          <w:b w:val="0"/>
          <w:noProof/>
        </w:rPr>
        <w:t>Information Governance</w:t>
      </w:r>
      <w:r w:rsidRPr="0072736E">
        <w:rPr>
          <w:b w:val="0"/>
          <w:noProof/>
        </w:rPr>
        <w:tab/>
      </w:r>
      <w:r w:rsidRPr="0072736E">
        <w:rPr>
          <w:b w:val="0"/>
          <w:noProof/>
        </w:rPr>
        <w:fldChar w:fldCharType="begin"/>
      </w:r>
      <w:r w:rsidRPr="0072736E">
        <w:rPr>
          <w:b w:val="0"/>
          <w:noProof/>
        </w:rPr>
        <w:instrText xml:space="preserve"> PAGEREF _Toc476153211 \h </w:instrText>
      </w:r>
      <w:r w:rsidRPr="0072736E">
        <w:rPr>
          <w:b w:val="0"/>
          <w:noProof/>
        </w:rPr>
      </w:r>
      <w:r w:rsidRPr="0072736E">
        <w:rPr>
          <w:b w:val="0"/>
          <w:noProof/>
        </w:rPr>
        <w:fldChar w:fldCharType="separate"/>
      </w:r>
      <w:r w:rsidR="00DE3CCF">
        <w:rPr>
          <w:b w:val="0"/>
          <w:noProof/>
        </w:rPr>
        <w:t>12</w:t>
      </w:r>
      <w:r w:rsidRPr="0072736E">
        <w:rPr>
          <w:b w:val="0"/>
          <w:noProof/>
        </w:rPr>
        <w:fldChar w:fldCharType="end"/>
      </w:r>
    </w:p>
    <w:p w14:paraId="626B4FB0" w14:textId="77777777" w:rsidR="004614FE" w:rsidRPr="0072736E" w:rsidRDefault="004614FE">
      <w:pPr>
        <w:pStyle w:val="TOC2"/>
        <w:tabs>
          <w:tab w:val="left" w:pos="880"/>
          <w:tab w:val="right" w:leader="dot" w:pos="9016"/>
        </w:tabs>
        <w:rPr>
          <w:rFonts w:eastAsiaTheme="minorEastAsia"/>
          <w:b w:val="0"/>
          <w:noProof/>
          <w:lang w:eastAsia="en-GB"/>
        </w:rPr>
      </w:pPr>
      <w:r w:rsidRPr="0072736E">
        <w:rPr>
          <w:b w:val="0"/>
          <w:noProof/>
        </w:rPr>
        <w:t xml:space="preserve">5.9 </w:t>
      </w:r>
      <w:r w:rsidRPr="0072736E">
        <w:rPr>
          <w:rFonts w:eastAsiaTheme="minorEastAsia"/>
          <w:b w:val="0"/>
          <w:noProof/>
          <w:lang w:eastAsia="en-GB"/>
        </w:rPr>
        <w:tab/>
      </w:r>
      <w:r w:rsidRPr="0072736E">
        <w:rPr>
          <w:b w:val="0"/>
          <w:noProof/>
        </w:rPr>
        <w:t>Health &amp; Safety</w:t>
      </w:r>
      <w:r w:rsidRPr="0072736E">
        <w:rPr>
          <w:b w:val="0"/>
          <w:noProof/>
        </w:rPr>
        <w:tab/>
      </w:r>
      <w:r w:rsidRPr="0072736E">
        <w:rPr>
          <w:b w:val="0"/>
          <w:noProof/>
        </w:rPr>
        <w:fldChar w:fldCharType="begin"/>
      </w:r>
      <w:r w:rsidRPr="0072736E">
        <w:rPr>
          <w:b w:val="0"/>
          <w:noProof/>
        </w:rPr>
        <w:instrText xml:space="preserve"> PAGEREF _Toc476153212 \h </w:instrText>
      </w:r>
      <w:r w:rsidRPr="0072736E">
        <w:rPr>
          <w:b w:val="0"/>
          <w:noProof/>
        </w:rPr>
      </w:r>
      <w:r w:rsidRPr="0072736E">
        <w:rPr>
          <w:b w:val="0"/>
          <w:noProof/>
        </w:rPr>
        <w:fldChar w:fldCharType="separate"/>
      </w:r>
      <w:r w:rsidR="00DE3CCF">
        <w:rPr>
          <w:b w:val="0"/>
          <w:noProof/>
        </w:rPr>
        <w:t>12</w:t>
      </w:r>
      <w:r w:rsidRPr="0072736E">
        <w:rPr>
          <w:b w:val="0"/>
          <w:noProof/>
        </w:rPr>
        <w:fldChar w:fldCharType="end"/>
      </w:r>
    </w:p>
    <w:p w14:paraId="49DCF279" w14:textId="77777777" w:rsidR="004614FE" w:rsidRDefault="004614FE">
      <w:pPr>
        <w:pStyle w:val="TOC1"/>
        <w:tabs>
          <w:tab w:val="left" w:pos="440"/>
          <w:tab w:val="right" w:leader="dot" w:pos="9016"/>
        </w:tabs>
        <w:rPr>
          <w:rFonts w:eastAsiaTheme="minorEastAsia"/>
          <w:b w:val="0"/>
          <w:noProof/>
          <w:sz w:val="22"/>
          <w:szCs w:val="22"/>
          <w:lang w:eastAsia="en-GB"/>
        </w:rPr>
      </w:pPr>
      <w:r>
        <w:rPr>
          <w:noProof/>
        </w:rPr>
        <w:t>6.</w:t>
      </w:r>
      <w:r>
        <w:rPr>
          <w:rFonts w:eastAsiaTheme="minorEastAsia"/>
          <w:b w:val="0"/>
          <w:noProof/>
          <w:sz w:val="22"/>
          <w:szCs w:val="22"/>
          <w:lang w:eastAsia="en-GB"/>
        </w:rPr>
        <w:tab/>
      </w:r>
      <w:r>
        <w:rPr>
          <w:noProof/>
        </w:rPr>
        <w:t>Contract Management</w:t>
      </w:r>
      <w:r>
        <w:rPr>
          <w:noProof/>
        </w:rPr>
        <w:tab/>
      </w:r>
      <w:r>
        <w:rPr>
          <w:noProof/>
        </w:rPr>
        <w:fldChar w:fldCharType="begin"/>
      </w:r>
      <w:r>
        <w:rPr>
          <w:noProof/>
        </w:rPr>
        <w:instrText xml:space="preserve"> PAGEREF _Toc476153213 \h </w:instrText>
      </w:r>
      <w:r>
        <w:rPr>
          <w:noProof/>
        </w:rPr>
      </w:r>
      <w:r>
        <w:rPr>
          <w:noProof/>
        </w:rPr>
        <w:fldChar w:fldCharType="separate"/>
      </w:r>
      <w:r w:rsidR="00DE3CCF">
        <w:rPr>
          <w:noProof/>
        </w:rPr>
        <w:t>13</w:t>
      </w:r>
      <w:r>
        <w:rPr>
          <w:noProof/>
        </w:rPr>
        <w:fldChar w:fldCharType="end"/>
      </w:r>
    </w:p>
    <w:p w14:paraId="36B0EF5B" w14:textId="77777777" w:rsidR="00E346DA" w:rsidRPr="00BF7A6D" w:rsidRDefault="003723F0" w:rsidP="00CE676E">
      <w:pPr>
        <w:jc w:val="both"/>
        <w:rPr>
          <w:rFonts w:ascii="Arial" w:hAnsi="Arial" w:cs="Arial"/>
          <w:b/>
        </w:rPr>
      </w:pPr>
      <w:r w:rsidRPr="00BF7A6D">
        <w:rPr>
          <w:rFonts w:ascii="Arial" w:hAnsi="Arial" w:cs="Arial"/>
          <w:b/>
        </w:rPr>
        <w:fldChar w:fldCharType="end"/>
      </w:r>
      <w:r w:rsidR="00E346DA" w:rsidRPr="00BF7A6D">
        <w:rPr>
          <w:rFonts w:ascii="Arial" w:hAnsi="Arial" w:cs="Arial"/>
          <w:b/>
        </w:rPr>
        <w:br w:type="page"/>
      </w:r>
    </w:p>
    <w:tbl>
      <w:tblPr>
        <w:tblStyle w:val="TableGrid"/>
        <w:tblW w:w="0" w:type="auto"/>
        <w:tblLook w:val="04A0" w:firstRow="1" w:lastRow="0" w:firstColumn="1" w:lastColumn="0" w:noHBand="0" w:noVBand="1"/>
      </w:tblPr>
      <w:tblGrid>
        <w:gridCol w:w="2268"/>
        <w:gridCol w:w="6520"/>
      </w:tblGrid>
      <w:tr w:rsidR="00E346DA" w:rsidRPr="00C50B7E" w14:paraId="1F0D888C" w14:textId="77777777" w:rsidTr="00ED6F5E">
        <w:trPr>
          <w:trHeight w:val="459"/>
        </w:trPr>
        <w:tc>
          <w:tcPr>
            <w:tcW w:w="2268" w:type="dxa"/>
            <w:shd w:val="clear" w:color="auto" w:fill="D9D9D9" w:themeFill="background1" w:themeFillShade="D9"/>
          </w:tcPr>
          <w:p w14:paraId="3CDB40C3" w14:textId="77777777" w:rsidR="00E346DA" w:rsidRPr="00BF7A6D" w:rsidRDefault="00E346DA" w:rsidP="00CE676E">
            <w:pPr>
              <w:jc w:val="both"/>
              <w:rPr>
                <w:rFonts w:ascii="Arial" w:hAnsi="Arial" w:cs="Arial"/>
                <w:b/>
              </w:rPr>
            </w:pPr>
            <w:r w:rsidRPr="00BF7A6D">
              <w:rPr>
                <w:rFonts w:ascii="Arial" w:hAnsi="Arial" w:cs="Arial"/>
                <w:b/>
              </w:rPr>
              <w:lastRenderedPageBreak/>
              <w:t>Service</w:t>
            </w:r>
          </w:p>
        </w:tc>
        <w:tc>
          <w:tcPr>
            <w:tcW w:w="6520" w:type="dxa"/>
          </w:tcPr>
          <w:p w14:paraId="4250565A" w14:textId="77777777" w:rsidR="00E346DA" w:rsidRPr="00BF7A6D" w:rsidRDefault="00E346DA" w:rsidP="00CE676E">
            <w:pPr>
              <w:jc w:val="both"/>
              <w:rPr>
                <w:rFonts w:ascii="Arial" w:hAnsi="Arial" w:cs="Arial"/>
                <w:b/>
              </w:rPr>
            </w:pPr>
            <w:r w:rsidRPr="00BF7A6D">
              <w:rPr>
                <w:rFonts w:ascii="Arial" w:hAnsi="Arial" w:cs="Arial"/>
                <w:b/>
              </w:rPr>
              <w:t>Ophthalmology Outpatient Glaucoma Management</w:t>
            </w:r>
          </w:p>
        </w:tc>
      </w:tr>
      <w:tr w:rsidR="00E346DA" w:rsidRPr="00C50B7E" w14:paraId="56B509D5" w14:textId="77777777" w:rsidTr="00ED6F5E">
        <w:trPr>
          <w:trHeight w:val="459"/>
        </w:trPr>
        <w:tc>
          <w:tcPr>
            <w:tcW w:w="2268" w:type="dxa"/>
            <w:shd w:val="clear" w:color="auto" w:fill="D9D9D9" w:themeFill="background1" w:themeFillShade="D9"/>
          </w:tcPr>
          <w:p w14:paraId="653C3222" w14:textId="77777777" w:rsidR="00E346DA" w:rsidRPr="00BF7A6D" w:rsidRDefault="00E346DA" w:rsidP="00CE676E">
            <w:pPr>
              <w:jc w:val="both"/>
              <w:rPr>
                <w:rFonts w:ascii="Arial" w:hAnsi="Arial" w:cs="Arial"/>
                <w:b/>
              </w:rPr>
            </w:pPr>
            <w:r w:rsidRPr="00BF7A6D">
              <w:rPr>
                <w:rFonts w:ascii="Arial" w:hAnsi="Arial" w:cs="Arial"/>
                <w:b/>
              </w:rPr>
              <w:t>Commissioner Lead</w:t>
            </w:r>
          </w:p>
        </w:tc>
        <w:tc>
          <w:tcPr>
            <w:tcW w:w="6520" w:type="dxa"/>
          </w:tcPr>
          <w:p w14:paraId="515C22EF" w14:textId="77777777" w:rsidR="00E346DA" w:rsidRPr="00BF7A6D" w:rsidRDefault="00E346DA" w:rsidP="00CE676E">
            <w:pPr>
              <w:jc w:val="both"/>
              <w:rPr>
                <w:rFonts w:ascii="Arial" w:hAnsi="Arial" w:cs="Arial"/>
                <w:b/>
              </w:rPr>
            </w:pPr>
            <w:r w:rsidRPr="00BF7A6D">
              <w:rPr>
                <w:rFonts w:ascii="Arial" w:hAnsi="Arial" w:cs="Arial"/>
                <w:b/>
              </w:rPr>
              <w:t>University Hospital Birmingham NHS Foundation Trust</w:t>
            </w:r>
          </w:p>
        </w:tc>
      </w:tr>
      <w:tr w:rsidR="00E346DA" w:rsidRPr="00C50B7E" w14:paraId="270AC110" w14:textId="77777777" w:rsidTr="00ED6F5E">
        <w:trPr>
          <w:trHeight w:val="459"/>
        </w:trPr>
        <w:tc>
          <w:tcPr>
            <w:tcW w:w="2268" w:type="dxa"/>
            <w:shd w:val="clear" w:color="auto" w:fill="D9D9D9" w:themeFill="background1" w:themeFillShade="D9"/>
          </w:tcPr>
          <w:p w14:paraId="7A471681" w14:textId="77777777" w:rsidR="00E346DA" w:rsidRPr="00BF7A6D" w:rsidRDefault="00E346DA" w:rsidP="00CE676E">
            <w:pPr>
              <w:jc w:val="both"/>
              <w:rPr>
                <w:rFonts w:ascii="Arial" w:hAnsi="Arial" w:cs="Arial"/>
                <w:b/>
              </w:rPr>
            </w:pPr>
            <w:r w:rsidRPr="00BF7A6D">
              <w:rPr>
                <w:rFonts w:ascii="Arial" w:hAnsi="Arial" w:cs="Arial"/>
                <w:b/>
              </w:rPr>
              <w:t>Period</w:t>
            </w:r>
          </w:p>
        </w:tc>
        <w:tc>
          <w:tcPr>
            <w:tcW w:w="6520" w:type="dxa"/>
          </w:tcPr>
          <w:p w14:paraId="143742CF" w14:textId="77777777" w:rsidR="00E346DA" w:rsidRPr="00BF7A6D" w:rsidRDefault="00E346DA" w:rsidP="00CE676E">
            <w:pPr>
              <w:jc w:val="both"/>
              <w:rPr>
                <w:rFonts w:ascii="Arial" w:hAnsi="Arial" w:cs="Arial"/>
                <w:b/>
              </w:rPr>
            </w:pPr>
            <w:r w:rsidRPr="00BF7A6D">
              <w:rPr>
                <w:rFonts w:ascii="Arial" w:hAnsi="Arial" w:cs="Arial"/>
                <w:b/>
              </w:rPr>
              <w:t>1 Year + 1 Year Extension</w:t>
            </w:r>
          </w:p>
        </w:tc>
      </w:tr>
    </w:tbl>
    <w:p w14:paraId="629D4FB0" w14:textId="77777777" w:rsidR="00E346DA" w:rsidRPr="00C50B7E" w:rsidRDefault="00E346DA" w:rsidP="00CE676E">
      <w:pPr>
        <w:jc w:val="both"/>
        <w:rPr>
          <w:b/>
          <w:sz w:val="24"/>
          <w:szCs w:val="24"/>
        </w:rPr>
      </w:pPr>
    </w:p>
    <w:p w14:paraId="4806FAB7" w14:textId="77777777" w:rsidR="00E346DA" w:rsidRPr="001878D7" w:rsidRDefault="00E346DA" w:rsidP="004A59CA">
      <w:pPr>
        <w:pStyle w:val="Heading1"/>
      </w:pPr>
      <w:bookmarkStart w:id="1" w:name="_Toc476153192"/>
      <w:r w:rsidRPr="001878D7">
        <w:t>Introduction &amp; Purpose</w:t>
      </w:r>
      <w:bookmarkEnd w:id="1"/>
    </w:p>
    <w:p w14:paraId="4ECD07E9" w14:textId="62AFAE97" w:rsidR="00197093" w:rsidRDefault="00BD1E42" w:rsidP="00CE676E">
      <w:pPr>
        <w:spacing w:after="240" w:line="240" w:lineRule="auto"/>
        <w:jc w:val="both"/>
        <w:rPr>
          <w:rFonts w:ascii="Arial" w:hAnsi="Arial" w:cs="Arial"/>
        </w:rPr>
      </w:pPr>
      <w:r w:rsidRPr="001878D7">
        <w:rPr>
          <w:rFonts w:ascii="Arial" w:hAnsi="Arial" w:cs="Arial"/>
        </w:rPr>
        <w:t>The purpose of this service specification is to identify and commission a suitable provider who would be able to meet and deliver the required standard of care for a cohort of glaucoma patients.</w:t>
      </w:r>
      <w:r w:rsidR="000717DD" w:rsidRPr="001878D7">
        <w:rPr>
          <w:rFonts w:ascii="Arial" w:hAnsi="Arial" w:cs="Arial"/>
        </w:rPr>
        <w:t xml:space="preserve"> The service is outpatient based and no day case activity will be required.</w:t>
      </w:r>
      <w:r w:rsidR="003922EE">
        <w:rPr>
          <w:rFonts w:ascii="Arial" w:hAnsi="Arial" w:cs="Arial"/>
        </w:rPr>
        <w:t xml:space="preserve"> </w:t>
      </w:r>
    </w:p>
    <w:p w14:paraId="3816EDDB" w14:textId="40C0EB31" w:rsidR="003922EE" w:rsidRPr="001878D7" w:rsidRDefault="003922EE" w:rsidP="00CE676E">
      <w:pPr>
        <w:spacing w:after="240" w:line="240" w:lineRule="auto"/>
        <w:jc w:val="both"/>
        <w:rPr>
          <w:rFonts w:ascii="Arial" w:hAnsi="Arial" w:cs="Arial"/>
        </w:rPr>
      </w:pPr>
      <w:r>
        <w:rPr>
          <w:rFonts w:ascii="Arial" w:hAnsi="Arial" w:cs="Arial"/>
        </w:rPr>
        <w:t>Demand for glaucoma is increasing nationally and the same is true for the service at University Birmingham NHS Foundation Trust (UHBFT). This is due to population growth, an aging population, new technologies and treatments, and changes in clinical standards. Th</w:t>
      </w:r>
      <w:r w:rsidR="003A0522">
        <w:rPr>
          <w:rFonts w:ascii="Arial" w:hAnsi="Arial" w:cs="Arial"/>
        </w:rPr>
        <w:t>e</w:t>
      </w:r>
      <w:r>
        <w:rPr>
          <w:rFonts w:ascii="Arial" w:hAnsi="Arial" w:cs="Arial"/>
        </w:rPr>
        <w:t xml:space="preserve"> service set out in this specification is required to support the Ophthalmology department at UHBFT </w:t>
      </w:r>
      <w:proofErr w:type="gramStart"/>
      <w:r>
        <w:rPr>
          <w:rFonts w:ascii="Arial" w:hAnsi="Arial" w:cs="Arial"/>
        </w:rPr>
        <w:t>bridge</w:t>
      </w:r>
      <w:proofErr w:type="gramEnd"/>
      <w:r>
        <w:rPr>
          <w:rFonts w:ascii="Arial" w:hAnsi="Arial" w:cs="Arial"/>
        </w:rPr>
        <w:t xml:space="preserve"> the capacity shortfall which has been created due to the increase in demand for glaucoma services.</w:t>
      </w:r>
    </w:p>
    <w:p w14:paraId="74420344" w14:textId="4B78BFE8" w:rsidR="00DD3030" w:rsidRPr="001878D7" w:rsidRDefault="00E346DA" w:rsidP="004A59CA">
      <w:pPr>
        <w:pStyle w:val="Heading1"/>
      </w:pPr>
      <w:bookmarkStart w:id="2" w:name="_Toc476153193"/>
      <w:r w:rsidRPr="001878D7">
        <w:t>Scope</w:t>
      </w:r>
      <w:bookmarkEnd w:id="2"/>
    </w:p>
    <w:p w14:paraId="244D101D" w14:textId="2A462315" w:rsidR="003922EE" w:rsidRDefault="00A00AA9" w:rsidP="004A59CA">
      <w:pPr>
        <w:pStyle w:val="Heading2"/>
      </w:pPr>
      <w:bookmarkStart w:id="3" w:name="_Toc476153194"/>
      <w:r>
        <w:t xml:space="preserve">2.1 </w:t>
      </w:r>
      <w:r w:rsidR="00CE676E">
        <w:tab/>
      </w:r>
      <w:r w:rsidR="00E346DA" w:rsidRPr="003922EE">
        <w:t>Aims and Objectives of Service</w:t>
      </w:r>
      <w:bookmarkEnd w:id="3"/>
    </w:p>
    <w:p w14:paraId="2AC0F501" w14:textId="7CA9AB05" w:rsidR="003922EE" w:rsidRPr="00CE676E" w:rsidRDefault="003922EE" w:rsidP="00CE676E">
      <w:pPr>
        <w:spacing w:after="240" w:line="240" w:lineRule="auto"/>
        <w:ind w:left="709"/>
        <w:jc w:val="both"/>
        <w:rPr>
          <w:rFonts w:ascii="Arial" w:hAnsi="Arial" w:cs="Arial"/>
        </w:rPr>
      </w:pPr>
      <w:r w:rsidRPr="00CE676E">
        <w:rPr>
          <w:rFonts w:ascii="Arial" w:hAnsi="Arial" w:cs="Arial"/>
        </w:rPr>
        <w:t xml:space="preserve">University Hospitals Birmingham NHS Foundation Trust (UHBFT) is seeking </w:t>
      </w:r>
      <w:r w:rsidR="00D318A8">
        <w:rPr>
          <w:rFonts w:ascii="Arial" w:hAnsi="Arial" w:cs="Arial"/>
        </w:rPr>
        <w:t xml:space="preserve">to </w:t>
      </w:r>
      <w:r w:rsidRPr="00CE676E">
        <w:rPr>
          <w:rFonts w:ascii="Arial" w:hAnsi="Arial" w:cs="Arial"/>
        </w:rPr>
        <w:t>commission a high quality and patient centred glaucoma service according to local and national standards.</w:t>
      </w:r>
    </w:p>
    <w:p w14:paraId="3235E9D6" w14:textId="77777777" w:rsidR="00C94A5F" w:rsidRPr="001878D7" w:rsidRDefault="00C94A5F" w:rsidP="00CE676E">
      <w:pPr>
        <w:pStyle w:val="Default"/>
        <w:spacing w:after="240"/>
        <w:ind w:left="709"/>
        <w:jc w:val="both"/>
        <w:rPr>
          <w:sz w:val="22"/>
          <w:szCs w:val="22"/>
        </w:rPr>
      </w:pPr>
      <w:r w:rsidRPr="001878D7">
        <w:rPr>
          <w:sz w:val="22"/>
          <w:szCs w:val="22"/>
        </w:rPr>
        <w:t xml:space="preserve">The service aims to: </w:t>
      </w:r>
    </w:p>
    <w:p w14:paraId="3F83197E"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Deliver a high quality and patient centred glaucoma outpatient based service according to local and national standards</w:t>
      </w:r>
    </w:p>
    <w:p w14:paraId="2375D05A"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 xml:space="preserve">Ensure early assessment, diagnosis and initiation of appropriate treatment </w:t>
      </w:r>
    </w:p>
    <w:p w14:paraId="79C6D91E"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Consider using innovative service delivery methods to help release limited secondary care resources</w:t>
      </w:r>
    </w:p>
    <w:p w14:paraId="5C845E97"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Ensure follow up care is managed effectively</w:t>
      </w:r>
    </w:p>
    <w:p w14:paraId="5D2DA916"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Achieve Referral To Treatment performance targets and mandatory national guidelines</w:t>
      </w:r>
    </w:p>
    <w:p w14:paraId="3BBC8FDA"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Collaborate with referrers and other local Sub-Contractors to ensure pathways are seamless</w:t>
      </w:r>
    </w:p>
    <w:p w14:paraId="5FBCA396" w14:textId="77777777" w:rsidR="00CE676E" w:rsidRDefault="00CE676E" w:rsidP="004A59CA">
      <w:pPr>
        <w:pStyle w:val="Heading1"/>
        <w:numPr>
          <w:ilvl w:val="0"/>
          <w:numId w:val="0"/>
        </w:numPr>
        <w:ind w:left="709"/>
      </w:pPr>
    </w:p>
    <w:p w14:paraId="0D378B27" w14:textId="0151B45F" w:rsidR="00E346DA" w:rsidRDefault="003723F0" w:rsidP="004A59CA">
      <w:pPr>
        <w:pStyle w:val="Heading2"/>
      </w:pPr>
      <w:bookmarkStart w:id="4" w:name="_Toc476153195"/>
      <w:r w:rsidRPr="004A59CA">
        <w:t xml:space="preserve">2.2 </w:t>
      </w:r>
      <w:r w:rsidR="001878D7" w:rsidRPr="004A59CA">
        <w:tab/>
      </w:r>
      <w:r w:rsidR="00E346DA" w:rsidRPr="004A59CA">
        <w:t>Service Description and Care Pathway</w:t>
      </w:r>
      <w:bookmarkEnd w:id="4"/>
    </w:p>
    <w:p w14:paraId="3BA74142" w14:textId="1412D44F" w:rsidR="008B6BA7" w:rsidRPr="0072736E" w:rsidRDefault="004A59CA" w:rsidP="00CE676E">
      <w:pPr>
        <w:pStyle w:val="Default"/>
        <w:spacing w:after="240"/>
        <w:ind w:left="709"/>
        <w:jc w:val="both"/>
        <w:rPr>
          <w:sz w:val="22"/>
          <w:szCs w:val="22"/>
        </w:rPr>
      </w:pPr>
      <w:r>
        <w:rPr>
          <w:sz w:val="22"/>
          <w:szCs w:val="22"/>
        </w:rPr>
        <w:br/>
      </w:r>
      <w:r w:rsidR="008B6BA7">
        <w:rPr>
          <w:sz w:val="22"/>
          <w:szCs w:val="22"/>
        </w:rPr>
        <w:t xml:space="preserve">The following care pathway is intended as a guide to some of the key stages along a typical glaucoma patient’s pathway. UHBFT is aware that there are a variety of models across the country for delivery </w:t>
      </w:r>
      <w:r w:rsidR="00D318A8">
        <w:rPr>
          <w:sz w:val="22"/>
          <w:szCs w:val="22"/>
        </w:rPr>
        <w:t xml:space="preserve">of </w:t>
      </w:r>
      <w:r w:rsidR="008B6BA7">
        <w:rPr>
          <w:sz w:val="22"/>
          <w:szCs w:val="22"/>
        </w:rPr>
        <w:t xml:space="preserve">glaucoma outpatient care, and would be </w:t>
      </w:r>
      <w:r w:rsidR="008B6BA7">
        <w:rPr>
          <w:sz w:val="22"/>
          <w:szCs w:val="22"/>
        </w:rPr>
        <w:lastRenderedPageBreak/>
        <w:t xml:space="preserve">willing to discuss any model of care which deliveries high quality and safe care </w:t>
      </w:r>
      <w:r w:rsidR="008B6BA7" w:rsidRPr="0072736E">
        <w:rPr>
          <w:sz w:val="22"/>
          <w:szCs w:val="22"/>
        </w:rPr>
        <w:t>according to NICE guidance</w:t>
      </w:r>
      <w:r w:rsidR="0072736E">
        <w:rPr>
          <w:rStyle w:val="FootnoteReference"/>
          <w:sz w:val="22"/>
          <w:szCs w:val="22"/>
        </w:rPr>
        <w:footnoteReference w:id="1"/>
      </w:r>
      <w:r w:rsidR="008B6BA7" w:rsidRPr="0072736E">
        <w:rPr>
          <w:sz w:val="22"/>
          <w:szCs w:val="22"/>
        </w:rPr>
        <w:t>.</w:t>
      </w:r>
    </w:p>
    <w:p w14:paraId="494087CB" w14:textId="77777777" w:rsidR="00047E83" w:rsidRPr="001878D7" w:rsidRDefault="00047E83" w:rsidP="00CE676E">
      <w:pPr>
        <w:pStyle w:val="Default"/>
        <w:spacing w:after="240"/>
        <w:ind w:left="1134" w:hanging="425"/>
        <w:jc w:val="both"/>
        <w:rPr>
          <w:sz w:val="22"/>
          <w:szCs w:val="22"/>
        </w:rPr>
      </w:pPr>
      <w:r w:rsidRPr="001878D7">
        <w:rPr>
          <w:sz w:val="22"/>
          <w:szCs w:val="22"/>
        </w:rPr>
        <w:t xml:space="preserve">The key stages along the pathway are: </w:t>
      </w:r>
    </w:p>
    <w:p w14:paraId="4BA65681" w14:textId="77777777" w:rsidR="00C50B7E" w:rsidRPr="001878D7" w:rsidRDefault="00047E83" w:rsidP="00A01256">
      <w:pPr>
        <w:pStyle w:val="Default"/>
        <w:numPr>
          <w:ilvl w:val="0"/>
          <w:numId w:val="12"/>
        </w:numPr>
        <w:ind w:left="1418"/>
        <w:jc w:val="both"/>
        <w:rPr>
          <w:sz w:val="22"/>
          <w:szCs w:val="22"/>
        </w:rPr>
      </w:pPr>
      <w:r w:rsidRPr="001878D7">
        <w:rPr>
          <w:sz w:val="22"/>
          <w:szCs w:val="22"/>
        </w:rPr>
        <w:t>Stage 1 – Ref</w:t>
      </w:r>
      <w:r w:rsidR="000717DD" w:rsidRPr="001878D7">
        <w:rPr>
          <w:sz w:val="22"/>
          <w:szCs w:val="22"/>
        </w:rPr>
        <w:t>erral</w:t>
      </w:r>
    </w:p>
    <w:p w14:paraId="475171F2"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2 – Triage</w:t>
      </w:r>
    </w:p>
    <w:p w14:paraId="1A8D3E03"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3 – Clinical Assessment</w:t>
      </w:r>
    </w:p>
    <w:p w14:paraId="3790BE8D"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4 – Diagnostics</w:t>
      </w:r>
    </w:p>
    <w:p w14:paraId="46EAE94F" w14:textId="77777777" w:rsidR="00C50B7E" w:rsidRPr="001878D7" w:rsidRDefault="00047E83" w:rsidP="00A01256">
      <w:pPr>
        <w:pStyle w:val="Default"/>
        <w:numPr>
          <w:ilvl w:val="0"/>
          <w:numId w:val="12"/>
        </w:numPr>
        <w:ind w:left="1418"/>
        <w:jc w:val="both"/>
        <w:rPr>
          <w:sz w:val="22"/>
          <w:szCs w:val="22"/>
        </w:rPr>
      </w:pPr>
      <w:r w:rsidRPr="001878D7">
        <w:rPr>
          <w:sz w:val="22"/>
          <w:szCs w:val="22"/>
        </w:rPr>
        <w:t xml:space="preserve">Stage 5 </w:t>
      </w:r>
      <w:r w:rsidR="000717DD" w:rsidRPr="001878D7">
        <w:rPr>
          <w:sz w:val="22"/>
          <w:szCs w:val="22"/>
        </w:rPr>
        <w:t>– Treatment/Ongoing management</w:t>
      </w:r>
    </w:p>
    <w:p w14:paraId="3D055D7B"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6 – Onward referral</w:t>
      </w:r>
    </w:p>
    <w:p w14:paraId="11E01319" w14:textId="77777777" w:rsidR="00047E83" w:rsidRDefault="000717DD" w:rsidP="00A01256">
      <w:pPr>
        <w:pStyle w:val="Default"/>
        <w:numPr>
          <w:ilvl w:val="0"/>
          <w:numId w:val="12"/>
        </w:numPr>
        <w:ind w:left="1418"/>
        <w:jc w:val="both"/>
        <w:rPr>
          <w:sz w:val="22"/>
          <w:szCs w:val="22"/>
        </w:rPr>
      </w:pPr>
      <w:r w:rsidRPr="001878D7">
        <w:rPr>
          <w:sz w:val="22"/>
          <w:szCs w:val="22"/>
        </w:rPr>
        <w:t>Stage 7 – Discharge</w:t>
      </w:r>
    </w:p>
    <w:p w14:paraId="3681649F" w14:textId="77777777" w:rsidR="00CE676E" w:rsidRDefault="00CE676E" w:rsidP="00CE676E">
      <w:pPr>
        <w:pStyle w:val="Default"/>
        <w:spacing w:after="240"/>
        <w:ind w:left="1134"/>
        <w:jc w:val="both"/>
        <w:rPr>
          <w:sz w:val="22"/>
          <w:szCs w:val="22"/>
        </w:rPr>
      </w:pPr>
    </w:p>
    <w:p w14:paraId="0872ECCB" w14:textId="19AE011F" w:rsidR="00047E83" w:rsidRPr="004A59CA" w:rsidRDefault="004A59CA" w:rsidP="004A59CA">
      <w:pPr>
        <w:pStyle w:val="Heading3"/>
      </w:pPr>
      <w:bookmarkStart w:id="5" w:name="_Toc476153196"/>
      <w:r>
        <w:t>Stage 1: Referral</w:t>
      </w:r>
      <w:bookmarkEnd w:id="5"/>
    </w:p>
    <w:p w14:paraId="0EB09642" w14:textId="1DC7743F" w:rsidR="008B6BA7" w:rsidRDefault="008B6BA7" w:rsidP="00CE676E">
      <w:pPr>
        <w:pStyle w:val="Default"/>
        <w:spacing w:after="240"/>
        <w:ind w:left="709"/>
        <w:jc w:val="both"/>
        <w:rPr>
          <w:sz w:val="22"/>
          <w:szCs w:val="22"/>
        </w:rPr>
      </w:pPr>
      <w:r>
        <w:rPr>
          <w:sz w:val="22"/>
          <w:szCs w:val="22"/>
        </w:rPr>
        <w:t>Referrals will continue to be received by UHBFT from primary care (</w:t>
      </w:r>
      <w:proofErr w:type="spellStart"/>
      <w:r>
        <w:rPr>
          <w:sz w:val="22"/>
          <w:szCs w:val="22"/>
        </w:rPr>
        <w:t>e.g</w:t>
      </w:r>
      <w:proofErr w:type="spellEnd"/>
      <w:r>
        <w:rPr>
          <w:sz w:val="22"/>
          <w:szCs w:val="22"/>
        </w:rPr>
        <w:t xml:space="preserve"> GPs and Opticians). Once the referral has been received by UHBFT, it will be triaged by a consultant and reviewed as to whether the patient is suitable for the Sub-Contractor’s glaucoma service. If the patient is suitable, the patient will be offered a choice of waiting for an appointment at UHBFT or being transferred to the Sub-Contractor. If the patient accepts, the referral will be emailed via NHS.Net to the Sub-Contractor who must confirm receipt of the referral. The Sub-Contractor will also be expected to confirm receipt of the referral as part of a monthly data set submission.</w:t>
      </w:r>
    </w:p>
    <w:p w14:paraId="7A3A1D7D" w14:textId="440B9642" w:rsidR="003A7EAF" w:rsidRPr="001878D7" w:rsidRDefault="003A7EAF" w:rsidP="00CE676E">
      <w:pPr>
        <w:pStyle w:val="Default"/>
        <w:spacing w:after="240"/>
        <w:ind w:left="709"/>
        <w:jc w:val="both"/>
        <w:rPr>
          <w:sz w:val="22"/>
          <w:szCs w:val="22"/>
        </w:rPr>
      </w:pPr>
      <w:r w:rsidRPr="001878D7">
        <w:rPr>
          <w:sz w:val="22"/>
          <w:szCs w:val="22"/>
        </w:rPr>
        <w:t xml:space="preserve">The </w:t>
      </w:r>
      <w:r w:rsidR="003A0522">
        <w:rPr>
          <w:sz w:val="22"/>
          <w:szCs w:val="22"/>
        </w:rPr>
        <w:t xml:space="preserve">Sub-Contractor </w:t>
      </w:r>
      <w:r w:rsidRPr="001878D7">
        <w:rPr>
          <w:sz w:val="22"/>
          <w:szCs w:val="22"/>
        </w:rPr>
        <w:t xml:space="preserve">will be expected to accept </w:t>
      </w:r>
      <w:r w:rsidR="008B6BA7">
        <w:rPr>
          <w:sz w:val="22"/>
          <w:szCs w:val="22"/>
        </w:rPr>
        <w:t>and manage patients with</w:t>
      </w:r>
      <w:r w:rsidRPr="001878D7">
        <w:rPr>
          <w:sz w:val="22"/>
          <w:szCs w:val="22"/>
        </w:rPr>
        <w:t>:</w:t>
      </w:r>
    </w:p>
    <w:p w14:paraId="228A4909" w14:textId="77777777" w:rsidR="003A7EAF" w:rsidRPr="001878D7" w:rsidRDefault="003A7EAF" w:rsidP="00A01256">
      <w:pPr>
        <w:pStyle w:val="Default"/>
        <w:numPr>
          <w:ilvl w:val="0"/>
          <w:numId w:val="6"/>
        </w:numPr>
        <w:ind w:left="993" w:firstLine="0"/>
        <w:jc w:val="both"/>
        <w:rPr>
          <w:sz w:val="22"/>
          <w:szCs w:val="22"/>
        </w:rPr>
      </w:pPr>
      <w:r w:rsidRPr="001878D7">
        <w:rPr>
          <w:sz w:val="22"/>
          <w:szCs w:val="22"/>
        </w:rPr>
        <w:t>Glaucoma suspect</w:t>
      </w:r>
    </w:p>
    <w:p w14:paraId="2E20A53A" w14:textId="77777777" w:rsidR="003A7EAF" w:rsidRPr="001878D7" w:rsidRDefault="003A7EAF" w:rsidP="00A01256">
      <w:pPr>
        <w:pStyle w:val="Default"/>
        <w:numPr>
          <w:ilvl w:val="0"/>
          <w:numId w:val="6"/>
        </w:numPr>
        <w:ind w:left="993" w:firstLine="0"/>
        <w:jc w:val="both"/>
        <w:rPr>
          <w:sz w:val="22"/>
          <w:szCs w:val="22"/>
        </w:rPr>
      </w:pPr>
      <w:r w:rsidRPr="001878D7">
        <w:rPr>
          <w:sz w:val="22"/>
          <w:szCs w:val="22"/>
        </w:rPr>
        <w:t>Ocular hypertension</w:t>
      </w:r>
    </w:p>
    <w:p w14:paraId="356F7C6F" w14:textId="77777777" w:rsidR="003A7EAF" w:rsidRPr="001878D7" w:rsidRDefault="003A7EAF" w:rsidP="00A01256">
      <w:pPr>
        <w:pStyle w:val="Default"/>
        <w:numPr>
          <w:ilvl w:val="0"/>
          <w:numId w:val="6"/>
        </w:numPr>
        <w:ind w:left="993" w:firstLine="0"/>
        <w:jc w:val="both"/>
        <w:rPr>
          <w:sz w:val="22"/>
          <w:szCs w:val="22"/>
        </w:rPr>
      </w:pPr>
      <w:r w:rsidRPr="001878D7">
        <w:rPr>
          <w:sz w:val="22"/>
          <w:szCs w:val="22"/>
        </w:rPr>
        <w:t>Mild-moderate glaucoma</w:t>
      </w:r>
    </w:p>
    <w:p w14:paraId="78BB50FD" w14:textId="77777777" w:rsidR="00CE676E" w:rsidRDefault="00CE676E" w:rsidP="00CE676E">
      <w:pPr>
        <w:pStyle w:val="Default"/>
        <w:spacing w:after="240"/>
        <w:ind w:left="709"/>
        <w:jc w:val="both"/>
        <w:rPr>
          <w:sz w:val="22"/>
          <w:szCs w:val="22"/>
        </w:rPr>
      </w:pPr>
    </w:p>
    <w:p w14:paraId="11058A6A" w14:textId="0B904B8E" w:rsidR="003A7EAF" w:rsidRPr="001878D7" w:rsidRDefault="003A7EAF" w:rsidP="00CE676E">
      <w:pPr>
        <w:pStyle w:val="Default"/>
        <w:spacing w:after="240"/>
        <w:ind w:left="709"/>
        <w:jc w:val="both"/>
        <w:rPr>
          <w:sz w:val="22"/>
          <w:szCs w:val="22"/>
        </w:rPr>
      </w:pPr>
      <w:r w:rsidRPr="001878D7">
        <w:rPr>
          <w:sz w:val="22"/>
          <w:szCs w:val="22"/>
        </w:rPr>
        <w:t xml:space="preserve">The </w:t>
      </w:r>
      <w:r w:rsidR="003A0522">
        <w:rPr>
          <w:sz w:val="22"/>
          <w:szCs w:val="22"/>
        </w:rPr>
        <w:t xml:space="preserve">Sub-Contractor </w:t>
      </w:r>
      <w:r w:rsidRPr="001878D7">
        <w:rPr>
          <w:sz w:val="22"/>
          <w:szCs w:val="22"/>
        </w:rPr>
        <w:t>would not be expected to see:</w:t>
      </w:r>
    </w:p>
    <w:p w14:paraId="1C9BC10D" w14:textId="519E924C" w:rsidR="003A7EAF" w:rsidRPr="001878D7" w:rsidRDefault="003A7EAF" w:rsidP="00A01256">
      <w:pPr>
        <w:pStyle w:val="Default"/>
        <w:numPr>
          <w:ilvl w:val="0"/>
          <w:numId w:val="7"/>
        </w:numPr>
        <w:ind w:left="993" w:firstLine="0"/>
        <w:jc w:val="both"/>
        <w:rPr>
          <w:sz w:val="22"/>
          <w:szCs w:val="22"/>
        </w:rPr>
      </w:pPr>
      <w:r w:rsidRPr="001878D7">
        <w:rPr>
          <w:sz w:val="22"/>
          <w:szCs w:val="22"/>
        </w:rPr>
        <w:t>Urgent patients (less tha</w:t>
      </w:r>
      <w:r w:rsidR="00526CCC">
        <w:rPr>
          <w:sz w:val="22"/>
          <w:szCs w:val="22"/>
        </w:rPr>
        <w:t>n</w:t>
      </w:r>
      <w:r w:rsidRPr="001878D7">
        <w:rPr>
          <w:sz w:val="22"/>
          <w:szCs w:val="22"/>
        </w:rPr>
        <w:t xml:space="preserve"> 4 weeks)</w:t>
      </w:r>
    </w:p>
    <w:p w14:paraId="1E49E093" w14:textId="3AF2F902" w:rsidR="003A7EAF" w:rsidRPr="001878D7" w:rsidRDefault="003A7EAF" w:rsidP="00A01256">
      <w:pPr>
        <w:pStyle w:val="Default"/>
        <w:numPr>
          <w:ilvl w:val="0"/>
          <w:numId w:val="7"/>
        </w:numPr>
        <w:ind w:left="993" w:firstLine="0"/>
        <w:jc w:val="both"/>
        <w:rPr>
          <w:sz w:val="22"/>
          <w:szCs w:val="22"/>
        </w:rPr>
      </w:pPr>
      <w:r w:rsidRPr="001878D7">
        <w:rPr>
          <w:sz w:val="22"/>
          <w:szCs w:val="22"/>
        </w:rPr>
        <w:t xml:space="preserve">Out of control pressure </w:t>
      </w:r>
      <w:r w:rsidR="008B6BA7">
        <w:rPr>
          <w:sz w:val="22"/>
          <w:szCs w:val="22"/>
        </w:rPr>
        <w:t>(</w:t>
      </w:r>
      <w:r w:rsidRPr="001878D7">
        <w:rPr>
          <w:sz w:val="22"/>
          <w:szCs w:val="22"/>
        </w:rPr>
        <w:t>over 32mmHg)</w:t>
      </w:r>
    </w:p>
    <w:p w14:paraId="13391A82" w14:textId="77777777" w:rsidR="003A7EAF" w:rsidRPr="001878D7" w:rsidRDefault="003A7EAF" w:rsidP="00A01256">
      <w:pPr>
        <w:pStyle w:val="Default"/>
        <w:numPr>
          <w:ilvl w:val="0"/>
          <w:numId w:val="7"/>
        </w:numPr>
        <w:ind w:left="993" w:firstLine="0"/>
        <w:jc w:val="both"/>
        <w:rPr>
          <w:sz w:val="22"/>
          <w:szCs w:val="22"/>
        </w:rPr>
      </w:pPr>
      <w:r w:rsidRPr="001878D7">
        <w:rPr>
          <w:sz w:val="22"/>
          <w:szCs w:val="22"/>
        </w:rPr>
        <w:t>Advanced glaucoma</w:t>
      </w:r>
    </w:p>
    <w:p w14:paraId="10BA9C0F" w14:textId="77777777" w:rsidR="003A7EAF" w:rsidRPr="001878D7" w:rsidRDefault="003A7EAF" w:rsidP="00A01256">
      <w:pPr>
        <w:pStyle w:val="Default"/>
        <w:numPr>
          <w:ilvl w:val="0"/>
          <w:numId w:val="7"/>
        </w:numPr>
        <w:ind w:left="993" w:firstLine="0"/>
        <w:jc w:val="both"/>
        <w:rPr>
          <w:sz w:val="22"/>
          <w:szCs w:val="22"/>
        </w:rPr>
      </w:pPr>
      <w:r w:rsidRPr="001878D7">
        <w:rPr>
          <w:sz w:val="22"/>
          <w:szCs w:val="22"/>
        </w:rPr>
        <w:t xml:space="preserve">Patients under the age of 18 </w:t>
      </w:r>
    </w:p>
    <w:p w14:paraId="6201B314" w14:textId="77777777" w:rsidR="003A7EAF" w:rsidRPr="001878D7" w:rsidRDefault="003A7EAF" w:rsidP="00A01256">
      <w:pPr>
        <w:pStyle w:val="Default"/>
        <w:numPr>
          <w:ilvl w:val="0"/>
          <w:numId w:val="7"/>
        </w:numPr>
        <w:ind w:left="993" w:firstLine="0"/>
        <w:jc w:val="both"/>
        <w:rPr>
          <w:sz w:val="22"/>
          <w:szCs w:val="22"/>
        </w:rPr>
      </w:pPr>
      <w:r w:rsidRPr="001878D7">
        <w:rPr>
          <w:sz w:val="22"/>
          <w:szCs w:val="22"/>
        </w:rPr>
        <w:t xml:space="preserve">Suspected cancers </w:t>
      </w:r>
    </w:p>
    <w:p w14:paraId="763FF8FA" w14:textId="77777777" w:rsidR="003A7EAF" w:rsidRPr="001878D7" w:rsidRDefault="003A7EAF" w:rsidP="00A01256">
      <w:pPr>
        <w:pStyle w:val="Default"/>
        <w:numPr>
          <w:ilvl w:val="0"/>
          <w:numId w:val="7"/>
        </w:numPr>
        <w:ind w:left="993" w:firstLine="0"/>
        <w:jc w:val="both"/>
        <w:rPr>
          <w:sz w:val="22"/>
          <w:szCs w:val="22"/>
        </w:rPr>
      </w:pPr>
      <w:r w:rsidRPr="001878D7">
        <w:rPr>
          <w:sz w:val="22"/>
          <w:szCs w:val="22"/>
        </w:rPr>
        <w:t>Patients requiring surgical treatment</w:t>
      </w:r>
    </w:p>
    <w:p w14:paraId="3024191A" w14:textId="77777777" w:rsidR="00CE676E" w:rsidRDefault="00CE676E" w:rsidP="00CE676E">
      <w:pPr>
        <w:pStyle w:val="Default"/>
        <w:spacing w:after="240"/>
        <w:ind w:left="709"/>
        <w:jc w:val="both"/>
        <w:rPr>
          <w:sz w:val="22"/>
          <w:szCs w:val="22"/>
        </w:rPr>
      </w:pPr>
    </w:p>
    <w:p w14:paraId="14E5C4ED" w14:textId="77777777" w:rsidR="00047E83" w:rsidRPr="001878D7" w:rsidRDefault="00047E83" w:rsidP="00CE676E">
      <w:pPr>
        <w:pStyle w:val="Default"/>
        <w:spacing w:after="240"/>
        <w:ind w:left="709"/>
        <w:jc w:val="both"/>
        <w:rPr>
          <w:sz w:val="22"/>
          <w:szCs w:val="22"/>
        </w:rPr>
      </w:pPr>
      <w:r w:rsidRPr="001878D7">
        <w:rPr>
          <w:sz w:val="22"/>
          <w:szCs w:val="22"/>
        </w:rPr>
        <w:t xml:space="preserve">The outcome of referral </w:t>
      </w:r>
      <w:r w:rsidR="000717DD" w:rsidRPr="001878D7">
        <w:rPr>
          <w:sz w:val="22"/>
          <w:szCs w:val="22"/>
        </w:rPr>
        <w:t xml:space="preserve">stage </w:t>
      </w:r>
      <w:r w:rsidRPr="001878D7">
        <w:rPr>
          <w:sz w:val="22"/>
          <w:szCs w:val="22"/>
        </w:rPr>
        <w:t xml:space="preserve">will be: </w:t>
      </w:r>
    </w:p>
    <w:p w14:paraId="6BA94407" w14:textId="658566F0" w:rsidR="00047E83" w:rsidRPr="001878D7" w:rsidRDefault="004A59CA" w:rsidP="004A59CA">
      <w:pPr>
        <w:pStyle w:val="Heading3"/>
      </w:pPr>
      <w:bookmarkStart w:id="6" w:name="_Toc476153197"/>
      <w:r>
        <w:t>Stage 2: Triage</w:t>
      </w:r>
      <w:bookmarkEnd w:id="6"/>
    </w:p>
    <w:p w14:paraId="0CF6ACE8" w14:textId="11EEAE04" w:rsidR="00047E83" w:rsidRPr="001878D7" w:rsidRDefault="00047E83" w:rsidP="00CE676E">
      <w:pPr>
        <w:pStyle w:val="Default"/>
        <w:spacing w:after="240"/>
        <w:ind w:left="709"/>
        <w:jc w:val="both"/>
        <w:rPr>
          <w:sz w:val="22"/>
          <w:szCs w:val="22"/>
        </w:rPr>
      </w:pPr>
      <w:r w:rsidRPr="001878D7">
        <w:rPr>
          <w:sz w:val="22"/>
          <w:szCs w:val="22"/>
        </w:rPr>
        <w:t xml:space="preserve">On receipt of the referral the </w:t>
      </w:r>
      <w:r w:rsidR="008B6BA7">
        <w:rPr>
          <w:sz w:val="22"/>
          <w:szCs w:val="22"/>
        </w:rPr>
        <w:t>Sub-Contractor</w:t>
      </w:r>
      <w:r w:rsidRPr="001878D7">
        <w:rPr>
          <w:sz w:val="22"/>
          <w:szCs w:val="22"/>
        </w:rPr>
        <w:t xml:space="preserve"> will be expected to undertake triage to assess clinical appropriateness and to enable the referral to be shortlisted to the relevant </w:t>
      </w:r>
      <w:r w:rsidR="000717DD" w:rsidRPr="001878D7">
        <w:rPr>
          <w:sz w:val="22"/>
          <w:szCs w:val="22"/>
        </w:rPr>
        <w:t>clinician</w:t>
      </w:r>
      <w:r w:rsidRPr="001878D7">
        <w:rPr>
          <w:sz w:val="22"/>
          <w:szCs w:val="22"/>
        </w:rPr>
        <w:t xml:space="preserve">. The referral must undergo an initial triage by the receiving provider within </w:t>
      </w:r>
      <w:r w:rsidR="00DD3030" w:rsidRPr="001878D7">
        <w:rPr>
          <w:sz w:val="22"/>
          <w:szCs w:val="22"/>
        </w:rPr>
        <w:t>2</w:t>
      </w:r>
      <w:r w:rsidRPr="001878D7">
        <w:rPr>
          <w:sz w:val="22"/>
          <w:szCs w:val="22"/>
        </w:rPr>
        <w:t xml:space="preserve"> working day</w:t>
      </w:r>
      <w:r w:rsidR="00DD3030" w:rsidRPr="001878D7">
        <w:rPr>
          <w:sz w:val="22"/>
          <w:szCs w:val="22"/>
        </w:rPr>
        <w:t>s</w:t>
      </w:r>
      <w:r w:rsidRPr="001878D7">
        <w:rPr>
          <w:sz w:val="22"/>
          <w:szCs w:val="22"/>
        </w:rPr>
        <w:t xml:space="preserve"> from receipt of referral</w:t>
      </w:r>
      <w:r w:rsidR="00A00AA9">
        <w:rPr>
          <w:sz w:val="22"/>
          <w:szCs w:val="22"/>
        </w:rPr>
        <w:t xml:space="preserve"> and the Sub-Contractor</w:t>
      </w:r>
      <w:r w:rsidR="003723F0" w:rsidRPr="001878D7">
        <w:rPr>
          <w:sz w:val="22"/>
          <w:szCs w:val="22"/>
        </w:rPr>
        <w:t xml:space="preserve"> must contact </w:t>
      </w:r>
      <w:r w:rsidR="003723F0" w:rsidRPr="001878D7">
        <w:rPr>
          <w:sz w:val="22"/>
          <w:szCs w:val="22"/>
        </w:rPr>
        <w:lastRenderedPageBreak/>
        <w:t>the patient within 5 working days of receiving the referral to book the patient’s first appointment</w:t>
      </w:r>
      <w:r w:rsidR="00A00AA9">
        <w:rPr>
          <w:sz w:val="22"/>
          <w:szCs w:val="22"/>
        </w:rPr>
        <w:t xml:space="preserve">. </w:t>
      </w:r>
      <w:r w:rsidRPr="001878D7">
        <w:rPr>
          <w:sz w:val="22"/>
          <w:szCs w:val="22"/>
        </w:rPr>
        <w:t xml:space="preserve">The </w:t>
      </w:r>
      <w:r w:rsidR="003A0522">
        <w:rPr>
          <w:sz w:val="22"/>
          <w:szCs w:val="22"/>
        </w:rPr>
        <w:t xml:space="preserve">Sub-Contractor </w:t>
      </w:r>
      <w:r w:rsidRPr="001878D7">
        <w:rPr>
          <w:sz w:val="22"/>
          <w:szCs w:val="22"/>
        </w:rPr>
        <w:t>must ensure that a telephone service is in place for patients to ring an</w:t>
      </w:r>
      <w:r w:rsidR="00A00AA9">
        <w:rPr>
          <w:sz w:val="22"/>
          <w:szCs w:val="22"/>
        </w:rPr>
        <w:t>d book the relevant appointment.</w:t>
      </w:r>
    </w:p>
    <w:p w14:paraId="27F4518B" w14:textId="77777777" w:rsidR="00047E83" w:rsidRPr="001878D7" w:rsidRDefault="00EE1EAC" w:rsidP="00CE676E">
      <w:pPr>
        <w:pStyle w:val="Default"/>
        <w:spacing w:after="240"/>
        <w:ind w:left="709"/>
        <w:jc w:val="both"/>
        <w:rPr>
          <w:sz w:val="22"/>
          <w:szCs w:val="22"/>
        </w:rPr>
      </w:pPr>
      <w:r w:rsidRPr="001878D7">
        <w:rPr>
          <w:sz w:val="22"/>
          <w:szCs w:val="22"/>
        </w:rPr>
        <w:t>The main outcome</w:t>
      </w:r>
      <w:r w:rsidR="00047E83" w:rsidRPr="001878D7">
        <w:rPr>
          <w:sz w:val="22"/>
          <w:szCs w:val="22"/>
        </w:rPr>
        <w:t xml:space="preserve"> of triage will </w:t>
      </w:r>
      <w:r w:rsidRPr="001878D7">
        <w:rPr>
          <w:sz w:val="22"/>
          <w:szCs w:val="22"/>
        </w:rPr>
        <w:t>be</w:t>
      </w:r>
      <w:r w:rsidR="00047E83" w:rsidRPr="001878D7">
        <w:rPr>
          <w:sz w:val="22"/>
          <w:szCs w:val="22"/>
        </w:rPr>
        <w:t xml:space="preserve">: </w:t>
      </w:r>
    </w:p>
    <w:p w14:paraId="222C968A" w14:textId="0B220FF2" w:rsidR="00047E83" w:rsidRPr="001878D7" w:rsidRDefault="004A59CA" w:rsidP="004A59CA">
      <w:pPr>
        <w:pStyle w:val="Heading3"/>
      </w:pPr>
      <w:bookmarkStart w:id="7" w:name="_Toc476153198"/>
      <w:r>
        <w:t>Stage 3: Clinical Assessment</w:t>
      </w:r>
      <w:bookmarkEnd w:id="7"/>
    </w:p>
    <w:p w14:paraId="170AD716" w14:textId="43966E67" w:rsidR="00EE1EAC" w:rsidRPr="001878D7" w:rsidRDefault="00047E83" w:rsidP="00CE676E">
      <w:pPr>
        <w:pStyle w:val="Default"/>
        <w:spacing w:after="240"/>
        <w:ind w:left="709"/>
        <w:jc w:val="both"/>
        <w:rPr>
          <w:sz w:val="22"/>
          <w:szCs w:val="22"/>
        </w:rPr>
      </w:pPr>
      <w:r w:rsidRPr="001878D7">
        <w:rPr>
          <w:sz w:val="22"/>
          <w:szCs w:val="22"/>
        </w:rPr>
        <w:t xml:space="preserve">Clinical assessment requires a face-to-face meeting between the patient and an appropriately accredited healthcare professional at which an assessment of the patient’s condition is undertaken. This stage should occur as soon </w:t>
      </w:r>
      <w:r w:rsidR="0012276D" w:rsidRPr="001878D7">
        <w:rPr>
          <w:sz w:val="22"/>
          <w:szCs w:val="22"/>
        </w:rPr>
        <w:t>as practicable following triage</w:t>
      </w:r>
      <w:r w:rsidR="005B2FE6" w:rsidRPr="001878D7">
        <w:rPr>
          <w:sz w:val="22"/>
          <w:szCs w:val="22"/>
        </w:rPr>
        <w:t>. The first appoin</w:t>
      </w:r>
      <w:r w:rsidR="00A00AA9">
        <w:rPr>
          <w:sz w:val="22"/>
          <w:szCs w:val="22"/>
        </w:rPr>
        <w:t>tment should take place within 6</w:t>
      </w:r>
      <w:r w:rsidR="004614FE">
        <w:rPr>
          <w:sz w:val="22"/>
          <w:szCs w:val="22"/>
        </w:rPr>
        <w:t xml:space="preserve"> weeks of the referral date from UHBFT.</w:t>
      </w:r>
    </w:p>
    <w:p w14:paraId="502BC918" w14:textId="77777777" w:rsidR="00047E83" w:rsidRPr="001878D7" w:rsidRDefault="00047E83" w:rsidP="00CE676E">
      <w:pPr>
        <w:pStyle w:val="Default"/>
        <w:spacing w:after="240"/>
        <w:ind w:left="709"/>
        <w:jc w:val="both"/>
        <w:rPr>
          <w:sz w:val="22"/>
          <w:szCs w:val="22"/>
        </w:rPr>
      </w:pPr>
      <w:r w:rsidRPr="001878D7">
        <w:rPr>
          <w:sz w:val="22"/>
          <w:szCs w:val="22"/>
        </w:rPr>
        <w:t>Clinical assessment in this context may also include</w:t>
      </w:r>
      <w:r w:rsidR="00EE1EAC" w:rsidRPr="001878D7">
        <w:rPr>
          <w:sz w:val="22"/>
          <w:szCs w:val="22"/>
        </w:rPr>
        <w:t>:</w:t>
      </w:r>
      <w:r w:rsidRPr="001878D7">
        <w:rPr>
          <w:sz w:val="22"/>
          <w:szCs w:val="22"/>
        </w:rPr>
        <w:t xml:space="preserve"> </w:t>
      </w:r>
    </w:p>
    <w:p w14:paraId="3ACE7D67" w14:textId="77777777" w:rsidR="00EE1EAC" w:rsidRPr="001878D7" w:rsidRDefault="00047E83" w:rsidP="00A01256">
      <w:pPr>
        <w:pStyle w:val="Default"/>
        <w:numPr>
          <w:ilvl w:val="0"/>
          <w:numId w:val="13"/>
        </w:numPr>
        <w:ind w:left="1418"/>
        <w:jc w:val="both"/>
        <w:rPr>
          <w:sz w:val="22"/>
          <w:szCs w:val="22"/>
        </w:rPr>
      </w:pPr>
      <w:r w:rsidRPr="001878D7">
        <w:rPr>
          <w:sz w:val="22"/>
          <w:szCs w:val="22"/>
        </w:rPr>
        <w:t xml:space="preserve">Appropriate diagnostic tests </w:t>
      </w:r>
    </w:p>
    <w:p w14:paraId="1EADB089" w14:textId="77777777" w:rsidR="00EE1EAC" w:rsidRPr="001878D7" w:rsidRDefault="00047E83" w:rsidP="00A01256">
      <w:pPr>
        <w:pStyle w:val="Default"/>
        <w:numPr>
          <w:ilvl w:val="0"/>
          <w:numId w:val="13"/>
        </w:numPr>
        <w:ind w:left="1418"/>
        <w:jc w:val="both"/>
        <w:rPr>
          <w:sz w:val="22"/>
          <w:szCs w:val="22"/>
        </w:rPr>
      </w:pPr>
      <w:r w:rsidRPr="001878D7">
        <w:rPr>
          <w:sz w:val="22"/>
          <w:szCs w:val="22"/>
        </w:rPr>
        <w:t xml:space="preserve">Patient counselling </w:t>
      </w:r>
    </w:p>
    <w:p w14:paraId="09BAB936" w14:textId="77777777" w:rsidR="00EE1EAC" w:rsidRPr="001878D7" w:rsidRDefault="00047E83" w:rsidP="00A01256">
      <w:pPr>
        <w:pStyle w:val="Default"/>
        <w:numPr>
          <w:ilvl w:val="0"/>
          <w:numId w:val="13"/>
        </w:numPr>
        <w:ind w:left="1418"/>
        <w:jc w:val="both"/>
        <w:rPr>
          <w:sz w:val="22"/>
          <w:szCs w:val="22"/>
        </w:rPr>
      </w:pPr>
      <w:r w:rsidRPr="001878D7">
        <w:rPr>
          <w:sz w:val="22"/>
          <w:szCs w:val="22"/>
        </w:rPr>
        <w:t xml:space="preserve">Treatments and therapies </w:t>
      </w:r>
    </w:p>
    <w:p w14:paraId="5B601239" w14:textId="77777777" w:rsidR="00047E83" w:rsidRDefault="00047E83" w:rsidP="00A01256">
      <w:pPr>
        <w:pStyle w:val="Default"/>
        <w:numPr>
          <w:ilvl w:val="0"/>
          <w:numId w:val="13"/>
        </w:numPr>
        <w:ind w:left="1418"/>
        <w:jc w:val="both"/>
        <w:rPr>
          <w:sz w:val="22"/>
          <w:szCs w:val="22"/>
        </w:rPr>
      </w:pPr>
      <w:r w:rsidRPr="001878D7">
        <w:rPr>
          <w:sz w:val="22"/>
          <w:szCs w:val="22"/>
        </w:rPr>
        <w:t xml:space="preserve">Re-assessment following service treatment </w:t>
      </w:r>
    </w:p>
    <w:p w14:paraId="49D51CF5" w14:textId="77777777" w:rsidR="00CE676E" w:rsidRPr="001878D7" w:rsidRDefault="00CE676E" w:rsidP="00CE676E">
      <w:pPr>
        <w:pStyle w:val="Default"/>
        <w:ind w:left="709"/>
        <w:jc w:val="both"/>
        <w:rPr>
          <w:sz w:val="22"/>
          <w:szCs w:val="22"/>
        </w:rPr>
      </w:pPr>
    </w:p>
    <w:p w14:paraId="3CBE7142" w14:textId="05A2D5AF" w:rsidR="00047E83" w:rsidRPr="001878D7" w:rsidRDefault="00EE1EAC" w:rsidP="00CE676E">
      <w:pPr>
        <w:pStyle w:val="Default"/>
        <w:spacing w:after="240"/>
        <w:ind w:left="709"/>
        <w:jc w:val="both"/>
        <w:rPr>
          <w:sz w:val="22"/>
          <w:szCs w:val="22"/>
        </w:rPr>
      </w:pPr>
      <w:r w:rsidRPr="001878D7">
        <w:rPr>
          <w:sz w:val="22"/>
          <w:szCs w:val="22"/>
        </w:rPr>
        <w:t xml:space="preserve">The </w:t>
      </w:r>
      <w:r w:rsidR="003A0522">
        <w:rPr>
          <w:sz w:val="22"/>
          <w:szCs w:val="22"/>
        </w:rPr>
        <w:t xml:space="preserve">Sub-Contractor </w:t>
      </w:r>
      <w:r w:rsidRPr="001878D7">
        <w:rPr>
          <w:sz w:val="22"/>
          <w:szCs w:val="22"/>
        </w:rPr>
        <w:t xml:space="preserve">will contact patients to arrange the </w:t>
      </w:r>
      <w:r w:rsidR="00047E83" w:rsidRPr="001878D7">
        <w:rPr>
          <w:sz w:val="22"/>
          <w:szCs w:val="22"/>
        </w:rPr>
        <w:t xml:space="preserve">clinical assessment </w:t>
      </w:r>
      <w:r w:rsidRPr="001878D7">
        <w:rPr>
          <w:sz w:val="22"/>
          <w:szCs w:val="22"/>
        </w:rPr>
        <w:t xml:space="preserve">appointments. </w:t>
      </w:r>
      <w:r w:rsidR="00047E83" w:rsidRPr="001878D7">
        <w:rPr>
          <w:sz w:val="22"/>
          <w:szCs w:val="22"/>
        </w:rPr>
        <w:t xml:space="preserve">The outcome of assessment must be recorded </w:t>
      </w:r>
      <w:r w:rsidRPr="001878D7">
        <w:rPr>
          <w:sz w:val="22"/>
          <w:szCs w:val="22"/>
        </w:rPr>
        <w:t xml:space="preserve">as part of the </w:t>
      </w:r>
      <w:r w:rsidR="00A00AA9">
        <w:rPr>
          <w:sz w:val="22"/>
          <w:szCs w:val="22"/>
        </w:rPr>
        <w:t>Sub-Contractor’s</w:t>
      </w:r>
      <w:r w:rsidR="000E574C" w:rsidRPr="001878D7">
        <w:rPr>
          <w:sz w:val="22"/>
          <w:szCs w:val="22"/>
        </w:rPr>
        <w:t xml:space="preserve"> monthly dataset submission.</w:t>
      </w:r>
    </w:p>
    <w:p w14:paraId="6CC9A196" w14:textId="52EC6042" w:rsidR="00642C6D" w:rsidRPr="001878D7" w:rsidRDefault="000E574C" w:rsidP="00CE676E">
      <w:pPr>
        <w:pStyle w:val="Default"/>
        <w:spacing w:after="240"/>
        <w:ind w:left="709"/>
        <w:jc w:val="both"/>
        <w:rPr>
          <w:sz w:val="22"/>
          <w:szCs w:val="22"/>
        </w:rPr>
      </w:pPr>
      <w:r w:rsidRPr="001878D7">
        <w:rPr>
          <w:sz w:val="22"/>
          <w:szCs w:val="22"/>
        </w:rPr>
        <w:t xml:space="preserve">It is expected that the </w:t>
      </w:r>
      <w:r w:rsidR="003A0522">
        <w:rPr>
          <w:sz w:val="22"/>
          <w:szCs w:val="22"/>
        </w:rPr>
        <w:t xml:space="preserve">Sub-Contractor </w:t>
      </w:r>
      <w:r w:rsidR="00642C6D" w:rsidRPr="001878D7">
        <w:rPr>
          <w:sz w:val="22"/>
          <w:szCs w:val="22"/>
        </w:rPr>
        <w:t>communicate</w:t>
      </w:r>
      <w:r w:rsidRPr="001878D7">
        <w:rPr>
          <w:sz w:val="22"/>
          <w:szCs w:val="22"/>
        </w:rPr>
        <w:t xml:space="preserve"> with the patient’s </w:t>
      </w:r>
      <w:r w:rsidR="00453D5A" w:rsidRPr="001878D7">
        <w:rPr>
          <w:sz w:val="22"/>
          <w:szCs w:val="22"/>
        </w:rPr>
        <w:t>referrer</w:t>
      </w:r>
      <w:r w:rsidRPr="001878D7">
        <w:rPr>
          <w:sz w:val="22"/>
          <w:szCs w:val="22"/>
        </w:rPr>
        <w:t xml:space="preserve"> directly </w:t>
      </w:r>
      <w:r w:rsidR="00642C6D" w:rsidRPr="001878D7">
        <w:rPr>
          <w:sz w:val="22"/>
          <w:szCs w:val="22"/>
        </w:rPr>
        <w:t xml:space="preserve">via letter </w:t>
      </w:r>
      <w:r w:rsidRPr="001878D7">
        <w:rPr>
          <w:sz w:val="22"/>
          <w:szCs w:val="22"/>
        </w:rPr>
        <w:t xml:space="preserve">regarding the patient’s care after each </w:t>
      </w:r>
      <w:r w:rsidR="00642C6D" w:rsidRPr="001878D7">
        <w:rPr>
          <w:sz w:val="22"/>
          <w:szCs w:val="22"/>
        </w:rPr>
        <w:t xml:space="preserve">visit. It is expected that the communication contains an account of any clinical assessments, diagnostic tests, treatment plan, treatments carried out and outcomes from the service. The aim is that this information should be received by the referring clinician no later than 10 working days from the patient’s visit. </w:t>
      </w:r>
      <w:r w:rsidR="00A00AA9">
        <w:rPr>
          <w:sz w:val="22"/>
          <w:szCs w:val="22"/>
        </w:rPr>
        <w:t xml:space="preserve">The Sub-Contractor must comply with Clinical Documentation and Generic Record Standards as set out by the </w:t>
      </w:r>
      <w:r w:rsidR="00A00AA9" w:rsidRPr="00A00AA9">
        <w:rPr>
          <w:sz w:val="22"/>
          <w:szCs w:val="22"/>
        </w:rPr>
        <w:t>Health and Social Care Information Centre (HSCIC).</w:t>
      </w:r>
      <w:r w:rsidR="00A00AA9">
        <w:rPr>
          <w:sz w:val="22"/>
          <w:szCs w:val="22"/>
        </w:rPr>
        <w:t xml:space="preserve"> The outcome of each patient attendance will be required as part of the monthly dataset submission. </w:t>
      </w:r>
    </w:p>
    <w:p w14:paraId="3FF25887" w14:textId="77777777" w:rsidR="00047E83" w:rsidRPr="001878D7" w:rsidRDefault="00047E83" w:rsidP="00CE676E">
      <w:pPr>
        <w:pStyle w:val="Default"/>
        <w:spacing w:after="240"/>
        <w:ind w:left="709"/>
        <w:jc w:val="both"/>
        <w:rPr>
          <w:sz w:val="22"/>
          <w:szCs w:val="22"/>
        </w:rPr>
      </w:pPr>
      <w:r w:rsidRPr="001878D7">
        <w:rPr>
          <w:sz w:val="22"/>
          <w:szCs w:val="22"/>
        </w:rPr>
        <w:t xml:space="preserve">The main outcomes of clinical assessment will be any or all of these activities: </w:t>
      </w:r>
    </w:p>
    <w:p w14:paraId="3D27A307" w14:textId="77777777" w:rsidR="00526CCC" w:rsidRDefault="00047E83" w:rsidP="00A01256">
      <w:pPr>
        <w:pStyle w:val="Default"/>
        <w:numPr>
          <w:ilvl w:val="0"/>
          <w:numId w:val="14"/>
        </w:numPr>
        <w:jc w:val="both"/>
        <w:rPr>
          <w:sz w:val="22"/>
          <w:szCs w:val="22"/>
        </w:rPr>
      </w:pPr>
      <w:r w:rsidRPr="00526CCC">
        <w:rPr>
          <w:sz w:val="22"/>
          <w:szCs w:val="22"/>
        </w:rPr>
        <w:t xml:space="preserve">Stage 4 – Diagnostics </w:t>
      </w:r>
    </w:p>
    <w:p w14:paraId="26C91304" w14:textId="34A6143E" w:rsidR="00EE1EAC" w:rsidRPr="00526CCC" w:rsidRDefault="00EE1EAC" w:rsidP="00A01256">
      <w:pPr>
        <w:pStyle w:val="Default"/>
        <w:numPr>
          <w:ilvl w:val="0"/>
          <w:numId w:val="14"/>
        </w:numPr>
        <w:jc w:val="both"/>
        <w:rPr>
          <w:sz w:val="22"/>
          <w:szCs w:val="22"/>
        </w:rPr>
      </w:pPr>
      <w:r w:rsidRPr="00526CCC">
        <w:rPr>
          <w:sz w:val="22"/>
          <w:szCs w:val="22"/>
        </w:rPr>
        <w:t xml:space="preserve">Stage 5 – </w:t>
      </w:r>
      <w:r w:rsidR="005B2FE6" w:rsidRPr="00526CCC">
        <w:rPr>
          <w:sz w:val="22"/>
          <w:szCs w:val="22"/>
        </w:rPr>
        <w:t>S</w:t>
      </w:r>
      <w:r w:rsidRPr="00526CCC">
        <w:rPr>
          <w:sz w:val="22"/>
          <w:szCs w:val="22"/>
        </w:rPr>
        <w:t xml:space="preserve">ervice treatment </w:t>
      </w:r>
    </w:p>
    <w:p w14:paraId="0AEB5A72" w14:textId="77777777" w:rsidR="00EE1EAC" w:rsidRPr="00CE676E" w:rsidRDefault="00047E83" w:rsidP="00A01256">
      <w:pPr>
        <w:pStyle w:val="ListParagraph"/>
        <w:numPr>
          <w:ilvl w:val="0"/>
          <w:numId w:val="14"/>
        </w:numPr>
        <w:spacing w:after="0" w:line="240" w:lineRule="auto"/>
        <w:jc w:val="both"/>
        <w:rPr>
          <w:rFonts w:ascii="Arial" w:hAnsi="Arial" w:cs="Arial"/>
        </w:rPr>
      </w:pPr>
      <w:r w:rsidRPr="00CE676E">
        <w:rPr>
          <w:rFonts w:ascii="Arial" w:hAnsi="Arial" w:cs="Arial"/>
          <w:color w:val="000000"/>
        </w:rPr>
        <w:t xml:space="preserve">Stage 6 – Onward referral </w:t>
      </w:r>
    </w:p>
    <w:p w14:paraId="01F980AA" w14:textId="77777777" w:rsidR="00047E83" w:rsidRPr="00CE676E" w:rsidRDefault="00047E83" w:rsidP="00A01256">
      <w:pPr>
        <w:pStyle w:val="ListParagraph"/>
        <w:numPr>
          <w:ilvl w:val="0"/>
          <w:numId w:val="14"/>
        </w:numPr>
        <w:spacing w:after="0" w:line="240" w:lineRule="auto"/>
        <w:jc w:val="both"/>
        <w:rPr>
          <w:rFonts w:ascii="Arial" w:hAnsi="Arial" w:cs="Arial"/>
        </w:rPr>
      </w:pPr>
      <w:r w:rsidRPr="00CE676E">
        <w:rPr>
          <w:rFonts w:ascii="Arial" w:hAnsi="Arial" w:cs="Arial"/>
          <w:color w:val="000000"/>
        </w:rPr>
        <w:t xml:space="preserve">Stage 7 – Discharge to referring clinician </w:t>
      </w:r>
    </w:p>
    <w:p w14:paraId="62635A0D" w14:textId="77777777" w:rsidR="00526CCC" w:rsidRPr="001878D7" w:rsidRDefault="00526CCC" w:rsidP="00CE676E">
      <w:pPr>
        <w:autoSpaceDE w:val="0"/>
        <w:autoSpaceDN w:val="0"/>
        <w:adjustRightInd w:val="0"/>
        <w:spacing w:after="240" w:line="240" w:lineRule="auto"/>
        <w:ind w:left="709"/>
        <w:jc w:val="both"/>
        <w:rPr>
          <w:rFonts w:ascii="Arial" w:hAnsi="Arial" w:cs="Arial"/>
          <w:b/>
          <w:bCs/>
          <w:color w:val="000000"/>
        </w:rPr>
      </w:pPr>
    </w:p>
    <w:p w14:paraId="61BA3779" w14:textId="54B96BFD" w:rsidR="00047E83" w:rsidRPr="001878D7" w:rsidRDefault="004A59CA" w:rsidP="004A59CA">
      <w:pPr>
        <w:pStyle w:val="Heading3"/>
      </w:pPr>
      <w:bookmarkStart w:id="8" w:name="_Toc476153199"/>
      <w:r>
        <w:t>Stage 4: Diagnostics</w:t>
      </w:r>
      <w:bookmarkEnd w:id="8"/>
    </w:p>
    <w:p w14:paraId="4DC69E8C" w14:textId="1086F184" w:rsidR="00047E83" w:rsidRPr="001878D7"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The term ‘diagnostics’ refers to any investigative tests carried out to aid and support the identification and extent of the patient’s condition. All first line diagnostics in this</w:t>
      </w:r>
      <w:r w:rsidR="00EE1EAC" w:rsidRPr="001878D7">
        <w:rPr>
          <w:rFonts w:ascii="Arial" w:hAnsi="Arial" w:cs="Arial"/>
          <w:color w:val="000000"/>
        </w:rPr>
        <w:t xml:space="preserve"> service must be delivered by </w:t>
      </w:r>
      <w:r w:rsidR="003A0522" w:rsidRPr="001878D7">
        <w:rPr>
          <w:rFonts w:ascii="Arial" w:hAnsi="Arial" w:cs="Arial"/>
          <w:color w:val="000000"/>
        </w:rPr>
        <w:t>the Sub</w:t>
      </w:r>
      <w:r w:rsidR="003A0522">
        <w:rPr>
          <w:rFonts w:ascii="Arial" w:hAnsi="Arial" w:cs="Arial"/>
          <w:color w:val="000000"/>
        </w:rPr>
        <w:t>-Contractor</w:t>
      </w:r>
      <w:r w:rsidRPr="001878D7">
        <w:rPr>
          <w:rFonts w:ascii="Arial" w:hAnsi="Arial" w:cs="Arial"/>
          <w:color w:val="000000"/>
        </w:rPr>
        <w:t xml:space="preserve">. First line diagnostics should be carried out at the </w:t>
      </w:r>
      <w:r w:rsidR="00A00AA9">
        <w:rPr>
          <w:rFonts w:ascii="Arial" w:hAnsi="Arial" w:cs="Arial"/>
          <w:color w:val="000000"/>
        </w:rPr>
        <w:t xml:space="preserve">time of the clinical assessment. Patient’s requiring </w:t>
      </w:r>
      <w:r w:rsidR="00EE1EAC" w:rsidRPr="001878D7">
        <w:rPr>
          <w:rFonts w:ascii="Arial" w:hAnsi="Arial" w:cs="Arial"/>
          <w:color w:val="000000"/>
        </w:rPr>
        <w:t>s</w:t>
      </w:r>
      <w:r w:rsidRPr="001878D7">
        <w:rPr>
          <w:rFonts w:ascii="Arial" w:hAnsi="Arial" w:cs="Arial"/>
          <w:color w:val="000000"/>
        </w:rPr>
        <w:t>econd line diagnostics</w:t>
      </w:r>
      <w:r w:rsidR="00A00AA9">
        <w:rPr>
          <w:rFonts w:ascii="Arial" w:hAnsi="Arial" w:cs="Arial"/>
          <w:color w:val="000000"/>
        </w:rPr>
        <w:t xml:space="preserve"> (for example CT or MRI) should be referred on to the patient’s closest suitable provider of their choice for further assessment.</w:t>
      </w:r>
    </w:p>
    <w:p w14:paraId="133F42A8" w14:textId="65D68AE8" w:rsidR="00047E83"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A range of diagnostic tests of varying complexity and availability will be required to support clinical assessment and its outcome. It is expected that these tests will be available at the time of clinical assessment to achieve the aims of a ‘one stop shop’ </w:t>
      </w:r>
      <w:r w:rsidRPr="001878D7">
        <w:rPr>
          <w:rFonts w:ascii="Arial" w:hAnsi="Arial" w:cs="Arial"/>
          <w:color w:val="000000"/>
        </w:rPr>
        <w:lastRenderedPageBreak/>
        <w:t xml:space="preserve">approach. Such tests are described as first line diagnostics as defined in the individual care pathways. </w:t>
      </w:r>
    </w:p>
    <w:p w14:paraId="2AC18B05" w14:textId="4F5AAC68" w:rsidR="00CE676E" w:rsidRPr="001878D7" w:rsidRDefault="00CE676E" w:rsidP="00CE676E">
      <w:pPr>
        <w:autoSpaceDE w:val="0"/>
        <w:autoSpaceDN w:val="0"/>
        <w:adjustRightInd w:val="0"/>
        <w:spacing w:after="240" w:line="240" w:lineRule="auto"/>
        <w:ind w:left="709"/>
        <w:jc w:val="both"/>
        <w:rPr>
          <w:rFonts w:ascii="Arial" w:hAnsi="Arial" w:cs="Arial"/>
          <w:color w:val="000000"/>
        </w:rPr>
      </w:pPr>
      <w:r>
        <w:rPr>
          <w:rFonts w:ascii="Arial" w:hAnsi="Arial" w:cs="Arial"/>
          <w:color w:val="000000"/>
        </w:rPr>
        <w:t xml:space="preserve">All equipment </w:t>
      </w:r>
      <w:r w:rsidR="0029714B">
        <w:rPr>
          <w:rFonts w:ascii="Arial" w:hAnsi="Arial" w:cs="Arial"/>
          <w:color w:val="000000"/>
        </w:rPr>
        <w:t xml:space="preserve">must be clean, secure, suitable, properly used and </w:t>
      </w:r>
      <w:r>
        <w:rPr>
          <w:rFonts w:ascii="Arial" w:hAnsi="Arial" w:cs="Arial"/>
          <w:color w:val="000000"/>
        </w:rPr>
        <w:t>should be maintained in accordance with the manufacture</w:t>
      </w:r>
      <w:r w:rsidR="00727686">
        <w:rPr>
          <w:rFonts w:ascii="Arial" w:hAnsi="Arial" w:cs="Arial"/>
          <w:color w:val="000000"/>
        </w:rPr>
        <w:t>r</w:t>
      </w:r>
      <w:r>
        <w:rPr>
          <w:rFonts w:ascii="Arial" w:hAnsi="Arial" w:cs="Arial"/>
          <w:color w:val="000000"/>
        </w:rPr>
        <w:t>’s requirements.</w:t>
      </w:r>
      <w:r w:rsidR="0029714B">
        <w:rPr>
          <w:rFonts w:ascii="Arial" w:hAnsi="Arial" w:cs="Arial"/>
          <w:color w:val="000000"/>
        </w:rPr>
        <w:t xml:space="preserve"> All Sub-Contractor staff must have received appropriate and adequate training in use of the equipment.</w:t>
      </w:r>
    </w:p>
    <w:p w14:paraId="2778C887" w14:textId="2D6C1F2E" w:rsidR="00047E83" w:rsidRPr="001878D7"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Diagnostics to support the service are shown </w:t>
      </w:r>
      <w:r w:rsidR="00CD37D3">
        <w:rPr>
          <w:rFonts w:ascii="Arial" w:hAnsi="Arial" w:cs="Arial"/>
          <w:color w:val="000000"/>
        </w:rPr>
        <w:t>below</w:t>
      </w:r>
      <w:r w:rsidRPr="001878D7">
        <w:rPr>
          <w:rFonts w:ascii="Arial" w:hAnsi="Arial" w:cs="Arial"/>
          <w:color w:val="000000"/>
        </w:rPr>
        <w:t xml:space="preserve">. This is not an exhaustive list and is intended as a guide to inform the modelling of the service. </w:t>
      </w:r>
    </w:p>
    <w:p w14:paraId="60083457" w14:textId="35CCE74A"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Slit lamp</w:t>
      </w:r>
    </w:p>
    <w:p w14:paraId="7F13BEA3" w14:textId="3B5DAB95" w:rsidR="00BE61CE"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Slit lamp</w:t>
      </w:r>
      <w:r w:rsidR="00CD37D3">
        <w:rPr>
          <w:rFonts w:ascii="Arial" w:hAnsi="Arial" w:cs="Arial"/>
          <w:color w:val="000000"/>
        </w:rPr>
        <w:t xml:space="preserve"> with dilated </w:t>
      </w:r>
      <w:proofErr w:type="spellStart"/>
      <w:r w:rsidR="00CD37D3" w:rsidRPr="00CD37D3">
        <w:rPr>
          <w:rFonts w:ascii="Arial" w:hAnsi="Arial" w:cs="Arial"/>
          <w:color w:val="222222"/>
          <w:shd w:val="clear" w:color="auto" w:fill="FFFFFF"/>
        </w:rPr>
        <w:t>fundoscopy</w:t>
      </w:r>
      <w:proofErr w:type="spellEnd"/>
    </w:p>
    <w:p w14:paraId="1E5005F7" w14:textId="793AA644"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Colour Vision</w:t>
      </w:r>
    </w:p>
    <w:p w14:paraId="7F018AE6" w14:textId="5A0983B3"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RAPD</w:t>
      </w:r>
    </w:p>
    <w:p w14:paraId="0767808C" w14:textId="67706FE1"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proofErr w:type="spellStart"/>
      <w:r>
        <w:rPr>
          <w:rFonts w:ascii="Arial" w:hAnsi="Arial" w:cs="Arial"/>
          <w:color w:val="000000"/>
        </w:rPr>
        <w:t>G</w:t>
      </w:r>
      <w:r w:rsidRPr="00CD37D3">
        <w:rPr>
          <w:rFonts w:ascii="Arial" w:hAnsi="Arial" w:cs="Arial"/>
          <w:color w:val="000000"/>
        </w:rPr>
        <w:t>onioscopy</w:t>
      </w:r>
      <w:proofErr w:type="spellEnd"/>
    </w:p>
    <w:p w14:paraId="5F810851" w14:textId="483A4669" w:rsidR="00CD37D3" w:rsidRPr="00A00AA9"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Corneal </w:t>
      </w:r>
      <w:proofErr w:type="spellStart"/>
      <w:r>
        <w:rPr>
          <w:rFonts w:ascii="Arial" w:hAnsi="Arial" w:cs="Arial"/>
          <w:color w:val="000000"/>
        </w:rPr>
        <w:t>P</w:t>
      </w:r>
      <w:r w:rsidRPr="00CD37D3">
        <w:rPr>
          <w:rFonts w:ascii="Arial" w:hAnsi="Arial" w:cs="Arial"/>
          <w:color w:val="000000"/>
        </w:rPr>
        <w:t>achymetry</w:t>
      </w:r>
      <w:proofErr w:type="spellEnd"/>
    </w:p>
    <w:p w14:paraId="338573F1"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 xml:space="preserve">Visual Field Analysis </w:t>
      </w:r>
    </w:p>
    <w:p w14:paraId="21BDC0CA"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proofErr w:type="spellStart"/>
      <w:r w:rsidRPr="00A00AA9">
        <w:rPr>
          <w:rFonts w:ascii="Arial" w:hAnsi="Arial" w:cs="Arial"/>
          <w:color w:val="000000"/>
        </w:rPr>
        <w:t>Autorefraction</w:t>
      </w:r>
      <w:proofErr w:type="spellEnd"/>
      <w:r w:rsidRPr="00A00AA9">
        <w:rPr>
          <w:rFonts w:ascii="Arial" w:hAnsi="Arial" w:cs="Arial"/>
          <w:color w:val="000000"/>
        </w:rPr>
        <w:t xml:space="preserve"> </w:t>
      </w:r>
    </w:p>
    <w:p w14:paraId="0799CFDE"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proofErr w:type="spellStart"/>
      <w:r w:rsidRPr="00A00AA9">
        <w:rPr>
          <w:rFonts w:ascii="Arial" w:hAnsi="Arial" w:cs="Arial"/>
          <w:color w:val="000000"/>
        </w:rPr>
        <w:t>Applanation</w:t>
      </w:r>
      <w:proofErr w:type="spellEnd"/>
      <w:r w:rsidRPr="00A00AA9">
        <w:rPr>
          <w:rFonts w:ascii="Arial" w:hAnsi="Arial" w:cs="Arial"/>
          <w:color w:val="000000"/>
        </w:rPr>
        <w:t xml:space="preserve"> Tonometry </w:t>
      </w:r>
    </w:p>
    <w:p w14:paraId="32C819E4"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 xml:space="preserve">Visual acuity testing </w:t>
      </w:r>
    </w:p>
    <w:p w14:paraId="3671E626"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proofErr w:type="spellStart"/>
      <w:r w:rsidRPr="00A00AA9">
        <w:rPr>
          <w:rFonts w:ascii="Arial" w:hAnsi="Arial" w:cs="Arial"/>
          <w:color w:val="000000"/>
        </w:rPr>
        <w:t>Fundoscopy</w:t>
      </w:r>
      <w:proofErr w:type="spellEnd"/>
      <w:r w:rsidRPr="00A00AA9">
        <w:rPr>
          <w:rFonts w:ascii="Arial" w:hAnsi="Arial" w:cs="Arial"/>
          <w:color w:val="000000"/>
        </w:rPr>
        <w:t xml:space="preserve"> </w:t>
      </w:r>
    </w:p>
    <w:p w14:paraId="1E97E4F5" w14:textId="77777777" w:rsidR="00BE61CE"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 xml:space="preserve">OCT </w:t>
      </w:r>
    </w:p>
    <w:p w14:paraId="729BE129" w14:textId="65AAAEFE" w:rsidR="00A00AA9" w:rsidRPr="00CE676E" w:rsidRDefault="00CD37D3" w:rsidP="00A01256">
      <w:pPr>
        <w:pStyle w:val="ListParagraph"/>
        <w:numPr>
          <w:ilvl w:val="1"/>
          <w:numId w:val="15"/>
        </w:numPr>
        <w:autoSpaceDE w:val="0"/>
        <w:autoSpaceDN w:val="0"/>
        <w:adjustRightInd w:val="0"/>
        <w:spacing w:after="240" w:line="240" w:lineRule="auto"/>
        <w:jc w:val="both"/>
        <w:rPr>
          <w:rFonts w:ascii="Arial" w:hAnsi="Arial" w:cs="Arial"/>
          <w:color w:val="000000"/>
        </w:rPr>
      </w:pPr>
      <w:r w:rsidRPr="00CE676E">
        <w:rPr>
          <w:rFonts w:ascii="Arial" w:hAnsi="Arial" w:cs="Arial"/>
          <w:color w:val="000000"/>
        </w:rPr>
        <w:t>Disc Photograph</w:t>
      </w:r>
    </w:p>
    <w:p w14:paraId="107B0EC7" w14:textId="5D121B88" w:rsidR="00047E83" w:rsidRPr="001878D7"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Reporting of diagnostic tests must be timely and appropriate to clinical need. Access to reporting clinicians should be available if required and it will be the </w:t>
      </w:r>
      <w:r w:rsidR="00CD37D3">
        <w:rPr>
          <w:rFonts w:ascii="Arial" w:hAnsi="Arial" w:cs="Arial"/>
          <w:color w:val="000000"/>
        </w:rPr>
        <w:t>Sub-Contractor’s</w:t>
      </w:r>
      <w:r w:rsidRPr="001878D7">
        <w:rPr>
          <w:rFonts w:ascii="Arial" w:hAnsi="Arial" w:cs="Arial"/>
          <w:color w:val="000000"/>
        </w:rPr>
        <w:t xml:space="preserve"> responsibility to chase up any ou</w:t>
      </w:r>
      <w:r w:rsidR="00CD37D3">
        <w:rPr>
          <w:rFonts w:ascii="Arial" w:hAnsi="Arial" w:cs="Arial"/>
          <w:color w:val="000000"/>
        </w:rPr>
        <w:t>tstanding diagnostic reporting to ensure patients are treated within clinically appropriate timescales and within the 18 weeks referral to treatment target</w:t>
      </w:r>
      <w:r w:rsidRPr="001878D7">
        <w:rPr>
          <w:rFonts w:ascii="Arial" w:hAnsi="Arial" w:cs="Arial"/>
          <w:color w:val="000000"/>
        </w:rPr>
        <w:t xml:space="preserve">. Appropriate near patient testing, prescribing and dispensing services must be provided or sourced by the service to support diagnosis and treatment services. </w:t>
      </w:r>
    </w:p>
    <w:p w14:paraId="08AFDF51" w14:textId="77777777" w:rsidR="00047E83" w:rsidRPr="001878D7"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The main outcomes of diagnostics will be any or all of these activities: </w:t>
      </w:r>
    </w:p>
    <w:p w14:paraId="5E16CCA3" w14:textId="77777777" w:rsidR="00047E83" w:rsidRPr="001878D7" w:rsidRDefault="005B2FE6" w:rsidP="00A01256">
      <w:pPr>
        <w:pStyle w:val="Default"/>
        <w:numPr>
          <w:ilvl w:val="0"/>
          <w:numId w:val="16"/>
        </w:numPr>
        <w:ind w:left="1418"/>
        <w:jc w:val="both"/>
        <w:rPr>
          <w:sz w:val="22"/>
          <w:szCs w:val="22"/>
        </w:rPr>
      </w:pPr>
      <w:r w:rsidRPr="001878D7">
        <w:rPr>
          <w:sz w:val="22"/>
          <w:szCs w:val="22"/>
        </w:rPr>
        <w:t>Stage 5 – S</w:t>
      </w:r>
      <w:r w:rsidR="00047E83" w:rsidRPr="001878D7">
        <w:rPr>
          <w:sz w:val="22"/>
          <w:szCs w:val="22"/>
        </w:rPr>
        <w:t xml:space="preserve">ervice treatment </w:t>
      </w:r>
    </w:p>
    <w:p w14:paraId="2BB57B7B" w14:textId="77777777" w:rsidR="00CE6C00" w:rsidRPr="001878D7" w:rsidRDefault="00047E83" w:rsidP="00A01256">
      <w:pPr>
        <w:pStyle w:val="Default"/>
        <w:numPr>
          <w:ilvl w:val="0"/>
          <w:numId w:val="16"/>
        </w:numPr>
        <w:ind w:left="1418"/>
        <w:jc w:val="both"/>
        <w:rPr>
          <w:sz w:val="22"/>
          <w:szCs w:val="22"/>
        </w:rPr>
      </w:pPr>
      <w:r w:rsidRPr="001878D7">
        <w:rPr>
          <w:sz w:val="22"/>
          <w:szCs w:val="22"/>
        </w:rPr>
        <w:t xml:space="preserve">Stage 6 – Onward referral </w:t>
      </w:r>
    </w:p>
    <w:p w14:paraId="6C4EF798" w14:textId="77777777" w:rsidR="00047E83" w:rsidRDefault="00047E83" w:rsidP="00A01256">
      <w:pPr>
        <w:pStyle w:val="Default"/>
        <w:numPr>
          <w:ilvl w:val="0"/>
          <w:numId w:val="16"/>
        </w:numPr>
        <w:ind w:left="1418"/>
        <w:jc w:val="both"/>
        <w:rPr>
          <w:sz w:val="22"/>
          <w:szCs w:val="22"/>
        </w:rPr>
      </w:pPr>
      <w:r w:rsidRPr="001878D7">
        <w:rPr>
          <w:sz w:val="22"/>
          <w:szCs w:val="22"/>
        </w:rPr>
        <w:t xml:space="preserve">Stage 7 – Discharge to referring clinician </w:t>
      </w:r>
    </w:p>
    <w:p w14:paraId="77C875B5" w14:textId="77777777" w:rsidR="00CE676E" w:rsidRPr="001878D7" w:rsidRDefault="00CE676E" w:rsidP="00CE676E">
      <w:pPr>
        <w:pStyle w:val="Default"/>
        <w:ind w:left="1418"/>
        <w:jc w:val="both"/>
        <w:rPr>
          <w:sz w:val="22"/>
          <w:szCs w:val="22"/>
        </w:rPr>
      </w:pPr>
    </w:p>
    <w:p w14:paraId="65D33D0C" w14:textId="47E925D7" w:rsidR="00047E83" w:rsidRPr="001878D7" w:rsidRDefault="004A59CA" w:rsidP="004A59CA">
      <w:pPr>
        <w:pStyle w:val="Heading3"/>
      </w:pPr>
      <w:bookmarkStart w:id="9" w:name="_Toc476153200"/>
      <w:r>
        <w:t>Stage 5: Treatment</w:t>
      </w:r>
      <w:bookmarkEnd w:id="9"/>
    </w:p>
    <w:p w14:paraId="0B0A8E5C" w14:textId="616FB2D0" w:rsidR="00047E83" w:rsidRPr="001878D7" w:rsidRDefault="00047E83" w:rsidP="00CE676E">
      <w:pPr>
        <w:pStyle w:val="Default"/>
        <w:spacing w:after="240"/>
        <w:ind w:left="709"/>
        <w:jc w:val="both"/>
        <w:rPr>
          <w:sz w:val="22"/>
          <w:szCs w:val="22"/>
        </w:rPr>
      </w:pPr>
      <w:r w:rsidRPr="001878D7">
        <w:rPr>
          <w:sz w:val="22"/>
          <w:szCs w:val="22"/>
        </w:rPr>
        <w:t xml:space="preserve">There must be an evidence base for all treatments offered within the service. The commencement of treatment </w:t>
      </w:r>
      <w:r w:rsidR="000E574C" w:rsidRPr="001878D7">
        <w:rPr>
          <w:sz w:val="22"/>
          <w:szCs w:val="22"/>
        </w:rPr>
        <w:t xml:space="preserve">must occur within clinically acceptable timescales and within the 18 weeks national </w:t>
      </w:r>
      <w:r w:rsidR="00E9177D">
        <w:rPr>
          <w:sz w:val="22"/>
          <w:szCs w:val="22"/>
        </w:rPr>
        <w:t xml:space="preserve">RTT </w:t>
      </w:r>
      <w:r w:rsidR="000E574C" w:rsidRPr="001878D7">
        <w:rPr>
          <w:sz w:val="22"/>
          <w:szCs w:val="22"/>
        </w:rPr>
        <w:t>target.</w:t>
      </w:r>
      <w:r w:rsidRPr="001878D7">
        <w:rPr>
          <w:sz w:val="22"/>
          <w:szCs w:val="22"/>
        </w:rPr>
        <w:t xml:space="preserve"> </w:t>
      </w:r>
    </w:p>
    <w:p w14:paraId="4AFC8BBA" w14:textId="690EE936" w:rsidR="000E574C" w:rsidRPr="001878D7" w:rsidRDefault="000E574C" w:rsidP="00CE676E">
      <w:pPr>
        <w:pStyle w:val="Default"/>
        <w:spacing w:after="240"/>
        <w:ind w:left="709"/>
        <w:jc w:val="both"/>
        <w:rPr>
          <w:sz w:val="22"/>
          <w:szCs w:val="22"/>
        </w:rPr>
      </w:pPr>
      <w:r w:rsidRPr="001878D7">
        <w:rPr>
          <w:sz w:val="22"/>
          <w:szCs w:val="22"/>
        </w:rPr>
        <w:t xml:space="preserve">The </w:t>
      </w:r>
      <w:r w:rsidR="00CD37D3">
        <w:rPr>
          <w:sz w:val="22"/>
          <w:szCs w:val="22"/>
        </w:rPr>
        <w:t>Sub-Contractor</w:t>
      </w:r>
      <w:r w:rsidRPr="001878D7">
        <w:rPr>
          <w:sz w:val="22"/>
          <w:szCs w:val="22"/>
        </w:rPr>
        <w:t xml:space="preserve"> will be expected to gain patient consent prior to undertaking the procedure utilising the </w:t>
      </w:r>
      <w:proofErr w:type="spellStart"/>
      <w:r w:rsidRPr="001878D7">
        <w:rPr>
          <w:sz w:val="22"/>
          <w:szCs w:val="22"/>
        </w:rPr>
        <w:t>DoH</w:t>
      </w:r>
      <w:proofErr w:type="spellEnd"/>
      <w:r w:rsidRPr="001878D7">
        <w:rPr>
          <w:sz w:val="22"/>
          <w:szCs w:val="22"/>
        </w:rPr>
        <w:t xml:space="preserve"> Patient Consent Form. </w:t>
      </w:r>
    </w:p>
    <w:p w14:paraId="0AE175DB" w14:textId="798670D2" w:rsidR="000E574C" w:rsidRPr="001878D7" w:rsidRDefault="000E574C" w:rsidP="00CE676E">
      <w:pPr>
        <w:pStyle w:val="Default"/>
        <w:spacing w:after="240"/>
        <w:ind w:left="709"/>
        <w:jc w:val="both"/>
        <w:rPr>
          <w:sz w:val="22"/>
          <w:szCs w:val="22"/>
        </w:rPr>
      </w:pPr>
      <w:r w:rsidRPr="001878D7">
        <w:rPr>
          <w:sz w:val="22"/>
          <w:szCs w:val="22"/>
        </w:rPr>
        <w:t xml:space="preserve">The </w:t>
      </w:r>
      <w:r w:rsidR="00CD37D3">
        <w:rPr>
          <w:sz w:val="22"/>
          <w:szCs w:val="22"/>
        </w:rPr>
        <w:t>Sub-Contractor</w:t>
      </w:r>
      <w:r w:rsidR="00CD37D3" w:rsidRPr="001878D7">
        <w:rPr>
          <w:sz w:val="22"/>
          <w:szCs w:val="22"/>
        </w:rPr>
        <w:t xml:space="preserve"> </w:t>
      </w:r>
      <w:r w:rsidRPr="001878D7">
        <w:rPr>
          <w:sz w:val="22"/>
          <w:szCs w:val="22"/>
        </w:rPr>
        <w:t>would be expected to undertake the following treatment</w:t>
      </w:r>
      <w:r w:rsidR="00CD37D3">
        <w:rPr>
          <w:sz w:val="22"/>
          <w:szCs w:val="22"/>
        </w:rPr>
        <w:t>/management for their condition</w:t>
      </w:r>
      <w:r w:rsidRPr="001878D7">
        <w:rPr>
          <w:sz w:val="22"/>
          <w:szCs w:val="22"/>
        </w:rPr>
        <w:t>:</w:t>
      </w:r>
    </w:p>
    <w:p w14:paraId="067311E0" w14:textId="77777777" w:rsidR="000E574C" w:rsidRPr="001878D7" w:rsidRDefault="000E574C" w:rsidP="00A01256">
      <w:pPr>
        <w:pStyle w:val="Default"/>
        <w:numPr>
          <w:ilvl w:val="0"/>
          <w:numId w:val="8"/>
        </w:numPr>
        <w:ind w:left="1134" w:firstLine="0"/>
        <w:jc w:val="both"/>
        <w:rPr>
          <w:sz w:val="22"/>
          <w:szCs w:val="22"/>
        </w:rPr>
      </w:pPr>
      <w:r w:rsidRPr="001878D7">
        <w:rPr>
          <w:sz w:val="22"/>
          <w:szCs w:val="22"/>
        </w:rPr>
        <w:t>Glaucoma drops</w:t>
      </w:r>
    </w:p>
    <w:p w14:paraId="0EC549AB" w14:textId="77777777" w:rsidR="000E574C" w:rsidRPr="001878D7" w:rsidRDefault="000E574C" w:rsidP="00A01256">
      <w:pPr>
        <w:pStyle w:val="Default"/>
        <w:numPr>
          <w:ilvl w:val="0"/>
          <w:numId w:val="8"/>
        </w:numPr>
        <w:ind w:left="1134" w:firstLine="0"/>
        <w:jc w:val="both"/>
        <w:rPr>
          <w:sz w:val="22"/>
          <w:szCs w:val="22"/>
        </w:rPr>
      </w:pPr>
      <w:r w:rsidRPr="001878D7">
        <w:rPr>
          <w:sz w:val="22"/>
          <w:szCs w:val="22"/>
        </w:rPr>
        <w:t xml:space="preserve">Laser </w:t>
      </w:r>
      <w:proofErr w:type="spellStart"/>
      <w:r w:rsidRPr="001878D7">
        <w:rPr>
          <w:sz w:val="22"/>
          <w:szCs w:val="22"/>
        </w:rPr>
        <w:t>iridotomy</w:t>
      </w:r>
      <w:proofErr w:type="spellEnd"/>
    </w:p>
    <w:p w14:paraId="41A7E1D0" w14:textId="35A33023" w:rsidR="000E574C" w:rsidRPr="001878D7" w:rsidRDefault="000E574C" w:rsidP="00A01256">
      <w:pPr>
        <w:pStyle w:val="Default"/>
        <w:numPr>
          <w:ilvl w:val="0"/>
          <w:numId w:val="8"/>
        </w:numPr>
        <w:ind w:left="1134" w:firstLine="0"/>
        <w:jc w:val="both"/>
        <w:rPr>
          <w:sz w:val="22"/>
          <w:szCs w:val="22"/>
        </w:rPr>
      </w:pPr>
      <w:r w:rsidRPr="001878D7">
        <w:rPr>
          <w:sz w:val="22"/>
          <w:szCs w:val="22"/>
        </w:rPr>
        <w:t xml:space="preserve">Ongoing monitoring </w:t>
      </w:r>
      <w:r w:rsidR="00CD37D3">
        <w:rPr>
          <w:sz w:val="22"/>
          <w:szCs w:val="22"/>
        </w:rPr>
        <w:t>and follow up according to NICE guidance</w:t>
      </w:r>
    </w:p>
    <w:p w14:paraId="30B5A7E0" w14:textId="77777777" w:rsidR="00CE676E" w:rsidRDefault="00CE676E" w:rsidP="00CE676E">
      <w:pPr>
        <w:pStyle w:val="Default"/>
        <w:spacing w:after="240"/>
        <w:ind w:left="709"/>
        <w:jc w:val="both"/>
        <w:rPr>
          <w:sz w:val="22"/>
          <w:szCs w:val="22"/>
        </w:rPr>
      </w:pPr>
    </w:p>
    <w:p w14:paraId="6082728D" w14:textId="05CA1251" w:rsidR="000E574C" w:rsidRPr="001878D7" w:rsidRDefault="000E574C" w:rsidP="00CE676E">
      <w:pPr>
        <w:pStyle w:val="Default"/>
        <w:spacing w:after="240"/>
        <w:ind w:left="709"/>
        <w:jc w:val="both"/>
        <w:rPr>
          <w:sz w:val="22"/>
          <w:szCs w:val="22"/>
        </w:rPr>
      </w:pPr>
      <w:r w:rsidRPr="001878D7">
        <w:rPr>
          <w:sz w:val="22"/>
          <w:szCs w:val="22"/>
        </w:rPr>
        <w:lastRenderedPageBreak/>
        <w:t xml:space="preserve">The </w:t>
      </w:r>
      <w:r w:rsidR="00CD37D3">
        <w:rPr>
          <w:sz w:val="22"/>
          <w:szCs w:val="22"/>
        </w:rPr>
        <w:t>Sub-Contractor</w:t>
      </w:r>
      <w:r w:rsidRPr="001878D7">
        <w:rPr>
          <w:sz w:val="22"/>
          <w:szCs w:val="22"/>
        </w:rPr>
        <w:t xml:space="preserve"> would not be expected to undertake any surgical intervention (e.g. surgical glaucoma or cataract)</w:t>
      </w:r>
      <w:r w:rsidR="00642C6D" w:rsidRPr="001878D7">
        <w:rPr>
          <w:sz w:val="22"/>
          <w:szCs w:val="22"/>
        </w:rPr>
        <w:t xml:space="preserve">. Where this type of treatment is required, it would be expected that the </w:t>
      </w:r>
      <w:r w:rsidR="00CD37D3">
        <w:rPr>
          <w:sz w:val="22"/>
          <w:szCs w:val="22"/>
        </w:rPr>
        <w:t>Sub-Contractor refer</w:t>
      </w:r>
      <w:r w:rsidR="00642C6D" w:rsidRPr="001878D7">
        <w:rPr>
          <w:sz w:val="22"/>
          <w:szCs w:val="22"/>
        </w:rPr>
        <w:t xml:space="preserve">s the patient to </w:t>
      </w:r>
      <w:r w:rsidR="00CD37D3">
        <w:rPr>
          <w:sz w:val="22"/>
          <w:szCs w:val="22"/>
        </w:rPr>
        <w:t>the</w:t>
      </w:r>
      <w:r w:rsidR="00642C6D" w:rsidRPr="001878D7">
        <w:rPr>
          <w:sz w:val="22"/>
          <w:szCs w:val="22"/>
        </w:rPr>
        <w:t xml:space="preserve"> closest suitable </w:t>
      </w:r>
      <w:r w:rsidR="00CD37D3">
        <w:rPr>
          <w:sz w:val="22"/>
          <w:szCs w:val="22"/>
        </w:rPr>
        <w:t>provider</w:t>
      </w:r>
      <w:r w:rsidR="00642C6D" w:rsidRPr="001878D7">
        <w:rPr>
          <w:sz w:val="22"/>
          <w:szCs w:val="22"/>
        </w:rPr>
        <w:t xml:space="preserve"> of their choice.</w:t>
      </w:r>
    </w:p>
    <w:p w14:paraId="29692CFF" w14:textId="77777777" w:rsidR="00047E83" w:rsidRPr="001878D7" w:rsidRDefault="00047E83" w:rsidP="00CE676E">
      <w:pPr>
        <w:pStyle w:val="Default"/>
        <w:spacing w:after="240"/>
        <w:ind w:left="709"/>
        <w:jc w:val="both"/>
        <w:rPr>
          <w:sz w:val="22"/>
          <w:szCs w:val="22"/>
        </w:rPr>
      </w:pPr>
      <w:r w:rsidRPr="001878D7">
        <w:rPr>
          <w:sz w:val="22"/>
          <w:szCs w:val="22"/>
        </w:rPr>
        <w:t xml:space="preserve">All treatment services should be fully bookable. Treatments undertaken within the service will be delivered via a ‘One Stop Shop’ with no review appointment unless this is clinically indicated. However, it is recognised that patients with long-term ophthalmic conditions such as stable glaucoma will require routine appointments. </w:t>
      </w:r>
    </w:p>
    <w:p w14:paraId="602E7DC7" w14:textId="16380F4B" w:rsidR="00047E83" w:rsidRPr="001878D7" w:rsidRDefault="00047E83" w:rsidP="00CE676E">
      <w:pPr>
        <w:pStyle w:val="Default"/>
        <w:spacing w:after="240"/>
        <w:ind w:left="709"/>
        <w:jc w:val="both"/>
        <w:rPr>
          <w:sz w:val="22"/>
          <w:szCs w:val="22"/>
        </w:rPr>
      </w:pPr>
      <w:r w:rsidRPr="001878D7">
        <w:rPr>
          <w:sz w:val="22"/>
          <w:szCs w:val="22"/>
        </w:rPr>
        <w:t xml:space="preserve">The </w:t>
      </w:r>
      <w:r w:rsidR="00BA5085">
        <w:rPr>
          <w:sz w:val="22"/>
          <w:szCs w:val="22"/>
        </w:rPr>
        <w:t>Sub-Contractor</w:t>
      </w:r>
      <w:r w:rsidRPr="001878D7">
        <w:rPr>
          <w:sz w:val="22"/>
          <w:szCs w:val="22"/>
        </w:rPr>
        <w:t xml:space="preserve"> will be responsible for ensuring that any patients who do not attend their appointment are followed up in accordance with an agreed access and waiting list policy that must be in line with national RTT guidance. </w:t>
      </w:r>
    </w:p>
    <w:p w14:paraId="6C982058" w14:textId="77777777" w:rsidR="00047E83" w:rsidRPr="001878D7" w:rsidRDefault="00047E83" w:rsidP="00CE676E">
      <w:pPr>
        <w:pStyle w:val="Default"/>
        <w:spacing w:after="240"/>
        <w:ind w:left="709"/>
        <w:jc w:val="both"/>
        <w:rPr>
          <w:sz w:val="22"/>
          <w:szCs w:val="22"/>
        </w:rPr>
      </w:pPr>
      <w:r w:rsidRPr="001878D7">
        <w:rPr>
          <w:sz w:val="22"/>
          <w:szCs w:val="22"/>
        </w:rPr>
        <w:t xml:space="preserve">The main outcomes of treatment will be: </w:t>
      </w:r>
    </w:p>
    <w:p w14:paraId="47219840" w14:textId="57455A88" w:rsidR="00047E83" w:rsidRPr="001878D7" w:rsidRDefault="00047E83" w:rsidP="00A01256">
      <w:pPr>
        <w:pStyle w:val="Default"/>
        <w:numPr>
          <w:ilvl w:val="0"/>
          <w:numId w:val="9"/>
        </w:numPr>
        <w:ind w:left="1418" w:hanging="284"/>
        <w:jc w:val="both"/>
        <w:rPr>
          <w:sz w:val="22"/>
          <w:szCs w:val="22"/>
        </w:rPr>
      </w:pPr>
      <w:r w:rsidRPr="001878D7">
        <w:rPr>
          <w:sz w:val="22"/>
          <w:szCs w:val="22"/>
        </w:rPr>
        <w:t xml:space="preserve">Stage 7 – Discharge; </w:t>
      </w:r>
    </w:p>
    <w:p w14:paraId="6EDABD18" w14:textId="7C6B1AB1" w:rsidR="00047E83" w:rsidRPr="001878D7" w:rsidRDefault="00047E83" w:rsidP="00A01256">
      <w:pPr>
        <w:pStyle w:val="Default"/>
        <w:numPr>
          <w:ilvl w:val="0"/>
          <w:numId w:val="9"/>
        </w:numPr>
        <w:ind w:left="1418" w:hanging="284"/>
        <w:jc w:val="both"/>
        <w:rPr>
          <w:sz w:val="22"/>
          <w:szCs w:val="22"/>
        </w:rPr>
      </w:pPr>
      <w:r w:rsidRPr="001878D7">
        <w:rPr>
          <w:sz w:val="22"/>
          <w:szCs w:val="22"/>
        </w:rPr>
        <w:t xml:space="preserve">Stage 3 – Clinical Assessment (for follow-up for long term conditions); </w:t>
      </w:r>
    </w:p>
    <w:p w14:paraId="5895267F" w14:textId="5532120A" w:rsidR="00047E83" w:rsidRDefault="00047E83" w:rsidP="00A01256">
      <w:pPr>
        <w:pStyle w:val="Default"/>
        <w:numPr>
          <w:ilvl w:val="0"/>
          <w:numId w:val="9"/>
        </w:numPr>
        <w:ind w:left="1418" w:hanging="284"/>
        <w:jc w:val="both"/>
        <w:rPr>
          <w:sz w:val="22"/>
          <w:szCs w:val="22"/>
        </w:rPr>
      </w:pPr>
      <w:r w:rsidRPr="001878D7">
        <w:rPr>
          <w:sz w:val="22"/>
          <w:szCs w:val="22"/>
        </w:rPr>
        <w:t xml:space="preserve">Stage 6 – Onward referral </w:t>
      </w:r>
    </w:p>
    <w:p w14:paraId="649F647F" w14:textId="77777777" w:rsidR="00CE676E" w:rsidRPr="001878D7" w:rsidRDefault="00CE676E" w:rsidP="00CE676E">
      <w:pPr>
        <w:pStyle w:val="Default"/>
        <w:ind w:left="709"/>
        <w:jc w:val="both"/>
        <w:rPr>
          <w:sz w:val="22"/>
          <w:szCs w:val="22"/>
        </w:rPr>
      </w:pPr>
    </w:p>
    <w:p w14:paraId="371C070F" w14:textId="771FE10B" w:rsidR="00C50B7E" w:rsidRPr="001878D7" w:rsidRDefault="004A59CA" w:rsidP="004A59CA">
      <w:pPr>
        <w:pStyle w:val="Heading3"/>
      </w:pPr>
      <w:bookmarkStart w:id="10" w:name="_Toc476153201"/>
      <w:r>
        <w:t>Stage 6: Onward Referral</w:t>
      </w:r>
      <w:bookmarkEnd w:id="10"/>
    </w:p>
    <w:p w14:paraId="5C8D7B85" w14:textId="05890DC8" w:rsidR="00047E83" w:rsidRPr="001878D7" w:rsidRDefault="00047E83" w:rsidP="00CE676E">
      <w:pPr>
        <w:pStyle w:val="Default"/>
        <w:spacing w:after="240"/>
        <w:ind w:left="709"/>
        <w:jc w:val="both"/>
        <w:rPr>
          <w:sz w:val="22"/>
          <w:szCs w:val="22"/>
        </w:rPr>
      </w:pPr>
      <w:r w:rsidRPr="001878D7">
        <w:rPr>
          <w:sz w:val="22"/>
          <w:szCs w:val="22"/>
        </w:rPr>
        <w:t xml:space="preserve">Onward referral requires the patient to be directed to </w:t>
      </w:r>
      <w:r w:rsidR="00CE6C00" w:rsidRPr="001878D7">
        <w:rPr>
          <w:sz w:val="22"/>
          <w:szCs w:val="22"/>
        </w:rPr>
        <w:t>their closest provider</w:t>
      </w:r>
      <w:r w:rsidRPr="001878D7">
        <w:rPr>
          <w:sz w:val="22"/>
          <w:szCs w:val="22"/>
        </w:rPr>
        <w:t xml:space="preserve"> for investigations or interventions that are not available to them within the service. If at any stage within the service process this becomes necessary, the onward referral must be made within one working day of that decision being taken. A full treatment plan must be made available to the receiving provider, including the results of tests and recommended procedures. The </w:t>
      </w:r>
      <w:r w:rsidR="00BA5085">
        <w:rPr>
          <w:sz w:val="22"/>
          <w:szCs w:val="22"/>
        </w:rPr>
        <w:t>Sub-Contractor</w:t>
      </w:r>
      <w:r w:rsidRPr="001878D7">
        <w:rPr>
          <w:sz w:val="22"/>
          <w:szCs w:val="22"/>
        </w:rPr>
        <w:t xml:space="preserve"> will be responsible for all Medical Secretary </w:t>
      </w:r>
      <w:proofErr w:type="gramStart"/>
      <w:r w:rsidRPr="001878D7">
        <w:rPr>
          <w:sz w:val="22"/>
          <w:szCs w:val="22"/>
        </w:rPr>
        <w:t>requirements</w:t>
      </w:r>
      <w:proofErr w:type="gramEnd"/>
      <w:r w:rsidRPr="001878D7">
        <w:rPr>
          <w:sz w:val="22"/>
          <w:szCs w:val="22"/>
        </w:rPr>
        <w:t xml:space="preserve"> for the service. Patients must be referred with all the work-up details that have taken place within the service. </w:t>
      </w:r>
    </w:p>
    <w:p w14:paraId="384DC2AB" w14:textId="329941EE" w:rsidR="003A7EAF" w:rsidRPr="001878D7" w:rsidRDefault="00DD3030" w:rsidP="00CE676E">
      <w:pPr>
        <w:pStyle w:val="Default"/>
        <w:spacing w:after="240"/>
        <w:ind w:left="709"/>
        <w:jc w:val="both"/>
        <w:rPr>
          <w:b/>
          <w:sz w:val="22"/>
          <w:szCs w:val="22"/>
        </w:rPr>
      </w:pPr>
      <w:r w:rsidRPr="001878D7">
        <w:rPr>
          <w:sz w:val="22"/>
          <w:szCs w:val="22"/>
        </w:rPr>
        <w:t xml:space="preserve">The </w:t>
      </w:r>
      <w:r w:rsidR="00BA5085">
        <w:rPr>
          <w:sz w:val="22"/>
          <w:szCs w:val="22"/>
        </w:rPr>
        <w:t>Sub-Contractor</w:t>
      </w:r>
      <w:r w:rsidRPr="001878D7">
        <w:rPr>
          <w:sz w:val="22"/>
          <w:szCs w:val="22"/>
        </w:rPr>
        <w:t xml:space="preserve"> needs to develop their relationships with other </w:t>
      </w:r>
      <w:r w:rsidR="00BA5085">
        <w:rPr>
          <w:sz w:val="22"/>
          <w:szCs w:val="22"/>
        </w:rPr>
        <w:t>p</w:t>
      </w:r>
      <w:r w:rsidRPr="001878D7">
        <w:rPr>
          <w:sz w:val="22"/>
          <w:szCs w:val="22"/>
        </w:rPr>
        <w:t xml:space="preserve">roviders to become an integral member of the health and social care community. </w:t>
      </w:r>
      <w:r w:rsidR="003A7EAF" w:rsidRPr="001878D7">
        <w:rPr>
          <w:sz w:val="22"/>
          <w:szCs w:val="22"/>
        </w:rPr>
        <w:t xml:space="preserve">The </w:t>
      </w:r>
      <w:r w:rsidR="00BA5085">
        <w:rPr>
          <w:sz w:val="22"/>
          <w:szCs w:val="22"/>
        </w:rPr>
        <w:t>Sub-Contractor</w:t>
      </w:r>
      <w:r w:rsidR="00BA5085" w:rsidRPr="001878D7">
        <w:rPr>
          <w:sz w:val="22"/>
          <w:szCs w:val="22"/>
        </w:rPr>
        <w:t xml:space="preserve"> </w:t>
      </w:r>
      <w:r w:rsidR="003A7EAF" w:rsidRPr="001878D7">
        <w:rPr>
          <w:sz w:val="22"/>
          <w:szCs w:val="22"/>
        </w:rPr>
        <w:t xml:space="preserve">will be required to be involved in local care pathway work and discussions, ensuring the best and most efficient means of treating patients are adopted, including the transfer of the relevant clinical information (i.e. images and clinical output report). </w:t>
      </w:r>
    </w:p>
    <w:p w14:paraId="08D37CC5" w14:textId="0D4360DD" w:rsidR="00047E83" w:rsidRPr="001878D7" w:rsidRDefault="004A59CA" w:rsidP="004A59CA">
      <w:pPr>
        <w:pStyle w:val="Heading3"/>
      </w:pPr>
      <w:bookmarkStart w:id="11" w:name="_Toc476153202"/>
      <w:r>
        <w:t>Stage 7: Discharge</w:t>
      </w:r>
      <w:bookmarkEnd w:id="11"/>
    </w:p>
    <w:p w14:paraId="5000E4DC" w14:textId="016304A3" w:rsidR="00047E83" w:rsidRPr="001878D7" w:rsidRDefault="00047E83" w:rsidP="00CE676E">
      <w:pPr>
        <w:pStyle w:val="Default"/>
        <w:spacing w:after="240"/>
        <w:ind w:left="709"/>
        <w:jc w:val="both"/>
        <w:rPr>
          <w:sz w:val="22"/>
          <w:szCs w:val="22"/>
        </w:rPr>
      </w:pPr>
      <w:r w:rsidRPr="001878D7">
        <w:rPr>
          <w:sz w:val="22"/>
          <w:szCs w:val="22"/>
        </w:rPr>
        <w:t>Discharge occurs when the service clinician reaches a stage where no further action will take pl</w:t>
      </w:r>
      <w:r w:rsidR="00BA5085">
        <w:rPr>
          <w:sz w:val="22"/>
          <w:szCs w:val="22"/>
        </w:rPr>
        <w:t>ace with the patient’s referral. T</w:t>
      </w:r>
      <w:r w:rsidRPr="001878D7">
        <w:rPr>
          <w:sz w:val="22"/>
          <w:szCs w:val="22"/>
        </w:rPr>
        <w:t xml:space="preserve">his may be indicated by completion of a glaucoma pathway in line with NICE guidance. The patient </w:t>
      </w:r>
      <w:r w:rsidR="00772515">
        <w:rPr>
          <w:sz w:val="22"/>
          <w:szCs w:val="22"/>
        </w:rPr>
        <w:t>should be</w:t>
      </w:r>
      <w:r w:rsidRPr="001878D7">
        <w:rPr>
          <w:sz w:val="22"/>
          <w:szCs w:val="22"/>
        </w:rPr>
        <w:t xml:space="preserve"> directed back to </w:t>
      </w:r>
      <w:r w:rsidR="00772515">
        <w:rPr>
          <w:sz w:val="22"/>
          <w:szCs w:val="22"/>
        </w:rPr>
        <w:t>their</w:t>
      </w:r>
      <w:r w:rsidRPr="001878D7">
        <w:rPr>
          <w:sz w:val="22"/>
          <w:szCs w:val="22"/>
        </w:rPr>
        <w:t xml:space="preserve"> referring GP or healthcare professional. </w:t>
      </w:r>
    </w:p>
    <w:p w14:paraId="5F31E09C" w14:textId="3D2F7A1C" w:rsidR="00047E83" w:rsidRPr="001878D7" w:rsidRDefault="00047E83" w:rsidP="00CE676E">
      <w:pPr>
        <w:pStyle w:val="Default"/>
        <w:spacing w:after="240"/>
        <w:ind w:left="709"/>
        <w:jc w:val="both"/>
        <w:rPr>
          <w:sz w:val="22"/>
          <w:szCs w:val="22"/>
        </w:rPr>
      </w:pPr>
      <w:r w:rsidRPr="001878D7">
        <w:rPr>
          <w:sz w:val="22"/>
          <w:szCs w:val="22"/>
        </w:rPr>
        <w:t xml:space="preserve">At the point of discharge from the service, the </w:t>
      </w:r>
      <w:r w:rsidR="00BA5085">
        <w:rPr>
          <w:sz w:val="22"/>
          <w:szCs w:val="22"/>
        </w:rPr>
        <w:t>Sub-Contractor</w:t>
      </w:r>
      <w:r w:rsidRPr="001878D7">
        <w:rPr>
          <w:sz w:val="22"/>
          <w:szCs w:val="22"/>
        </w:rPr>
        <w:t xml:space="preserve"> will be required to produce a discharge document which will contain an account of the assessment, diagnostic tests, treatment plan, treatments carried out and outcomes from the service. The aim is that this information should be received by the ref</w:t>
      </w:r>
      <w:r w:rsidR="00642C6D" w:rsidRPr="001878D7">
        <w:rPr>
          <w:sz w:val="22"/>
          <w:szCs w:val="22"/>
        </w:rPr>
        <w:t>erring clinician no later than 10</w:t>
      </w:r>
      <w:r w:rsidRPr="001878D7">
        <w:rPr>
          <w:sz w:val="22"/>
          <w:szCs w:val="22"/>
        </w:rPr>
        <w:t xml:space="preserve"> working days of the patient being discharged from the service. </w:t>
      </w:r>
    </w:p>
    <w:p w14:paraId="0C22FA96" w14:textId="51081750" w:rsidR="00047E83" w:rsidRPr="001878D7" w:rsidRDefault="00047E83" w:rsidP="00CE676E">
      <w:pPr>
        <w:pStyle w:val="Default"/>
        <w:spacing w:after="240"/>
        <w:ind w:left="709"/>
        <w:jc w:val="both"/>
        <w:rPr>
          <w:sz w:val="22"/>
          <w:szCs w:val="22"/>
        </w:rPr>
      </w:pPr>
      <w:r w:rsidRPr="001878D7">
        <w:rPr>
          <w:sz w:val="22"/>
          <w:szCs w:val="22"/>
        </w:rPr>
        <w:t xml:space="preserve">A copy of this documentation should normally be given to the patient as they progress through the service if they have indicated a wish to receive this information. The discharge documents should conform to an agreed minimum data set. The </w:t>
      </w:r>
      <w:r w:rsidR="00772515">
        <w:rPr>
          <w:sz w:val="22"/>
          <w:szCs w:val="22"/>
        </w:rPr>
        <w:t>Sub-Contractor</w:t>
      </w:r>
      <w:r w:rsidRPr="001878D7">
        <w:rPr>
          <w:sz w:val="22"/>
          <w:szCs w:val="22"/>
        </w:rPr>
        <w:t xml:space="preserve"> will be responsible for the production and distribution of all discharge documents. </w:t>
      </w:r>
    </w:p>
    <w:p w14:paraId="4354C86A" w14:textId="77777777" w:rsidR="00642C6D" w:rsidRPr="001878D7" w:rsidRDefault="00642C6D" w:rsidP="004A59CA">
      <w:pPr>
        <w:pStyle w:val="Heading1"/>
      </w:pPr>
      <w:bookmarkStart w:id="12" w:name="_Toc476153203"/>
      <w:r w:rsidRPr="001878D7">
        <w:lastRenderedPageBreak/>
        <w:t>Key Service Outcomes</w:t>
      </w:r>
      <w:bookmarkEnd w:id="12"/>
    </w:p>
    <w:p w14:paraId="64FC99AD" w14:textId="77777777" w:rsidR="00772515" w:rsidRPr="00772515" w:rsidRDefault="00772515" w:rsidP="00CE676E">
      <w:pPr>
        <w:spacing w:after="240" w:line="240" w:lineRule="auto"/>
        <w:jc w:val="both"/>
        <w:rPr>
          <w:rFonts w:ascii="Arial" w:hAnsi="Arial" w:cs="Arial"/>
        </w:rPr>
      </w:pPr>
      <w:r w:rsidRPr="00772515">
        <w:rPr>
          <w:rFonts w:ascii="Arial" w:hAnsi="Arial" w:cs="Arial"/>
        </w:rPr>
        <w:t>A balanced, well-planned system will enable professionals to provide high quality services to patients more easily and will:</w:t>
      </w:r>
    </w:p>
    <w:p w14:paraId="49A07C81"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Ensure that help, care and support are available as early as possible to prevent illness and conditions becoming more serious; </w:t>
      </w:r>
    </w:p>
    <w:p w14:paraId="2CD547F7"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Ensure individuals/patients can move smoothly through the help, care and support pathways as their needs increase or decrease; </w:t>
      </w:r>
    </w:p>
    <w:p w14:paraId="0D36A62D"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Ensure high quality patient outcomes</w:t>
      </w:r>
    </w:p>
    <w:p w14:paraId="0491BEDA"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Reduce demand for limited secondary care services and help to shorten waiting times</w:t>
      </w:r>
    </w:p>
    <w:p w14:paraId="66537501"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Manage flows through primary and secondary care seamlessly; </w:t>
      </w:r>
    </w:p>
    <w:p w14:paraId="2ABC8FF7"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Ensure appropriate and timely referrals;</w:t>
      </w:r>
    </w:p>
    <w:p w14:paraId="1EEBC016"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Provide self-help information for patients to manage their conditions more effectively; </w:t>
      </w:r>
    </w:p>
    <w:p w14:paraId="5534DF29"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Ensure health promotion and well-being;</w:t>
      </w:r>
    </w:p>
    <w:p w14:paraId="6862198F" w14:textId="669B253A" w:rsidR="00BE61CE" w:rsidRDefault="00CE676E" w:rsidP="00A01256">
      <w:pPr>
        <w:numPr>
          <w:ilvl w:val="1"/>
          <w:numId w:val="17"/>
        </w:numPr>
        <w:tabs>
          <w:tab w:val="clear" w:pos="1440"/>
        </w:tabs>
        <w:spacing w:after="240" w:line="240" w:lineRule="auto"/>
        <w:ind w:left="851"/>
        <w:jc w:val="both"/>
        <w:rPr>
          <w:rFonts w:ascii="Arial" w:hAnsi="Arial" w:cs="Arial"/>
        </w:rPr>
      </w:pPr>
      <w:r>
        <w:rPr>
          <w:rFonts w:ascii="Arial" w:hAnsi="Arial" w:cs="Arial"/>
        </w:rPr>
        <w:t>Deliver care close to home</w:t>
      </w:r>
    </w:p>
    <w:p w14:paraId="68F01815" w14:textId="77777777" w:rsidR="00CE676E" w:rsidRPr="00772515" w:rsidRDefault="00CE676E" w:rsidP="00CE676E">
      <w:pPr>
        <w:spacing w:after="240" w:line="240" w:lineRule="auto"/>
        <w:ind w:left="851"/>
        <w:jc w:val="both"/>
        <w:rPr>
          <w:rFonts w:ascii="Arial" w:hAnsi="Arial" w:cs="Arial"/>
        </w:rPr>
      </w:pPr>
    </w:p>
    <w:p w14:paraId="05AF57DC" w14:textId="682EE657" w:rsidR="003A7EAF" w:rsidRPr="001878D7" w:rsidRDefault="00772515" w:rsidP="004A59CA">
      <w:pPr>
        <w:pStyle w:val="Heading1"/>
      </w:pPr>
      <w:bookmarkStart w:id="13" w:name="_Toc476153204"/>
      <w:r>
        <w:t>The Sub-Contractor’s</w:t>
      </w:r>
      <w:r w:rsidR="003A7EAF" w:rsidRPr="001878D7">
        <w:t xml:space="preserve"> Premises</w:t>
      </w:r>
      <w:bookmarkEnd w:id="13"/>
    </w:p>
    <w:p w14:paraId="7B50CB89" w14:textId="05DFB70A" w:rsidR="00772515" w:rsidRDefault="00772515" w:rsidP="00CE676E">
      <w:pPr>
        <w:pStyle w:val="Default"/>
        <w:spacing w:after="240"/>
        <w:jc w:val="both"/>
        <w:rPr>
          <w:sz w:val="22"/>
          <w:szCs w:val="22"/>
        </w:rPr>
      </w:pPr>
      <w:r>
        <w:rPr>
          <w:sz w:val="22"/>
          <w:szCs w:val="22"/>
        </w:rPr>
        <w:t>The Sub-Contractor must ensure that their premises are appropriate, safe and well maintained for the delivery of an Ophthalmology service. The Sub-Contract</w:t>
      </w:r>
      <w:r w:rsidR="00727686">
        <w:rPr>
          <w:sz w:val="22"/>
          <w:szCs w:val="22"/>
        </w:rPr>
        <w:t>or</w:t>
      </w:r>
      <w:r>
        <w:rPr>
          <w:sz w:val="22"/>
          <w:szCs w:val="22"/>
        </w:rPr>
        <w:t xml:space="preserve"> must comply will all CQC regulations. </w:t>
      </w:r>
    </w:p>
    <w:p w14:paraId="32CA4773" w14:textId="125529BD" w:rsidR="003A7EAF" w:rsidRDefault="003A7EAF" w:rsidP="00CE676E">
      <w:pPr>
        <w:pStyle w:val="Default"/>
        <w:spacing w:after="240"/>
        <w:jc w:val="both"/>
        <w:rPr>
          <w:sz w:val="22"/>
          <w:szCs w:val="22"/>
        </w:rPr>
      </w:pPr>
      <w:r w:rsidRPr="001878D7">
        <w:rPr>
          <w:sz w:val="22"/>
          <w:szCs w:val="22"/>
        </w:rPr>
        <w:t>Locations and frequency of clinics should be convenient to patients and this will be</w:t>
      </w:r>
      <w:r w:rsidR="00D0057D" w:rsidRPr="001878D7">
        <w:rPr>
          <w:sz w:val="22"/>
          <w:szCs w:val="22"/>
        </w:rPr>
        <w:t xml:space="preserve"> one of several</w:t>
      </w:r>
      <w:r w:rsidRPr="001878D7">
        <w:rPr>
          <w:sz w:val="22"/>
          <w:szCs w:val="22"/>
        </w:rPr>
        <w:t xml:space="preserve"> key </w:t>
      </w:r>
      <w:r w:rsidR="00D0057D" w:rsidRPr="001878D7">
        <w:rPr>
          <w:sz w:val="22"/>
          <w:szCs w:val="22"/>
        </w:rPr>
        <w:t>criterions</w:t>
      </w:r>
      <w:r w:rsidRPr="001878D7">
        <w:rPr>
          <w:sz w:val="22"/>
          <w:szCs w:val="22"/>
        </w:rPr>
        <w:t xml:space="preserve"> for evaluation. It is a requirement that patients should have access to a local service facility within an a</w:t>
      </w:r>
      <w:r w:rsidR="00772515">
        <w:rPr>
          <w:sz w:val="22"/>
          <w:szCs w:val="22"/>
        </w:rPr>
        <w:t>verage 45 minutes (maximum 75</w:t>
      </w:r>
      <w:r w:rsidRPr="001878D7">
        <w:rPr>
          <w:sz w:val="22"/>
          <w:szCs w:val="22"/>
        </w:rPr>
        <w:t xml:space="preserve"> minutes) journey time by car or public transport. </w:t>
      </w:r>
      <w:r w:rsidR="00772515">
        <w:rPr>
          <w:sz w:val="22"/>
          <w:szCs w:val="22"/>
        </w:rPr>
        <w:t>Ideally the premises should be located within UHBFT’s core patient population.</w:t>
      </w:r>
    </w:p>
    <w:p w14:paraId="6A4777A9" w14:textId="0B76E71D" w:rsidR="00772515" w:rsidRPr="001878D7" w:rsidRDefault="00772515" w:rsidP="00CE676E">
      <w:pPr>
        <w:pStyle w:val="Default"/>
        <w:spacing w:after="240"/>
        <w:jc w:val="both"/>
        <w:rPr>
          <w:sz w:val="22"/>
          <w:szCs w:val="22"/>
        </w:rPr>
      </w:pPr>
      <w:r>
        <w:rPr>
          <w:sz w:val="22"/>
          <w:szCs w:val="22"/>
        </w:rPr>
        <w:t>The Sub-Contractor must be able to offer opening times which meet the needs of the patient population who will need to access the service.</w:t>
      </w:r>
    </w:p>
    <w:p w14:paraId="6B8D02FF" w14:textId="77777777" w:rsidR="00772515" w:rsidRDefault="00772515" w:rsidP="00CE676E">
      <w:pPr>
        <w:spacing w:after="240" w:line="240" w:lineRule="auto"/>
        <w:jc w:val="both"/>
        <w:rPr>
          <w:rFonts w:ascii="Arial" w:hAnsi="Arial" w:cs="Arial"/>
        </w:rPr>
      </w:pPr>
      <w:r>
        <w:rPr>
          <w:rFonts w:ascii="Arial" w:hAnsi="Arial" w:cs="Arial"/>
        </w:rPr>
        <w:t>C</w:t>
      </w:r>
      <w:r w:rsidR="003A7EAF" w:rsidRPr="001878D7">
        <w:rPr>
          <w:rFonts w:ascii="Arial" w:hAnsi="Arial" w:cs="Arial"/>
        </w:rPr>
        <w:t>ar parking should</w:t>
      </w:r>
      <w:r>
        <w:rPr>
          <w:rFonts w:ascii="Arial" w:hAnsi="Arial" w:cs="Arial"/>
        </w:rPr>
        <w:t xml:space="preserve"> ideally</w:t>
      </w:r>
      <w:r w:rsidR="003A7EAF" w:rsidRPr="001878D7">
        <w:rPr>
          <w:rFonts w:ascii="Arial" w:hAnsi="Arial" w:cs="Arial"/>
        </w:rPr>
        <w:t xml:space="preserve"> b</w:t>
      </w:r>
      <w:r>
        <w:rPr>
          <w:rFonts w:ascii="Arial" w:hAnsi="Arial" w:cs="Arial"/>
        </w:rPr>
        <w:t>e available to patients at all s</w:t>
      </w:r>
      <w:r w:rsidR="003A7EAF" w:rsidRPr="001878D7">
        <w:rPr>
          <w:rFonts w:ascii="Arial" w:hAnsi="Arial" w:cs="Arial"/>
        </w:rPr>
        <w:t xml:space="preserve">ervice locations. All service facilities must comply with Disability Act requirements, and consequently premises must be accessible to patients with disabilities. </w:t>
      </w:r>
    </w:p>
    <w:p w14:paraId="425BB305" w14:textId="4ED5254D" w:rsidR="00D36CDA" w:rsidRPr="00D36CDA" w:rsidRDefault="00D36CDA" w:rsidP="00CE676E">
      <w:pPr>
        <w:autoSpaceDE w:val="0"/>
        <w:autoSpaceDN w:val="0"/>
        <w:adjustRightInd w:val="0"/>
        <w:spacing w:after="240" w:line="240" w:lineRule="auto"/>
        <w:jc w:val="both"/>
        <w:rPr>
          <w:rFonts w:ascii="Arial" w:hAnsi="Arial" w:cs="Arial"/>
        </w:rPr>
      </w:pPr>
      <w:r w:rsidRPr="00D36CDA">
        <w:rPr>
          <w:rFonts w:ascii="Arial" w:hAnsi="Arial" w:cs="Arial"/>
        </w:rPr>
        <w:t xml:space="preserve">The </w:t>
      </w:r>
      <w:r>
        <w:rPr>
          <w:rFonts w:ascii="Arial" w:hAnsi="Arial" w:cs="Arial"/>
        </w:rPr>
        <w:t>Sub-Contractor</w:t>
      </w:r>
      <w:r w:rsidRPr="00D36CDA">
        <w:rPr>
          <w:rFonts w:ascii="Arial" w:hAnsi="Arial" w:cs="Arial"/>
        </w:rPr>
        <w:t xml:space="preserve"> will be required to arrange transport for patients and reimburse travel costs to qualifying patients in accordance with NHS guidance. </w:t>
      </w:r>
    </w:p>
    <w:p w14:paraId="02B164E0" w14:textId="1BB8EB12" w:rsidR="00D0057D" w:rsidRPr="001878D7" w:rsidRDefault="003A7EAF" w:rsidP="00CE676E">
      <w:pPr>
        <w:spacing w:after="240" w:line="240" w:lineRule="auto"/>
        <w:jc w:val="both"/>
        <w:rPr>
          <w:rFonts w:ascii="Arial" w:hAnsi="Arial" w:cs="Arial"/>
        </w:rPr>
      </w:pPr>
      <w:r w:rsidRPr="001878D7">
        <w:rPr>
          <w:rFonts w:ascii="Arial" w:hAnsi="Arial" w:cs="Arial"/>
        </w:rPr>
        <w:t>Access to an interpreting service must be available for patients for whom English is not their first language.</w:t>
      </w:r>
    </w:p>
    <w:p w14:paraId="66569923" w14:textId="7E22945B" w:rsidR="00642C6D" w:rsidRPr="004A59CA" w:rsidRDefault="00642C6D" w:rsidP="004A59CA">
      <w:pPr>
        <w:pStyle w:val="Heading1"/>
      </w:pPr>
      <w:bookmarkStart w:id="14" w:name="_Toc476153205"/>
      <w:r w:rsidRPr="004A59CA">
        <w:lastRenderedPageBreak/>
        <w:t>Quality and Governance</w:t>
      </w:r>
      <w:bookmarkEnd w:id="14"/>
    </w:p>
    <w:p w14:paraId="233DB220" w14:textId="4785E0A5" w:rsidR="00642C6D" w:rsidRPr="001878D7" w:rsidRDefault="00642C6D" w:rsidP="00CE676E">
      <w:pPr>
        <w:spacing w:after="240" w:line="240" w:lineRule="auto"/>
        <w:jc w:val="both"/>
        <w:rPr>
          <w:rFonts w:ascii="Arial" w:hAnsi="Arial" w:cs="Arial"/>
        </w:rPr>
      </w:pPr>
      <w:r w:rsidRPr="001878D7">
        <w:rPr>
          <w:rFonts w:ascii="Arial" w:hAnsi="Arial" w:cs="Arial"/>
        </w:rPr>
        <w:t xml:space="preserve">The </w:t>
      </w:r>
      <w:r w:rsidR="00BE61CE">
        <w:rPr>
          <w:rFonts w:ascii="Arial" w:hAnsi="Arial" w:cs="Arial"/>
        </w:rPr>
        <w:t>Sub-Contractor</w:t>
      </w:r>
      <w:r w:rsidRPr="001878D7">
        <w:rPr>
          <w:rFonts w:ascii="Arial" w:hAnsi="Arial" w:cs="Arial"/>
        </w:rPr>
        <w:t xml:space="preserve"> must have a robust clinical governance framework in place with strong clinical leadership and clear lines of accountability which operates across organisational and/or professional boundaries. The </w:t>
      </w:r>
      <w:r w:rsidR="00BE61CE">
        <w:rPr>
          <w:rFonts w:ascii="Arial" w:hAnsi="Arial" w:cs="Arial"/>
        </w:rPr>
        <w:t>Sub-Contractor</w:t>
      </w:r>
      <w:r w:rsidR="00BE61CE" w:rsidRPr="001878D7">
        <w:rPr>
          <w:rFonts w:ascii="Arial" w:hAnsi="Arial" w:cs="Arial"/>
        </w:rPr>
        <w:t xml:space="preserve"> </w:t>
      </w:r>
      <w:r w:rsidRPr="001878D7">
        <w:rPr>
          <w:rFonts w:ascii="Arial" w:hAnsi="Arial" w:cs="Arial"/>
        </w:rPr>
        <w:t xml:space="preserve">must have effective systems and processes in operation, which ensure that high standards of clinical care are maintained and the quality of the services provided are continually improved. </w:t>
      </w:r>
    </w:p>
    <w:p w14:paraId="10E74A5F" w14:textId="63D913A7" w:rsidR="00642C6D" w:rsidRPr="001878D7" w:rsidRDefault="00BE61CE" w:rsidP="00CE676E">
      <w:pPr>
        <w:spacing w:after="240" w:line="240" w:lineRule="auto"/>
        <w:jc w:val="both"/>
        <w:rPr>
          <w:rFonts w:ascii="Arial" w:hAnsi="Arial" w:cs="Arial"/>
        </w:rPr>
      </w:pPr>
      <w:r>
        <w:rPr>
          <w:rFonts w:ascii="Arial" w:hAnsi="Arial" w:cs="Arial"/>
        </w:rPr>
        <w:t xml:space="preserve">Some of the </w:t>
      </w:r>
      <w:r w:rsidR="00642C6D" w:rsidRPr="001878D7">
        <w:rPr>
          <w:rFonts w:ascii="Arial" w:hAnsi="Arial" w:cs="Arial"/>
        </w:rPr>
        <w:t>key components of any effective clinical governance framework can be grouped under the following headings:</w:t>
      </w:r>
    </w:p>
    <w:p w14:paraId="141CE2B3" w14:textId="77777777" w:rsidR="00B65F28" w:rsidRPr="001878D7" w:rsidRDefault="00B65F28"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Applicable Service Standards</w:t>
      </w:r>
    </w:p>
    <w:p w14:paraId="3331ABBE" w14:textId="77777777"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Staffing &amp; Staff Management</w:t>
      </w:r>
    </w:p>
    <w:p w14:paraId="13967324" w14:textId="77777777"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Clinical Effectiveness &amp; Clinical Audit</w:t>
      </w:r>
    </w:p>
    <w:p w14:paraId="0DCBDAC3" w14:textId="38A0D7AB"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 xml:space="preserve">Risk </w:t>
      </w:r>
      <w:r w:rsidR="004A59CA">
        <w:rPr>
          <w:rFonts w:ascii="Arial" w:hAnsi="Arial" w:cs="Arial"/>
          <w:bCs/>
        </w:rPr>
        <w:t xml:space="preserve">and Incident </w:t>
      </w:r>
      <w:r w:rsidRPr="001878D7">
        <w:rPr>
          <w:rFonts w:ascii="Arial" w:hAnsi="Arial" w:cs="Arial"/>
          <w:bCs/>
        </w:rPr>
        <w:t>Management</w:t>
      </w:r>
    </w:p>
    <w:p w14:paraId="48EF5807" w14:textId="1D86BA6B" w:rsidR="004A59CA" w:rsidRPr="001878D7" w:rsidRDefault="004A59CA"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 xml:space="preserve">Patient </w:t>
      </w:r>
      <w:r>
        <w:rPr>
          <w:rFonts w:ascii="Arial" w:hAnsi="Arial" w:cs="Arial"/>
          <w:bCs/>
        </w:rPr>
        <w:t>&amp;</w:t>
      </w:r>
      <w:r w:rsidRPr="001878D7">
        <w:rPr>
          <w:rFonts w:ascii="Arial" w:hAnsi="Arial" w:cs="Arial"/>
          <w:bCs/>
        </w:rPr>
        <w:t xml:space="preserve"> Public Involvement</w:t>
      </w:r>
    </w:p>
    <w:p w14:paraId="4B421C03" w14:textId="77777777"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Information Governance</w:t>
      </w:r>
    </w:p>
    <w:p w14:paraId="42397987" w14:textId="23E5C582"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 xml:space="preserve">Health </w:t>
      </w:r>
      <w:r w:rsidR="004A59CA">
        <w:rPr>
          <w:rFonts w:ascii="Arial" w:hAnsi="Arial" w:cs="Arial"/>
          <w:bCs/>
        </w:rPr>
        <w:t>&amp;</w:t>
      </w:r>
      <w:r w:rsidRPr="001878D7">
        <w:rPr>
          <w:rFonts w:ascii="Arial" w:hAnsi="Arial" w:cs="Arial"/>
          <w:bCs/>
        </w:rPr>
        <w:t xml:space="preserve"> Safety</w:t>
      </w:r>
    </w:p>
    <w:p w14:paraId="765309DE" w14:textId="13BC2D1F" w:rsidR="00B65F28" w:rsidRPr="004A59CA" w:rsidRDefault="00BF7A6D" w:rsidP="004A59CA">
      <w:pPr>
        <w:pStyle w:val="Heading2"/>
      </w:pPr>
      <w:bookmarkStart w:id="15" w:name="_Toc476153206"/>
      <w:r w:rsidRPr="004A59CA">
        <w:t>5</w:t>
      </w:r>
      <w:r w:rsidR="00B65F28" w:rsidRPr="004A59CA">
        <w:t xml:space="preserve">.1  </w:t>
      </w:r>
      <w:r w:rsidRPr="004A59CA">
        <w:tab/>
      </w:r>
      <w:r w:rsidR="00B65F28" w:rsidRPr="004A59CA">
        <w:t>Applicable Service Standards</w:t>
      </w:r>
      <w:bookmarkEnd w:id="15"/>
    </w:p>
    <w:p w14:paraId="737AF424" w14:textId="3B1D45FF" w:rsidR="00BF7A6D" w:rsidRPr="00D36CDA" w:rsidRDefault="00D36CDA" w:rsidP="00D75E7E">
      <w:pPr>
        <w:autoSpaceDE w:val="0"/>
        <w:autoSpaceDN w:val="0"/>
        <w:adjustRightInd w:val="0"/>
        <w:spacing w:after="240" w:line="240" w:lineRule="auto"/>
        <w:ind w:left="851"/>
        <w:jc w:val="both"/>
        <w:rPr>
          <w:rFonts w:ascii="Arial" w:hAnsi="Arial" w:cs="Arial"/>
        </w:rPr>
      </w:pPr>
      <w:r w:rsidRPr="00D36CDA">
        <w:rPr>
          <w:rFonts w:ascii="Arial" w:hAnsi="Arial" w:cs="Arial"/>
        </w:rPr>
        <w:t>Applicable National Standards include:</w:t>
      </w:r>
    </w:p>
    <w:p w14:paraId="14BAB444"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NICE Quality Standards for glaucoma in Adults (NICE, 2011)</w:t>
      </w:r>
    </w:p>
    <w:p w14:paraId="59A25C7C"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lang w:val="en-US"/>
        </w:rPr>
        <w:t>Glaucoma Commissioning Guide Recommendations (</w:t>
      </w:r>
      <w:proofErr w:type="spellStart"/>
      <w:r w:rsidRPr="00D36CDA">
        <w:rPr>
          <w:rFonts w:ascii="Arial" w:hAnsi="Arial" w:cs="Arial"/>
          <w:lang w:val="en-US"/>
        </w:rPr>
        <w:t>RCOphth</w:t>
      </w:r>
      <w:proofErr w:type="spellEnd"/>
      <w:r w:rsidRPr="00D36CDA">
        <w:rPr>
          <w:rFonts w:ascii="Arial" w:hAnsi="Arial" w:cs="Arial"/>
          <w:lang w:val="en-US"/>
        </w:rPr>
        <w:t>, 2016)</w:t>
      </w:r>
    </w:p>
    <w:p w14:paraId="44C2DB56"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 xml:space="preserve">White Paper </w:t>
      </w:r>
      <w:r w:rsidRPr="00D36CDA">
        <w:rPr>
          <w:rFonts w:ascii="Arial" w:hAnsi="Arial" w:cs="Arial"/>
          <w:i/>
          <w:iCs/>
        </w:rPr>
        <w:t xml:space="preserve">‘Our Health, Our Care, Our Say’ </w:t>
      </w:r>
      <w:r w:rsidRPr="00D36CDA">
        <w:rPr>
          <w:rFonts w:ascii="Arial" w:hAnsi="Arial" w:cs="Arial"/>
        </w:rPr>
        <w:t>(DOH, 2005)</w:t>
      </w:r>
      <w:r w:rsidRPr="00D36CDA">
        <w:rPr>
          <w:rFonts w:ascii="Arial" w:hAnsi="Arial" w:cs="Arial"/>
          <w:i/>
          <w:iCs/>
        </w:rPr>
        <w:t xml:space="preserve"> </w:t>
      </w:r>
    </w:p>
    <w:p w14:paraId="0265475D"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General Ophthalmic Services Review (DOH, 2006)</w:t>
      </w:r>
    </w:p>
    <w:p w14:paraId="026F7B74"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 xml:space="preserve">Safeguarding Patients (Gov,2007) </w:t>
      </w:r>
    </w:p>
    <w:p w14:paraId="09DFBB42"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 xml:space="preserve">Tackling Hospital Waiting: The 18 week Patient Pathway (May 2006) </w:t>
      </w:r>
    </w:p>
    <w:p w14:paraId="671F7A3B"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Five Year Forward View (NHS England, 2014)</w:t>
      </w:r>
    </w:p>
    <w:p w14:paraId="3DA128E8"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Francis Report (Francis, 2013)</w:t>
      </w:r>
    </w:p>
    <w:p w14:paraId="6AAB1D20" w14:textId="77777777" w:rsidR="00D36CDA" w:rsidRPr="000D2469"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lang w:val="en-US"/>
        </w:rPr>
        <w:t>Safety and quality Sub-Contractor regulations: Health and Social Care Act 2008 (Regulated Activities) Reg. 2014 and Care Quality Commission (Registration) Reg. 2009</w:t>
      </w:r>
    </w:p>
    <w:p w14:paraId="62BBEF48" w14:textId="5ED78C33" w:rsidR="000D2469" w:rsidRPr="004614FE" w:rsidRDefault="000D2469"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Pr>
          <w:rFonts w:ascii="Arial" w:hAnsi="Arial" w:cs="Arial"/>
          <w:lang w:val="en-US"/>
        </w:rPr>
        <w:t>Equality Act 2010</w:t>
      </w:r>
    </w:p>
    <w:p w14:paraId="31B1DF74" w14:textId="06119217" w:rsidR="00962410" w:rsidRPr="00962410" w:rsidRDefault="00962410" w:rsidP="004614FE">
      <w:pPr>
        <w:pStyle w:val="ListParagraph"/>
        <w:numPr>
          <w:ilvl w:val="0"/>
          <w:numId w:val="18"/>
        </w:numPr>
        <w:ind w:firstLine="556"/>
        <w:rPr>
          <w:rFonts w:ascii="Arial" w:hAnsi="Arial" w:cs="Arial"/>
        </w:rPr>
      </w:pPr>
      <w:r>
        <w:rPr>
          <w:rFonts w:ascii="Arial" w:hAnsi="Arial" w:cs="Arial"/>
        </w:rPr>
        <w:t xml:space="preserve">     </w:t>
      </w:r>
      <w:r w:rsidRPr="00962410">
        <w:rPr>
          <w:rFonts w:ascii="Arial" w:hAnsi="Arial" w:cs="Arial"/>
        </w:rPr>
        <w:t>Referral to Treatment (RTT) 18 Weeks compliance</w:t>
      </w:r>
    </w:p>
    <w:p w14:paraId="7651137F" w14:textId="77777777" w:rsidR="00962410" w:rsidRPr="00D36CDA" w:rsidRDefault="00962410" w:rsidP="004614FE">
      <w:pPr>
        <w:pStyle w:val="ListParagraph"/>
        <w:spacing w:after="240" w:line="240" w:lineRule="auto"/>
        <w:ind w:left="1701"/>
        <w:jc w:val="both"/>
        <w:rPr>
          <w:rFonts w:ascii="Arial" w:hAnsi="Arial" w:cs="Arial"/>
        </w:rPr>
      </w:pPr>
    </w:p>
    <w:p w14:paraId="09B16272" w14:textId="25799754" w:rsidR="00B65F28" w:rsidRPr="00D36CDA" w:rsidRDefault="00D36CDA" w:rsidP="00D75E7E">
      <w:pPr>
        <w:spacing w:after="240" w:line="240" w:lineRule="auto"/>
        <w:ind w:left="851"/>
        <w:jc w:val="both"/>
        <w:rPr>
          <w:rFonts w:ascii="Arial" w:hAnsi="Arial" w:cs="Arial"/>
        </w:rPr>
      </w:pPr>
      <w:r w:rsidRPr="00D36CDA">
        <w:rPr>
          <w:rFonts w:ascii="Arial" w:hAnsi="Arial" w:cs="Arial"/>
        </w:rPr>
        <w:t>Applicable L</w:t>
      </w:r>
      <w:r w:rsidR="00B65F28" w:rsidRPr="00D36CDA">
        <w:rPr>
          <w:rFonts w:ascii="Arial" w:hAnsi="Arial" w:cs="Arial"/>
        </w:rPr>
        <w:t xml:space="preserve">ocal </w:t>
      </w:r>
      <w:r w:rsidRPr="00D36CDA">
        <w:rPr>
          <w:rFonts w:ascii="Arial" w:hAnsi="Arial" w:cs="Arial"/>
        </w:rPr>
        <w:t>S</w:t>
      </w:r>
      <w:r w:rsidR="00B65F28" w:rsidRPr="00D36CDA">
        <w:rPr>
          <w:rFonts w:ascii="Arial" w:hAnsi="Arial" w:cs="Arial"/>
        </w:rPr>
        <w:t>tandards</w:t>
      </w:r>
      <w:r w:rsidRPr="00D36CDA">
        <w:rPr>
          <w:rFonts w:ascii="Arial" w:hAnsi="Arial" w:cs="Arial"/>
        </w:rPr>
        <w:t xml:space="preserve"> include:</w:t>
      </w:r>
    </w:p>
    <w:p w14:paraId="35C7E11A"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First appointment within 4 weeks</w:t>
      </w:r>
    </w:p>
    <w:p w14:paraId="50136EDF"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Letter turnaround within 10 days</w:t>
      </w:r>
    </w:p>
    <w:p w14:paraId="14914558"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First line diagnostics on the same day as clinical assessments</w:t>
      </w:r>
    </w:p>
    <w:p w14:paraId="241DFCC3"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New to follow up ratio below national average</w:t>
      </w:r>
    </w:p>
    <w:p w14:paraId="2D769CBB"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Onward referral rate to be monitored</w:t>
      </w:r>
    </w:p>
    <w:p w14:paraId="3A678E3F"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Clinical governance and audit</w:t>
      </w:r>
    </w:p>
    <w:p w14:paraId="54689CF1" w14:textId="77777777" w:rsidR="00B65F28" w:rsidRPr="001878D7" w:rsidRDefault="00B65F28" w:rsidP="00D75E7E">
      <w:pPr>
        <w:spacing w:after="240" w:line="240" w:lineRule="auto"/>
        <w:ind w:left="851"/>
        <w:jc w:val="both"/>
        <w:rPr>
          <w:rFonts w:ascii="Arial" w:hAnsi="Arial" w:cs="Arial"/>
          <w:b/>
        </w:rPr>
      </w:pPr>
    </w:p>
    <w:p w14:paraId="4C59A603" w14:textId="0469FB39" w:rsidR="00642C6D" w:rsidRPr="001878D7" w:rsidRDefault="00BF7A6D" w:rsidP="004A59CA">
      <w:pPr>
        <w:pStyle w:val="Heading2"/>
      </w:pPr>
      <w:bookmarkStart w:id="16" w:name="_Toc476153207"/>
      <w:r>
        <w:t>5</w:t>
      </w:r>
      <w:r w:rsidR="00B65F28" w:rsidRPr="001878D7">
        <w:t xml:space="preserve">.2 </w:t>
      </w:r>
      <w:r>
        <w:tab/>
      </w:r>
      <w:r w:rsidR="00B65F28" w:rsidRPr="001878D7">
        <w:t>Staff and Staff Management</w:t>
      </w:r>
      <w:bookmarkEnd w:id="16"/>
    </w:p>
    <w:p w14:paraId="05EE9D08" w14:textId="3E59454E" w:rsidR="000250C2" w:rsidRDefault="00B65F28" w:rsidP="00D75E7E">
      <w:pPr>
        <w:spacing w:after="240" w:line="240" w:lineRule="auto"/>
        <w:ind w:left="851"/>
        <w:jc w:val="both"/>
        <w:rPr>
          <w:rFonts w:ascii="Arial" w:hAnsi="Arial" w:cs="Arial"/>
        </w:rPr>
      </w:pPr>
      <w:r w:rsidRPr="001878D7">
        <w:rPr>
          <w:rFonts w:ascii="Arial" w:hAnsi="Arial" w:cs="Arial"/>
        </w:rPr>
        <w:t xml:space="preserve">The </w:t>
      </w:r>
      <w:r w:rsidR="00D36CDA">
        <w:rPr>
          <w:rFonts w:ascii="Arial" w:hAnsi="Arial" w:cs="Arial"/>
        </w:rPr>
        <w:t>Sub-Contractor</w:t>
      </w:r>
      <w:r w:rsidRPr="001878D7">
        <w:rPr>
          <w:rFonts w:ascii="Arial" w:hAnsi="Arial" w:cs="Arial"/>
        </w:rPr>
        <w:t xml:space="preserve"> must ensure that </w:t>
      </w:r>
      <w:r w:rsidR="000250C2">
        <w:rPr>
          <w:rFonts w:ascii="Arial" w:hAnsi="Arial" w:cs="Arial"/>
        </w:rPr>
        <w:t xml:space="preserve">there are sufficient appropriately registered, qualified and experienced medical, nursing and other clinical and non-clinical staff </w:t>
      </w:r>
      <w:r w:rsidR="000250C2">
        <w:rPr>
          <w:rFonts w:ascii="Arial" w:hAnsi="Arial" w:cs="Arial"/>
        </w:rPr>
        <w:lastRenderedPageBreak/>
        <w:t xml:space="preserve">to enable the services to be delivered at all times in accordance with the Sub-Contract. </w:t>
      </w:r>
    </w:p>
    <w:p w14:paraId="2642A07A" w14:textId="069E98A7" w:rsidR="00B65F28" w:rsidRPr="001878D7" w:rsidRDefault="000250C2" w:rsidP="00D75E7E">
      <w:pPr>
        <w:spacing w:after="240" w:line="240" w:lineRule="auto"/>
        <w:ind w:left="851"/>
        <w:jc w:val="both"/>
        <w:rPr>
          <w:rFonts w:ascii="Arial" w:hAnsi="Arial" w:cs="Arial"/>
        </w:rPr>
      </w:pPr>
      <w:r>
        <w:rPr>
          <w:rFonts w:ascii="Arial" w:hAnsi="Arial" w:cs="Arial"/>
          <w:color w:val="222222"/>
          <w:shd w:val="clear" w:color="auto" w:fill="FFFFFF"/>
        </w:rPr>
        <w:t xml:space="preserve">Before the Sub-Contractor engages or employs any person in the provision of the Services, the Sub-Contractor must at its own costs comply with </w:t>
      </w:r>
      <w:hyperlink r:id="rId9" w:history="1">
        <w:r w:rsidRPr="000E6EBD">
          <w:rPr>
            <w:rStyle w:val="Hyperlink"/>
            <w:rFonts w:ascii="Arial" w:hAnsi="Arial" w:cs="Arial"/>
            <w:shd w:val="clear" w:color="auto" w:fill="FFFFFF"/>
          </w:rPr>
          <w:t>NHS Employment Check Standards</w:t>
        </w:r>
      </w:hyperlink>
      <w:r>
        <w:rPr>
          <w:rFonts w:ascii="Arial" w:hAnsi="Arial" w:cs="Arial"/>
          <w:color w:val="222222"/>
          <w:shd w:val="clear" w:color="auto" w:fill="FFFFFF"/>
        </w:rPr>
        <w:t xml:space="preserve">; and other checks as required by the DBS or which are to be undertaken in accordance with current and </w:t>
      </w:r>
      <w:r w:rsidR="004614FE">
        <w:rPr>
          <w:rFonts w:ascii="Arial" w:hAnsi="Arial" w:cs="Arial"/>
          <w:color w:val="222222"/>
          <w:shd w:val="clear" w:color="auto" w:fill="FFFFFF"/>
        </w:rPr>
        <w:t>future</w:t>
      </w:r>
      <w:r>
        <w:rPr>
          <w:rFonts w:ascii="Arial" w:hAnsi="Arial" w:cs="Arial"/>
          <w:color w:val="222222"/>
          <w:shd w:val="clear" w:color="auto" w:fill="FFFFFF"/>
        </w:rPr>
        <w:t xml:space="preserve"> national guidelines and policies.</w:t>
      </w:r>
    </w:p>
    <w:p w14:paraId="65132490" w14:textId="541EFA79"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D36CDA">
        <w:rPr>
          <w:rFonts w:ascii="Arial" w:hAnsi="Arial" w:cs="Arial"/>
        </w:rPr>
        <w:t>Sub-Contractor</w:t>
      </w:r>
      <w:r w:rsidR="00D36CDA" w:rsidRPr="001878D7">
        <w:rPr>
          <w:rFonts w:ascii="Arial" w:hAnsi="Arial" w:cs="Arial"/>
        </w:rPr>
        <w:t xml:space="preserve"> </w:t>
      </w:r>
      <w:r w:rsidRPr="001878D7">
        <w:rPr>
          <w:rFonts w:ascii="Arial" w:hAnsi="Arial" w:cs="Arial"/>
        </w:rPr>
        <w:t xml:space="preserve">is expected to demonstrate that employees’ competencies and skill levels are in line with any national guidance and that these are clearly laid out in a locally agreed competency framework which is assessed on a regular basis.  </w:t>
      </w:r>
    </w:p>
    <w:p w14:paraId="2A6E83A7" w14:textId="273A09EA"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D36CDA">
        <w:rPr>
          <w:rFonts w:ascii="Arial" w:hAnsi="Arial" w:cs="Arial"/>
        </w:rPr>
        <w:t>Sub-Contractor</w:t>
      </w:r>
      <w:r w:rsidR="00D36CDA" w:rsidRPr="001878D7">
        <w:rPr>
          <w:rFonts w:ascii="Arial" w:hAnsi="Arial" w:cs="Arial"/>
        </w:rPr>
        <w:t xml:space="preserve"> </w:t>
      </w:r>
      <w:r w:rsidRPr="001878D7">
        <w:rPr>
          <w:rFonts w:ascii="Arial" w:hAnsi="Arial" w:cs="Arial"/>
        </w:rPr>
        <w:t>will be required to demonstrate how they ensure the maintenance and development of the relevant clinical skills of their staff.</w:t>
      </w:r>
    </w:p>
    <w:p w14:paraId="6CBD6140" w14:textId="0D5301F5"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Where </w:t>
      </w:r>
      <w:proofErr w:type="gramStart"/>
      <w:r w:rsidRPr="001878D7">
        <w:rPr>
          <w:rFonts w:ascii="Arial" w:hAnsi="Arial" w:cs="Arial"/>
        </w:rPr>
        <w:t>staff are</w:t>
      </w:r>
      <w:proofErr w:type="gramEnd"/>
      <w:r w:rsidRPr="001878D7">
        <w:rPr>
          <w:rFonts w:ascii="Arial" w:hAnsi="Arial" w:cs="Arial"/>
        </w:rPr>
        <w:t xml:space="preserve"> required to be registered with professional bodies it is the responsibility of the </w:t>
      </w:r>
      <w:r w:rsidR="003A0522">
        <w:rPr>
          <w:rFonts w:ascii="Arial" w:hAnsi="Arial" w:cs="Arial"/>
        </w:rPr>
        <w:t xml:space="preserve">Sub-Contractor </w:t>
      </w:r>
      <w:r w:rsidRPr="001878D7">
        <w:rPr>
          <w:rFonts w:ascii="Arial" w:hAnsi="Arial" w:cs="Arial"/>
        </w:rPr>
        <w:t xml:space="preserve">to check compliance. </w:t>
      </w:r>
    </w:p>
    <w:p w14:paraId="3848CE4F" w14:textId="4F5E43DB" w:rsidR="00B65F28" w:rsidRPr="001878D7" w:rsidRDefault="003602F0" w:rsidP="00D75E7E">
      <w:pPr>
        <w:spacing w:after="240" w:line="240" w:lineRule="auto"/>
        <w:ind w:left="851"/>
        <w:jc w:val="both"/>
        <w:rPr>
          <w:rFonts w:ascii="Arial" w:hAnsi="Arial" w:cs="Arial"/>
        </w:rPr>
      </w:pPr>
      <w:r>
        <w:rPr>
          <w:rFonts w:ascii="Arial" w:hAnsi="Arial" w:cs="Arial"/>
        </w:rPr>
        <w:t xml:space="preserve">During the term of the Sub-Contract, the Sub-Contractor must follow and adhere to the relevant UHBFT policies and procedures which will be listed in the Sub-Contract. </w:t>
      </w:r>
      <w:r w:rsidR="00D36CDA">
        <w:rPr>
          <w:rFonts w:ascii="Arial" w:hAnsi="Arial" w:cs="Arial"/>
        </w:rPr>
        <w:t>A</w:t>
      </w:r>
      <w:r w:rsidR="00B65F28" w:rsidRPr="001878D7">
        <w:rPr>
          <w:rFonts w:ascii="Arial" w:hAnsi="Arial" w:cs="Arial"/>
        </w:rPr>
        <w:t xml:space="preserve">ll </w:t>
      </w:r>
      <w:r>
        <w:rPr>
          <w:rFonts w:ascii="Arial" w:hAnsi="Arial" w:cs="Arial"/>
        </w:rPr>
        <w:t xml:space="preserve">Sub-Contractor </w:t>
      </w:r>
      <w:r w:rsidR="00B65F28" w:rsidRPr="001878D7">
        <w:rPr>
          <w:rFonts w:ascii="Arial" w:hAnsi="Arial" w:cs="Arial"/>
        </w:rPr>
        <w:t xml:space="preserve">staff new to the </w:t>
      </w:r>
      <w:r>
        <w:rPr>
          <w:rFonts w:ascii="Arial" w:hAnsi="Arial" w:cs="Arial"/>
        </w:rPr>
        <w:t xml:space="preserve">service must </w:t>
      </w:r>
      <w:r w:rsidR="00B65F28" w:rsidRPr="001878D7">
        <w:rPr>
          <w:rFonts w:ascii="Arial" w:hAnsi="Arial" w:cs="Arial"/>
        </w:rPr>
        <w:t>have an induction programme to ensure that they are familiar with Trust policies and procedures.</w:t>
      </w:r>
    </w:p>
    <w:p w14:paraId="5C1F827E" w14:textId="77777777" w:rsidR="00B65F28" w:rsidRPr="001878D7" w:rsidRDefault="00B65F28" w:rsidP="00D75E7E">
      <w:pPr>
        <w:spacing w:after="240" w:line="240" w:lineRule="auto"/>
        <w:ind w:left="851"/>
        <w:jc w:val="both"/>
        <w:rPr>
          <w:rFonts w:ascii="Arial" w:hAnsi="Arial" w:cs="Arial"/>
        </w:rPr>
      </w:pPr>
      <w:r w:rsidRPr="001878D7">
        <w:rPr>
          <w:rFonts w:ascii="Arial" w:hAnsi="Arial" w:cs="Arial"/>
        </w:rPr>
        <w:t>All staff must be aware of the corporate objectives and vision of the Trust and support the delivery of these within the service.</w:t>
      </w:r>
    </w:p>
    <w:p w14:paraId="3FDDF4CA" w14:textId="673117EA" w:rsidR="00B65F28" w:rsidRDefault="00B65F28" w:rsidP="00D75E7E">
      <w:pPr>
        <w:spacing w:after="240" w:line="240" w:lineRule="auto"/>
        <w:ind w:left="851"/>
        <w:jc w:val="both"/>
        <w:rPr>
          <w:rFonts w:ascii="Arial" w:hAnsi="Arial" w:cs="Arial"/>
        </w:rPr>
      </w:pPr>
      <w:r w:rsidRPr="001878D7">
        <w:rPr>
          <w:rFonts w:ascii="Arial" w:hAnsi="Arial" w:cs="Arial"/>
        </w:rPr>
        <w:t xml:space="preserve">The </w:t>
      </w:r>
      <w:r w:rsidR="009F2CBF">
        <w:rPr>
          <w:rFonts w:ascii="Arial" w:hAnsi="Arial" w:cs="Arial"/>
        </w:rPr>
        <w:t>Sub-Contractor</w:t>
      </w:r>
      <w:r w:rsidRPr="001878D7">
        <w:rPr>
          <w:rFonts w:ascii="Arial" w:hAnsi="Arial" w:cs="Arial"/>
        </w:rPr>
        <w:t xml:space="preserve"> will undertake annual appraisals for its employees where it is the main employer. The </w:t>
      </w:r>
      <w:r w:rsidR="009F2CBF">
        <w:rPr>
          <w:rFonts w:ascii="Arial" w:hAnsi="Arial" w:cs="Arial"/>
        </w:rPr>
        <w:t>Sub-Contractor</w:t>
      </w:r>
      <w:r w:rsidRPr="001878D7">
        <w:rPr>
          <w:rFonts w:ascii="Arial" w:hAnsi="Arial" w:cs="Arial"/>
        </w:rPr>
        <w:t xml:space="preserve"> will check appraisals conducted by main NHS employer for contracted Consultants. The </w:t>
      </w:r>
      <w:r w:rsidR="009F2CBF">
        <w:rPr>
          <w:rFonts w:ascii="Arial" w:hAnsi="Arial" w:cs="Arial"/>
        </w:rPr>
        <w:t>Sub-Contractor</w:t>
      </w:r>
      <w:r w:rsidRPr="001878D7">
        <w:rPr>
          <w:rFonts w:ascii="Arial" w:hAnsi="Arial" w:cs="Arial"/>
        </w:rPr>
        <w:t xml:space="preserve"> will check registrations of non-consultant bank staff (nurses and optometrists) to ensure ongoing maintenance of registration and ongoing Continuing Professional Development. Where non-consultant bank staff are not working under the direct supervision of a Consultant, regular, targeted audits of the clinical work are carried out.</w:t>
      </w:r>
    </w:p>
    <w:p w14:paraId="616F57AE" w14:textId="3DFC0D15" w:rsidR="009F2CBF" w:rsidRDefault="009F2CBF" w:rsidP="00D75E7E">
      <w:pPr>
        <w:spacing w:after="240" w:line="240" w:lineRule="auto"/>
        <w:ind w:left="851"/>
        <w:jc w:val="both"/>
        <w:rPr>
          <w:rFonts w:ascii="Arial" w:hAnsi="Arial" w:cs="Arial"/>
        </w:rPr>
      </w:pPr>
      <w:r>
        <w:rPr>
          <w:rFonts w:ascii="Arial" w:hAnsi="Arial" w:cs="Arial"/>
        </w:rPr>
        <w:t>The Sub-Contractor should comply with the recommendations set out in the Department for Health paper ‘</w:t>
      </w:r>
      <w:r w:rsidRPr="009F2CBF">
        <w:rPr>
          <w:rFonts w:ascii="Arial" w:hAnsi="Arial" w:cs="Arial"/>
        </w:rPr>
        <w:t xml:space="preserve">Trust, Assurance and Safety – the Regulation of Health Professionals </w:t>
      </w:r>
      <w:r>
        <w:rPr>
          <w:rFonts w:ascii="Arial" w:hAnsi="Arial" w:cs="Arial"/>
        </w:rPr>
        <w:t>(February 2007)’.</w:t>
      </w:r>
    </w:p>
    <w:p w14:paraId="57EC77D7" w14:textId="25BE4F0B" w:rsidR="00297CD9" w:rsidRPr="001878D7" w:rsidRDefault="00297CD9" w:rsidP="00D75E7E">
      <w:pPr>
        <w:spacing w:after="240" w:line="240" w:lineRule="auto"/>
        <w:ind w:left="851"/>
        <w:jc w:val="both"/>
        <w:rPr>
          <w:rFonts w:ascii="Arial" w:hAnsi="Arial" w:cs="Arial"/>
        </w:rPr>
      </w:pPr>
      <w:r>
        <w:rPr>
          <w:rFonts w:ascii="Arial" w:hAnsi="Arial" w:cs="Arial"/>
        </w:rPr>
        <w:t>All staff must be aware of and respect equality, and human rights of colleagues, service users, carers and the public.</w:t>
      </w:r>
    </w:p>
    <w:p w14:paraId="4104BB21" w14:textId="064DDDDA" w:rsidR="00B65F28" w:rsidRPr="001878D7" w:rsidRDefault="00BF7A6D" w:rsidP="004A59CA">
      <w:pPr>
        <w:pStyle w:val="Heading2"/>
      </w:pPr>
      <w:bookmarkStart w:id="17" w:name="_Toc476153208"/>
      <w:r>
        <w:t>5</w:t>
      </w:r>
      <w:r w:rsidR="00B65F28" w:rsidRPr="001878D7">
        <w:t>.</w:t>
      </w:r>
      <w:r>
        <w:t>3</w:t>
      </w:r>
      <w:r w:rsidR="00B65F28" w:rsidRPr="001878D7">
        <w:t xml:space="preserve">  </w:t>
      </w:r>
      <w:r>
        <w:tab/>
      </w:r>
      <w:r w:rsidR="00B65F28" w:rsidRPr="001878D7">
        <w:t>Clinical Effectiveness and Audit</w:t>
      </w:r>
      <w:bookmarkEnd w:id="17"/>
    </w:p>
    <w:p w14:paraId="6D8BC158" w14:textId="48B2FF45"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It is required that the </w:t>
      </w:r>
      <w:r w:rsidR="009F2CBF">
        <w:rPr>
          <w:rFonts w:ascii="Arial" w:hAnsi="Arial" w:cs="Arial"/>
        </w:rPr>
        <w:t>Sub-Contractor</w:t>
      </w:r>
      <w:r w:rsidRPr="001878D7">
        <w:rPr>
          <w:rFonts w:ascii="Arial" w:hAnsi="Arial" w:cs="Arial"/>
        </w:rPr>
        <w:t xml:space="preserve"> delivers a service that is clinically effective, and that they regularly review their clinical practices in light of emerging evidence with regards to the effectiveness, efficiency and safety of individual interventions. </w:t>
      </w:r>
    </w:p>
    <w:p w14:paraId="25853D70" w14:textId="6E5DF91B"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3A0522">
        <w:rPr>
          <w:rFonts w:ascii="Arial" w:hAnsi="Arial" w:cs="Arial"/>
        </w:rPr>
        <w:t xml:space="preserve">Sub-Contractor </w:t>
      </w:r>
      <w:r w:rsidRPr="001878D7">
        <w:rPr>
          <w:rFonts w:ascii="Arial" w:hAnsi="Arial" w:cs="Arial"/>
        </w:rPr>
        <w:t>should provide the services in accordance with up-to-date evidence of clinical effectiveness and in particular, compliance with the following:</w:t>
      </w:r>
    </w:p>
    <w:p w14:paraId="01FF2FCB" w14:textId="77777777" w:rsidR="00ED6F5E" w:rsidRPr="00ED6F5E" w:rsidRDefault="00ED6F5E" w:rsidP="00A01256">
      <w:pPr>
        <w:pStyle w:val="ListParagraph"/>
        <w:numPr>
          <w:ilvl w:val="0"/>
          <w:numId w:val="10"/>
        </w:numPr>
        <w:spacing w:after="240" w:line="240" w:lineRule="auto"/>
        <w:ind w:left="851"/>
        <w:jc w:val="both"/>
        <w:rPr>
          <w:rFonts w:ascii="Arial" w:hAnsi="Arial" w:cs="Arial"/>
          <w:bCs/>
          <w:vanish/>
        </w:rPr>
      </w:pPr>
    </w:p>
    <w:p w14:paraId="675492CB" w14:textId="77777777" w:rsidR="00ED6F5E" w:rsidRPr="00ED6F5E" w:rsidRDefault="00ED6F5E" w:rsidP="00A01256">
      <w:pPr>
        <w:pStyle w:val="ListParagraph"/>
        <w:numPr>
          <w:ilvl w:val="0"/>
          <w:numId w:val="10"/>
        </w:numPr>
        <w:spacing w:after="240" w:line="240" w:lineRule="auto"/>
        <w:ind w:left="851"/>
        <w:jc w:val="both"/>
        <w:rPr>
          <w:rFonts w:ascii="Arial" w:hAnsi="Arial" w:cs="Arial"/>
          <w:bCs/>
          <w:vanish/>
        </w:rPr>
      </w:pPr>
    </w:p>
    <w:p w14:paraId="6A77238B" w14:textId="77777777" w:rsidR="00ED6F5E" w:rsidRPr="00ED6F5E" w:rsidRDefault="00ED6F5E" w:rsidP="00A01256">
      <w:pPr>
        <w:pStyle w:val="ListParagraph"/>
        <w:numPr>
          <w:ilvl w:val="1"/>
          <w:numId w:val="10"/>
        </w:numPr>
        <w:spacing w:after="240" w:line="240" w:lineRule="auto"/>
        <w:ind w:left="851"/>
        <w:jc w:val="both"/>
        <w:rPr>
          <w:rFonts w:ascii="Arial" w:hAnsi="Arial" w:cs="Arial"/>
          <w:bCs/>
          <w:vanish/>
        </w:rPr>
      </w:pPr>
    </w:p>
    <w:p w14:paraId="223A6702" w14:textId="77777777" w:rsidR="00ED6F5E" w:rsidRPr="00ED6F5E" w:rsidRDefault="00ED6F5E" w:rsidP="00A01256">
      <w:pPr>
        <w:pStyle w:val="ListParagraph"/>
        <w:numPr>
          <w:ilvl w:val="1"/>
          <w:numId w:val="10"/>
        </w:numPr>
        <w:spacing w:after="240" w:line="240" w:lineRule="auto"/>
        <w:ind w:left="851"/>
        <w:jc w:val="both"/>
        <w:rPr>
          <w:rFonts w:ascii="Arial" w:hAnsi="Arial" w:cs="Arial"/>
          <w:bCs/>
          <w:vanish/>
        </w:rPr>
      </w:pPr>
    </w:p>
    <w:p w14:paraId="0392BDE5" w14:textId="779B773D" w:rsidR="00B65F28" w:rsidRPr="00BF7A6D" w:rsidRDefault="00B65F28" w:rsidP="004A59CA">
      <w:pPr>
        <w:pStyle w:val="ListParagraph"/>
        <w:numPr>
          <w:ilvl w:val="2"/>
          <w:numId w:val="10"/>
        </w:numPr>
        <w:spacing w:after="240" w:line="240" w:lineRule="auto"/>
        <w:ind w:left="1985"/>
        <w:jc w:val="both"/>
        <w:rPr>
          <w:rFonts w:ascii="Arial" w:hAnsi="Arial" w:cs="Arial"/>
          <w:bCs/>
        </w:rPr>
      </w:pPr>
      <w:r w:rsidRPr="00BF7A6D">
        <w:rPr>
          <w:rFonts w:ascii="Arial" w:hAnsi="Arial" w:cs="Arial"/>
          <w:bCs/>
        </w:rPr>
        <w:t>Care Quality Commission Healthcare Regulations 2010.</w:t>
      </w:r>
    </w:p>
    <w:p w14:paraId="1B02BCC6" w14:textId="43CBDF51" w:rsidR="00B65F28" w:rsidRPr="001878D7" w:rsidRDefault="00ED6F5E" w:rsidP="004A59CA">
      <w:pPr>
        <w:spacing w:after="240" w:line="240" w:lineRule="auto"/>
        <w:ind w:left="1985" w:hanging="720"/>
        <w:jc w:val="both"/>
        <w:rPr>
          <w:rFonts w:ascii="Arial" w:hAnsi="Arial" w:cs="Arial"/>
          <w:bCs/>
        </w:rPr>
      </w:pPr>
      <w:r>
        <w:rPr>
          <w:rFonts w:ascii="Arial" w:hAnsi="Arial" w:cs="Arial"/>
          <w:bCs/>
        </w:rPr>
        <w:lastRenderedPageBreak/>
        <w:t>5</w:t>
      </w:r>
      <w:r w:rsidR="00BF7A6D">
        <w:rPr>
          <w:rFonts w:ascii="Arial" w:hAnsi="Arial" w:cs="Arial"/>
          <w:bCs/>
        </w:rPr>
        <w:t>.</w:t>
      </w:r>
      <w:r>
        <w:rPr>
          <w:rFonts w:ascii="Arial" w:hAnsi="Arial" w:cs="Arial"/>
          <w:bCs/>
        </w:rPr>
        <w:t>3</w:t>
      </w:r>
      <w:r w:rsidR="00BF7A6D">
        <w:rPr>
          <w:rFonts w:ascii="Arial" w:hAnsi="Arial" w:cs="Arial"/>
          <w:bCs/>
        </w:rPr>
        <w:t>.2</w:t>
      </w:r>
      <w:r w:rsidR="00BF7A6D">
        <w:rPr>
          <w:rFonts w:ascii="Arial" w:hAnsi="Arial" w:cs="Arial"/>
          <w:bCs/>
        </w:rPr>
        <w:tab/>
      </w:r>
      <w:r w:rsidR="00B65F28" w:rsidRPr="001878D7">
        <w:rPr>
          <w:rFonts w:ascii="Arial" w:hAnsi="Arial" w:cs="Arial"/>
          <w:bCs/>
        </w:rPr>
        <w:t>Relevant national standards and guidelines  e.g. National Institute for Health and C</w:t>
      </w:r>
      <w:r w:rsidR="009F2CBF">
        <w:rPr>
          <w:rFonts w:ascii="Arial" w:hAnsi="Arial" w:cs="Arial"/>
          <w:bCs/>
        </w:rPr>
        <w:t>are Excellent (NICE) guidelines</w:t>
      </w:r>
      <w:r w:rsidR="00B65F28" w:rsidRPr="001878D7">
        <w:rPr>
          <w:rFonts w:ascii="Arial" w:hAnsi="Arial" w:cs="Arial"/>
          <w:bCs/>
        </w:rPr>
        <w:t>, Central Alerting System (CAS) alerts and relevant technical appraisals.</w:t>
      </w:r>
    </w:p>
    <w:p w14:paraId="4116ABC1" w14:textId="13A396D6" w:rsidR="00B65F28" w:rsidRDefault="00B65F28" w:rsidP="00D75E7E">
      <w:pPr>
        <w:spacing w:after="240" w:line="240" w:lineRule="auto"/>
        <w:ind w:left="851"/>
        <w:jc w:val="both"/>
        <w:rPr>
          <w:rFonts w:ascii="Arial" w:hAnsi="Arial" w:cs="Arial"/>
        </w:rPr>
      </w:pPr>
      <w:r w:rsidRPr="001878D7">
        <w:rPr>
          <w:rFonts w:ascii="Arial" w:hAnsi="Arial" w:cs="Arial"/>
        </w:rPr>
        <w:t xml:space="preserve">The </w:t>
      </w:r>
      <w:r w:rsidR="009F2CBF">
        <w:rPr>
          <w:rFonts w:ascii="Arial" w:hAnsi="Arial" w:cs="Arial"/>
        </w:rPr>
        <w:t>Sub-Contractor</w:t>
      </w:r>
      <w:r w:rsidRPr="001878D7">
        <w:rPr>
          <w:rFonts w:ascii="Arial" w:hAnsi="Arial" w:cs="Arial"/>
        </w:rPr>
        <w:t xml:space="preserve"> will provide a periodic clinical audit package for consideration by the </w:t>
      </w:r>
      <w:r w:rsidR="009F2CBF">
        <w:rPr>
          <w:rFonts w:ascii="Arial" w:hAnsi="Arial" w:cs="Arial"/>
        </w:rPr>
        <w:t>UHBFT</w:t>
      </w:r>
      <w:r w:rsidR="003A7EAF" w:rsidRPr="001878D7">
        <w:rPr>
          <w:rFonts w:ascii="Arial" w:hAnsi="Arial" w:cs="Arial"/>
        </w:rPr>
        <w:t>.</w:t>
      </w:r>
      <w:r w:rsidRPr="001878D7">
        <w:rPr>
          <w:rFonts w:ascii="Arial" w:hAnsi="Arial" w:cs="Arial"/>
        </w:rPr>
        <w:t xml:space="preserve"> The content, format and frequency of this reporting package </w:t>
      </w:r>
      <w:proofErr w:type="gramStart"/>
      <w:r w:rsidRPr="001878D7">
        <w:rPr>
          <w:rFonts w:ascii="Arial" w:hAnsi="Arial" w:cs="Arial"/>
        </w:rPr>
        <w:t>is</w:t>
      </w:r>
      <w:proofErr w:type="gramEnd"/>
      <w:r w:rsidRPr="001878D7">
        <w:rPr>
          <w:rFonts w:ascii="Arial" w:hAnsi="Arial" w:cs="Arial"/>
        </w:rPr>
        <w:t xml:space="preserve"> to be mutually agreed between </w:t>
      </w:r>
      <w:r w:rsidR="009F2CBF">
        <w:rPr>
          <w:rFonts w:ascii="Arial" w:hAnsi="Arial" w:cs="Arial"/>
        </w:rPr>
        <w:t>Sub-Contractor</w:t>
      </w:r>
      <w:r w:rsidR="00ED6F5E">
        <w:rPr>
          <w:rFonts w:ascii="Arial" w:hAnsi="Arial" w:cs="Arial"/>
        </w:rPr>
        <w:t xml:space="preserve"> and </w:t>
      </w:r>
      <w:r w:rsidR="00197093" w:rsidRPr="001878D7">
        <w:rPr>
          <w:rFonts w:ascii="Arial" w:hAnsi="Arial" w:cs="Arial"/>
        </w:rPr>
        <w:t>UHB</w:t>
      </w:r>
      <w:r w:rsidR="009F2CBF">
        <w:rPr>
          <w:rFonts w:ascii="Arial" w:hAnsi="Arial" w:cs="Arial"/>
        </w:rPr>
        <w:t>FT</w:t>
      </w:r>
      <w:r w:rsidR="00197093" w:rsidRPr="001878D7">
        <w:rPr>
          <w:rFonts w:ascii="Arial" w:hAnsi="Arial" w:cs="Arial"/>
        </w:rPr>
        <w:t>. T</w:t>
      </w:r>
      <w:r w:rsidRPr="001878D7">
        <w:rPr>
          <w:rFonts w:ascii="Arial" w:hAnsi="Arial" w:cs="Arial"/>
        </w:rPr>
        <w:t>he frequency of reporting will be no less than quarterly. All audits undertaken must comply with the Trusts audit policy and be registered accordingly</w:t>
      </w:r>
      <w:r w:rsidR="00BF7A6D">
        <w:rPr>
          <w:rFonts w:ascii="Arial" w:hAnsi="Arial" w:cs="Arial"/>
        </w:rPr>
        <w:t>.</w:t>
      </w:r>
    </w:p>
    <w:p w14:paraId="7FE98490" w14:textId="77777777" w:rsidR="00BF7A6D" w:rsidRPr="001878D7" w:rsidRDefault="00BF7A6D" w:rsidP="00D75E7E">
      <w:pPr>
        <w:spacing w:after="240" w:line="240" w:lineRule="auto"/>
        <w:ind w:left="851"/>
        <w:jc w:val="both"/>
        <w:rPr>
          <w:rFonts w:ascii="Arial" w:hAnsi="Arial" w:cs="Arial"/>
        </w:rPr>
      </w:pPr>
    </w:p>
    <w:p w14:paraId="1DC7F404" w14:textId="1210D15D" w:rsidR="00B65F28" w:rsidRPr="00BF7A6D" w:rsidRDefault="00BF7A6D" w:rsidP="004A59CA">
      <w:pPr>
        <w:pStyle w:val="Heading2"/>
      </w:pPr>
      <w:bookmarkStart w:id="18" w:name="_Toc476153209"/>
      <w:r>
        <w:t>5.4</w:t>
      </w:r>
      <w:r w:rsidR="00B65F28" w:rsidRPr="00BF7A6D">
        <w:t xml:space="preserve"> </w:t>
      </w:r>
      <w:r w:rsidRPr="00BF7A6D">
        <w:tab/>
      </w:r>
      <w:r w:rsidR="00B65F28" w:rsidRPr="00BF7A6D">
        <w:t xml:space="preserve">Risk </w:t>
      </w:r>
      <w:r w:rsidR="009F2CBF">
        <w:t xml:space="preserve">and Incident </w:t>
      </w:r>
      <w:r w:rsidR="00B65F28" w:rsidRPr="00BF7A6D">
        <w:t>Management</w:t>
      </w:r>
      <w:bookmarkEnd w:id="18"/>
    </w:p>
    <w:p w14:paraId="3D47012D" w14:textId="3BAE628A" w:rsidR="00BF7A6D" w:rsidRDefault="00B65F28" w:rsidP="00D75E7E">
      <w:pPr>
        <w:spacing w:after="240" w:line="240" w:lineRule="auto"/>
        <w:ind w:left="851"/>
        <w:jc w:val="both"/>
        <w:rPr>
          <w:rFonts w:ascii="Arial" w:hAnsi="Arial" w:cs="Arial"/>
        </w:rPr>
      </w:pPr>
      <w:r w:rsidRPr="001878D7">
        <w:rPr>
          <w:rFonts w:ascii="Arial" w:hAnsi="Arial" w:cs="Arial"/>
        </w:rPr>
        <w:t xml:space="preserve">Key components of any quality assurance programme are the minimisation of risk and effective management of those incidents that do occur. It is expected that the </w:t>
      </w:r>
      <w:r w:rsidR="009F2CBF">
        <w:rPr>
          <w:rFonts w:ascii="Arial" w:hAnsi="Arial" w:cs="Arial"/>
        </w:rPr>
        <w:t>Sub-Contractor</w:t>
      </w:r>
      <w:r w:rsidRPr="001878D7">
        <w:rPr>
          <w:rFonts w:ascii="Arial" w:hAnsi="Arial" w:cs="Arial"/>
        </w:rPr>
        <w:t xml:space="preserve"> will:</w:t>
      </w:r>
    </w:p>
    <w:p w14:paraId="77249879" w14:textId="287A425D" w:rsidR="00B65F28" w:rsidRPr="00BF7A6D" w:rsidRDefault="00ED6F5E" w:rsidP="004A59CA">
      <w:pPr>
        <w:spacing w:after="240" w:line="240" w:lineRule="auto"/>
        <w:ind w:left="1985" w:hanging="720"/>
        <w:jc w:val="both"/>
        <w:rPr>
          <w:rFonts w:ascii="Arial" w:hAnsi="Arial" w:cs="Arial"/>
        </w:rPr>
      </w:pPr>
      <w:r>
        <w:rPr>
          <w:rFonts w:ascii="Arial" w:hAnsi="Arial" w:cs="Arial"/>
        </w:rPr>
        <w:t>5</w:t>
      </w:r>
      <w:r w:rsidR="00BF7A6D">
        <w:rPr>
          <w:rFonts w:ascii="Arial" w:hAnsi="Arial" w:cs="Arial"/>
        </w:rPr>
        <w:t>.</w:t>
      </w:r>
      <w:r>
        <w:rPr>
          <w:rFonts w:ascii="Arial" w:hAnsi="Arial" w:cs="Arial"/>
        </w:rPr>
        <w:t>4</w:t>
      </w:r>
      <w:r w:rsidR="00BF7A6D">
        <w:rPr>
          <w:rFonts w:ascii="Arial" w:hAnsi="Arial" w:cs="Arial"/>
        </w:rPr>
        <w:t>.1</w:t>
      </w:r>
      <w:r w:rsidR="00BF7A6D">
        <w:rPr>
          <w:rFonts w:ascii="Arial" w:hAnsi="Arial" w:cs="Arial"/>
        </w:rPr>
        <w:tab/>
      </w:r>
      <w:r w:rsidR="00B65F28" w:rsidRPr="001878D7">
        <w:rPr>
          <w:rFonts w:ascii="Arial" w:hAnsi="Arial" w:cs="Arial"/>
          <w:bCs/>
        </w:rPr>
        <w:t>Comply with appropriate statutory regulations (including, but not limited to Data Protection Act, Health &amp; Safety at Work Act, COSHH Regulations).</w:t>
      </w:r>
    </w:p>
    <w:p w14:paraId="6AB07564" w14:textId="77777777" w:rsidR="00ED6F5E" w:rsidRPr="00ED6F5E" w:rsidRDefault="00ED6F5E" w:rsidP="004A59CA">
      <w:pPr>
        <w:pStyle w:val="ListParagraph"/>
        <w:numPr>
          <w:ilvl w:val="0"/>
          <w:numId w:val="11"/>
        </w:numPr>
        <w:spacing w:after="240" w:line="240" w:lineRule="auto"/>
        <w:ind w:left="1985"/>
        <w:jc w:val="both"/>
        <w:rPr>
          <w:rFonts w:ascii="Arial" w:hAnsi="Arial" w:cs="Arial"/>
          <w:bCs/>
          <w:vanish/>
        </w:rPr>
      </w:pPr>
    </w:p>
    <w:p w14:paraId="6F9B335B" w14:textId="77777777" w:rsidR="00ED6F5E" w:rsidRPr="00ED6F5E" w:rsidRDefault="00ED6F5E" w:rsidP="004A59CA">
      <w:pPr>
        <w:pStyle w:val="ListParagraph"/>
        <w:numPr>
          <w:ilvl w:val="0"/>
          <w:numId w:val="11"/>
        </w:numPr>
        <w:spacing w:after="240" w:line="240" w:lineRule="auto"/>
        <w:ind w:left="1985"/>
        <w:jc w:val="both"/>
        <w:rPr>
          <w:rFonts w:ascii="Arial" w:hAnsi="Arial" w:cs="Arial"/>
          <w:bCs/>
          <w:vanish/>
        </w:rPr>
      </w:pPr>
    </w:p>
    <w:p w14:paraId="26958AD6" w14:textId="77777777" w:rsidR="00ED6F5E" w:rsidRPr="00ED6F5E" w:rsidRDefault="00ED6F5E" w:rsidP="004A59CA">
      <w:pPr>
        <w:pStyle w:val="ListParagraph"/>
        <w:numPr>
          <w:ilvl w:val="1"/>
          <w:numId w:val="11"/>
        </w:numPr>
        <w:spacing w:after="240" w:line="240" w:lineRule="auto"/>
        <w:ind w:left="1985"/>
        <w:jc w:val="both"/>
        <w:rPr>
          <w:rFonts w:ascii="Arial" w:hAnsi="Arial" w:cs="Arial"/>
          <w:bCs/>
          <w:vanish/>
        </w:rPr>
      </w:pPr>
    </w:p>
    <w:p w14:paraId="49D36AA4" w14:textId="77777777" w:rsidR="00ED6F5E" w:rsidRPr="00ED6F5E" w:rsidRDefault="00ED6F5E" w:rsidP="004A59CA">
      <w:pPr>
        <w:pStyle w:val="ListParagraph"/>
        <w:numPr>
          <w:ilvl w:val="1"/>
          <w:numId w:val="11"/>
        </w:numPr>
        <w:spacing w:after="240" w:line="240" w:lineRule="auto"/>
        <w:ind w:left="1985"/>
        <w:jc w:val="both"/>
        <w:rPr>
          <w:rFonts w:ascii="Arial" w:hAnsi="Arial" w:cs="Arial"/>
          <w:bCs/>
          <w:vanish/>
        </w:rPr>
      </w:pPr>
    </w:p>
    <w:p w14:paraId="0A6D7F26" w14:textId="51FBF42E"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Actively promote an Open Culture of incident reporting and risk awareness among all staff.</w:t>
      </w:r>
    </w:p>
    <w:p w14:paraId="2791CE52" w14:textId="77777777" w:rsidR="00BF7A6D" w:rsidRPr="00BF7A6D" w:rsidRDefault="00BF7A6D" w:rsidP="004A59CA">
      <w:pPr>
        <w:pStyle w:val="ListParagraph"/>
        <w:spacing w:after="240" w:line="240" w:lineRule="auto"/>
        <w:ind w:left="1985"/>
        <w:jc w:val="both"/>
        <w:rPr>
          <w:rFonts w:ascii="Arial" w:hAnsi="Arial" w:cs="Arial"/>
          <w:bCs/>
        </w:rPr>
      </w:pPr>
    </w:p>
    <w:p w14:paraId="72B3ED02" w14:textId="093ACB2B"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 xml:space="preserve">Implement </w:t>
      </w:r>
      <w:r w:rsidR="009F2CBF">
        <w:rPr>
          <w:rFonts w:ascii="Arial" w:hAnsi="Arial" w:cs="Arial"/>
          <w:bCs/>
        </w:rPr>
        <w:t>an</w:t>
      </w:r>
      <w:r w:rsidRPr="00BF7A6D">
        <w:rPr>
          <w:rFonts w:ascii="Arial" w:hAnsi="Arial" w:cs="Arial"/>
          <w:bCs/>
        </w:rPr>
        <w:t xml:space="preserve"> incident reporting policy and ensure that all incidents and near misses are reported in line with the </w:t>
      </w:r>
      <w:r w:rsidR="009F2CBF">
        <w:rPr>
          <w:rFonts w:ascii="Arial" w:hAnsi="Arial" w:cs="Arial"/>
          <w:bCs/>
        </w:rPr>
        <w:t>policy. W</w:t>
      </w:r>
      <w:r w:rsidRPr="00BF7A6D">
        <w:rPr>
          <w:rFonts w:ascii="Arial" w:hAnsi="Arial" w:cs="Arial"/>
          <w:bCs/>
        </w:rPr>
        <w:t>here any patient has been harmed, the ‘Being Open’ policy is applied.</w:t>
      </w:r>
    </w:p>
    <w:p w14:paraId="07715C06" w14:textId="77777777" w:rsidR="00BF7A6D" w:rsidRPr="00BF7A6D" w:rsidRDefault="00BF7A6D" w:rsidP="004A59CA">
      <w:pPr>
        <w:pStyle w:val="ListParagraph"/>
        <w:ind w:left="1985"/>
        <w:jc w:val="both"/>
        <w:rPr>
          <w:rFonts w:ascii="Arial" w:hAnsi="Arial" w:cs="Arial"/>
          <w:bCs/>
        </w:rPr>
      </w:pPr>
    </w:p>
    <w:p w14:paraId="1E54E6C3" w14:textId="164BAFB3"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Participate and cooperate in incident investigations as appropriate.</w:t>
      </w:r>
    </w:p>
    <w:p w14:paraId="024A7F1B" w14:textId="77777777" w:rsidR="00BF7A6D" w:rsidRPr="00BF7A6D" w:rsidRDefault="00BF7A6D" w:rsidP="004A59CA">
      <w:pPr>
        <w:pStyle w:val="ListParagraph"/>
        <w:ind w:left="1985"/>
        <w:jc w:val="both"/>
        <w:rPr>
          <w:rFonts w:ascii="Arial" w:hAnsi="Arial" w:cs="Arial"/>
          <w:bCs/>
        </w:rPr>
      </w:pPr>
    </w:p>
    <w:p w14:paraId="4DC924F4" w14:textId="249EA844" w:rsidR="00B65F28" w:rsidRDefault="00B65F28" w:rsidP="004A59CA">
      <w:pPr>
        <w:pStyle w:val="ListParagraph"/>
        <w:numPr>
          <w:ilvl w:val="2"/>
          <w:numId w:val="11"/>
        </w:numPr>
        <w:spacing w:after="240" w:line="240" w:lineRule="auto"/>
        <w:ind w:left="1985"/>
        <w:jc w:val="both"/>
        <w:rPr>
          <w:rFonts w:ascii="Arial" w:hAnsi="Arial" w:cs="Arial"/>
        </w:rPr>
      </w:pPr>
      <w:r w:rsidRPr="00BF7A6D">
        <w:rPr>
          <w:rFonts w:ascii="Arial" w:hAnsi="Arial" w:cs="Arial"/>
          <w:bCs/>
        </w:rPr>
        <w:t>Have a robust system in place whereby families, other professionals and the public can raise concerns about the quality of care and have adequate arrangements in place for the investigation of such</w:t>
      </w:r>
      <w:r w:rsidRPr="00BF7A6D">
        <w:rPr>
          <w:rFonts w:ascii="Arial" w:hAnsi="Arial" w:cs="Arial"/>
        </w:rPr>
        <w:t xml:space="preserve"> concerns in line with </w:t>
      </w:r>
      <w:r w:rsidR="009F2CBF">
        <w:rPr>
          <w:rFonts w:ascii="Arial" w:hAnsi="Arial" w:cs="Arial"/>
        </w:rPr>
        <w:t>the Sub-Contractor’s policies.</w:t>
      </w:r>
    </w:p>
    <w:p w14:paraId="7CB82269" w14:textId="77777777" w:rsidR="00BF7A6D" w:rsidRPr="00BF7A6D" w:rsidRDefault="00BF7A6D" w:rsidP="004A59CA">
      <w:pPr>
        <w:pStyle w:val="ListParagraph"/>
        <w:ind w:left="1985"/>
        <w:jc w:val="both"/>
        <w:rPr>
          <w:rFonts w:ascii="Arial" w:hAnsi="Arial" w:cs="Arial"/>
        </w:rPr>
      </w:pPr>
    </w:p>
    <w:p w14:paraId="43ED9CB6" w14:textId="181F6434"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Have robust evidence based policies, procedures, guidelines, standard operating procedures in place for staff to follow in delivering the service.</w:t>
      </w:r>
    </w:p>
    <w:p w14:paraId="48E5EC1D" w14:textId="77777777" w:rsidR="00BF7A6D" w:rsidRPr="00BF7A6D" w:rsidRDefault="00BF7A6D" w:rsidP="004A59CA">
      <w:pPr>
        <w:pStyle w:val="ListParagraph"/>
        <w:ind w:left="1985"/>
        <w:jc w:val="both"/>
        <w:rPr>
          <w:rFonts w:ascii="Arial" w:hAnsi="Arial" w:cs="Arial"/>
          <w:bCs/>
        </w:rPr>
      </w:pPr>
    </w:p>
    <w:p w14:paraId="0DF4C649" w14:textId="77777777" w:rsidR="009F2CBF"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Ensure that the service complies with the NHS Litigation Authority Risk Management Standards and the Care Quality Commission Healthcare Regulations 2010.</w:t>
      </w:r>
    </w:p>
    <w:p w14:paraId="5A4A55F4" w14:textId="77777777" w:rsidR="009F2CBF" w:rsidRPr="009F2CBF" w:rsidRDefault="009F2CBF" w:rsidP="004A59CA">
      <w:pPr>
        <w:pStyle w:val="ListParagraph"/>
        <w:ind w:left="1985"/>
        <w:jc w:val="both"/>
        <w:rPr>
          <w:rFonts w:ascii="Arial" w:hAnsi="Arial" w:cs="Arial"/>
          <w:bCs/>
        </w:rPr>
      </w:pPr>
    </w:p>
    <w:p w14:paraId="044533FC" w14:textId="026791A0" w:rsidR="009F2CBF" w:rsidRDefault="009F2CBF" w:rsidP="004A59CA">
      <w:pPr>
        <w:pStyle w:val="ListParagraph"/>
        <w:numPr>
          <w:ilvl w:val="2"/>
          <w:numId w:val="11"/>
        </w:numPr>
        <w:spacing w:after="240" w:line="240" w:lineRule="auto"/>
        <w:ind w:left="1985"/>
        <w:jc w:val="both"/>
        <w:rPr>
          <w:rFonts w:ascii="Arial" w:hAnsi="Arial" w:cs="Arial"/>
          <w:bCs/>
        </w:rPr>
      </w:pPr>
      <w:r w:rsidRPr="009F2CBF">
        <w:rPr>
          <w:rFonts w:ascii="Arial" w:hAnsi="Arial" w:cs="Arial"/>
          <w:bCs/>
        </w:rPr>
        <w:t>Ensure that the service develops a risk assessment programme, carries out a proactive risk assessment and identifies risks for inclusion on the Sub-Contractor’s risk register. Where risks are significant, the risks and mitigation actions should be discussed with UHBFT</w:t>
      </w:r>
    </w:p>
    <w:p w14:paraId="5D1A0BB1" w14:textId="77777777" w:rsidR="009F2CBF" w:rsidRPr="009F2CBF" w:rsidRDefault="009F2CBF" w:rsidP="004A59CA">
      <w:pPr>
        <w:pStyle w:val="ListParagraph"/>
        <w:ind w:left="1985"/>
        <w:jc w:val="both"/>
        <w:rPr>
          <w:rFonts w:ascii="Arial" w:hAnsi="Arial" w:cs="Arial"/>
          <w:bCs/>
        </w:rPr>
      </w:pPr>
    </w:p>
    <w:p w14:paraId="65FFC091" w14:textId="77777777" w:rsidR="009F2CBF" w:rsidRPr="009F2CBF" w:rsidRDefault="009F2CBF" w:rsidP="004A59CA">
      <w:pPr>
        <w:pStyle w:val="ListParagraph"/>
        <w:numPr>
          <w:ilvl w:val="2"/>
          <w:numId w:val="11"/>
        </w:numPr>
        <w:spacing w:after="240"/>
        <w:ind w:left="1985"/>
        <w:jc w:val="both"/>
        <w:rPr>
          <w:rFonts w:ascii="Arial" w:hAnsi="Arial" w:cs="Arial"/>
          <w:bCs/>
        </w:rPr>
      </w:pPr>
      <w:r w:rsidRPr="009F2CBF">
        <w:rPr>
          <w:rFonts w:ascii="Arial" w:hAnsi="Arial" w:cs="Arial"/>
          <w:bCs/>
        </w:rPr>
        <w:t>Ensure recommendations from investigations are fully implemented</w:t>
      </w:r>
    </w:p>
    <w:p w14:paraId="2D3C2141" w14:textId="77777777" w:rsidR="00BF7A6D" w:rsidRPr="00BF7A6D" w:rsidRDefault="00BF7A6D" w:rsidP="004A59CA">
      <w:pPr>
        <w:pStyle w:val="ListParagraph"/>
        <w:ind w:left="1985"/>
        <w:jc w:val="both"/>
        <w:rPr>
          <w:rFonts w:ascii="Arial" w:hAnsi="Arial" w:cs="Arial"/>
          <w:bCs/>
        </w:rPr>
      </w:pPr>
    </w:p>
    <w:p w14:paraId="54F103BC" w14:textId="3EABE21A"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Provide information in relation to risk assessments under</w:t>
      </w:r>
      <w:r w:rsidR="009F2CBF">
        <w:rPr>
          <w:rFonts w:ascii="Arial" w:hAnsi="Arial" w:cs="Arial"/>
          <w:bCs/>
        </w:rPr>
        <w:t>taken, incidents and complaints.</w:t>
      </w:r>
    </w:p>
    <w:p w14:paraId="173A5FD2" w14:textId="77777777" w:rsidR="009F2CBF" w:rsidRPr="009F2CBF" w:rsidRDefault="009F2CBF" w:rsidP="004A59CA">
      <w:pPr>
        <w:pStyle w:val="ListParagraph"/>
        <w:ind w:left="1985"/>
        <w:jc w:val="both"/>
        <w:rPr>
          <w:rFonts w:ascii="Arial" w:hAnsi="Arial" w:cs="Arial"/>
          <w:bCs/>
        </w:rPr>
      </w:pPr>
    </w:p>
    <w:p w14:paraId="7D92E27A" w14:textId="77777777" w:rsidR="009F2CBF" w:rsidRDefault="009F2CBF" w:rsidP="004A59CA">
      <w:pPr>
        <w:pStyle w:val="ListParagraph"/>
        <w:numPr>
          <w:ilvl w:val="2"/>
          <w:numId w:val="11"/>
        </w:numPr>
        <w:spacing w:after="240"/>
        <w:ind w:left="1985"/>
        <w:jc w:val="both"/>
        <w:rPr>
          <w:rFonts w:ascii="Arial" w:hAnsi="Arial" w:cs="Arial"/>
          <w:bCs/>
        </w:rPr>
      </w:pPr>
      <w:r w:rsidRPr="009F2CBF">
        <w:rPr>
          <w:rFonts w:ascii="Arial" w:hAnsi="Arial" w:cs="Arial"/>
          <w:bCs/>
        </w:rPr>
        <w:t>Report findings from serious incident investigations to UHBFT</w:t>
      </w:r>
    </w:p>
    <w:p w14:paraId="469488A0" w14:textId="77777777" w:rsidR="009F2CBF" w:rsidRPr="009F2CBF" w:rsidRDefault="009F2CBF" w:rsidP="004A59CA">
      <w:pPr>
        <w:pStyle w:val="ListParagraph"/>
        <w:ind w:left="1985"/>
        <w:jc w:val="both"/>
        <w:rPr>
          <w:rFonts w:ascii="Arial" w:hAnsi="Arial" w:cs="Arial"/>
          <w:bCs/>
        </w:rPr>
      </w:pPr>
    </w:p>
    <w:p w14:paraId="442124FB" w14:textId="60CF76E3" w:rsidR="009F2CBF" w:rsidRPr="009F2CBF" w:rsidRDefault="009F2CBF" w:rsidP="004A59CA">
      <w:pPr>
        <w:pStyle w:val="ListParagraph"/>
        <w:numPr>
          <w:ilvl w:val="2"/>
          <w:numId w:val="11"/>
        </w:numPr>
        <w:spacing w:after="240"/>
        <w:ind w:left="1985"/>
        <w:jc w:val="both"/>
        <w:rPr>
          <w:rFonts w:ascii="Arial" w:hAnsi="Arial" w:cs="Arial"/>
          <w:bCs/>
        </w:rPr>
      </w:pPr>
      <w:r>
        <w:rPr>
          <w:rFonts w:ascii="Arial" w:hAnsi="Arial" w:cs="Arial"/>
          <w:bCs/>
        </w:rPr>
        <w:t>Have a business continuity plan in place</w:t>
      </w:r>
    </w:p>
    <w:p w14:paraId="42A6545D" w14:textId="0E4A01D5" w:rsidR="00B65F28" w:rsidRPr="001878D7" w:rsidRDefault="00BF7A6D" w:rsidP="004A59CA">
      <w:pPr>
        <w:pStyle w:val="Heading2"/>
      </w:pPr>
      <w:bookmarkStart w:id="19" w:name="_Toc476153210"/>
      <w:r>
        <w:t>5</w:t>
      </w:r>
      <w:r w:rsidR="00B65F28" w:rsidRPr="001878D7">
        <w:t>.</w:t>
      </w:r>
      <w:r>
        <w:t>7</w:t>
      </w:r>
      <w:r w:rsidR="00B65F28" w:rsidRPr="001878D7">
        <w:t xml:space="preserve"> </w:t>
      </w:r>
      <w:r w:rsidR="00ED6F5E">
        <w:tab/>
      </w:r>
      <w:r w:rsidR="00B65F28" w:rsidRPr="001878D7">
        <w:t>Patients and Public Involvement</w:t>
      </w:r>
      <w:bookmarkEnd w:id="19"/>
    </w:p>
    <w:p w14:paraId="01FF4E74" w14:textId="46773246"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0D2469">
        <w:rPr>
          <w:rFonts w:ascii="Arial" w:hAnsi="Arial" w:cs="Arial"/>
        </w:rPr>
        <w:t>Sub-Contractor</w:t>
      </w:r>
      <w:r w:rsidRPr="001878D7">
        <w:rPr>
          <w:rFonts w:ascii="Arial" w:hAnsi="Arial" w:cs="Arial"/>
        </w:rPr>
        <w:t xml:space="preserve"> will be required to demonstrate that they have collected (or have plans in place to collect) the views of service users, families and others in respect of the services they provide and how those views will influence service delivery for the purposes of raising quality standards in line with the </w:t>
      </w:r>
      <w:r w:rsidR="000D2469">
        <w:rPr>
          <w:rFonts w:ascii="Arial" w:hAnsi="Arial" w:cs="Arial"/>
        </w:rPr>
        <w:t>Sub-Contractor’s</w:t>
      </w:r>
      <w:r w:rsidRPr="001878D7">
        <w:rPr>
          <w:rFonts w:ascii="Arial" w:hAnsi="Arial" w:cs="Arial"/>
        </w:rPr>
        <w:t xml:space="preserve"> patient satisfaction surveys. The outcomes of this work must be shared with </w:t>
      </w:r>
      <w:r w:rsidR="000D2469">
        <w:rPr>
          <w:rFonts w:ascii="Arial" w:hAnsi="Arial" w:cs="Arial"/>
        </w:rPr>
        <w:t>UHBFT.</w:t>
      </w:r>
      <w:r w:rsidRPr="001878D7">
        <w:rPr>
          <w:rFonts w:ascii="Arial" w:hAnsi="Arial" w:cs="Arial"/>
        </w:rPr>
        <w:t xml:space="preserve"> </w:t>
      </w:r>
    </w:p>
    <w:p w14:paraId="5D89584A" w14:textId="77777777" w:rsidR="000D2469" w:rsidRPr="000D2469" w:rsidRDefault="000D2469" w:rsidP="00D75E7E">
      <w:pPr>
        <w:tabs>
          <w:tab w:val="left" w:pos="709"/>
        </w:tabs>
        <w:spacing w:after="240" w:line="240" w:lineRule="auto"/>
        <w:ind w:left="851"/>
        <w:jc w:val="both"/>
        <w:rPr>
          <w:rFonts w:ascii="Arial" w:hAnsi="Arial" w:cs="Arial"/>
        </w:rPr>
      </w:pPr>
      <w:r w:rsidRPr="000D2469">
        <w:rPr>
          <w:rFonts w:ascii="Arial" w:hAnsi="Arial" w:cs="Arial"/>
        </w:rPr>
        <w:t>The Sub-Contractor must comply with the National Friends and Family Test once this becomes applicable to this service</w:t>
      </w:r>
    </w:p>
    <w:p w14:paraId="790D03EB" w14:textId="5C59419E" w:rsidR="000D2469" w:rsidRPr="000D2469" w:rsidRDefault="000D2469" w:rsidP="00D75E7E">
      <w:pPr>
        <w:tabs>
          <w:tab w:val="left" w:pos="709"/>
        </w:tabs>
        <w:spacing w:after="240" w:line="240" w:lineRule="auto"/>
        <w:ind w:left="851"/>
        <w:jc w:val="both"/>
        <w:rPr>
          <w:rFonts w:ascii="Arial" w:hAnsi="Arial" w:cs="Arial"/>
        </w:rPr>
      </w:pPr>
      <w:r w:rsidRPr="000D2469">
        <w:rPr>
          <w:rFonts w:ascii="Arial" w:hAnsi="Arial" w:cs="Arial"/>
        </w:rPr>
        <w:t xml:space="preserve">The Sub-Contractor must ensure that they have appropriate processes by which to manage PALs inquiries and patient complaints </w:t>
      </w:r>
      <w:r>
        <w:rPr>
          <w:rFonts w:ascii="Arial" w:hAnsi="Arial" w:cs="Arial"/>
        </w:rPr>
        <w:t>within agreed timescales</w:t>
      </w:r>
      <w:r w:rsidRPr="000D2469">
        <w:rPr>
          <w:rFonts w:ascii="Arial" w:hAnsi="Arial" w:cs="Arial"/>
        </w:rPr>
        <w:t>. Numbers of complaints and all serious complaints will need to be reported to UHBFT as part of the monthly dataset submission.</w:t>
      </w:r>
    </w:p>
    <w:p w14:paraId="2E70A499" w14:textId="30E69B6E" w:rsidR="00B65F28" w:rsidRPr="001878D7" w:rsidRDefault="000D2469" w:rsidP="004A59CA">
      <w:pPr>
        <w:pStyle w:val="Heading2"/>
      </w:pPr>
      <w:r w:rsidRPr="000D2469">
        <w:t xml:space="preserve"> </w:t>
      </w:r>
      <w:bookmarkStart w:id="20" w:name="_Toc476153211"/>
      <w:r w:rsidR="00BF7A6D">
        <w:t>5.8</w:t>
      </w:r>
      <w:r w:rsidR="00BF7A6D">
        <w:tab/>
      </w:r>
      <w:r w:rsidR="00B65F28" w:rsidRPr="001878D7">
        <w:t>Information Governance</w:t>
      </w:r>
      <w:bookmarkEnd w:id="20"/>
    </w:p>
    <w:p w14:paraId="63F387B8" w14:textId="77777777" w:rsidR="004142D5" w:rsidRPr="000D2469" w:rsidRDefault="004142D5" w:rsidP="004142D5">
      <w:pPr>
        <w:spacing w:after="240" w:line="240" w:lineRule="auto"/>
        <w:ind w:left="851"/>
        <w:jc w:val="both"/>
        <w:rPr>
          <w:rFonts w:ascii="Arial" w:hAnsi="Arial" w:cs="Arial"/>
        </w:rPr>
      </w:pPr>
      <w:r w:rsidRPr="000D2469">
        <w:rPr>
          <w:rFonts w:ascii="Arial" w:hAnsi="Arial" w:cs="Arial"/>
          <w:lang w:val="en-US"/>
        </w:rPr>
        <w:t>The Sub-Contractor must comply with the legal framework governing the use of personal confidential data as detailed in NHS Act 2006, the Health and Social Care Act 2012, the Data Protection Act, and the Human Rights Act.</w:t>
      </w:r>
    </w:p>
    <w:p w14:paraId="4D7A4841" w14:textId="78C6AB7B" w:rsidR="004142D5" w:rsidRPr="000D2469" w:rsidRDefault="000D2469" w:rsidP="004142D5">
      <w:pPr>
        <w:spacing w:after="240" w:line="240" w:lineRule="auto"/>
        <w:ind w:left="851"/>
        <w:jc w:val="both"/>
        <w:rPr>
          <w:rFonts w:ascii="Arial" w:hAnsi="Arial" w:cs="Arial"/>
        </w:rPr>
      </w:pPr>
      <w:r w:rsidRPr="000D2469">
        <w:rPr>
          <w:rFonts w:ascii="Arial" w:hAnsi="Arial" w:cs="Arial"/>
        </w:rPr>
        <w:t>The Sub-Contractor</w:t>
      </w:r>
      <w:r w:rsidR="00897705">
        <w:rPr>
          <w:rFonts w:ascii="Arial" w:hAnsi="Arial" w:cs="Arial"/>
        </w:rPr>
        <w:t xml:space="preserve"> must </w:t>
      </w:r>
      <w:r w:rsidR="004142D5">
        <w:rPr>
          <w:rFonts w:ascii="Arial" w:hAnsi="Arial" w:cs="Arial"/>
        </w:rPr>
        <w:t xml:space="preserve">also </w:t>
      </w:r>
      <w:r w:rsidR="00897705">
        <w:rPr>
          <w:rFonts w:ascii="Arial" w:hAnsi="Arial" w:cs="Arial"/>
        </w:rPr>
        <w:t xml:space="preserve">comply with UHBFT’s Information Governance requirements as set out in the Sub-Contract.  </w:t>
      </w:r>
      <w:r w:rsidRPr="000D2469">
        <w:rPr>
          <w:rFonts w:ascii="Arial" w:hAnsi="Arial" w:cs="Arial"/>
        </w:rPr>
        <w:t xml:space="preserve"> </w:t>
      </w:r>
      <w:r w:rsidR="004142D5">
        <w:rPr>
          <w:rFonts w:ascii="Arial" w:hAnsi="Arial" w:cs="Arial"/>
        </w:rPr>
        <w:t xml:space="preserve">In particular, </w:t>
      </w:r>
      <w:r w:rsidR="004142D5">
        <w:rPr>
          <w:rFonts w:ascii="Arial" w:hAnsi="Arial" w:cs="Arial"/>
          <w:lang w:val="en-US"/>
        </w:rPr>
        <w:t>t</w:t>
      </w:r>
      <w:r w:rsidR="004142D5" w:rsidRPr="000D2469">
        <w:rPr>
          <w:rFonts w:ascii="Arial" w:hAnsi="Arial" w:cs="Arial"/>
          <w:lang w:val="en-US"/>
        </w:rPr>
        <w:t xml:space="preserve">he Sub-Contractor must </w:t>
      </w:r>
      <w:r w:rsidR="004142D5" w:rsidRPr="000D2469">
        <w:rPr>
          <w:rFonts w:ascii="Arial" w:hAnsi="Arial" w:cs="Arial"/>
        </w:rPr>
        <w:t xml:space="preserve">have a </w:t>
      </w:r>
      <w:proofErr w:type="spellStart"/>
      <w:r w:rsidR="004142D5" w:rsidRPr="000D2469">
        <w:rPr>
          <w:rFonts w:ascii="Arial" w:hAnsi="Arial" w:cs="Arial"/>
        </w:rPr>
        <w:t>Caldicott</w:t>
      </w:r>
      <w:proofErr w:type="spellEnd"/>
      <w:r w:rsidR="004142D5" w:rsidRPr="000D2469">
        <w:rPr>
          <w:rFonts w:ascii="Arial" w:hAnsi="Arial" w:cs="Arial"/>
        </w:rPr>
        <w:t xml:space="preserve"> </w:t>
      </w:r>
      <w:r w:rsidR="004142D5">
        <w:rPr>
          <w:rFonts w:ascii="Arial" w:hAnsi="Arial" w:cs="Arial"/>
        </w:rPr>
        <w:t>G</w:t>
      </w:r>
      <w:r w:rsidR="004142D5" w:rsidRPr="000D2469">
        <w:rPr>
          <w:rFonts w:ascii="Arial" w:hAnsi="Arial" w:cs="Arial"/>
        </w:rPr>
        <w:t>uardian</w:t>
      </w:r>
      <w:r w:rsidR="004142D5">
        <w:rPr>
          <w:rFonts w:ascii="Arial" w:hAnsi="Arial" w:cs="Arial"/>
        </w:rPr>
        <w:t>, Information Governance Lead and Senior Information Risk Owner.</w:t>
      </w:r>
    </w:p>
    <w:p w14:paraId="3131BF53" w14:textId="11191B1B" w:rsidR="000D2469" w:rsidRPr="000D2469" w:rsidRDefault="000D2469" w:rsidP="00D75E7E">
      <w:pPr>
        <w:spacing w:after="240" w:line="240" w:lineRule="auto"/>
        <w:ind w:left="851"/>
        <w:jc w:val="both"/>
        <w:rPr>
          <w:rFonts w:ascii="Arial" w:hAnsi="Arial" w:cs="Arial"/>
        </w:rPr>
      </w:pPr>
      <w:r w:rsidRPr="000D2469">
        <w:rPr>
          <w:rFonts w:ascii="Arial" w:hAnsi="Arial" w:cs="Arial"/>
        </w:rPr>
        <w:t xml:space="preserve">All documentation made must be in accordance with the </w:t>
      </w:r>
      <w:r>
        <w:rPr>
          <w:rFonts w:ascii="Arial" w:hAnsi="Arial" w:cs="Arial"/>
        </w:rPr>
        <w:t>Sub-Contractor’s</w:t>
      </w:r>
      <w:r w:rsidRPr="000D2469">
        <w:rPr>
          <w:rFonts w:ascii="Arial" w:hAnsi="Arial" w:cs="Arial"/>
        </w:rPr>
        <w:t xml:space="preserve"> policies and good practice to ensure they are accurate, contemporaneous and legible.</w:t>
      </w:r>
    </w:p>
    <w:p w14:paraId="5C859DA1" w14:textId="31246032" w:rsidR="000D2469" w:rsidRDefault="004142D5" w:rsidP="00D75E7E">
      <w:pPr>
        <w:spacing w:after="240" w:line="240" w:lineRule="auto"/>
        <w:ind w:left="851"/>
        <w:jc w:val="both"/>
        <w:rPr>
          <w:rFonts w:ascii="Arial" w:hAnsi="Arial" w:cs="Arial"/>
        </w:rPr>
      </w:pPr>
      <w:r>
        <w:rPr>
          <w:rFonts w:ascii="Arial" w:hAnsi="Arial" w:cs="Arial"/>
        </w:rPr>
        <w:t>For access to N3 (or subsequently HCSN), t</w:t>
      </w:r>
      <w:r w:rsidR="000D2469" w:rsidRPr="000D2469">
        <w:rPr>
          <w:rFonts w:ascii="Arial" w:hAnsi="Arial" w:cs="Arial"/>
        </w:rPr>
        <w:t>he Sub-Contractor</w:t>
      </w:r>
      <w:r>
        <w:rPr>
          <w:rFonts w:ascii="Arial" w:hAnsi="Arial" w:cs="Arial"/>
        </w:rPr>
        <w:t xml:space="preserve"> will need to comply with NHS IG controls as set out at the link below:</w:t>
      </w:r>
      <w:r w:rsidR="000D2469" w:rsidRPr="000D2469">
        <w:rPr>
          <w:rFonts w:ascii="Arial" w:hAnsi="Arial" w:cs="Arial"/>
        </w:rPr>
        <w:t xml:space="preserve"> </w:t>
      </w:r>
    </w:p>
    <w:p w14:paraId="1315D4F2" w14:textId="5E185B5A" w:rsidR="004142D5" w:rsidRDefault="00DE3CCF" w:rsidP="00D75E7E">
      <w:pPr>
        <w:spacing w:after="240" w:line="240" w:lineRule="auto"/>
        <w:ind w:left="851"/>
        <w:jc w:val="both"/>
        <w:rPr>
          <w:rFonts w:ascii="Arial" w:hAnsi="Arial" w:cs="Arial"/>
        </w:rPr>
      </w:pPr>
      <w:hyperlink r:id="rId10" w:history="1">
        <w:r w:rsidR="004142D5" w:rsidRPr="00061E2C">
          <w:rPr>
            <w:rStyle w:val="Hyperlink"/>
            <w:rFonts w:ascii="Arial" w:hAnsi="Arial" w:cs="Arial"/>
          </w:rPr>
          <w:t>https://digital.nhs.uk/media/289/NHSDigitalMiniGuide/pdf/hscicminiguide</w:t>
        </w:r>
      </w:hyperlink>
    </w:p>
    <w:p w14:paraId="5826117F" w14:textId="045F3FE5" w:rsidR="00B65F28" w:rsidRPr="001878D7" w:rsidRDefault="00BF7A6D" w:rsidP="004A59CA">
      <w:pPr>
        <w:pStyle w:val="Heading2"/>
      </w:pPr>
      <w:bookmarkStart w:id="21" w:name="_Toc476153212"/>
      <w:r w:rsidRPr="000D2469">
        <w:t>5.9</w:t>
      </w:r>
      <w:r w:rsidR="00B65F28" w:rsidRPr="000D2469">
        <w:t xml:space="preserve"> </w:t>
      </w:r>
      <w:r w:rsidRPr="000D2469">
        <w:tab/>
      </w:r>
      <w:r w:rsidR="00B65F28" w:rsidRPr="000D2469">
        <w:t>Health &amp; Safety</w:t>
      </w:r>
      <w:bookmarkEnd w:id="21"/>
    </w:p>
    <w:p w14:paraId="11E01952" w14:textId="178CBF95" w:rsidR="0010344B" w:rsidRDefault="000D2469" w:rsidP="00D75E7E">
      <w:pPr>
        <w:spacing w:after="240" w:line="240" w:lineRule="auto"/>
        <w:ind w:left="851"/>
        <w:jc w:val="both"/>
        <w:rPr>
          <w:rFonts w:ascii="Arial" w:hAnsi="Arial" w:cs="Arial"/>
        </w:rPr>
      </w:pPr>
      <w:r w:rsidRPr="000D2469">
        <w:rPr>
          <w:rFonts w:ascii="Arial" w:hAnsi="Arial" w:cs="Arial"/>
        </w:rPr>
        <w:t>The Sub-Cont</w:t>
      </w:r>
      <w:r>
        <w:rPr>
          <w:rFonts w:ascii="Arial" w:hAnsi="Arial" w:cs="Arial"/>
        </w:rPr>
        <w:t>ractor must have clear Health and Safety policies and procedures. All incidents must be fully investigated in line with the Sub-Contractors Risk and Incident Management procedures. Staff must undergo regular health and safety training. The Sub-Contractor must undertake regular health and safety audits involved all members of staff. Any risks must be identified, added to a Health and Safety Risk Register along with mitigation plans to reduce risks and the change of incidents. Significant risks need to be shared with UHBFT.</w:t>
      </w:r>
    </w:p>
    <w:p w14:paraId="3117472B" w14:textId="4608E42B" w:rsidR="000D2469" w:rsidRDefault="000D2469" w:rsidP="00D75E7E">
      <w:pPr>
        <w:spacing w:after="240" w:line="240" w:lineRule="auto"/>
        <w:ind w:left="851"/>
        <w:jc w:val="both"/>
        <w:rPr>
          <w:rFonts w:ascii="Arial" w:hAnsi="Arial" w:cs="Arial"/>
        </w:rPr>
      </w:pPr>
      <w:r>
        <w:rPr>
          <w:rFonts w:ascii="Arial" w:hAnsi="Arial" w:cs="Arial"/>
        </w:rPr>
        <w:t>The Sub-Contractor must comply with th</w:t>
      </w:r>
      <w:r w:rsidR="004A59CA">
        <w:rPr>
          <w:rFonts w:ascii="Arial" w:hAnsi="Arial" w:cs="Arial"/>
        </w:rPr>
        <w:t>e Health and Safety at Work Act legislation.</w:t>
      </w:r>
    </w:p>
    <w:p w14:paraId="40D6C818" w14:textId="77777777" w:rsidR="004A59CA" w:rsidRPr="000D2469" w:rsidRDefault="004A59CA" w:rsidP="00D75E7E">
      <w:pPr>
        <w:spacing w:after="240" w:line="240" w:lineRule="auto"/>
        <w:ind w:left="851"/>
        <w:jc w:val="both"/>
        <w:rPr>
          <w:rFonts w:ascii="Arial" w:hAnsi="Arial" w:cs="Arial"/>
        </w:rPr>
      </w:pPr>
    </w:p>
    <w:p w14:paraId="5E8CE6B4" w14:textId="5601287D" w:rsidR="002C46FF" w:rsidRPr="004A59CA" w:rsidRDefault="00FC18D2" w:rsidP="004A59CA">
      <w:pPr>
        <w:pStyle w:val="Heading1"/>
      </w:pPr>
      <w:bookmarkStart w:id="22" w:name="_Toc476153213"/>
      <w:r w:rsidRPr="004A59CA">
        <w:lastRenderedPageBreak/>
        <w:t>Contract Management</w:t>
      </w:r>
      <w:bookmarkEnd w:id="22"/>
    </w:p>
    <w:p w14:paraId="10D1B602" w14:textId="77777777" w:rsidR="00D318A8" w:rsidRDefault="004D73C4" w:rsidP="004614FE">
      <w:pPr>
        <w:ind w:left="851"/>
        <w:rPr>
          <w:rFonts w:ascii="Arial" w:hAnsi="Arial" w:cs="Arial"/>
        </w:rPr>
      </w:pPr>
      <w:r w:rsidRPr="004614FE">
        <w:rPr>
          <w:rFonts w:ascii="Arial" w:hAnsi="Arial" w:cs="Arial"/>
        </w:rPr>
        <w:t xml:space="preserve">There is a national template for NHS sub-contract terms and </w:t>
      </w:r>
      <w:r w:rsidR="004614FE" w:rsidRPr="00D318A8">
        <w:rPr>
          <w:rFonts w:ascii="Arial" w:hAnsi="Arial" w:cs="Arial"/>
        </w:rPr>
        <w:t>conditions that</w:t>
      </w:r>
      <w:r w:rsidRPr="004614FE">
        <w:rPr>
          <w:rFonts w:ascii="Arial" w:hAnsi="Arial" w:cs="Arial"/>
        </w:rPr>
        <w:t xml:space="preserve"> UHBFT will use for this Sub-Contract. Please see link to the template below:</w:t>
      </w:r>
    </w:p>
    <w:p w14:paraId="0CB9B995" w14:textId="58403415" w:rsidR="00962410" w:rsidRDefault="00DE3CCF" w:rsidP="004614FE">
      <w:pPr>
        <w:ind w:left="851"/>
      </w:pPr>
      <w:hyperlink r:id="rId11" w:history="1">
        <w:r w:rsidR="00CF027E" w:rsidRPr="004614FE">
          <w:rPr>
            <w:rStyle w:val="Hyperlink"/>
            <w:rFonts w:ascii="Arial" w:hAnsi="Arial" w:cs="Arial"/>
          </w:rPr>
          <w:t>https://www.england.nhs.uk/wp-content/uploads/2016/12/2-sub-contract-17-18-fl.docx</w:t>
        </w:r>
      </w:hyperlink>
    </w:p>
    <w:p w14:paraId="04118BB9" w14:textId="321ADCCD" w:rsidR="000616AC" w:rsidRDefault="000616AC" w:rsidP="004614FE">
      <w:pPr>
        <w:ind w:left="851"/>
      </w:pPr>
      <w:r w:rsidRPr="004614FE">
        <w:rPr>
          <w:rFonts w:ascii="Arial" w:hAnsi="Arial" w:cs="Arial"/>
        </w:rPr>
        <w:t>The Sub-Contract will include</w:t>
      </w:r>
      <w:r w:rsidR="00962410">
        <w:rPr>
          <w:rFonts w:ascii="Arial" w:hAnsi="Arial" w:cs="Arial"/>
        </w:rPr>
        <w:t xml:space="preserve"> the following</w:t>
      </w:r>
      <w:r w:rsidR="00962410" w:rsidRPr="00713DAB">
        <w:rPr>
          <w:rFonts w:ascii="Arial" w:hAnsi="Arial" w:cs="Arial"/>
        </w:rPr>
        <w:t xml:space="preserve"> in order to ensure that the Sub-Contract</w:t>
      </w:r>
      <w:r w:rsidR="00D318A8">
        <w:rPr>
          <w:rFonts w:ascii="Arial" w:hAnsi="Arial" w:cs="Arial"/>
        </w:rPr>
        <w:t>or</w:t>
      </w:r>
      <w:r w:rsidR="00962410" w:rsidRPr="00713DAB">
        <w:rPr>
          <w:rFonts w:ascii="Arial" w:hAnsi="Arial" w:cs="Arial"/>
        </w:rPr>
        <w:t xml:space="preserve"> is able to support us in meeting our commissioned obligations.</w:t>
      </w:r>
      <w:r w:rsidR="00962410">
        <w:rPr>
          <w:rFonts w:ascii="Arial" w:hAnsi="Arial" w:cs="Arial"/>
        </w:rPr>
        <w:t xml:space="preserve">  </w:t>
      </w:r>
    </w:p>
    <w:p w14:paraId="5576D0E6" w14:textId="0A5A2EA9" w:rsidR="000616AC" w:rsidRDefault="000616AC" w:rsidP="004614FE">
      <w:pPr>
        <w:pStyle w:val="ListParagraph"/>
        <w:numPr>
          <w:ilvl w:val="0"/>
          <w:numId w:val="21"/>
        </w:numPr>
      </w:pPr>
      <w:r>
        <w:rPr>
          <w:rFonts w:ascii="Arial" w:hAnsi="Arial" w:cs="Arial"/>
        </w:rPr>
        <w:t>Performance of the contract (Key Performance Indicators)</w:t>
      </w:r>
    </w:p>
    <w:p w14:paraId="6DB28BFC" w14:textId="57849645" w:rsidR="000616AC" w:rsidRDefault="000616AC" w:rsidP="004614FE">
      <w:pPr>
        <w:pStyle w:val="ListParagraph"/>
        <w:numPr>
          <w:ilvl w:val="0"/>
          <w:numId w:val="21"/>
        </w:numPr>
      </w:pPr>
      <w:r>
        <w:rPr>
          <w:rFonts w:ascii="Arial" w:hAnsi="Arial" w:cs="Arial"/>
        </w:rPr>
        <w:t xml:space="preserve">Price and </w:t>
      </w:r>
      <w:r w:rsidR="00962410">
        <w:rPr>
          <w:rFonts w:ascii="Arial" w:hAnsi="Arial" w:cs="Arial"/>
        </w:rPr>
        <w:t>Payment</w:t>
      </w:r>
    </w:p>
    <w:p w14:paraId="2072E4B3" w14:textId="49437223" w:rsidR="000616AC" w:rsidRDefault="000616AC" w:rsidP="004614FE">
      <w:pPr>
        <w:pStyle w:val="ListParagraph"/>
        <w:numPr>
          <w:ilvl w:val="0"/>
          <w:numId w:val="21"/>
        </w:numPr>
      </w:pPr>
      <w:r>
        <w:rPr>
          <w:rFonts w:ascii="Arial" w:hAnsi="Arial" w:cs="Arial"/>
        </w:rPr>
        <w:t>Quality Requirements</w:t>
      </w:r>
    </w:p>
    <w:p w14:paraId="220B7B2E" w14:textId="77777777" w:rsidR="000616AC" w:rsidRDefault="000616AC" w:rsidP="004614FE">
      <w:pPr>
        <w:pStyle w:val="ListParagraph"/>
        <w:numPr>
          <w:ilvl w:val="0"/>
          <w:numId w:val="21"/>
        </w:numPr>
      </w:pPr>
      <w:r>
        <w:rPr>
          <w:rFonts w:ascii="Arial" w:hAnsi="Arial" w:cs="Arial"/>
        </w:rPr>
        <w:t>Governance</w:t>
      </w:r>
    </w:p>
    <w:p w14:paraId="6A599947" w14:textId="6AFA53EF" w:rsidR="000616AC" w:rsidRDefault="000616AC" w:rsidP="004614FE">
      <w:pPr>
        <w:pStyle w:val="ListParagraph"/>
        <w:numPr>
          <w:ilvl w:val="0"/>
          <w:numId w:val="21"/>
        </w:numPr>
      </w:pPr>
      <w:r>
        <w:rPr>
          <w:rFonts w:ascii="Arial" w:hAnsi="Arial" w:cs="Arial"/>
        </w:rPr>
        <w:t>Contract Management, Reporting and Information Requirements</w:t>
      </w:r>
    </w:p>
    <w:p w14:paraId="618EE06A" w14:textId="7C63DFD6" w:rsidR="000616AC" w:rsidRPr="00962410" w:rsidRDefault="000616AC" w:rsidP="004614FE">
      <w:pPr>
        <w:pStyle w:val="ListParagraph"/>
        <w:numPr>
          <w:ilvl w:val="0"/>
          <w:numId w:val="21"/>
        </w:numPr>
      </w:pPr>
      <w:r>
        <w:rPr>
          <w:rFonts w:ascii="Arial" w:hAnsi="Arial" w:cs="Arial"/>
        </w:rPr>
        <w:t xml:space="preserve">Transition and Exit </w:t>
      </w:r>
      <w:r w:rsidR="004614FE">
        <w:rPr>
          <w:rFonts w:ascii="Arial" w:hAnsi="Arial" w:cs="Arial"/>
        </w:rPr>
        <w:t>arrangements</w:t>
      </w:r>
    </w:p>
    <w:p w14:paraId="351BC11E" w14:textId="315629E9" w:rsidR="002C46FF" w:rsidRPr="004A59CA" w:rsidRDefault="002C46FF" w:rsidP="004A59CA">
      <w:pPr>
        <w:pStyle w:val="Heading2"/>
      </w:pPr>
    </w:p>
    <w:sectPr w:rsidR="002C46FF" w:rsidRPr="004A59C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6F13" w14:textId="77777777" w:rsidR="000E6EBD" w:rsidRDefault="000E6EBD" w:rsidP="00E346DA">
      <w:pPr>
        <w:spacing w:after="0" w:line="240" w:lineRule="auto"/>
      </w:pPr>
      <w:r>
        <w:separator/>
      </w:r>
    </w:p>
  </w:endnote>
  <w:endnote w:type="continuationSeparator" w:id="0">
    <w:p w14:paraId="01376A71" w14:textId="77777777" w:rsidR="000E6EBD" w:rsidRDefault="000E6EBD" w:rsidP="00E3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E03A1" w14:textId="77777777" w:rsidR="00D318A8" w:rsidRDefault="00D31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432C" w14:textId="77777777" w:rsidR="00D318A8" w:rsidRDefault="00D318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84570" w14:textId="77777777" w:rsidR="00D318A8" w:rsidRDefault="00D31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0067A" w14:textId="77777777" w:rsidR="000E6EBD" w:rsidRDefault="000E6EBD" w:rsidP="00E346DA">
      <w:pPr>
        <w:spacing w:after="0" w:line="240" w:lineRule="auto"/>
      </w:pPr>
      <w:r>
        <w:separator/>
      </w:r>
    </w:p>
  </w:footnote>
  <w:footnote w:type="continuationSeparator" w:id="0">
    <w:p w14:paraId="242D0895" w14:textId="77777777" w:rsidR="000E6EBD" w:rsidRDefault="000E6EBD" w:rsidP="00E346DA">
      <w:pPr>
        <w:spacing w:after="0" w:line="240" w:lineRule="auto"/>
      </w:pPr>
      <w:r>
        <w:continuationSeparator/>
      </w:r>
    </w:p>
  </w:footnote>
  <w:footnote w:id="1">
    <w:p w14:paraId="6858510C" w14:textId="075A4027" w:rsidR="0072736E" w:rsidRPr="0072736E" w:rsidRDefault="0072736E" w:rsidP="0072736E">
      <w:pPr>
        <w:pStyle w:val="Default"/>
        <w:spacing w:after="240"/>
        <w:rPr>
          <w:b/>
          <w:color w:val="EEECEC"/>
          <w:sz w:val="20"/>
          <w:szCs w:val="20"/>
        </w:rPr>
      </w:pPr>
      <w:r w:rsidRPr="0072736E">
        <w:rPr>
          <w:rStyle w:val="FootnoteReference"/>
          <w:sz w:val="20"/>
          <w:szCs w:val="20"/>
        </w:rPr>
        <w:footnoteRef/>
      </w:r>
      <w:r w:rsidRPr="0072736E">
        <w:rPr>
          <w:sz w:val="20"/>
          <w:szCs w:val="20"/>
        </w:rPr>
        <w:t xml:space="preserve"> Glaucoma: diagnosis and management, </w:t>
      </w:r>
      <w:r w:rsidRPr="0072736E">
        <w:rPr>
          <w:rStyle w:val="prod-title2"/>
          <w:color w:val="0E0E0E"/>
          <w:sz w:val="20"/>
          <w:szCs w:val="20"/>
        </w:rPr>
        <w:t>Clinical guideline [CG85]</w:t>
      </w:r>
      <w:r w:rsidRPr="0072736E">
        <w:rPr>
          <w:color w:val="0E0E0E"/>
          <w:sz w:val="20"/>
          <w:szCs w:val="20"/>
        </w:rPr>
        <w:t xml:space="preserve"> </w:t>
      </w:r>
      <w:r w:rsidRPr="0072736E">
        <w:rPr>
          <w:rStyle w:val="published-date4"/>
          <w:color w:val="0E0E0E"/>
          <w:sz w:val="20"/>
          <w:szCs w:val="20"/>
        </w:rPr>
        <w:t xml:space="preserve">Published date: April 2009. </w:t>
      </w:r>
      <w:hyperlink r:id="rId1" w:history="1">
        <w:r w:rsidRPr="0072736E">
          <w:rPr>
            <w:rStyle w:val="Hyperlink"/>
            <w:sz w:val="20"/>
            <w:szCs w:val="20"/>
          </w:rPr>
          <w:t>https://www.nice.org.uk/guidance/cg85?unlid=601025008201729161225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57E4E" w14:textId="0B90CC81" w:rsidR="00D318A8" w:rsidRDefault="00DE3CCF">
    <w:pPr>
      <w:pStyle w:val="Header"/>
    </w:pPr>
    <w:r>
      <w:rPr>
        <w:noProof/>
      </w:rPr>
      <w:pict w14:anchorId="5225B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9375"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E1132" w14:textId="3766C53E" w:rsidR="000E6EBD" w:rsidRDefault="00DE3CCF" w:rsidP="00E346DA">
    <w:pPr>
      <w:pStyle w:val="Header"/>
      <w:ind w:left="720"/>
      <w:jc w:val="right"/>
    </w:pPr>
    <w:r>
      <w:rPr>
        <w:noProof/>
      </w:rPr>
      <w:pict w14:anchorId="110CE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9376" o:spid="_x0000_s2051"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E6EBD">
      <w:rPr>
        <w:rFonts w:cs="Arial"/>
        <w:noProof/>
        <w:color w:val="2F77CE"/>
        <w:lang w:eastAsia="en-GB"/>
      </w:rPr>
      <w:drawing>
        <wp:inline distT="0" distB="0" distL="0" distR="0" wp14:anchorId="4DE9AF77" wp14:editId="18FD35C9">
          <wp:extent cx="2075180" cy="230505"/>
          <wp:effectExtent l="0" t="0" r="1270" b="0"/>
          <wp:docPr id="1" name="Picture 1" descr="University Hospital Birmingham">
            <a:hlinkClick xmlns:a="http://schemas.openxmlformats.org/drawingml/2006/main" r:id="rId1" tooltip="&quot;University Hospitals Birmingham NHS Foundation Tr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Hospital Birmingham">
                    <a:hlinkClick r:id="rId1" tooltip="&quot;University Hospitals Birmingham NHS Foundation Trus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5180" cy="2305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AC045" w14:textId="13BA52DE" w:rsidR="00D318A8" w:rsidRDefault="00DE3CCF">
    <w:pPr>
      <w:pStyle w:val="Header"/>
    </w:pPr>
    <w:r>
      <w:rPr>
        <w:noProof/>
      </w:rPr>
      <w:pict w14:anchorId="35478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9374"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7CEE"/>
    <w:multiLevelType w:val="hybridMultilevel"/>
    <w:tmpl w:val="F56E0D9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CEEAA518" w:tentative="1">
      <w:start w:val="1"/>
      <w:numFmt w:val="bullet"/>
      <w:lvlText w:val="•"/>
      <w:lvlJc w:val="left"/>
      <w:pPr>
        <w:tabs>
          <w:tab w:val="num" w:pos="2160"/>
        </w:tabs>
        <w:ind w:left="2160" w:hanging="360"/>
      </w:pPr>
      <w:rPr>
        <w:rFonts w:ascii="Arial" w:hAnsi="Arial" w:hint="default"/>
      </w:rPr>
    </w:lvl>
    <w:lvl w:ilvl="3" w:tplc="2FCE81A2" w:tentative="1">
      <w:start w:val="1"/>
      <w:numFmt w:val="bullet"/>
      <w:lvlText w:val="•"/>
      <w:lvlJc w:val="left"/>
      <w:pPr>
        <w:tabs>
          <w:tab w:val="num" w:pos="2880"/>
        </w:tabs>
        <w:ind w:left="2880" w:hanging="360"/>
      </w:pPr>
      <w:rPr>
        <w:rFonts w:ascii="Arial" w:hAnsi="Arial" w:hint="default"/>
      </w:rPr>
    </w:lvl>
    <w:lvl w:ilvl="4" w:tplc="84647398" w:tentative="1">
      <w:start w:val="1"/>
      <w:numFmt w:val="bullet"/>
      <w:lvlText w:val="•"/>
      <w:lvlJc w:val="left"/>
      <w:pPr>
        <w:tabs>
          <w:tab w:val="num" w:pos="3600"/>
        </w:tabs>
        <w:ind w:left="3600" w:hanging="360"/>
      </w:pPr>
      <w:rPr>
        <w:rFonts w:ascii="Arial" w:hAnsi="Arial" w:hint="default"/>
      </w:rPr>
    </w:lvl>
    <w:lvl w:ilvl="5" w:tplc="2F5E9C8A" w:tentative="1">
      <w:start w:val="1"/>
      <w:numFmt w:val="bullet"/>
      <w:lvlText w:val="•"/>
      <w:lvlJc w:val="left"/>
      <w:pPr>
        <w:tabs>
          <w:tab w:val="num" w:pos="4320"/>
        </w:tabs>
        <w:ind w:left="4320" w:hanging="360"/>
      </w:pPr>
      <w:rPr>
        <w:rFonts w:ascii="Arial" w:hAnsi="Arial" w:hint="default"/>
      </w:rPr>
    </w:lvl>
    <w:lvl w:ilvl="6" w:tplc="04F0CBCE" w:tentative="1">
      <w:start w:val="1"/>
      <w:numFmt w:val="bullet"/>
      <w:lvlText w:val="•"/>
      <w:lvlJc w:val="left"/>
      <w:pPr>
        <w:tabs>
          <w:tab w:val="num" w:pos="5040"/>
        </w:tabs>
        <w:ind w:left="5040" w:hanging="360"/>
      </w:pPr>
      <w:rPr>
        <w:rFonts w:ascii="Arial" w:hAnsi="Arial" w:hint="default"/>
      </w:rPr>
    </w:lvl>
    <w:lvl w:ilvl="7" w:tplc="3C866E82" w:tentative="1">
      <w:start w:val="1"/>
      <w:numFmt w:val="bullet"/>
      <w:lvlText w:val="•"/>
      <w:lvlJc w:val="left"/>
      <w:pPr>
        <w:tabs>
          <w:tab w:val="num" w:pos="5760"/>
        </w:tabs>
        <w:ind w:left="5760" w:hanging="360"/>
      </w:pPr>
      <w:rPr>
        <w:rFonts w:ascii="Arial" w:hAnsi="Arial" w:hint="default"/>
      </w:rPr>
    </w:lvl>
    <w:lvl w:ilvl="8" w:tplc="03C4CF5C" w:tentative="1">
      <w:start w:val="1"/>
      <w:numFmt w:val="bullet"/>
      <w:lvlText w:val="•"/>
      <w:lvlJc w:val="left"/>
      <w:pPr>
        <w:tabs>
          <w:tab w:val="num" w:pos="6480"/>
        </w:tabs>
        <w:ind w:left="6480" w:hanging="360"/>
      </w:pPr>
      <w:rPr>
        <w:rFonts w:ascii="Arial" w:hAnsi="Arial" w:hint="default"/>
      </w:rPr>
    </w:lvl>
  </w:abstractNum>
  <w:abstractNum w:abstractNumId="1">
    <w:nsid w:val="090A07E9"/>
    <w:multiLevelType w:val="multilevel"/>
    <w:tmpl w:val="C606924C"/>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pStyle w:val="Heading3"/>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A6D2A4A"/>
    <w:multiLevelType w:val="multilevel"/>
    <w:tmpl w:val="0DBC3B0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E1347"/>
    <w:multiLevelType w:val="hybridMultilevel"/>
    <w:tmpl w:val="8CC03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0AE2551"/>
    <w:multiLevelType w:val="hybridMultilevel"/>
    <w:tmpl w:val="C7E2B810"/>
    <w:lvl w:ilvl="0" w:tplc="D5F6DD14">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ADA4208C" w:tentative="1">
      <w:start w:val="1"/>
      <w:numFmt w:val="bullet"/>
      <w:lvlText w:val="•"/>
      <w:lvlJc w:val="left"/>
      <w:pPr>
        <w:tabs>
          <w:tab w:val="num" w:pos="2160"/>
        </w:tabs>
        <w:ind w:left="2160" w:hanging="360"/>
      </w:pPr>
      <w:rPr>
        <w:rFonts w:ascii="Arial" w:hAnsi="Arial" w:hint="default"/>
      </w:rPr>
    </w:lvl>
    <w:lvl w:ilvl="3" w:tplc="0404499A" w:tentative="1">
      <w:start w:val="1"/>
      <w:numFmt w:val="bullet"/>
      <w:lvlText w:val="•"/>
      <w:lvlJc w:val="left"/>
      <w:pPr>
        <w:tabs>
          <w:tab w:val="num" w:pos="2880"/>
        </w:tabs>
        <w:ind w:left="2880" w:hanging="360"/>
      </w:pPr>
      <w:rPr>
        <w:rFonts w:ascii="Arial" w:hAnsi="Arial" w:hint="default"/>
      </w:rPr>
    </w:lvl>
    <w:lvl w:ilvl="4" w:tplc="E9B2D204" w:tentative="1">
      <w:start w:val="1"/>
      <w:numFmt w:val="bullet"/>
      <w:lvlText w:val="•"/>
      <w:lvlJc w:val="left"/>
      <w:pPr>
        <w:tabs>
          <w:tab w:val="num" w:pos="3600"/>
        </w:tabs>
        <w:ind w:left="3600" w:hanging="360"/>
      </w:pPr>
      <w:rPr>
        <w:rFonts w:ascii="Arial" w:hAnsi="Arial" w:hint="default"/>
      </w:rPr>
    </w:lvl>
    <w:lvl w:ilvl="5" w:tplc="9914216E" w:tentative="1">
      <w:start w:val="1"/>
      <w:numFmt w:val="bullet"/>
      <w:lvlText w:val="•"/>
      <w:lvlJc w:val="left"/>
      <w:pPr>
        <w:tabs>
          <w:tab w:val="num" w:pos="4320"/>
        </w:tabs>
        <w:ind w:left="4320" w:hanging="360"/>
      </w:pPr>
      <w:rPr>
        <w:rFonts w:ascii="Arial" w:hAnsi="Arial" w:hint="default"/>
      </w:rPr>
    </w:lvl>
    <w:lvl w:ilvl="6" w:tplc="FA72A79E" w:tentative="1">
      <w:start w:val="1"/>
      <w:numFmt w:val="bullet"/>
      <w:lvlText w:val="•"/>
      <w:lvlJc w:val="left"/>
      <w:pPr>
        <w:tabs>
          <w:tab w:val="num" w:pos="5040"/>
        </w:tabs>
        <w:ind w:left="5040" w:hanging="360"/>
      </w:pPr>
      <w:rPr>
        <w:rFonts w:ascii="Arial" w:hAnsi="Arial" w:hint="default"/>
      </w:rPr>
    </w:lvl>
    <w:lvl w:ilvl="7" w:tplc="D1CC3FB4" w:tentative="1">
      <w:start w:val="1"/>
      <w:numFmt w:val="bullet"/>
      <w:lvlText w:val="•"/>
      <w:lvlJc w:val="left"/>
      <w:pPr>
        <w:tabs>
          <w:tab w:val="num" w:pos="5760"/>
        </w:tabs>
        <w:ind w:left="5760" w:hanging="360"/>
      </w:pPr>
      <w:rPr>
        <w:rFonts w:ascii="Arial" w:hAnsi="Arial" w:hint="default"/>
      </w:rPr>
    </w:lvl>
    <w:lvl w:ilvl="8" w:tplc="4DD8E860" w:tentative="1">
      <w:start w:val="1"/>
      <w:numFmt w:val="bullet"/>
      <w:lvlText w:val="•"/>
      <w:lvlJc w:val="left"/>
      <w:pPr>
        <w:tabs>
          <w:tab w:val="num" w:pos="6480"/>
        </w:tabs>
        <w:ind w:left="6480" w:hanging="360"/>
      </w:pPr>
      <w:rPr>
        <w:rFonts w:ascii="Arial" w:hAnsi="Arial" w:hint="default"/>
      </w:rPr>
    </w:lvl>
  </w:abstractNum>
  <w:abstractNum w:abstractNumId="5">
    <w:nsid w:val="188261C7"/>
    <w:multiLevelType w:val="hybridMultilevel"/>
    <w:tmpl w:val="CBE4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AAE47D4"/>
    <w:multiLevelType w:val="hybridMultilevel"/>
    <w:tmpl w:val="F9D2B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C82279"/>
    <w:multiLevelType w:val="hybridMultilevel"/>
    <w:tmpl w:val="894A5B40"/>
    <w:lvl w:ilvl="0" w:tplc="2DD81C2A">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F7DA2F58" w:tentative="1">
      <w:start w:val="1"/>
      <w:numFmt w:val="bullet"/>
      <w:lvlText w:val="•"/>
      <w:lvlJc w:val="left"/>
      <w:pPr>
        <w:tabs>
          <w:tab w:val="num" w:pos="2160"/>
        </w:tabs>
        <w:ind w:left="2160" w:hanging="360"/>
      </w:pPr>
      <w:rPr>
        <w:rFonts w:ascii="Arial" w:hAnsi="Arial" w:hint="default"/>
      </w:rPr>
    </w:lvl>
    <w:lvl w:ilvl="3" w:tplc="BFEAEA34" w:tentative="1">
      <w:start w:val="1"/>
      <w:numFmt w:val="bullet"/>
      <w:lvlText w:val="•"/>
      <w:lvlJc w:val="left"/>
      <w:pPr>
        <w:tabs>
          <w:tab w:val="num" w:pos="2880"/>
        </w:tabs>
        <w:ind w:left="2880" w:hanging="360"/>
      </w:pPr>
      <w:rPr>
        <w:rFonts w:ascii="Arial" w:hAnsi="Arial" w:hint="default"/>
      </w:rPr>
    </w:lvl>
    <w:lvl w:ilvl="4" w:tplc="9090662C" w:tentative="1">
      <w:start w:val="1"/>
      <w:numFmt w:val="bullet"/>
      <w:lvlText w:val="•"/>
      <w:lvlJc w:val="left"/>
      <w:pPr>
        <w:tabs>
          <w:tab w:val="num" w:pos="3600"/>
        </w:tabs>
        <w:ind w:left="3600" w:hanging="360"/>
      </w:pPr>
      <w:rPr>
        <w:rFonts w:ascii="Arial" w:hAnsi="Arial" w:hint="default"/>
      </w:rPr>
    </w:lvl>
    <w:lvl w:ilvl="5" w:tplc="20F6CD4E" w:tentative="1">
      <w:start w:val="1"/>
      <w:numFmt w:val="bullet"/>
      <w:lvlText w:val="•"/>
      <w:lvlJc w:val="left"/>
      <w:pPr>
        <w:tabs>
          <w:tab w:val="num" w:pos="4320"/>
        </w:tabs>
        <w:ind w:left="4320" w:hanging="360"/>
      </w:pPr>
      <w:rPr>
        <w:rFonts w:ascii="Arial" w:hAnsi="Arial" w:hint="default"/>
      </w:rPr>
    </w:lvl>
    <w:lvl w:ilvl="6" w:tplc="D4F41F56" w:tentative="1">
      <w:start w:val="1"/>
      <w:numFmt w:val="bullet"/>
      <w:lvlText w:val="•"/>
      <w:lvlJc w:val="left"/>
      <w:pPr>
        <w:tabs>
          <w:tab w:val="num" w:pos="5040"/>
        </w:tabs>
        <w:ind w:left="5040" w:hanging="360"/>
      </w:pPr>
      <w:rPr>
        <w:rFonts w:ascii="Arial" w:hAnsi="Arial" w:hint="default"/>
      </w:rPr>
    </w:lvl>
    <w:lvl w:ilvl="7" w:tplc="A268DC4E" w:tentative="1">
      <w:start w:val="1"/>
      <w:numFmt w:val="bullet"/>
      <w:lvlText w:val="•"/>
      <w:lvlJc w:val="left"/>
      <w:pPr>
        <w:tabs>
          <w:tab w:val="num" w:pos="5760"/>
        </w:tabs>
        <w:ind w:left="5760" w:hanging="360"/>
      </w:pPr>
      <w:rPr>
        <w:rFonts w:ascii="Arial" w:hAnsi="Arial" w:hint="default"/>
      </w:rPr>
    </w:lvl>
    <w:lvl w:ilvl="8" w:tplc="220812B6" w:tentative="1">
      <w:start w:val="1"/>
      <w:numFmt w:val="bullet"/>
      <w:lvlText w:val="•"/>
      <w:lvlJc w:val="left"/>
      <w:pPr>
        <w:tabs>
          <w:tab w:val="num" w:pos="6480"/>
        </w:tabs>
        <w:ind w:left="6480" w:hanging="360"/>
      </w:pPr>
      <w:rPr>
        <w:rFonts w:ascii="Arial" w:hAnsi="Arial" w:hint="default"/>
      </w:rPr>
    </w:lvl>
  </w:abstractNum>
  <w:abstractNum w:abstractNumId="8">
    <w:nsid w:val="1DB54F31"/>
    <w:multiLevelType w:val="hybridMultilevel"/>
    <w:tmpl w:val="B48034FE"/>
    <w:lvl w:ilvl="0" w:tplc="7B10B19C">
      <w:start w:val="1"/>
      <w:numFmt w:val="decimal"/>
      <w:pStyle w:val="Heading1"/>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3E7F65"/>
    <w:multiLevelType w:val="hybridMultilevel"/>
    <w:tmpl w:val="1EFE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A8E31C0"/>
    <w:multiLevelType w:val="multilevel"/>
    <w:tmpl w:val="22265DF6"/>
    <w:lvl w:ilvl="0">
      <w:start w:val="1"/>
      <w:numFmt w:val="decimal"/>
      <w:lvlText w:val="%1."/>
      <w:lvlJc w:val="left"/>
      <w:pPr>
        <w:ind w:left="720" w:hanging="360"/>
      </w:pPr>
      <w:rPr>
        <w:rFonts w:hint="default"/>
      </w:r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BEB10C7"/>
    <w:multiLevelType w:val="hybridMultilevel"/>
    <w:tmpl w:val="0A1E5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4F150BB"/>
    <w:multiLevelType w:val="multilevel"/>
    <w:tmpl w:val="A78E802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2E1BDC"/>
    <w:multiLevelType w:val="hybridMultilevel"/>
    <w:tmpl w:val="68B2E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2C00FE4"/>
    <w:multiLevelType w:val="hybridMultilevel"/>
    <w:tmpl w:val="8620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A3802C9"/>
    <w:multiLevelType w:val="hybridMultilevel"/>
    <w:tmpl w:val="31CA9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2874AB3"/>
    <w:multiLevelType w:val="hybridMultilevel"/>
    <w:tmpl w:val="EF7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0A3A54"/>
    <w:multiLevelType w:val="hybridMultilevel"/>
    <w:tmpl w:val="B2B8D56A"/>
    <w:lvl w:ilvl="0" w:tplc="3EC0B87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DAC3434"/>
    <w:multiLevelType w:val="multilevel"/>
    <w:tmpl w:val="6B4CA0F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70CA549B"/>
    <w:multiLevelType w:val="hybridMultilevel"/>
    <w:tmpl w:val="FC0AB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CB15E3C"/>
    <w:multiLevelType w:val="hybridMultilevel"/>
    <w:tmpl w:val="B8CAC1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3"/>
  </w:num>
  <w:num w:numId="2">
    <w:abstractNumId w:val="10"/>
  </w:num>
  <w:num w:numId="3">
    <w:abstractNumId w:val="8"/>
  </w:num>
  <w:num w:numId="4">
    <w:abstractNumId w:val="17"/>
  </w:num>
  <w:num w:numId="5">
    <w:abstractNumId w:val="1"/>
  </w:num>
  <w:num w:numId="6">
    <w:abstractNumId w:val="11"/>
  </w:num>
  <w:num w:numId="7">
    <w:abstractNumId w:val="19"/>
  </w:num>
  <w:num w:numId="8">
    <w:abstractNumId w:val="5"/>
  </w:num>
  <w:num w:numId="9">
    <w:abstractNumId w:val="6"/>
  </w:num>
  <w:num w:numId="10">
    <w:abstractNumId w:val="12"/>
  </w:num>
  <w:num w:numId="11">
    <w:abstractNumId w:val="2"/>
  </w:num>
  <w:num w:numId="12">
    <w:abstractNumId w:val="14"/>
  </w:num>
  <w:num w:numId="13">
    <w:abstractNumId w:val="9"/>
  </w:num>
  <w:num w:numId="14">
    <w:abstractNumId w:val="20"/>
  </w:num>
  <w:num w:numId="15">
    <w:abstractNumId w:val="4"/>
  </w:num>
  <w:num w:numId="16">
    <w:abstractNumId w:val="3"/>
  </w:num>
  <w:num w:numId="17">
    <w:abstractNumId w:val="7"/>
  </w:num>
  <w:num w:numId="18">
    <w:abstractNumId w:val="0"/>
  </w:num>
  <w:num w:numId="19">
    <w:abstractNumId w:val="16"/>
  </w:num>
  <w:num w:numId="20">
    <w:abstractNumId w:val="18"/>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DA"/>
    <w:rsid w:val="000250C2"/>
    <w:rsid w:val="00047E83"/>
    <w:rsid w:val="000616AC"/>
    <w:rsid w:val="000717DD"/>
    <w:rsid w:val="000D2469"/>
    <w:rsid w:val="000E574C"/>
    <w:rsid w:val="000E6EBD"/>
    <w:rsid w:val="0010344B"/>
    <w:rsid w:val="00106BA1"/>
    <w:rsid w:val="0012276D"/>
    <w:rsid w:val="001878D7"/>
    <w:rsid w:val="00197093"/>
    <w:rsid w:val="002172C0"/>
    <w:rsid w:val="0029714B"/>
    <w:rsid w:val="00297CD9"/>
    <w:rsid w:val="002C46FF"/>
    <w:rsid w:val="002D5BDB"/>
    <w:rsid w:val="002E5768"/>
    <w:rsid w:val="0031092E"/>
    <w:rsid w:val="003138F5"/>
    <w:rsid w:val="00352637"/>
    <w:rsid w:val="003602F0"/>
    <w:rsid w:val="003723F0"/>
    <w:rsid w:val="00384109"/>
    <w:rsid w:val="003922EE"/>
    <w:rsid w:val="003A0522"/>
    <w:rsid w:val="003A5DB4"/>
    <w:rsid w:val="003A7EAF"/>
    <w:rsid w:val="003E03E3"/>
    <w:rsid w:val="004142D5"/>
    <w:rsid w:val="00453D5A"/>
    <w:rsid w:val="004614FE"/>
    <w:rsid w:val="00465364"/>
    <w:rsid w:val="004A59CA"/>
    <w:rsid w:val="004B0F3C"/>
    <w:rsid w:val="004D73C4"/>
    <w:rsid w:val="004F005E"/>
    <w:rsid w:val="00505B44"/>
    <w:rsid w:val="00526CCC"/>
    <w:rsid w:val="00582EBB"/>
    <w:rsid w:val="00591683"/>
    <w:rsid w:val="005B2FE6"/>
    <w:rsid w:val="005B34A6"/>
    <w:rsid w:val="00602FAB"/>
    <w:rsid w:val="006048B4"/>
    <w:rsid w:val="00611DEA"/>
    <w:rsid w:val="00642C6D"/>
    <w:rsid w:val="00661996"/>
    <w:rsid w:val="006E2D10"/>
    <w:rsid w:val="0072736E"/>
    <w:rsid w:val="00727686"/>
    <w:rsid w:val="007356B7"/>
    <w:rsid w:val="00772515"/>
    <w:rsid w:val="00897705"/>
    <w:rsid w:val="008B6BA7"/>
    <w:rsid w:val="008D373D"/>
    <w:rsid w:val="008F285B"/>
    <w:rsid w:val="00902F94"/>
    <w:rsid w:val="00922A5B"/>
    <w:rsid w:val="009300F2"/>
    <w:rsid w:val="00962410"/>
    <w:rsid w:val="00967AE1"/>
    <w:rsid w:val="00967F98"/>
    <w:rsid w:val="009D2FD0"/>
    <w:rsid w:val="009F2CBF"/>
    <w:rsid w:val="00A00AA9"/>
    <w:rsid w:val="00A01256"/>
    <w:rsid w:val="00A42772"/>
    <w:rsid w:val="00A62A92"/>
    <w:rsid w:val="00A86B7F"/>
    <w:rsid w:val="00AB3FAA"/>
    <w:rsid w:val="00B65F28"/>
    <w:rsid w:val="00BA5085"/>
    <w:rsid w:val="00BD1E42"/>
    <w:rsid w:val="00BE61CE"/>
    <w:rsid w:val="00BF7A6D"/>
    <w:rsid w:val="00C50B7E"/>
    <w:rsid w:val="00C94A5F"/>
    <w:rsid w:val="00CA1FC2"/>
    <w:rsid w:val="00CD37D3"/>
    <w:rsid w:val="00CE676E"/>
    <w:rsid w:val="00CE6C00"/>
    <w:rsid w:val="00CF027E"/>
    <w:rsid w:val="00D0057D"/>
    <w:rsid w:val="00D318A8"/>
    <w:rsid w:val="00D36CDA"/>
    <w:rsid w:val="00D75E7E"/>
    <w:rsid w:val="00DD3030"/>
    <w:rsid w:val="00DE3CCF"/>
    <w:rsid w:val="00E346DA"/>
    <w:rsid w:val="00E6303D"/>
    <w:rsid w:val="00E9177D"/>
    <w:rsid w:val="00EA5715"/>
    <w:rsid w:val="00ED6F5E"/>
    <w:rsid w:val="00EE1EAC"/>
    <w:rsid w:val="00EF47D8"/>
    <w:rsid w:val="00FA6F59"/>
    <w:rsid w:val="00FC18D2"/>
    <w:rsid w:val="00FE6A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EC6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59CA"/>
    <w:pPr>
      <w:keepNext/>
      <w:keepLines/>
      <w:numPr>
        <w:numId w:val="3"/>
      </w:numPr>
      <w:spacing w:after="240" w:line="240" w:lineRule="auto"/>
      <w:ind w:hanging="720"/>
      <w:jc w:val="both"/>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4A59CA"/>
    <w:pPr>
      <w:tabs>
        <w:tab w:val="left" w:pos="709"/>
      </w:tabs>
      <w:spacing w:after="240" w:line="240" w:lineRule="auto"/>
      <w:ind w:left="851"/>
      <w:jc w:val="both"/>
      <w:outlineLvl w:val="1"/>
    </w:pPr>
    <w:rPr>
      <w:rFonts w:ascii="Arial" w:hAnsi="Arial" w:cs="Arial"/>
      <w:b/>
    </w:rPr>
  </w:style>
  <w:style w:type="paragraph" w:styleId="Heading3">
    <w:name w:val="heading 3"/>
    <w:basedOn w:val="Default"/>
    <w:next w:val="Normal"/>
    <w:link w:val="Heading3Char"/>
    <w:uiPriority w:val="9"/>
    <w:unhideWhenUsed/>
    <w:qFormat/>
    <w:rsid w:val="004A59CA"/>
    <w:pPr>
      <w:numPr>
        <w:ilvl w:val="2"/>
        <w:numId w:val="5"/>
      </w:numPr>
      <w:spacing w:after="240"/>
      <w:ind w:left="709" w:firstLine="0"/>
      <w:jc w:val="both"/>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6DA"/>
  </w:style>
  <w:style w:type="paragraph" w:styleId="Footer">
    <w:name w:val="footer"/>
    <w:basedOn w:val="Normal"/>
    <w:link w:val="FooterChar"/>
    <w:uiPriority w:val="99"/>
    <w:unhideWhenUsed/>
    <w:rsid w:val="00E3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DA"/>
  </w:style>
  <w:style w:type="paragraph" w:styleId="BalloonText">
    <w:name w:val="Balloon Text"/>
    <w:basedOn w:val="Normal"/>
    <w:link w:val="BalloonTextChar"/>
    <w:uiPriority w:val="99"/>
    <w:semiHidden/>
    <w:unhideWhenUsed/>
    <w:rsid w:val="00E34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DA"/>
    <w:rPr>
      <w:rFonts w:ascii="Tahoma" w:hAnsi="Tahoma" w:cs="Tahoma"/>
      <w:sz w:val="16"/>
      <w:szCs w:val="16"/>
    </w:rPr>
  </w:style>
  <w:style w:type="paragraph" w:styleId="ListParagraph">
    <w:name w:val="List Paragraph"/>
    <w:basedOn w:val="Normal"/>
    <w:uiPriority w:val="34"/>
    <w:qFormat/>
    <w:rsid w:val="00E346DA"/>
    <w:pPr>
      <w:ind w:left="720"/>
      <w:contextualSpacing/>
    </w:pPr>
  </w:style>
  <w:style w:type="table" w:styleId="TableGrid">
    <w:name w:val="Table Grid"/>
    <w:basedOn w:val="TableNormal"/>
    <w:uiPriority w:val="59"/>
    <w:rsid w:val="00E3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1E4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717DD"/>
    <w:rPr>
      <w:sz w:val="16"/>
      <w:szCs w:val="16"/>
    </w:rPr>
  </w:style>
  <w:style w:type="paragraph" w:styleId="CommentText">
    <w:name w:val="annotation text"/>
    <w:basedOn w:val="Normal"/>
    <w:link w:val="CommentTextChar"/>
    <w:uiPriority w:val="99"/>
    <w:semiHidden/>
    <w:unhideWhenUsed/>
    <w:rsid w:val="000717DD"/>
    <w:pPr>
      <w:spacing w:line="240" w:lineRule="auto"/>
    </w:pPr>
    <w:rPr>
      <w:sz w:val="20"/>
      <w:szCs w:val="20"/>
    </w:rPr>
  </w:style>
  <w:style w:type="character" w:customStyle="1" w:styleId="CommentTextChar">
    <w:name w:val="Comment Text Char"/>
    <w:basedOn w:val="DefaultParagraphFont"/>
    <w:link w:val="CommentText"/>
    <w:uiPriority w:val="99"/>
    <w:semiHidden/>
    <w:rsid w:val="000717DD"/>
    <w:rPr>
      <w:sz w:val="20"/>
      <w:szCs w:val="20"/>
    </w:rPr>
  </w:style>
  <w:style w:type="paragraph" w:styleId="CommentSubject">
    <w:name w:val="annotation subject"/>
    <w:basedOn w:val="CommentText"/>
    <w:next w:val="CommentText"/>
    <w:link w:val="CommentSubjectChar"/>
    <w:uiPriority w:val="99"/>
    <w:semiHidden/>
    <w:unhideWhenUsed/>
    <w:rsid w:val="000717DD"/>
    <w:rPr>
      <w:b/>
      <w:bCs/>
    </w:rPr>
  </w:style>
  <w:style w:type="character" w:customStyle="1" w:styleId="CommentSubjectChar">
    <w:name w:val="Comment Subject Char"/>
    <w:basedOn w:val="CommentTextChar"/>
    <w:link w:val="CommentSubject"/>
    <w:uiPriority w:val="99"/>
    <w:semiHidden/>
    <w:rsid w:val="000717DD"/>
    <w:rPr>
      <w:b/>
      <w:bCs/>
      <w:sz w:val="20"/>
      <w:szCs w:val="20"/>
    </w:rPr>
  </w:style>
  <w:style w:type="paragraph" w:styleId="NoSpacing">
    <w:name w:val="No Spacing"/>
    <w:uiPriority w:val="99"/>
    <w:qFormat/>
    <w:rsid w:val="003A5DB4"/>
    <w:pPr>
      <w:spacing w:after="0" w:line="240" w:lineRule="auto"/>
    </w:pPr>
    <w:rPr>
      <w:rFonts w:ascii="Cambria" w:eastAsia="MS Mincho" w:hAnsi="Cambria" w:cs="Times New Roman"/>
      <w:sz w:val="24"/>
      <w:szCs w:val="20"/>
      <w:lang w:val="en-US" w:eastAsia="ja-JP"/>
    </w:rPr>
  </w:style>
  <w:style w:type="paragraph" w:styleId="TOC1">
    <w:name w:val="toc 1"/>
    <w:basedOn w:val="Normal"/>
    <w:next w:val="Normal"/>
    <w:autoRedefine/>
    <w:uiPriority w:val="39"/>
    <w:unhideWhenUsed/>
    <w:rsid w:val="003723F0"/>
    <w:pPr>
      <w:spacing w:before="120" w:after="0"/>
    </w:pPr>
    <w:rPr>
      <w:b/>
      <w:sz w:val="24"/>
      <w:szCs w:val="24"/>
    </w:rPr>
  </w:style>
  <w:style w:type="paragraph" w:styleId="TOC2">
    <w:name w:val="toc 2"/>
    <w:basedOn w:val="Normal"/>
    <w:next w:val="Normal"/>
    <w:autoRedefine/>
    <w:uiPriority w:val="39"/>
    <w:unhideWhenUsed/>
    <w:rsid w:val="003723F0"/>
    <w:pPr>
      <w:spacing w:after="0"/>
      <w:ind w:left="220"/>
    </w:pPr>
    <w:rPr>
      <w:b/>
    </w:rPr>
  </w:style>
  <w:style w:type="paragraph" w:styleId="TOC3">
    <w:name w:val="toc 3"/>
    <w:basedOn w:val="Normal"/>
    <w:next w:val="Normal"/>
    <w:autoRedefine/>
    <w:uiPriority w:val="39"/>
    <w:unhideWhenUsed/>
    <w:rsid w:val="003723F0"/>
    <w:pPr>
      <w:spacing w:after="0"/>
      <w:ind w:left="440"/>
    </w:pPr>
  </w:style>
  <w:style w:type="paragraph" w:styleId="TOC4">
    <w:name w:val="toc 4"/>
    <w:basedOn w:val="Normal"/>
    <w:next w:val="Normal"/>
    <w:autoRedefine/>
    <w:uiPriority w:val="39"/>
    <w:unhideWhenUsed/>
    <w:rsid w:val="003723F0"/>
    <w:pPr>
      <w:spacing w:after="0"/>
      <w:ind w:left="660"/>
    </w:pPr>
    <w:rPr>
      <w:sz w:val="20"/>
      <w:szCs w:val="20"/>
    </w:rPr>
  </w:style>
  <w:style w:type="paragraph" w:styleId="TOC5">
    <w:name w:val="toc 5"/>
    <w:basedOn w:val="Normal"/>
    <w:next w:val="Normal"/>
    <w:autoRedefine/>
    <w:uiPriority w:val="39"/>
    <w:unhideWhenUsed/>
    <w:rsid w:val="003723F0"/>
    <w:pPr>
      <w:spacing w:after="0"/>
      <w:ind w:left="880"/>
    </w:pPr>
    <w:rPr>
      <w:sz w:val="20"/>
      <w:szCs w:val="20"/>
    </w:rPr>
  </w:style>
  <w:style w:type="paragraph" w:styleId="TOC6">
    <w:name w:val="toc 6"/>
    <w:basedOn w:val="Normal"/>
    <w:next w:val="Normal"/>
    <w:autoRedefine/>
    <w:uiPriority w:val="39"/>
    <w:unhideWhenUsed/>
    <w:rsid w:val="003723F0"/>
    <w:pPr>
      <w:spacing w:after="0"/>
      <w:ind w:left="1100"/>
    </w:pPr>
    <w:rPr>
      <w:sz w:val="20"/>
      <w:szCs w:val="20"/>
    </w:rPr>
  </w:style>
  <w:style w:type="paragraph" w:styleId="TOC7">
    <w:name w:val="toc 7"/>
    <w:basedOn w:val="Normal"/>
    <w:next w:val="Normal"/>
    <w:autoRedefine/>
    <w:uiPriority w:val="39"/>
    <w:unhideWhenUsed/>
    <w:rsid w:val="003723F0"/>
    <w:pPr>
      <w:spacing w:after="0"/>
      <w:ind w:left="1320"/>
    </w:pPr>
    <w:rPr>
      <w:sz w:val="20"/>
      <w:szCs w:val="20"/>
    </w:rPr>
  </w:style>
  <w:style w:type="paragraph" w:styleId="TOC8">
    <w:name w:val="toc 8"/>
    <w:basedOn w:val="Normal"/>
    <w:next w:val="Normal"/>
    <w:autoRedefine/>
    <w:uiPriority w:val="39"/>
    <w:unhideWhenUsed/>
    <w:rsid w:val="003723F0"/>
    <w:pPr>
      <w:spacing w:after="0"/>
      <w:ind w:left="1540"/>
    </w:pPr>
    <w:rPr>
      <w:sz w:val="20"/>
      <w:szCs w:val="20"/>
    </w:rPr>
  </w:style>
  <w:style w:type="paragraph" w:styleId="TOC9">
    <w:name w:val="toc 9"/>
    <w:basedOn w:val="Normal"/>
    <w:next w:val="Normal"/>
    <w:autoRedefine/>
    <w:uiPriority w:val="39"/>
    <w:unhideWhenUsed/>
    <w:rsid w:val="003723F0"/>
    <w:pPr>
      <w:spacing w:after="0"/>
      <w:ind w:left="1760"/>
    </w:pPr>
    <w:rPr>
      <w:sz w:val="20"/>
      <w:szCs w:val="20"/>
    </w:rPr>
  </w:style>
  <w:style w:type="character" w:customStyle="1" w:styleId="Heading1Char">
    <w:name w:val="Heading 1 Char"/>
    <w:basedOn w:val="DefaultParagraphFont"/>
    <w:link w:val="Heading1"/>
    <w:uiPriority w:val="9"/>
    <w:rsid w:val="004A59CA"/>
    <w:rPr>
      <w:rFonts w:ascii="Arial" w:eastAsiaTheme="majorEastAsia" w:hAnsi="Arial" w:cs="Arial"/>
      <w:b/>
      <w:bCs/>
    </w:rPr>
  </w:style>
  <w:style w:type="paragraph" w:styleId="TOCHeading">
    <w:name w:val="TOC Heading"/>
    <w:basedOn w:val="Heading1"/>
    <w:next w:val="Normal"/>
    <w:uiPriority w:val="39"/>
    <w:unhideWhenUsed/>
    <w:qFormat/>
    <w:rsid w:val="003723F0"/>
    <w:pPr>
      <w:outlineLvl w:val="9"/>
    </w:pPr>
    <w:rPr>
      <w:color w:val="365F91" w:themeColor="accent1" w:themeShade="BF"/>
      <w:szCs w:val="28"/>
      <w:lang w:val="en-US"/>
    </w:rPr>
  </w:style>
  <w:style w:type="character" w:customStyle="1" w:styleId="Heading2Char">
    <w:name w:val="Heading 2 Char"/>
    <w:basedOn w:val="DefaultParagraphFont"/>
    <w:link w:val="Heading2"/>
    <w:uiPriority w:val="9"/>
    <w:rsid w:val="004A59CA"/>
    <w:rPr>
      <w:rFonts w:ascii="Arial" w:hAnsi="Arial" w:cs="Arial"/>
      <w:b/>
    </w:rPr>
  </w:style>
  <w:style w:type="character" w:customStyle="1" w:styleId="Heading3Char">
    <w:name w:val="Heading 3 Char"/>
    <w:basedOn w:val="DefaultParagraphFont"/>
    <w:link w:val="Heading3"/>
    <w:uiPriority w:val="9"/>
    <w:rsid w:val="004A59CA"/>
    <w:rPr>
      <w:rFonts w:ascii="Arial" w:hAnsi="Arial" w:cs="Arial"/>
      <w:b/>
      <w:bCs/>
      <w:color w:val="000000"/>
    </w:rPr>
  </w:style>
  <w:style w:type="character" w:styleId="Hyperlink">
    <w:name w:val="Hyperlink"/>
    <w:basedOn w:val="DefaultParagraphFont"/>
    <w:uiPriority w:val="99"/>
    <w:unhideWhenUsed/>
    <w:rsid w:val="004142D5"/>
    <w:rPr>
      <w:color w:val="0000FF" w:themeColor="hyperlink"/>
      <w:u w:val="single"/>
    </w:rPr>
  </w:style>
  <w:style w:type="character" w:styleId="FollowedHyperlink">
    <w:name w:val="FollowedHyperlink"/>
    <w:basedOn w:val="DefaultParagraphFont"/>
    <w:uiPriority w:val="99"/>
    <w:semiHidden/>
    <w:unhideWhenUsed/>
    <w:rsid w:val="00727686"/>
    <w:rPr>
      <w:color w:val="800080" w:themeColor="followedHyperlink"/>
      <w:u w:val="single"/>
    </w:rPr>
  </w:style>
  <w:style w:type="paragraph" w:styleId="FootnoteText">
    <w:name w:val="footnote text"/>
    <w:basedOn w:val="Normal"/>
    <w:link w:val="FootnoteTextChar"/>
    <w:uiPriority w:val="99"/>
    <w:semiHidden/>
    <w:unhideWhenUsed/>
    <w:rsid w:val="00461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4FE"/>
    <w:rPr>
      <w:sz w:val="20"/>
      <w:szCs w:val="20"/>
    </w:rPr>
  </w:style>
  <w:style w:type="character" w:styleId="FootnoteReference">
    <w:name w:val="footnote reference"/>
    <w:basedOn w:val="DefaultParagraphFont"/>
    <w:uiPriority w:val="99"/>
    <w:semiHidden/>
    <w:unhideWhenUsed/>
    <w:rsid w:val="004614FE"/>
    <w:rPr>
      <w:vertAlign w:val="superscript"/>
    </w:rPr>
  </w:style>
  <w:style w:type="character" w:customStyle="1" w:styleId="prod-title2">
    <w:name w:val="prod-title2"/>
    <w:basedOn w:val="DefaultParagraphFont"/>
    <w:rsid w:val="0072736E"/>
  </w:style>
  <w:style w:type="character" w:customStyle="1" w:styleId="published-date4">
    <w:name w:val="published-date4"/>
    <w:basedOn w:val="DefaultParagraphFont"/>
    <w:rsid w:val="0072736E"/>
  </w:style>
  <w:style w:type="paragraph" w:styleId="EndnoteText">
    <w:name w:val="endnote text"/>
    <w:basedOn w:val="Normal"/>
    <w:link w:val="EndnoteTextChar"/>
    <w:uiPriority w:val="99"/>
    <w:semiHidden/>
    <w:unhideWhenUsed/>
    <w:rsid w:val="00727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36E"/>
    <w:rPr>
      <w:sz w:val="20"/>
      <w:szCs w:val="20"/>
    </w:rPr>
  </w:style>
  <w:style w:type="character" w:styleId="EndnoteReference">
    <w:name w:val="endnote reference"/>
    <w:basedOn w:val="DefaultParagraphFont"/>
    <w:uiPriority w:val="99"/>
    <w:semiHidden/>
    <w:unhideWhenUsed/>
    <w:rsid w:val="007273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59CA"/>
    <w:pPr>
      <w:keepNext/>
      <w:keepLines/>
      <w:numPr>
        <w:numId w:val="3"/>
      </w:numPr>
      <w:spacing w:after="240" w:line="240" w:lineRule="auto"/>
      <w:ind w:hanging="720"/>
      <w:jc w:val="both"/>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4A59CA"/>
    <w:pPr>
      <w:tabs>
        <w:tab w:val="left" w:pos="709"/>
      </w:tabs>
      <w:spacing w:after="240" w:line="240" w:lineRule="auto"/>
      <w:ind w:left="851"/>
      <w:jc w:val="both"/>
      <w:outlineLvl w:val="1"/>
    </w:pPr>
    <w:rPr>
      <w:rFonts w:ascii="Arial" w:hAnsi="Arial" w:cs="Arial"/>
      <w:b/>
    </w:rPr>
  </w:style>
  <w:style w:type="paragraph" w:styleId="Heading3">
    <w:name w:val="heading 3"/>
    <w:basedOn w:val="Default"/>
    <w:next w:val="Normal"/>
    <w:link w:val="Heading3Char"/>
    <w:uiPriority w:val="9"/>
    <w:unhideWhenUsed/>
    <w:qFormat/>
    <w:rsid w:val="004A59CA"/>
    <w:pPr>
      <w:numPr>
        <w:ilvl w:val="2"/>
        <w:numId w:val="5"/>
      </w:numPr>
      <w:spacing w:after="240"/>
      <w:ind w:left="709" w:firstLine="0"/>
      <w:jc w:val="both"/>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6DA"/>
  </w:style>
  <w:style w:type="paragraph" w:styleId="Footer">
    <w:name w:val="footer"/>
    <w:basedOn w:val="Normal"/>
    <w:link w:val="FooterChar"/>
    <w:uiPriority w:val="99"/>
    <w:unhideWhenUsed/>
    <w:rsid w:val="00E3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DA"/>
  </w:style>
  <w:style w:type="paragraph" w:styleId="BalloonText">
    <w:name w:val="Balloon Text"/>
    <w:basedOn w:val="Normal"/>
    <w:link w:val="BalloonTextChar"/>
    <w:uiPriority w:val="99"/>
    <w:semiHidden/>
    <w:unhideWhenUsed/>
    <w:rsid w:val="00E34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DA"/>
    <w:rPr>
      <w:rFonts w:ascii="Tahoma" w:hAnsi="Tahoma" w:cs="Tahoma"/>
      <w:sz w:val="16"/>
      <w:szCs w:val="16"/>
    </w:rPr>
  </w:style>
  <w:style w:type="paragraph" w:styleId="ListParagraph">
    <w:name w:val="List Paragraph"/>
    <w:basedOn w:val="Normal"/>
    <w:uiPriority w:val="34"/>
    <w:qFormat/>
    <w:rsid w:val="00E346DA"/>
    <w:pPr>
      <w:ind w:left="720"/>
      <w:contextualSpacing/>
    </w:pPr>
  </w:style>
  <w:style w:type="table" w:styleId="TableGrid">
    <w:name w:val="Table Grid"/>
    <w:basedOn w:val="TableNormal"/>
    <w:uiPriority w:val="59"/>
    <w:rsid w:val="00E3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1E4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717DD"/>
    <w:rPr>
      <w:sz w:val="16"/>
      <w:szCs w:val="16"/>
    </w:rPr>
  </w:style>
  <w:style w:type="paragraph" w:styleId="CommentText">
    <w:name w:val="annotation text"/>
    <w:basedOn w:val="Normal"/>
    <w:link w:val="CommentTextChar"/>
    <w:uiPriority w:val="99"/>
    <w:semiHidden/>
    <w:unhideWhenUsed/>
    <w:rsid w:val="000717DD"/>
    <w:pPr>
      <w:spacing w:line="240" w:lineRule="auto"/>
    </w:pPr>
    <w:rPr>
      <w:sz w:val="20"/>
      <w:szCs w:val="20"/>
    </w:rPr>
  </w:style>
  <w:style w:type="character" w:customStyle="1" w:styleId="CommentTextChar">
    <w:name w:val="Comment Text Char"/>
    <w:basedOn w:val="DefaultParagraphFont"/>
    <w:link w:val="CommentText"/>
    <w:uiPriority w:val="99"/>
    <w:semiHidden/>
    <w:rsid w:val="000717DD"/>
    <w:rPr>
      <w:sz w:val="20"/>
      <w:szCs w:val="20"/>
    </w:rPr>
  </w:style>
  <w:style w:type="paragraph" w:styleId="CommentSubject">
    <w:name w:val="annotation subject"/>
    <w:basedOn w:val="CommentText"/>
    <w:next w:val="CommentText"/>
    <w:link w:val="CommentSubjectChar"/>
    <w:uiPriority w:val="99"/>
    <w:semiHidden/>
    <w:unhideWhenUsed/>
    <w:rsid w:val="000717DD"/>
    <w:rPr>
      <w:b/>
      <w:bCs/>
    </w:rPr>
  </w:style>
  <w:style w:type="character" w:customStyle="1" w:styleId="CommentSubjectChar">
    <w:name w:val="Comment Subject Char"/>
    <w:basedOn w:val="CommentTextChar"/>
    <w:link w:val="CommentSubject"/>
    <w:uiPriority w:val="99"/>
    <w:semiHidden/>
    <w:rsid w:val="000717DD"/>
    <w:rPr>
      <w:b/>
      <w:bCs/>
      <w:sz w:val="20"/>
      <w:szCs w:val="20"/>
    </w:rPr>
  </w:style>
  <w:style w:type="paragraph" w:styleId="NoSpacing">
    <w:name w:val="No Spacing"/>
    <w:uiPriority w:val="99"/>
    <w:qFormat/>
    <w:rsid w:val="003A5DB4"/>
    <w:pPr>
      <w:spacing w:after="0" w:line="240" w:lineRule="auto"/>
    </w:pPr>
    <w:rPr>
      <w:rFonts w:ascii="Cambria" w:eastAsia="MS Mincho" w:hAnsi="Cambria" w:cs="Times New Roman"/>
      <w:sz w:val="24"/>
      <w:szCs w:val="20"/>
      <w:lang w:val="en-US" w:eastAsia="ja-JP"/>
    </w:rPr>
  </w:style>
  <w:style w:type="paragraph" w:styleId="TOC1">
    <w:name w:val="toc 1"/>
    <w:basedOn w:val="Normal"/>
    <w:next w:val="Normal"/>
    <w:autoRedefine/>
    <w:uiPriority w:val="39"/>
    <w:unhideWhenUsed/>
    <w:rsid w:val="003723F0"/>
    <w:pPr>
      <w:spacing w:before="120" w:after="0"/>
    </w:pPr>
    <w:rPr>
      <w:b/>
      <w:sz w:val="24"/>
      <w:szCs w:val="24"/>
    </w:rPr>
  </w:style>
  <w:style w:type="paragraph" w:styleId="TOC2">
    <w:name w:val="toc 2"/>
    <w:basedOn w:val="Normal"/>
    <w:next w:val="Normal"/>
    <w:autoRedefine/>
    <w:uiPriority w:val="39"/>
    <w:unhideWhenUsed/>
    <w:rsid w:val="003723F0"/>
    <w:pPr>
      <w:spacing w:after="0"/>
      <w:ind w:left="220"/>
    </w:pPr>
    <w:rPr>
      <w:b/>
    </w:rPr>
  </w:style>
  <w:style w:type="paragraph" w:styleId="TOC3">
    <w:name w:val="toc 3"/>
    <w:basedOn w:val="Normal"/>
    <w:next w:val="Normal"/>
    <w:autoRedefine/>
    <w:uiPriority w:val="39"/>
    <w:unhideWhenUsed/>
    <w:rsid w:val="003723F0"/>
    <w:pPr>
      <w:spacing w:after="0"/>
      <w:ind w:left="440"/>
    </w:pPr>
  </w:style>
  <w:style w:type="paragraph" w:styleId="TOC4">
    <w:name w:val="toc 4"/>
    <w:basedOn w:val="Normal"/>
    <w:next w:val="Normal"/>
    <w:autoRedefine/>
    <w:uiPriority w:val="39"/>
    <w:unhideWhenUsed/>
    <w:rsid w:val="003723F0"/>
    <w:pPr>
      <w:spacing w:after="0"/>
      <w:ind w:left="660"/>
    </w:pPr>
    <w:rPr>
      <w:sz w:val="20"/>
      <w:szCs w:val="20"/>
    </w:rPr>
  </w:style>
  <w:style w:type="paragraph" w:styleId="TOC5">
    <w:name w:val="toc 5"/>
    <w:basedOn w:val="Normal"/>
    <w:next w:val="Normal"/>
    <w:autoRedefine/>
    <w:uiPriority w:val="39"/>
    <w:unhideWhenUsed/>
    <w:rsid w:val="003723F0"/>
    <w:pPr>
      <w:spacing w:after="0"/>
      <w:ind w:left="880"/>
    </w:pPr>
    <w:rPr>
      <w:sz w:val="20"/>
      <w:szCs w:val="20"/>
    </w:rPr>
  </w:style>
  <w:style w:type="paragraph" w:styleId="TOC6">
    <w:name w:val="toc 6"/>
    <w:basedOn w:val="Normal"/>
    <w:next w:val="Normal"/>
    <w:autoRedefine/>
    <w:uiPriority w:val="39"/>
    <w:unhideWhenUsed/>
    <w:rsid w:val="003723F0"/>
    <w:pPr>
      <w:spacing w:after="0"/>
      <w:ind w:left="1100"/>
    </w:pPr>
    <w:rPr>
      <w:sz w:val="20"/>
      <w:szCs w:val="20"/>
    </w:rPr>
  </w:style>
  <w:style w:type="paragraph" w:styleId="TOC7">
    <w:name w:val="toc 7"/>
    <w:basedOn w:val="Normal"/>
    <w:next w:val="Normal"/>
    <w:autoRedefine/>
    <w:uiPriority w:val="39"/>
    <w:unhideWhenUsed/>
    <w:rsid w:val="003723F0"/>
    <w:pPr>
      <w:spacing w:after="0"/>
      <w:ind w:left="1320"/>
    </w:pPr>
    <w:rPr>
      <w:sz w:val="20"/>
      <w:szCs w:val="20"/>
    </w:rPr>
  </w:style>
  <w:style w:type="paragraph" w:styleId="TOC8">
    <w:name w:val="toc 8"/>
    <w:basedOn w:val="Normal"/>
    <w:next w:val="Normal"/>
    <w:autoRedefine/>
    <w:uiPriority w:val="39"/>
    <w:unhideWhenUsed/>
    <w:rsid w:val="003723F0"/>
    <w:pPr>
      <w:spacing w:after="0"/>
      <w:ind w:left="1540"/>
    </w:pPr>
    <w:rPr>
      <w:sz w:val="20"/>
      <w:szCs w:val="20"/>
    </w:rPr>
  </w:style>
  <w:style w:type="paragraph" w:styleId="TOC9">
    <w:name w:val="toc 9"/>
    <w:basedOn w:val="Normal"/>
    <w:next w:val="Normal"/>
    <w:autoRedefine/>
    <w:uiPriority w:val="39"/>
    <w:unhideWhenUsed/>
    <w:rsid w:val="003723F0"/>
    <w:pPr>
      <w:spacing w:after="0"/>
      <w:ind w:left="1760"/>
    </w:pPr>
    <w:rPr>
      <w:sz w:val="20"/>
      <w:szCs w:val="20"/>
    </w:rPr>
  </w:style>
  <w:style w:type="character" w:customStyle="1" w:styleId="Heading1Char">
    <w:name w:val="Heading 1 Char"/>
    <w:basedOn w:val="DefaultParagraphFont"/>
    <w:link w:val="Heading1"/>
    <w:uiPriority w:val="9"/>
    <w:rsid w:val="004A59CA"/>
    <w:rPr>
      <w:rFonts w:ascii="Arial" w:eastAsiaTheme="majorEastAsia" w:hAnsi="Arial" w:cs="Arial"/>
      <w:b/>
      <w:bCs/>
    </w:rPr>
  </w:style>
  <w:style w:type="paragraph" w:styleId="TOCHeading">
    <w:name w:val="TOC Heading"/>
    <w:basedOn w:val="Heading1"/>
    <w:next w:val="Normal"/>
    <w:uiPriority w:val="39"/>
    <w:unhideWhenUsed/>
    <w:qFormat/>
    <w:rsid w:val="003723F0"/>
    <w:pPr>
      <w:outlineLvl w:val="9"/>
    </w:pPr>
    <w:rPr>
      <w:color w:val="365F91" w:themeColor="accent1" w:themeShade="BF"/>
      <w:szCs w:val="28"/>
      <w:lang w:val="en-US"/>
    </w:rPr>
  </w:style>
  <w:style w:type="character" w:customStyle="1" w:styleId="Heading2Char">
    <w:name w:val="Heading 2 Char"/>
    <w:basedOn w:val="DefaultParagraphFont"/>
    <w:link w:val="Heading2"/>
    <w:uiPriority w:val="9"/>
    <w:rsid w:val="004A59CA"/>
    <w:rPr>
      <w:rFonts w:ascii="Arial" w:hAnsi="Arial" w:cs="Arial"/>
      <w:b/>
    </w:rPr>
  </w:style>
  <w:style w:type="character" w:customStyle="1" w:styleId="Heading3Char">
    <w:name w:val="Heading 3 Char"/>
    <w:basedOn w:val="DefaultParagraphFont"/>
    <w:link w:val="Heading3"/>
    <w:uiPriority w:val="9"/>
    <w:rsid w:val="004A59CA"/>
    <w:rPr>
      <w:rFonts w:ascii="Arial" w:hAnsi="Arial" w:cs="Arial"/>
      <w:b/>
      <w:bCs/>
      <w:color w:val="000000"/>
    </w:rPr>
  </w:style>
  <w:style w:type="character" w:styleId="Hyperlink">
    <w:name w:val="Hyperlink"/>
    <w:basedOn w:val="DefaultParagraphFont"/>
    <w:uiPriority w:val="99"/>
    <w:unhideWhenUsed/>
    <w:rsid w:val="004142D5"/>
    <w:rPr>
      <w:color w:val="0000FF" w:themeColor="hyperlink"/>
      <w:u w:val="single"/>
    </w:rPr>
  </w:style>
  <w:style w:type="character" w:styleId="FollowedHyperlink">
    <w:name w:val="FollowedHyperlink"/>
    <w:basedOn w:val="DefaultParagraphFont"/>
    <w:uiPriority w:val="99"/>
    <w:semiHidden/>
    <w:unhideWhenUsed/>
    <w:rsid w:val="00727686"/>
    <w:rPr>
      <w:color w:val="800080" w:themeColor="followedHyperlink"/>
      <w:u w:val="single"/>
    </w:rPr>
  </w:style>
  <w:style w:type="paragraph" w:styleId="FootnoteText">
    <w:name w:val="footnote text"/>
    <w:basedOn w:val="Normal"/>
    <w:link w:val="FootnoteTextChar"/>
    <w:uiPriority w:val="99"/>
    <w:semiHidden/>
    <w:unhideWhenUsed/>
    <w:rsid w:val="00461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4FE"/>
    <w:rPr>
      <w:sz w:val="20"/>
      <w:szCs w:val="20"/>
    </w:rPr>
  </w:style>
  <w:style w:type="character" w:styleId="FootnoteReference">
    <w:name w:val="footnote reference"/>
    <w:basedOn w:val="DefaultParagraphFont"/>
    <w:uiPriority w:val="99"/>
    <w:semiHidden/>
    <w:unhideWhenUsed/>
    <w:rsid w:val="004614FE"/>
    <w:rPr>
      <w:vertAlign w:val="superscript"/>
    </w:rPr>
  </w:style>
  <w:style w:type="character" w:customStyle="1" w:styleId="prod-title2">
    <w:name w:val="prod-title2"/>
    <w:basedOn w:val="DefaultParagraphFont"/>
    <w:rsid w:val="0072736E"/>
  </w:style>
  <w:style w:type="character" w:customStyle="1" w:styleId="published-date4">
    <w:name w:val="published-date4"/>
    <w:basedOn w:val="DefaultParagraphFont"/>
    <w:rsid w:val="0072736E"/>
  </w:style>
  <w:style w:type="paragraph" w:styleId="EndnoteText">
    <w:name w:val="endnote text"/>
    <w:basedOn w:val="Normal"/>
    <w:link w:val="EndnoteTextChar"/>
    <w:uiPriority w:val="99"/>
    <w:semiHidden/>
    <w:unhideWhenUsed/>
    <w:rsid w:val="00727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36E"/>
    <w:rPr>
      <w:sz w:val="20"/>
      <w:szCs w:val="20"/>
    </w:rPr>
  </w:style>
  <w:style w:type="character" w:styleId="EndnoteReference">
    <w:name w:val="endnote reference"/>
    <w:basedOn w:val="DefaultParagraphFont"/>
    <w:uiPriority w:val="99"/>
    <w:semiHidden/>
    <w:unhideWhenUsed/>
    <w:rsid w:val="00727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1629">
      <w:bodyDiv w:val="1"/>
      <w:marLeft w:val="0"/>
      <w:marRight w:val="0"/>
      <w:marTop w:val="0"/>
      <w:marBottom w:val="0"/>
      <w:divBdr>
        <w:top w:val="none" w:sz="0" w:space="0" w:color="auto"/>
        <w:left w:val="none" w:sz="0" w:space="0" w:color="auto"/>
        <w:bottom w:val="none" w:sz="0" w:space="0" w:color="auto"/>
        <w:right w:val="none" w:sz="0" w:space="0" w:color="auto"/>
      </w:divBdr>
      <w:divsChild>
        <w:div w:id="256795697">
          <w:marLeft w:val="1166"/>
          <w:marRight w:val="0"/>
          <w:marTop w:val="0"/>
          <w:marBottom w:val="0"/>
          <w:divBdr>
            <w:top w:val="none" w:sz="0" w:space="0" w:color="auto"/>
            <w:left w:val="none" w:sz="0" w:space="0" w:color="auto"/>
            <w:bottom w:val="none" w:sz="0" w:space="0" w:color="auto"/>
            <w:right w:val="none" w:sz="0" w:space="0" w:color="auto"/>
          </w:divBdr>
        </w:div>
        <w:div w:id="1882278903">
          <w:marLeft w:val="1166"/>
          <w:marRight w:val="0"/>
          <w:marTop w:val="0"/>
          <w:marBottom w:val="0"/>
          <w:divBdr>
            <w:top w:val="none" w:sz="0" w:space="0" w:color="auto"/>
            <w:left w:val="none" w:sz="0" w:space="0" w:color="auto"/>
            <w:bottom w:val="none" w:sz="0" w:space="0" w:color="auto"/>
            <w:right w:val="none" w:sz="0" w:space="0" w:color="auto"/>
          </w:divBdr>
        </w:div>
        <w:div w:id="156654480">
          <w:marLeft w:val="1166"/>
          <w:marRight w:val="0"/>
          <w:marTop w:val="0"/>
          <w:marBottom w:val="0"/>
          <w:divBdr>
            <w:top w:val="none" w:sz="0" w:space="0" w:color="auto"/>
            <w:left w:val="none" w:sz="0" w:space="0" w:color="auto"/>
            <w:bottom w:val="none" w:sz="0" w:space="0" w:color="auto"/>
            <w:right w:val="none" w:sz="0" w:space="0" w:color="auto"/>
          </w:divBdr>
        </w:div>
        <w:div w:id="148985583">
          <w:marLeft w:val="1166"/>
          <w:marRight w:val="0"/>
          <w:marTop w:val="0"/>
          <w:marBottom w:val="0"/>
          <w:divBdr>
            <w:top w:val="none" w:sz="0" w:space="0" w:color="auto"/>
            <w:left w:val="none" w:sz="0" w:space="0" w:color="auto"/>
            <w:bottom w:val="none" w:sz="0" w:space="0" w:color="auto"/>
            <w:right w:val="none" w:sz="0" w:space="0" w:color="auto"/>
          </w:divBdr>
        </w:div>
        <w:div w:id="1897665215">
          <w:marLeft w:val="1166"/>
          <w:marRight w:val="0"/>
          <w:marTop w:val="0"/>
          <w:marBottom w:val="0"/>
          <w:divBdr>
            <w:top w:val="none" w:sz="0" w:space="0" w:color="auto"/>
            <w:left w:val="none" w:sz="0" w:space="0" w:color="auto"/>
            <w:bottom w:val="none" w:sz="0" w:space="0" w:color="auto"/>
            <w:right w:val="none" w:sz="0" w:space="0" w:color="auto"/>
          </w:divBdr>
        </w:div>
        <w:div w:id="1776636036">
          <w:marLeft w:val="1166"/>
          <w:marRight w:val="0"/>
          <w:marTop w:val="0"/>
          <w:marBottom w:val="0"/>
          <w:divBdr>
            <w:top w:val="none" w:sz="0" w:space="0" w:color="auto"/>
            <w:left w:val="none" w:sz="0" w:space="0" w:color="auto"/>
            <w:bottom w:val="none" w:sz="0" w:space="0" w:color="auto"/>
            <w:right w:val="none" w:sz="0" w:space="0" w:color="auto"/>
          </w:divBdr>
        </w:div>
        <w:div w:id="1022245798">
          <w:marLeft w:val="1166"/>
          <w:marRight w:val="0"/>
          <w:marTop w:val="0"/>
          <w:marBottom w:val="0"/>
          <w:divBdr>
            <w:top w:val="none" w:sz="0" w:space="0" w:color="auto"/>
            <w:left w:val="none" w:sz="0" w:space="0" w:color="auto"/>
            <w:bottom w:val="none" w:sz="0" w:space="0" w:color="auto"/>
            <w:right w:val="none" w:sz="0" w:space="0" w:color="auto"/>
          </w:divBdr>
        </w:div>
        <w:div w:id="807557010">
          <w:marLeft w:val="1166"/>
          <w:marRight w:val="0"/>
          <w:marTop w:val="0"/>
          <w:marBottom w:val="0"/>
          <w:divBdr>
            <w:top w:val="none" w:sz="0" w:space="0" w:color="auto"/>
            <w:left w:val="none" w:sz="0" w:space="0" w:color="auto"/>
            <w:bottom w:val="none" w:sz="0" w:space="0" w:color="auto"/>
            <w:right w:val="none" w:sz="0" w:space="0" w:color="auto"/>
          </w:divBdr>
        </w:div>
        <w:div w:id="395320185">
          <w:marLeft w:val="1166"/>
          <w:marRight w:val="0"/>
          <w:marTop w:val="0"/>
          <w:marBottom w:val="0"/>
          <w:divBdr>
            <w:top w:val="none" w:sz="0" w:space="0" w:color="auto"/>
            <w:left w:val="none" w:sz="0" w:space="0" w:color="auto"/>
            <w:bottom w:val="none" w:sz="0" w:space="0" w:color="auto"/>
            <w:right w:val="none" w:sz="0" w:space="0" w:color="auto"/>
          </w:divBdr>
        </w:div>
      </w:divsChild>
    </w:div>
    <w:div w:id="235013603">
      <w:bodyDiv w:val="1"/>
      <w:marLeft w:val="0"/>
      <w:marRight w:val="0"/>
      <w:marTop w:val="0"/>
      <w:marBottom w:val="0"/>
      <w:divBdr>
        <w:top w:val="none" w:sz="0" w:space="0" w:color="auto"/>
        <w:left w:val="none" w:sz="0" w:space="0" w:color="auto"/>
        <w:bottom w:val="none" w:sz="0" w:space="0" w:color="auto"/>
        <w:right w:val="none" w:sz="0" w:space="0" w:color="auto"/>
      </w:divBdr>
      <w:divsChild>
        <w:div w:id="141436057">
          <w:marLeft w:val="1166"/>
          <w:marRight w:val="0"/>
          <w:marTop w:val="0"/>
          <w:marBottom w:val="0"/>
          <w:divBdr>
            <w:top w:val="none" w:sz="0" w:space="0" w:color="auto"/>
            <w:left w:val="none" w:sz="0" w:space="0" w:color="auto"/>
            <w:bottom w:val="none" w:sz="0" w:space="0" w:color="auto"/>
            <w:right w:val="none" w:sz="0" w:space="0" w:color="auto"/>
          </w:divBdr>
        </w:div>
        <w:div w:id="95754177">
          <w:marLeft w:val="1166"/>
          <w:marRight w:val="0"/>
          <w:marTop w:val="0"/>
          <w:marBottom w:val="0"/>
          <w:divBdr>
            <w:top w:val="none" w:sz="0" w:space="0" w:color="auto"/>
            <w:left w:val="none" w:sz="0" w:space="0" w:color="auto"/>
            <w:bottom w:val="none" w:sz="0" w:space="0" w:color="auto"/>
            <w:right w:val="none" w:sz="0" w:space="0" w:color="auto"/>
          </w:divBdr>
        </w:div>
        <w:div w:id="344601159">
          <w:marLeft w:val="1166"/>
          <w:marRight w:val="0"/>
          <w:marTop w:val="0"/>
          <w:marBottom w:val="0"/>
          <w:divBdr>
            <w:top w:val="none" w:sz="0" w:space="0" w:color="auto"/>
            <w:left w:val="none" w:sz="0" w:space="0" w:color="auto"/>
            <w:bottom w:val="none" w:sz="0" w:space="0" w:color="auto"/>
            <w:right w:val="none" w:sz="0" w:space="0" w:color="auto"/>
          </w:divBdr>
        </w:div>
        <w:div w:id="2059428288">
          <w:marLeft w:val="1166"/>
          <w:marRight w:val="0"/>
          <w:marTop w:val="0"/>
          <w:marBottom w:val="0"/>
          <w:divBdr>
            <w:top w:val="none" w:sz="0" w:space="0" w:color="auto"/>
            <w:left w:val="none" w:sz="0" w:space="0" w:color="auto"/>
            <w:bottom w:val="none" w:sz="0" w:space="0" w:color="auto"/>
            <w:right w:val="none" w:sz="0" w:space="0" w:color="auto"/>
          </w:divBdr>
        </w:div>
        <w:div w:id="2046638397">
          <w:marLeft w:val="1166"/>
          <w:marRight w:val="0"/>
          <w:marTop w:val="0"/>
          <w:marBottom w:val="0"/>
          <w:divBdr>
            <w:top w:val="none" w:sz="0" w:space="0" w:color="auto"/>
            <w:left w:val="none" w:sz="0" w:space="0" w:color="auto"/>
            <w:bottom w:val="none" w:sz="0" w:space="0" w:color="auto"/>
            <w:right w:val="none" w:sz="0" w:space="0" w:color="auto"/>
          </w:divBdr>
        </w:div>
        <w:div w:id="513033662">
          <w:marLeft w:val="1166"/>
          <w:marRight w:val="0"/>
          <w:marTop w:val="0"/>
          <w:marBottom w:val="0"/>
          <w:divBdr>
            <w:top w:val="none" w:sz="0" w:space="0" w:color="auto"/>
            <w:left w:val="none" w:sz="0" w:space="0" w:color="auto"/>
            <w:bottom w:val="none" w:sz="0" w:space="0" w:color="auto"/>
            <w:right w:val="none" w:sz="0" w:space="0" w:color="auto"/>
          </w:divBdr>
        </w:div>
        <w:div w:id="1103454499">
          <w:marLeft w:val="1166"/>
          <w:marRight w:val="0"/>
          <w:marTop w:val="0"/>
          <w:marBottom w:val="0"/>
          <w:divBdr>
            <w:top w:val="none" w:sz="0" w:space="0" w:color="auto"/>
            <w:left w:val="none" w:sz="0" w:space="0" w:color="auto"/>
            <w:bottom w:val="none" w:sz="0" w:space="0" w:color="auto"/>
            <w:right w:val="none" w:sz="0" w:space="0" w:color="auto"/>
          </w:divBdr>
        </w:div>
        <w:div w:id="2015447898">
          <w:marLeft w:val="1166"/>
          <w:marRight w:val="0"/>
          <w:marTop w:val="0"/>
          <w:marBottom w:val="0"/>
          <w:divBdr>
            <w:top w:val="none" w:sz="0" w:space="0" w:color="auto"/>
            <w:left w:val="none" w:sz="0" w:space="0" w:color="auto"/>
            <w:bottom w:val="none" w:sz="0" w:space="0" w:color="auto"/>
            <w:right w:val="none" w:sz="0" w:space="0" w:color="auto"/>
          </w:divBdr>
        </w:div>
        <w:div w:id="2041470661">
          <w:marLeft w:val="1166"/>
          <w:marRight w:val="0"/>
          <w:marTop w:val="0"/>
          <w:marBottom w:val="0"/>
          <w:divBdr>
            <w:top w:val="none" w:sz="0" w:space="0" w:color="auto"/>
            <w:left w:val="none" w:sz="0" w:space="0" w:color="auto"/>
            <w:bottom w:val="none" w:sz="0" w:space="0" w:color="auto"/>
            <w:right w:val="none" w:sz="0" w:space="0" w:color="auto"/>
          </w:divBdr>
        </w:div>
        <w:div w:id="1045105371">
          <w:marLeft w:val="1166"/>
          <w:marRight w:val="0"/>
          <w:marTop w:val="0"/>
          <w:marBottom w:val="0"/>
          <w:divBdr>
            <w:top w:val="none" w:sz="0" w:space="0" w:color="auto"/>
            <w:left w:val="none" w:sz="0" w:space="0" w:color="auto"/>
            <w:bottom w:val="none" w:sz="0" w:space="0" w:color="auto"/>
            <w:right w:val="none" w:sz="0" w:space="0" w:color="auto"/>
          </w:divBdr>
        </w:div>
      </w:divsChild>
    </w:div>
    <w:div w:id="296883224">
      <w:bodyDiv w:val="1"/>
      <w:marLeft w:val="0"/>
      <w:marRight w:val="0"/>
      <w:marTop w:val="0"/>
      <w:marBottom w:val="0"/>
      <w:divBdr>
        <w:top w:val="none" w:sz="0" w:space="0" w:color="auto"/>
        <w:left w:val="none" w:sz="0" w:space="0" w:color="auto"/>
        <w:bottom w:val="none" w:sz="0" w:space="0" w:color="auto"/>
        <w:right w:val="none" w:sz="0" w:space="0" w:color="auto"/>
      </w:divBdr>
      <w:divsChild>
        <w:div w:id="1423644547">
          <w:marLeft w:val="1166"/>
          <w:marRight w:val="0"/>
          <w:marTop w:val="0"/>
          <w:marBottom w:val="0"/>
          <w:divBdr>
            <w:top w:val="none" w:sz="0" w:space="0" w:color="auto"/>
            <w:left w:val="none" w:sz="0" w:space="0" w:color="auto"/>
            <w:bottom w:val="none" w:sz="0" w:space="0" w:color="auto"/>
            <w:right w:val="none" w:sz="0" w:space="0" w:color="auto"/>
          </w:divBdr>
        </w:div>
      </w:divsChild>
    </w:div>
    <w:div w:id="366418691">
      <w:bodyDiv w:val="1"/>
      <w:marLeft w:val="0"/>
      <w:marRight w:val="0"/>
      <w:marTop w:val="0"/>
      <w:marBottom w:val="0"/>
      <w:divBdr>
        <w:top w:val="none" w:sz="0" w:space="0" w:color="auto"/>
        <w:left w:val="none" w:sz="0" w:space="0" w:color="auto"/>
        <w:bottom w:val="none" w:sz="0" w:space="0" w:color="auto"/>
        <w:right w:val="none" w:sz="0" w:space="0" w:color="auto"/>
      </w:divBdr>
      <w:divsChild>
        <w:div w:id="559831313">
          <w:marLeft w:val="1166"/>
          <w:marRight w:val="0"/>
          <w:marTop w:val="0"/>
          <w:marBottom w:val="0"/>
          <w:divBdr>
            <w:top w:val="none" w:sz="0" w:space="0" w:color="auto"/>
            <w:left w:val="none" w:sz="0" w:space="0" w:color="auto"/>
            <w:bottom w:val="none" w:sz="0" w:space="0" w:color="auto"/>
            <w:right w:val="none" w:sz="0" w:space="0" w:color="auto"/>
          </w:divBdr>
        </w:div>
      </w:divsChild>
    </w:div>
    <w:div w:id="396705184">
      <w:bodyDiv w:val="1"/>
      <w:marLeft w:val="0"/>
      <w:marRight w:val="0"/>
      <w:marTop w:val="0"/>
      <w:marBottom w:val="0"/>
      <w:divBdr>
        <w:top w:val="none" w:sz="0" w:space="0" w:color="auto"/>
        <w:left w:val="none" w:sz="0" w:space="0" w:color="auto"/>
        <w:bottom w:val="none" w:sz="0" w:space="0" w:color="auto"/>
        <w:right w:val="none" w:sz="0" w:space="0" w:color="auto"/>
      </w:divBdr>
      <w:divsChild>
        <w:div w:id="1714961033">
          <w:marLeft w:val="446"/>
          <w:marRight w:val="0"/>
          <w:marTop w:val="0"/>
          <w:marBottom w:val="0"/>
          <w:divBdr>
            <w:top w:val="none" w:sz="0" w:space="0" w:color="auto"/>
            <w:left w:val="none" w:sz="0" w:space="0" w:color="auto"/>
            <w:bottom w:val="none" w:sz="0" w:space="0" w:color="auto"/>
            <w:right w:val="none" w:sz="0" w:space="0" w:color="auto"/>
          </w:divBdr>
        </w:div>
        <w:div w:id="932975801">
          <w:marLeft w:val="446"/>
          <w:marRight w:val="0"/>
          <w:marTop w:val="0"/>
          <w:marBottom w:val="0"/>
          <w:divBdr>
            <w:top w:val="none" w:sz="0" w:space="0" w:color="auto"/>
            <w:left w:val="none" w:sz="0" w:space="0" w:color="auto"/>
            <w:bottom w:val="none" w:sz="0" w:space="0" w:color="auto"/>
            <w:right w:val="none" w:sz="0" w:space="0" w:color="auto"/>
          </w:divBdr>
        </w:div>
        <w:div w:id="561449568">
          <w:marLeft w:val="446"/>
          <w:marRight w:val="0"/>
          <w:marTop w:val="0"/>
          <w:marBottom w:val="0"/>
          <w:divBdr>
            <w:top w:val="none" w:sz="0" w:space="0" w:color="auto"/>
            <w:left w:val="none" w:sz="0" w:space="0" w:color="auto"/>
            <w:bottom w:val="none" w:sz="0" w:space="0" w:color="auto"/>
            <w:right w:val="none" w:sz="0" w:space="0" w:color="auto"/>
          </w:divBdr>
        </w:div>
        <w:div w:id="494226144">
          <w:marLeft w:val="446"/>
          <w:marRight w:val="0"/>
          <w:marTop w:val="0"/>
          <w:marBottom w:val="0"/>
          <w:divBdr>
            <w:top w:val="none" w:sz="0" w:space="0" w:color="auto"/>
            <w:left w:val="none" w:sz="0" w:space="0" w:color="auto"/>
            <w:bottom w:val="none" w:sz="0" w:space="0" w:color="auto"/>
            <w:right w:val="none" w:sz="0" w:space="0" w:color="auto"/>
          </w:divBdr>
        </w:div>
        <w:div w:id="1813980944">
          <w:marLeft w:val="446"/>
          <w:marRight w:val="0"/>
          <w:marTop w:val="0"/>
          <w:marBottom w:val="0"/>
          <w:divBdr>
            <w:top w:val="none" w:sz="0" w:space="0" w:color="auto"/>
            <w:left w:val="none" w:sz="0" w:space="0" w:color="auto"/>
            <w:bottom w:val="none" w:sz="0" w:space="0" w:color="auto"/>
            <w:right w:val="none" w:sz="0" w:space="0" w:color="auto"/>
          </w:divBdr>
        </w:div>
      </w:divsChild>
    </w:div>
    <w:div w:id="646470309">
      <w:bodyDiv w:val="1"/>
      <w:marLeft w:val="0"/>
      <w:marRight w:val="0"/>
      <w:marTop w:val="0"/>
      <w:marBottom w:val="0"/>
      <w:divBdr>
        <w:top w:val="none" w:sz="0" w:space="0" w:color="auto"/>
        <w:left w:val="none" w:sz="0" w:space="0" w:color="auto"/>
        <w:bottom w:val="none" w:sz="0" w:space="0" w:color="auto"/>
        <w:right w:val="none" w:sz="0" w:space="0" w:color="auto"/>
      </w:divBdr>
      <w:divsChild>
        <w:div w:id="1953704025">
          <w:marLeft w:val="446"/>
          <w:marRight w:val="0"/>
          <w:marTop w:val="0"/>
          <w:marBottom w:val="0"/>
          <w:divBdr>
            <w:top w:val="none" w:sz="0" w:space="0" w:color="auto"/>
            <w:left w:val="none" w:sz="0" w:space="0" w:color="auto"/>
            <w:bottom w:val="none" w:sz="0" w:space="0" w:color="auto"/>
            <w:right w:val="none" w:sz="0" w:space="0" w:color="auto"/>
          </w:divBdr>
        </w:div>
        <w:div w:id="273513342">
          <w:marLeft w:val="446"/>
          <w:marRight w:val="0"/>
          <w:marTop w:val="0"/>
          <w:marBottom w:val="0"/>
          <w:divBdr>
            <w:top w:val="none" w:sz="0" w:space="0" w:color="auto"/>
            <w:left w:val="none" w:sz="0" w:space="0" w:color="auto"/>
            <w:bottom w:val="none" w:sz="0" w:space="0" w:color="auto"/>
            <w:right w:val="none" w:sz="0" w:space="0" w:color="auto"/>
          </w:divBdr>
        </w:div>
        <w:div w:id="79062622">
          <w:marLeft w:val="1166"/>
          <w:marRight w:val="0"/>
          <w:marTop w:val="0"/>
          <w:marBottom w:val="0"/>
          <w:divBdr>
            <w:top w:val="none" w:sz="0" w:space="0" w:color="auto"/>
            <w:left w:val="none" w:sz="0" w:space="0" w:color="auto"/>
            <w:bottom w:val="none" w:sz="0" w:space="0" w:color="auto"/>
            <w:right w:val="none" w:sz="0" w:space="0" w:color="auto"/>
          </w:divBdr>
        </w:div>
        <w:div w:id="378165839">
          <w:marLeft w:val="1166"/>
          <w:marRight w:val="0"/>
          <w:marTop w:val="0"/>
          <w:marBottom w:val="0"/>
          <w:divBdr>
            <w:top w:val="none" w:sz="0" w:space="0" w:color="auto"/>
            <w:left w:val="none" w:sz="0" w:space="0" w:color="auto"/>
            <w:bottom w:val="none" w:sz="0" w:space="0" w:color="auto"/>
            <w:right w:val="none" w:sz="0" w:space="0" w:color="auto"/>
          </w:divBdr>
        </w:div>
        <w:div w:id="114448427">
          <w:marLeft w:val="1166"/>
          <w:marRight w:val="0"/>
          <w:marTop w:val="0"/>
          <w:marBottom w:val="0"/>
          <w:divBdr>
            <w:top w:val="none" w:sz="0" w:space="0" w:color="auto"/>
            <w:left w:val="none" w:sz="0" w:space="0" w:color="auto"/>
            <w:bottom w:val="none" w:sz="0" w:space="0" w:color="auto"/>
            <w:right w:val="none" w:sz="0" w:space="0" w:color="auto"/>
          </w:divBdr>
        </w:div>
        <w:div w:id="281227183">
          <w:marLeft w:val="1166"/>
          <w:marRight w:val="0"/>
          <w:marTop w:val="0"/>
          <w:marBottom w:val="0"/>
          <w:divBdr>
            <w:top w:val="none" w:sz="0" w:space="0" w:color="auto"/>
            <w:left w:val="none" w:sz="0" w:space="0" w:color="auto"/>
            <w:bottom w:val="none" w:sz="0" w:space="0" w:color="auto"/>
            <w:right w:val="none" w:sz="0" w:space="0" w:color="auto"/>
          </w:divBdr>
        </w:div>
        <w:div w:id="639770914">
          <w:marLeft w:val="446"/>
          <w:marRight w:val="0"/>
          <w:marTop w:val="0"/>
          <w:marBottom w:val="0"/>
          <w:divBdr>
            <w:top w:val="none" w:sz="0" w:space="0" w:color="auto"/>
            <w:left w:val="none" w:sz="0" w:space="0" w:color="auto"/>
            <w:bottom w:val="none" w:sz="0" w:space="0" w:color="auto"/>
            <w:right w:val="none" w:sz="0" w:space="0" w:color="auto"/>
          </w:divBdr>
        </w:div>
      </w:divsChild>
    </w:div>
    <w:div w:id="800195692">
      <w:bodyDiv w:val="1"/>
      <w:marLeft w:val="0"/>
      <w:marRight w:val="0"/>
      <w:marTop w:val="0"/>
      <w:marBottom w:val="0"/>
      <w:divBdr>
        <w:top w:val="none" w:sz="0" w:space="0" w:color="auto"/>
        <w:left w:val="none" w:sz="0" w:space="0" w:color="auto"/>
        <w:bottom w:val="none" w:sz="0" w:space="0" w:color="auto"/>
        <w:right w:val="none" w:sz="0" w:space="0" w:color="auto"/>
      </w:divBdr>
    </w:div>
    <w:div w:id="1098405555">
      <w:bodyDiv w:val="1"/>
      <w:marLeft w:val="0"/>
      <w:marRight w:val="0"/>
      <w:marTop w:val="0"/>
      <w:marBottom w:val="0"/>
      <w:divBdr>
        <w:top w:val="none" w:sz="0" w:space="0" w:color="auto"/>
        <w:left w:val="none" w:sz="0" w:space="0" w:color="auto"/>
        <w:bottom w:val="none" w:sz="0" w:space="0" w:color="auto"/>
        <w:right w:val="none" w:sz="0" w:space="0" w:color="auto"/>
      </w:divBdr>
    </w:div>
    <w:div w:id="1233782894">
      <w:bodyDiv w:val="1"/>
      <w:marLeft w:val="0"/>
      <w:marRight w:val="0"/>
      <w:marTop w:val="0"/>
      <w:marBottom w:val="0"/>
      <w:divBdr>
        <w:top w:val="none" w:sz="0" w:space="0" w:color="auto"/>
        <w:left w:val="none" w:sz="0" w:space="0" w:color="auto"/>
        <w:bottom w:val="none" w:sz="0" w:space="0" w:color="auto"/>
        <w:right w:val="none" w:sz="0" w:space="0" w:color="auto"/>
      </w:divBdr>
      <w:divsChild>
        <w:div w:id="1312296051">
          <w:marLeft w:val="446"/>
          <w:marRight w:val="0"/>
          <w:marTop w:val="0"/>
          <w:marBottom w:val="0"/>
          <w:divBdr>
            <w:top w:val="none" w:sz="0" w:space="0" w:color="auto"/>
            <w:left w:val="none" w:sz="0" w:space="0" w:color="auto"/>
            <w:bottom w:val="none" w:sz="0" w:space="0" w:color="auto"/>
            <w:right w:val="none" w:sz="0" w:space="0" w:color="auto"/>
          </w:divBdr>
        </w:div>
        <w:div w:id="839274169">
          <w:marLeft w:val="1886"/>
          <w:marRight w:val="0"/>
          <w:marTop w:val="0"/>
          <w:marBottom w:val="0"/>
          <w:divBdr>
            <w:top w:val="none" w:sz="0" w:space="0" w:color="auto"/>
            <w:left w:val="none" w:sz="0" w:space="0" w:color="auto"/>
            <w:bottom w:val="none" w:sz="0" w:space="0" w:color="auto"/>
            <w:right w:val="none" w:sz="0" w:space="0" w:color="auto"/>
          </w:divBdr>
        </w:div>
        <w:div w:id="112985577">
          <w:marLeft w:val="1886"/>
          <w:marRight w:val="0"/>
          <w:marTop w:val="0"/>
          <w:marBottom w:val="0"/>
          <w:divBdr>
            <w:top w:val="none" w:sz="0" w:space="0" w:color="auto"/>
            <w:left w:val="none" w:sz="0" w:space="0" w:color="auto"/>
            <w:bottom w:val="none" w:sz="0" w:space="0" w:color="auto"/>
            <w:right w:val="none" w:sz="0" w:space="0" w:color="auto"/>
          </w:divBdr>
        </w:div>
        <w:div w:id="2004047749">
          <w:marLeft w:val="1886"/>
          <w:marRight w:val="0"/>
          <w:marTop w:val="0"/>
          <w:marBottom w:val="0"/>
          <w:divBdr>
            <w:top w:val="none" w:sz="0" w:space="0" w:color="auto"/>
            <w:left w:val="none" w:sz="0" w:space="0" w:color="auto"/>
            <w:bottom w:val="none" w:sz="0" w:space="0" w:color="auto"/>
            <w:right w:val="none" w:sz="0" w:space="0" w:color="auto"/>
          </w:divBdr>
        </w:div>
        <w:div w:id="444424721">
          <w:marLeft w:val="446"/>
          <w:marRight w:val="0"/>
          <w:marTop w:val="0"/>
          <w:marBottom w:val="0"/>
          <w:divBdr>
            <w:top w:val="none" w:sz="0" w:space="0" w:color="auto"/>
            <w:left w:val="none" w:sz="0" w:space="0" w:color="auto"/>
            <w:bottom w:val="none" w:sz="0" w:space="0" w:color="auto"/>
            <w:right w:val="none" w:sz="0" w:space="0" w:color="auto"/>
          </w:divBdr>
        </w:div>
        <w:div w:id="1721316815">
          <w:marLeft w:val="1886"/>
          <w:marRight w:val="0"/>
          <w:marTop w:val="0"/>
          <w:marBottom w:val="0"/>
          <w:divBdr>
            <w:top w:val="none" w:sz="0" w:space="0" w:color="auto"/>
            <w:left w:val="none" w:sz="0" w:space="0" w:color="auto"/>
            <w:bottom w:val="none" w:sz="0" w:space="0" w:color="auto"/>
            <w:right w:val="none" w:sz="0" w:space="0" w:color="auto"/>
          </w:divBdr>
        </w:div>
        <w:div w:id="1453204239">
          <w:marLeft w:val="1886"/>
          <w:marRight w:val="0"/>
          <w:marTop w:val="0"/>
          <w:marBottom w:val="0"/>
          <w:divBdr>
            <w:top w:val="none" w:sz="0" w:space="0" w:color="auto"/>
            <w:left w:val="none" w:sz="0" w:space="0" w:color="auto"/>
            <w:bottom w:val="none" w:sz="0" w:space="0" w:color="auto"/>
            <w:right w:val="none" w:sz="0" w:space="0" w:color="auto"/>
          </w:divBdr>
        </w:div>
        <w:div w:id="112092286">
          <w:marLeft w:val="1886"/>
          <w:marRight w:val="0"/>
          <w:marTop w:val="0"/>
          <w:marBottom w:val="0"/>
          <w:divBdr>
            <w:top w:val="none" w:sz="0" w:space="0" w:color="auto"/>
            <w:left w:val="none" w:sz="0" w:space="0" w:color="auto"/>
            <w:bottom w:val="none" w:sz="0" w:space="0" w:color="auto"/>
            <w:right w:val="none" w:sz="0" w:space="0" w:color="auto"/>
          </w:divBdr>
        </w:div>
      </w:divsChild>
    </w:div>
    <w:div w:id="1348750759">
      <w:bodyDiv w:val="1"/>
      <w:marLeft w:val="0"/>
      <w:marRight w:val="0"/>
      <w:marTop w:val="0"/>
      <w:marBottom w:val="0"/>
      <w:divBdr>
        <w:top w:val="none" w:sz="0" w:space="0" w:color="auto"/>
        <w:left w:val="none" w:sz="0" w:space="0" w:color="auto"/>
        <w:bottom w:val="none" w:sz="0" w:space="0" w:color="auto"/>
        <w:right w:val="none" w:sz="0" w:space="0" w:color="auto"/>
      </w:divBdr>
      <w:divsChild>
        <w:div w:id="184440109">
          <w:marLeft w:val="1166"/>
          <w:marRight w:val="0"/>
          <w:marTop w:val="0"/>
          <w:marBottom w:val="0"/>
          <w:divBdr>
            <w:top w:val="none" w:sz="0" w:space="0" w:color="auto"/>
            <w:left w:val="none" w:sz="0" w:space="0" w:color="auto"/>
            <w:bottom w:val="none" w:sz="0" w:space="0" w:color="auto"/>
            <w:right w:val="none" w:sz="0" w:space="0" w:color="auto"/>
          </w:divBdr>
        </w:div>
      </w:divsChild>
    </w:div>
    <w:div w:id="1716347568">
      <w:bodyDiv w:val="1"/>
      <w:marLeft w:val="0"/>
      <w:marRight w:val="0"/>
      <w:marTop w:val="0"/>
      <w:marBottom w:val="0"/>
      <w:divBdr>
        <w:top w:val="none" w:sz="0" w:space="0" w:color="auto"/>
        <w:left w:val="none" w:sz="0" w:space="0" w:color="auto"/>
        <w:bottom w:val="none" w:sz="0" w:space="0" w:color="auto"/>
        <w:right w:val="none" w:sz="0" w:space="0" w:color="auto"/>
      </w:divBdr>
      <w:divsChild>
        <w:div w:id="1772234405">
          <w:marLeft w:val="1166"/>
          <w:marRight w:val="0"/>
          <w:marTop w:val="0"/>
          <w:marBottom w:val="0"/>
          <w:divBdr>
            <w:top w:val="none" w:sz="0" w:space="0" w:color="auto"/>
            <w:left w:val="none" w:sz="0" w:space="0" w:color="auto"/>
            <w:bottom w:val="none" w:sz="0" w:space="0" w:color="auto"/>
            <w:right w:val="none" w:sz="0" w:space="0" w:color="auto"/>
          </w:divBdr>
        </w:div>
        <w:div w:id="1891108170">
          <w:marLeft w:val="1166"/>
          <w:marRight w:val="0"/>
          <w:marTop w:val="0"/>
          <w:marBottom w:val="0"/>
          <w:divBdr>
            <w:top w:val="none" w:sz="0" w:space="0" w:color="auto"/>
            <w:left w:val="none" w:sz="0" w:space="0" w:color="auto"/>
            <w:bottom w:val="none" w:sz="0" w:space="0" w:color="auto"/>
            <w:right w:val="none" w:sz="0" w:space="0" w:color="auto"/>
          </w:divBdr>
        </w:div>
        <w:div w:id="1075053596">
          <w:marLeft w:val="1166"/>
          <w:marRight w:val="0"/>
          <w:marTop w:val="0"/>
          <w:marBottom w:val="0"/>
          <w:divBdr>
            <w:top w:val="none" w:sz="0" w:space="0" w:color="auto"/>
            <w:left w:val="none" w:sz="0" w:space="0" w:color="auto"/>
            <w:bottom w:val="none" w:sz="0" w:space="0" w:color="auto"/>
            <w:right w:val="none" w:sz="0" w:space="0" w:color="auto"/>
          </w:divBdr>
        </w:div>
        <w:div w:id="948705381">
          <w:marLeft w:val="1166"/>
          <w:marRight w:val="0"/>
          <w:marTop w:val="0"/>
          <w:marBottom w:val="0"/>
          <w:divBdr>
            <w:top w:val="none" w:sz="0" w:space="0" w:color="auto"/>
            <w:left w:val="none" w:sz="0" w:space="0" w:color="auto"/>
            <w:bottom w:val="none" w:sz="0" w:space="0" w:color="auto"/>
            <w:right w:val="none" w:sz="0" w:space="0" w:color="auto"/>
          </w:divBdr>
        </w:div>
        <w:div w:id="1535921773">
          <w:marLeft w:val="1166"/>
          <w:marRight w:val="0"/>
          <w:marTop w:val="0"/>
          <w:marBottom w:val="0"/>
          <w:divBdr>
            <w:top w:val="none" w:sz="0" w:space="0" w:color="auto"/>
            <w:left w:val="none" w:sz="0" w:space="0" w:color="auto"/>
            <w:bottom w:val="none" w:sz="0" w:space="0" w:color="auto"/>
            <w:right w:val="none" w:sz="0" w:space="0" w:color="auto"/>
          </w:divBdr>
        </w:div>
        <w:div w:id="493422894">
          <w:marLeft w:val="1166"/>
          <w:marRight w:val="0"/>
          <w:marTop w:val="0"/>
          <w:marBottom w:val="0"/>
          <w:divBdr>
            <w:top w:val="none" w:sz="0" w:space="0" w:color="auto"/>
            <w:left w:val="none" w:sz="0" w:space="0" w:color="auto"/>
            <w:bottom w:val="none" w:sz="0" w:space="0" w:color="auto"/>
            <w:right w:val="none" w:sz="0" w:space="0" w:color="auto"/>
          </w:divBdr>
        </w:div>
        <w:div w:id="712268756">
          <w:marLeft w:val="1166"/>
          <w:marRight w:val="0"/>
          <w:marTop w:val="0"/>
          <w:marBottom w:val="0"/>
          <w:divBdr>
            <w:top w:val="none" w:sz="0" w:space="0" w:color="auto"/>
            <w:left w:val="none" w:sz="0" w:space="0" w:color="auto"/>
            <w:bottom w:val="none" w:sz="0" w:space="0" w:color="auto"/>
            <w:right w:val="none" w:sz="0" w:space="0" w:color="auto"/>
          </w:divBdr>
        </w:div>
        <w:div w:id="293564912">
          <w:marLeft w:val="1166"/>
          <w:marRight w:val="0"/>
          <w:marTop w:val="0"/>
          <w:marBottom w:val="0"/>
          <w:divBdr>
            <w:top w:val="none" w:sz="0" w:space="0" w:color="auto"/>
            <w:left w:val="none" w:sz="0" w:space="0" w:color="auto"/>
            <w:bottom w:val="none" w:sz="0" w:space="0" w:color="auto"/>
            <w:right w:val="none" w:sz="0" w:space="0" w:color="auto"/>
          </w:divBdr>
        </w:div>
        <w:div w:id="602960049">
          <w:marLeft w:val="1166"/>
          <w:marRight w:val="0"/>
          <w:marTop w:val="0"/>
          <w:marBottom w:val="0"/>
          <w:divBdr>
            <w:top w:val="none" w:sz="0" w:space="0" w:color="auto"/>
            <w:left w:val="none" w:sz="0" w:space="0" w:color="auto"/>
            <w:bottom w:val="none" w:sz="0" w:space="0" w:color="auto"/>
            <w:right w:val="none" w:sz="0" w:space="0" w:color="auto"/>
          </w:divBdr>
        </w:div>
      </w:divsChild>
    </w:div>
    <w:div w:id="1722898614">
      <w:bodyDiv w:val="1"/>
      <w:marLeft w:val="0"/>
      <w:marRight w:val="0"/>
      <w:marTop w:val="0"/>
      <w:marBottom w:val="0"/>
      <w:divBdr>
        <w:top w:val="none" w:sz="0" w:space="0" w:color="auto"/>
        <w:left w:val="none" w:sz="0" w:space="0" w:color="auto"/>
        <w:bottom w:val="none" w:sz="0" w:space="0" w:color="auto"/>
        <w:right w:val="none" w:sz="0" w:space="0" w:color="auto"/>
      </w:divBdr>
      <w:divsChild>
        <w:div w:id="1749839950">
          <w:marLeft w:val="547"/>
          <w:marRight w:val="0"/>
          <w:marTop w:val="0"/>
          <w:marBottom w:val="0"/>
          <w:divBdr>
            <w:top w:val="none" w:sz="0" w:space="0" w:color="auto"/>
            <w:left w:val="none" w:sz="0" w:space="0" w:color="auto"/>
            <w:bottom w:val="none" w:sz="0" w:space="0" w:color="auto"/>
            <w:right w:val="none" w:sz="0" w:space="0" w:color="auto"/>
          </w:divBdr>
        </w:div>
        <w:div w:id="215823333">
          <w:marLeft w:val="547"/>
          <w:marRight w:val="0"/>
          <w:marTop w:val="0"/>
          <w:marBottom w:val="0"/>
          <w:divBdr>
            <w:top w:val="none" w:sz="0" w:space="0" w:color="auto"/>
            <w:left w:val="none" w:sz="0" w:space="0" w:color="auto"/>
            <w:bottom w:val="none" w:sz="0" w:space="0" w:color="auto"/>
            <w:right w:val="none" w:sz="0" w:space="0" w:color="auto"/>
          </w:divBdr>
        </w:div>
        <w:div w:id="1762216151">
          <w:marLeft w:val="547"/>
          <w:marRight w:val="0"/>
          <w:marTop w:val="0"/>
          <w:marBottom w:val="0"/>
          <w:divBdr>
            <w:top w:val="none" w:sz="0" w:space="0" w:color="auto"/>
            <w:left w:val="none" w:sz="0" w:space="0" w:color="auto"/>
            <w:bottom w:val="none" w:sz="0" w:space="0" w:color="auto"/>
            <w:right w:val="none" w:sz="0" w:space="0" w:color="auto"/>
          </w:divBdr>
        </w:div>
        <w:div w:id="1132793429">
          <w:marLeft w:val="547"/>
          <w:marRight w:val="0"/>
          <w:marTop w:val="0"/>
          <w:marBottom w:val="0"/>
          <w:divBdr>
            <w:top w:val="none" w:sz="0" w:space="0" w:color="auto"/>
            <w:left w:val="none" w:sz="0" w:space="0" w:color="auto"/>
            <w:bottom w:val="none" w:sz="0" w:space="0" w:color="auto"/>
            <w:right w:val="none" w:sz="0" w:space="0" w:color="auto"/>
          </w:divBdr>
        </w:div>
        <w:div w:id="560140657">
          <w:marLeft w:val="547"/>
          <w:marRight w:val="0"/>
          <w:marTop w:val="0"/>
          <w:marBottom w:val="0"/>
          <w:divBdr>
            <w:top w:val="none" w:sz="0" w:space="0" w:color="auto"/>
            <w:left w:val="none" w:sz="0" w:space="0" w:color="auto"/>
            <w:bottom w:val="none" w:sz="0" w:space="0" w:color="auto"/>
            <w:right w:val="none" w:sz="0" w:space="0" w:color="auto"/>
          </w:divBdr>
        </w:div>
        <w:div w:id="1168863880">
          <w:marLeft w:val="547"/>
          <w:marRight w:val="0"/>
          <w:marTop w:val="0"/>
          <w:marBottom w:val="0"/>
          <w:divBdr>
            <w:top w:val="none" w:sz="0" w:space="0" w:color="auto"/>
            <w:left w:val="none" w:sz="0" w:space="0" w:color="auto"/>
            <w:bottom w:val="none" w:sz="0" w:space="0" w:color="auto"/>
            <w:right w:val="none" w:sz="0" w:space="0" w:color="auto"/>
          </w:divBdr>
        </w:div>
      </w:divsChild>
    </w:div>
    <w:div w:id="1911235509">
      <w:bodyDiv w:val="1"/>
      <w:marLeft w:val="0"/>
      <w:marRight w:val="0"/>
      <w:marTop w:val="0"/>
      <w:marBottom w:val="0"/>
      <w:divBdr>
        <w:top w:val="none" w:sz="0" w:space="0" w:color="auto"/>
        <w:left w:val="none" w:sz="0" w:space="0" w:color="auto"/>
        <w:bottom w:val="none" w:sz="0" w:space="0" w:color="auto"/>
        <w:right w:val="none" w:sz="0" w:space="0" w:color="auto"/>
      </w:divBdr>
      <w:divsChild>
        <w:div w:id="532811750">
          <w:marLeft w:val="446"/>
          <w:marRight w:val="0"/>
          <w:marTop w:val="0"/>
          <w:marBottom w:val="0"/>
          <w:divBdr>
            <w:top w:val="none" w:sz="0" w:space="0" w:color="auto"/>
            <w:left w:val="none" w:sz="0" w:space="0" w:color="auto"/>
            <w:bottom w:val="none" w:sz="0" w:space="0" w:color="auto"/>
            <w:right w:val="none" w:sz="0" w:space="0" w:color="auto"/>
          </w:divBdr>
        </w:div>
      </w:divsChild>
    </w:div>
    <w:div w:id="1968506810">
      <w:bodyDiv w:val="1"/>
      <w:marLeft w:val="0"/>
      <w:marRight w:val="0"/>
      <w:marTop w:val="0"/>
      <w:marBottom w:val="0"/>
      <w:divBdr>
        <w:top w:val="none" w:sz="0" w:space="0" w:color="auto"/>
        <w:left w:val="none" w:sz="0" w:space="0" w:color="auto"/>
        <w:bottom w:val="none" w:sz="0" w:space="0" w:color="auto"/>
        <w:right w:val="none" w:sz="0" w:space="0" w:color="auto"/>
      </w:divBdr>
      <w:divsChild>
        <w:div w:id="406726374">
          <w:marLeft w:val="1166"/>
          <w:marRight w:val="0"/>
          <w:marTop w:val="0"/>
          <w:marBottom w:val="0"/>
          <w:divBdr>
            <w:top w:val="none" w:sz="0" w:space="0" w:color="auto"/>
            <w:left w:val="none" w:sz="0" w:space="0" w:color="auto"/>
            <w:bottom w:val="none" w:sz="0" w:space="0" w:color="auto"/>
            <w:right w:val="none" w:sz="0" w:space="0" w:color="auto"/>
          </w:divBdr>
        </w:div>
        <w:div w:id="1642613734">
          <w:marLeft w:val="1166"/>
          <w:marRight w:val="0"/>
          <w:marTop w:val="0"/>
          <w:marBottom w:val="0"/>
          <w:divBdr>
            <w:top w:val="none" w:sz="0" w:space="0" w:color="auto"/>
            <w:left w:val="none" w:sz="0" w:space="0" w:color="auto"/>
            <w:bottom w:val="none" w:sz="0" w:space="0" w:color="auto"/>
            <w:right w:val="none" w:sz="0" w:space="0" w:color="auto"/>
          </w:divBdr>
        </w:div>
        <w:div w:id="463158629">
          <w:marLeft w:val="1166"/>
          <w:marRight w:val="0"/>
          <w:marTop w:val="0"/>
          <w:marBottom w:val="0"/>
          <w:divBdr>
            <w:top w:val="none" w:sz="0" w:space="0" w:color="auto"/>
            <w:left w:val="none" w:sz="0" w:space="0" w:color="auto"/>
            <w:bottom w:val="none" w:sz="0" w:space="0" w:color="auto"/>
            <w:right w:val="none" w:sz="0" w:space="0" w:color="auto"/>
          </w:divBdr>
        </w:div>
        <w:div w:id="280571732">
          <w:marLeft w:val="1166"/>
          <w:marRight w:val="0"/>
          <w:marTop w:val="0"/>
          <w:marBottom w:val="0"/>
          <w:divBdr>
            <w:top w:val="none" w:sz="0" w:space="0" w:color="auto"/>
            <w:left w:val="none" w:sz="0" w:space="0" w:color="auto"/>
            <w:bottom w:val="none" w:sz="0" w:space="0" w:color="auto"/>
            <w:right w:val="none" w:sz="0" w:space="0" w:color="auto"/>
          </w:divBdr>
        </w:div>
        <w:div w:id="1899051973">
          <w:marLeft w:val="1166"/>
          <w:marRight w:val="0"/>
          <w:marTop w:val="0"/>
          <w:marBottom w:val="0"/>
          <w:divBdr>
            <w:top w:val="none" w:sz="0" w:space="0" w:color="auto"/>
            <w:left w:val="none" w:sz="0" w:space="0" w:color="auto"/>
            <w:bottom w:val="none" w:sz="0" w:space="0" w:color="auto"/>
            <w:right w:val="none" w:sz="0" w:space="0" w:color="auto"/>
          </w:divBdr>
        </w:div>
        <w:div w:id="1062869063">
          <w:marLeft w:val="1166"/>
          <w:marRight w:val="0"/>
          <w:marTop w:val="0"/>
          <w:marBottom w:val="0"/>
          <w:divBdr>
            <w:top w:val="none" w:sz="0" w:space="0" w:color="auto"/>
            <w:left w:val="none" w:sz="0" w:space="0" w:color="auto"/>
            <w:bottom w:val="none" w:sz="0" w:space="0" w:color="auto"/>
            <w:right w:val="none" w:sz="0" w:space="0" w:color="auto"/>
          </w:divBdr>
        </w:div>
        <w:div w:id="1748069540">
          <w:marLeft w:val="1166"/>
          <w:marRight w:val="0"/>
          <w:marTop w:val="0"/>
          <w:marBottom w:val="0"/>
          <w:divBdr>
            <w:top w:val="none" w:sz="0" w:space="0" w:color="auto"/>
            <w:left w:val="none" w:sz="0" w:space="0" w:color="auto"/>
            <w:bottom w:val="none" w:sz="0" w:space="0" w:color="auto"/>
            <w:right w:val="none" w:sz="0" w:space="0" w:color="auto"/>
          </w:divBdr>
        </w:div>
      </w:divsChild>
    </w:div>
    <w:div w:id="2049723947">
      <w:bodyDiv w:val="1"/>
      <w:marLeft w:val="0"/>
      <w:marRight w:val="0"/>
      <w:marTop w:val="0"/>
      <w:marBottom w:val="0"/>
      <w:divBdr>
        <w:top w:val="none" w:sz="0" w:space="0" w:color="auto"/>
        <w:left w:val="none" w:sz="0" w:space="0" w:color="auto"/>
        <w:bottom w:val="none" w:sz="0" w:space="0" w:color="auto"/>
        <w:right w:val="none" w:sz="0" w:space="0" w:color="auto"/>
      </w:divBdr>
      <w:divsChild>
        <w:div w:id="430124960">
          <w:marLeft w:val="446"/>
          <w:marRight w:val="0"/>
          <w:marTop w:val="0"/>
          <w:marBottom w:val="0"/>
          <w:divBdr>
            <w:top w:val="none" w:sz="0" w:space="0" w:color="auto"/>
            <w:left w:val="none" w:sz="0" w:space="0" w:color="auto"/>
            <w:bottom w:val="none" w:sz="0" w:space="0" w:color="auto"/>
            <w:right w:val="none" w:sz="0" w:space="0" w:color="auto"/>
          </w:divBdr>
        </w:div>
        <w:div w:id="1813398532">
          <w:marLeft w:val="446"/>
          <w:marRight w:val="0"/>
          <w:marTop w:val="0"/>
          <w:marBottom w:val="0"/>
          <w:divBdr>
            <w:top w:val="none" w:sz="0" w:space="0" w:color="auto"/>
            <w:left w:val="none" w:sz="0" w:space="0" w:color="auto"/>
            <w:bottom w:val="none" w:sz="0" w:space="0" w:color="auto"/>
            <w:right w:val="none" w:sz="0" w:space="0" w:color="auto"/>
          </w:divBdr>
        </w:div>
      </w:divsChild>
    </w:div>
    <w:div w:id="2052803326">
      <w:bodyDiv w:val="1"/>
      <w:marLeft w:val="0"/>
      <w:marRight w:val="0"/>
      <w:marTop w:val="0"/>
      <w:marBottom w:val="0"/>
      <w:divBdr>
        <w:top w:val="none" w:sz="0" w:space="0" w:color="auto"/>
        <w:left w:val="none" w:sz="0" w:space="0" w:color="auto"/>
        <w:bottom w:val="none" w:sz="0" w:space="0" w:color="auto"/>
        <w:right w:val="none" w:sz="0" w:space="0" w:color="auto"/>
      </w:divBdr>
      <w:divsChild>
        <w:div w:id="1050039279">
          <w:marLeft w:val="1166"/>
          <w:marRight w:val="0"/>
          <w:marTop w:val="0"/>
          <w:marBottom w:val="0"/>
          <w:divBdr>
            <w:top w:val="none" w:sz="0" w:space="0" w:color="auto"/>
            <w:left w:val="none" w:sz="0" w:space="0" w:color="auto"/>
            <w:bottom w:val="none" w:sz="0" w:space="0" w:color="auto"/>
            <w:right w:val="none" w:sz="0" w:space="0" w:color="auto"/>
          </w:divBdr>
        </w:div>
        <w:div w:id="1055088113">
          <w:marLeft w:val="1166"/>
          <w:marRight w:val="0"/>
          <w:marTop w:val="0"/>
          <w:marBottom w:val="0"/>
          <w:divBdr>
            <w:top w:val="none" w:sz="0" w:space="0" w:color="auto"/>
            <w:left w:val="none" w:sz="0" w:space="0" w:color="auto"/>
            <w:bottom w:val="none" w:sz="0" w:space="0" w:color="auto"/>
            <w:right w:val="none" w:sz="0" w:space="0" w:color="auto"/>
          </w:divBdr>
        </w:div>
        <w:div w:id="1435831654">
          <w:marLeft w:val="1166"/>
          <w:marRight w:val="0"/>
          <w:marTop w:val="0"/>
          <w:marBottom w:val="0"/>
          <w:divBdr>
            <w:top w:val="none" w:sz="0" w:space="0" w:color="auto"/>
            <w:left w:val="none" w:sz="0" w:space="0" w:color="auto"/>
            <w:bottom w:val="none" w:sz="0" w:space="0" w:color="auto"/>
            <w:right w:val="none" w:sz="0" w:space="0" w:color="auto"/>
          </w:divBdr>
        </w:div>
        <w:div w:id="1542740431">
          <w:marLeft w:val="1166"/>
          <w:marRight w:val="0"/>
          <w:marTop w:val="0"/>
          <w:marBottom w:val="0"/>
          <w:divBdr>
            <w:top w:val="none" w:sz="0" w:space="0" w:color="auto"/>
            <w:left w:val="none" w:sz="0" w:space="0" w:color="auto"/>
            <w:bottom w:val="none" w:sz="0" w:space="0" w:color="auto"/>
            <w:right w:val="none" w:sz="0" w:space="0" w:color="auto"/>
          </w:divBdr>
        </w:div>
        <w:div w:id="63843125">
          <w:marLeft w:val="1166"/>
          <w:marRight w:val="0"/>
          <w:marTop w:val="0"/>
          <w:marBottom w:val="0"/>
          <w:divBdr>
            <w:top w:val="none" w:sz="0" w:space="0" w:color="auto"/>
            <w:left w:val="none" w:sz="0" w:space="0" w:color="auto"/>
            <w:bottom w:val="none" w:sz="0" w:space="0" w:color="auto"/>
            <w:right w:val="none" w:sz="0" w:space="0" w:color="auto"/>
          </w:divBdr>
        </w:div>
        <w:div w:id="181012183">
          <w:marLeft w:val="1166"/>
          <w:marRight w:val="0"/>
          <w:marTop w:val="0"/>
          <w:marBottom w:val="0"/>
          <w:divBdr>
            <w:top w:val="none" w:sz="0" w:space="0" w:color="auto"/>
            <w:left w:val="none" w:sz="0" w:space="0" w:color="auto"/>
            <w:bottom w:val="none" w:sz="0" w:space="0" w:color="auto"/>
            <w:right w:val="none" w:sz="0" w:space="0" w:color="auto"/>
          </w:divBdr>
        </w:div>
        <w:div w:id="1636372111">
          <w:marLeft w:val="1166"/>
          <w:marRight w:val="0"/>
          <w:marTop w:val="0"/>
          <w:marBottom w:val="0"/>
          <w:divBdr>
            <w:top w:val="none" w:sz="0" w:space="0" w:color="auto"/>
            <w:left w:val="none" w:sz="0" w:space="0" w:color="auto"/>
            <w:bottom w:val="none" w:sz="0" w:space="0" w:color="auto"/>
            <w:right w:val="none" w:sz="0" w:space="0" w:color="auto"/>
          </w:divBdr>
        </w:div>
        <w:div w:id="221987941">
          <w:marLeft w:val="1166"/>
          <w:marRight w:val="0"/>
          <w:marTop w:val="0"/>
          <w:marBottom w:val="0"/>
          <w:divBdr>
            <w:top w:val="none" w:sz="0" w:space="0" w:color="auto"/>
            <w:left w:val="none" w:sz="0" w:space="0" w:color="auto"/>
            <w:bottom w:val="none" w:sz="0" w:space="0" w:color="auto"/>
            <w:right w:val="none" w:sz="0" w:space="0" w:color="auto"/>
          </w:divBdr>
        </w:div>
        <w:div w:id="1239438408">
          <w:marLeft w:val="1166"/>
          <w:marRight w:val="0"/>
          <w:marTop w:val="0"/>
          <w:marBottom w:val="0"/>
          <w:divBdr>
            <w:top w:val="none" w:sz="0" w:space="0" w:color="auto"/>
            <w:left w:val="none" w:sz="0" w:space="0" w:color="auto"/>
            <w:bottom w:val="none" w:sz="0" w:space="0" w:color="auto"/>
            <w:right w:val="none" w:sz="0" w:space="0" w:color="auto"/>
          </w:divBdr>
        </w:div>
      </w:divsChild>
    </w:div>
    <w:div w:id="20588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gland.nhs.uk/wp-content/uploads/2016/12/2-sub-contract-17-18-fl.doc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igital.nhs.uk/media/289/NHSDigitalMiniGuide/pdf/hscicminigui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hsemployers.org/your-workforce/recruit/employmentcheck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cg85?unlid=6010250082017291612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uhb.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B1CF-779F-4689-B2B9-FD8E8770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4DF1EADB</Template>
  <TotalTime>7</TotalTime>
  <Pages>13</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Fertig</dc:creator>
  <cp:lastModifiedBy>Pam Kelsall</cp:lastModifiedBy>
  <cp:revision>4</cp:revision>
  <cp:lastPrinted>2017-02-02T09:04:00Z</cp:lastPrinted>
  <dcterms:created xsi:type="dcterms:W3CDTF">2017-03-02T12:32:00Z</dcterms:created>
  <dcterms:modified xsi:type="dcterms:W3CDTF">2017-03-02T14:40:00Z</dcterms:modified>
</cp:coreProperties>
</file>