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1E" w:rsidRDefault="00E4511E" w:rsidP="00B43713">
      <w:pPr>
        <w:jc w:val="center"/>
        <w:rPr>
          <w:b/>
          <w:sz w:val="36"/>
          <w:szCs w:val="36"/>
        </w:rPr>
      </w:pPr>
    </w:p>
    <w:p w:rsidR="004D077D" w:rsidRPr="004D077D" w:rsidRDefault="004D077D" w:rsidP="00B43713">
      <w:pPr>
        <w:jc w:val="center"/>
        <w:rPr>
          <w:b/>
          <w:sz w:val="36"/>
          <w:szCs w:val="36"/>
        </w:rPr>
      </w:pPr>
      <w:bookmarkStart w:id="0" w:name="_GoBack"/>
      <w:bookmarkEnd w:id="0"/>
      <w:r w:rsidRPr="004D077D">
        <w:rPr>
          <w:b/>
          <w:sz w:val="36"/>
          <w:szCs w:val="36"/>
        </w:rPr>
        <w:t>MEMORANDUM OF INFORMATION</w:t>
      </w:r>
    </w:p>
    <w:p w:rsidR="004D077D" w:rsidRDefault="007D22FC" w:rsidP="007D22FC">
      <w:pPr>
        <w:jc w:val="center"/>
        <w:rPr>
          <w:b/>
          <w:sz w:val="32"/>
          <w:szCs w:val="32"/>
        </w:rPr>
      </w:pPr>
      <w:r>
        <w:rPr>
          <w:b/>
          <w:sz w:val="32"/>
          <w:szCs w:val="32"/>
        </w:rPr>
        <w:t>Direct Access Pathology Service</w:t>
      </w:r>
    </w:p>
    <w:p w:rsidR="004D077D" w:rsidRPr="001F5C70" w:rsidRDefault="00AC6B1E" w:rsidP="004D077D">
      <w:pPr>
        <w:spacing w:after="120" w:line="240" w:lineRule="auto"/>
        <w:rPr>
          <w:rFonts w:eastAsia="Times New Roman" w:cstheme="minorHAnsi"/>
          <w:b/>
          <w:sz w:val="24"/>
          <w:szCs w:val="24"/>
          <w:u w:val="single"/>
          <w:lang w:eastAsia="en-GB"/>
        </w:rPr>
      </w:pPr>
      <w:r w:rsidRPr="001F5C70">
        <w:rPr>
          <w:rFonts w:eastAsia="Times New Roman" w:cstheme="minorHAnsi"/>
          <w:b/>
          <w:sz w:val="24"/>
          <w:szCs w:val="24"/>
          <w:u w:val="single"/>
          <w:lang w:eastAsia="en-GB"/>
        </w:rPr>
        <w:t>Purpose</w:t>
      </w:r>
      <w:r w:rsidR="007D22FC" w:rsidRPr="001F5C70">
        <w:rPr>
          <w:rFonts w:eastAsia="Times New Roman" w:cstheme="minorHAnsi"/>
          <w:b/>
          <w:sz w:val="24"/>
          <w:szCs w:val="24"/>
          <w:u w:val="single"/>
          <w:lang w:eastAsia="en-GB"/>
        </w:rPr>
        <w:t xml:space="preserve"> and Overview</w:t>
      </w:r>
    </w:p>
    <w:p w:rsidR="007D22FC" w:rsidRPr="00D855C3" w:rsidRDefault="007D22FC" w:rsidP="007D22FC">
      <w:pPr>
        <w:shd w:val="clear" w:color="auto" w:fill="FFFFFF"/>
        <w:spacing w:before="100" w:beforeAutospacing="1" w:line="240" w:lineRule="auto"/>
        <w:rPr>
          <w:rFonts w:cstheme="minorHAnsi"/>
          <w:sz w:val="24"/>
          <w:szCs w:val="24"/>
        </w:rPr>
      </w:pPr>
      <w:r w:rsidRPr="00D855C3">
        <w:rPr>
          <w:rFonts w:eastAsia="Times New Roman" w:cstheme="minorHAnsi"/>
          <w:color w:val="0B0C0C"/>
          <w:sz w:val="24"/>
          <w:szCs w:val="24"/>
          <w:lang w:val="en" w:eastAsia="en-GB"/>
        </w:rPr>
        <w:t>NHS Bren</w:t>
      </w:r>
      <w:r w:rsidR="007F07C7">
        <w:rPr>
          <w:rFonts w:eastAsia="Times New Roman" w:cstheme="minorHAnsi"/>
          <w:color w:val="0B0C0C"/>
          <w:sz w:val="24"/>
          <w:szCs w:val="24"/>
          <w:lang w:val="en" w:eastAsia="en-GB"/>
        </w:rPr>
        <w:t>t CCG and NHS Harrow CCG are considering their future Commissioning Strategies</w:t>
      </w:r>
      <w:r w:rsidRPr="00D855C3">
        <w:rPr>
          <w:rFonts w:eastAsia="Times New Roman" w:cstheme="minorHAnsi"/>
          <w:color w:val="0B0C0C"/>
          <w:sz w:val="24"/>
          <w:szCs w:val="24"/>
          <w:lang w:val="en" w:eastAsia="en-GB"/>
        </w:rPr>
        <w:t xml:space="preserve"> for the Provision of Direct Access Pathology Services. </w:t>
      </w:r>
    </w:p>
    <w:p w:rsidR="007D22FC" w:rsidRPr="00D855C3" w:rsidRDefault="007D22FC" w:rsidP="007D22FC">
      <w:pPr>
        <w:shd w:val="clear" w:color="auto" w:fill="FFFFFF"/>
        <w:spacing w:before="100" w:beforeAutospacing="1" w:line="240" w:lineRule="auto"/>
        <w:rPr>
          <w:rFonts w:cstheme="minorHAnsi"/>
          <w:sz w:val="24"/>
          <w:szCs w:val="24"/>
        </w:rPr>
      </w:pPr>
      <w:r w:rsidRPr="00D855C3">
        <w:rPr>
          <w:rFonts w:cstheme="minorHAnsi"/>
          <w:sz w:val="24"/>
          <w:szCs w:val="24"/>
        </w:rPr>
        <w:t xml:space="preserve">NHS Brent CCG </w:t>
      </w:r>
      <w:r w:rsidR="007F07C7">
        <w:rPr>
          <w:rFonts w:cstheme="minorHAnsi"/>
          <w:sz w:val="24"/>
          <w:szCs w:val="24"/>
        </w:rPr>
        <w:t xml:space="preserve">and NHS Harrow CCG </w:t>
      </w:r>
      <w:r w:rsidRPr="00D855C3">
        <w:rPr>
          <w:rFonts w:cstheme="minorHAnsi"/>
          <w:sz w:val="24"/>
          <w:szCs w:val="24"/>
        </w:rPr>
        <w:t xml:space="preserve">will be looking for a provider to deliver an end to end Direct Access Pathology Service. </w:t>
      </w:r>
      <w:r w:rsidRPr="00D855C3">
        <w:rPr>
          <w:rFonts w:eastAsia="Times New Roman" w:cstheme="minorHAnsi"/>
          <w:color w:val="0B0C0C"/>
          <w:sz w:val="24"/>
          <w:szCs w:val="24"/>
          <w:lang w:val="en" w:eastAsia="en-GB"/>
        </w:rPr>
        <w:t>The specific outcomes of the service are:</w:t>
      </w:r>
    </w:p>
    <w:p w:rsidR="007D22FC" w:rsidRPr="00D855C3" w:rsidRDefault="007D22FC" w:rsidP="007D22FC">
      <w:pPr>
        <w:pStyle w:val="ListParagraph"/>
        <w:numPr>
          <w:ilvl w:val="0"/>
          <w:numId w:val="9"/>
        </w:numPr>
        <w:autoSpaceDE w:val="0"/>
        <w:autoSpaceDN w:val="0"/>
        <w:adjustRightInd w:val="0"/>
        <w:contextualSpacing/>
        <w:rPr>
          <w:rFonts w:asciiTheme="minorHAnsi" w:hAnsiTheme="minorHAnsi" w:cstheme="minorHAnsi"/>
          <w:sz w:val="24"/>
          <w:szCs w:val="24"/>
        </w:rPr>
      </w:pPr>
      <w:r w:rsidRPr="00D855C3">
        <w:rPr>
          <w:rFonts w:asciiTheme="minorHAnsi" w:hAnsiTheme="minorHAnsi" w:cstheme="minorHAnsi"/>
          <w:sz w:val="24"/>
          <w:szCs w:val="24"/>
        </w:rPr>
        <w:t>To provide a high quality and clini</w:t>
      </w:r>
      <w:r w:rsidR="00302090">
        <w:rPr>
          <w:rFonts w:asciiTheme="minorHAnsi" w:hAnsiTheme="minorHAnsi" w:cstheme="minorHAnsi"/>
          <w:sz w:val="24"/>
          <w:szCs w:val="24"/>
        </w:rPr>
        <w:t xml:space="preserve">cally effective </w:t>
      </w:r>
      <w:r w:rsidRPr="00D855C3">
        <w:rPr>
          <w:rFonts w:asciiTheme="minorHAnsi" w:hAnsiTheme="minorHAnsi" w:cstheme="minorHAnsi"/>
          <w:sz w:val="24"/>
          <w:szCs w:val="24"/>
        </w:rPr>
        <w:t xml:space="preserve">service (to include, amongst others, blood transfusion, haematology and coagulation, clinical biochemistry, microbiology, virology serology, immunology, </w:t>
      </w:r>
      <w:proofErr w:type="spellStart"/>
      <w:r w:rsidRPr="00D855C3">
        <w:rPr>
          <w:rFonts w:asciiTheme="minorHAnsi" w:hAnsiTheme="minorHAnsi" w:cstheme="minorHAnsi"/>
          <w:sz w:val="24"/>
          <w:szCs w:val="24"/>
        </w:rPr>
        <w:t>andrology</w:t>
      </w:r>
      <w:proofErr w:type="spellEnd"/>
      <w:r w:rsidRPr="00D855C3">
        <w:rPr>
          <w:rFonts w:asciiTheme="minorHAnsi" w:hAnsiTheme="minorHAnsi" w:cstheme="minorHAnsi"/>
          <w:sz w:val="24"/>
          <w:szCs w:val="24"/>
        </w:rPr>
        <w:t xml:space="preserve">, </w:t>
      </w:r>
      <w:proofErr w:type="spellStart"/>
      <w:r w:rsidRPr="00D855C3">
        <w:rPr>
          <w:rFonts w:asciiTheme="minorHAnsi" w:hAnsiTheme="minorHAnsi" w:cstheme="minorHAnsi"/>
          <w:sz w:val="24"/>
          <w:szCs w:val="24"/>
        </w:rPr>
        <w:t>PoCT</w:t>
      </w:r>
      <w:proofErr w:type="spellEnd"/>
      <w:r w:rsidRPr="00D855C3">
        <w:rPr>
          <w:rFonts w:asciiTheme="minorHAnsi" w:hAnsiTheme="minorHAnsi" w:cstheme="minorHAnsi"/>
          <w:sz w:val="24"/>
          <w:szCs w:val="24"/>
        </w:rPr>
        <w:t xml:space="preserve"> support, </w:t>
      </w:r>
      <w:proofErr w:type="spellStart"/>
      <w:r w:rsidRPr="00D855C3">
        <w:rPr>
          <w:rFonts w:asciiTheme="minorHAnsi" w:hAnsiTheme="minorHAnsi" w:cstheme="minorHAnsi"/>
          <w:sz w:val="24"/>
          <w:szCs w:val="24"/>
        </w:rPr>
        <w:t>etc</w:t>
      </w:r>
      <w:proofErr w:type="spellEnd"/>
      <w:r w:rsidRPr="00D855C3">
        <w:rPr>
          <w:rFonts w:asciiTheme="minorHAnsi" w:hAnsiTheme="minorHAnsi" w:cstheme="minorHAnsi"/>
          <w:sz w:val="24"/>
          <w:szCs w:val="24"/>
        </w:rPr>
        <w:t>) for both priority requests and non-urgent requests from GP Practices. The service provided will be CPA accredited (or any replacement accreditation system) across all the Services provided.</w:t>
      </w:r>
    </w:p>
    <w:p w:rsidR="007D22FC" w:rsidRPr="00D855C3" w:rsidRDefault="007D22FC" w:rsidP="007D22FC">
      <w:pPr>
        <w:pStyle w:val="ListParagraph"/>
        <w:autoSpaceDE w:val="0"/>
        <w:autoSpaceDN w:val="0"/>
        <w:adjustRightInd w:val="0"/>
        <w:rPr>
          <w:rFonts w:asciiTheme="minorHAnsi" w:hAnsiTheme="minorHAnsi" w:cstheme="minorHAnsi"/>
          <w:sz w:val="24"/>
          <w:szCs w:val="24"/>
        </w:rPr>
      </w:pPr>
    </w:p>
    <w:p w:rsidR="007D22FC" w:rsidRPr="00D855C3" w:rsidRDefault="007D22FC" w:rsidP="007D22FC">
      <w:pPr>
        <w:pStyle w:val="ListParagraph"/>
        <w:numPr>
          <w:ilvl w:val="0"/>
          <w:numId w:val="8"/>
        </w:numPr>
        <w:autoSpaceDE w:val="0"/>
        <w:autoSpaceDN w:val="0"/>
        <w:adjustRightInd w:val="0"/>
        <w:contextualSpacing/>
        <w:rPr>
          <w:rFonts w:asciiTheme="minorHAnsi" w:hAnsiTheme="minorHAnsi" w:cstheme="minorHAnsi"/>
          <w:sz w:val="24"/>
          <w:szCs w:val="24"/>
        </w:rPr>
      </w:pPr>
      <w:r w:rsidRPr="00D855C3">
        <w:rPr>
          <w:rFonts w:asciiTheme="minorHAnsi" w:hAnsiTheme="minorHAnsi" w:cstheme="minorHAnsi"/>
          <w:sz w:val="24"/>
          <w:szCs w:val="24"/>
        </w:rPr>
        <w:t>To provide sample reception facilities, with new order-communications processes incorporating demand management rules and fast and efficient sample flows</w:t>
      </w:r>
    </w:p>
    <w:p w:rsidR="007D22FC" w:rsidRPr="00D855C3" w:rsidRDefault="007D22FC" w:rsidP="007D22FC">
      <w:pPr>
        <w:pStyle w:val="ListParagraph"/>
        <w:autoSpaceDE w:val="0"/>
        <w:autoSpaceDN w:val="0"/>
        <w:adjustRightInd w:val="0"/>
        <w:rPr>
          <w:rFonts w:asciiTheme="minorHAnsi" w:hAnsiTheme="minorHAnsi" w:cstheme="minorHAnsi"/>
          <w:sz w:val="24"/>
          <w:szCs w:val="24"/>
        </w:rPr>
      </w:pPr>
    </w:p>
    <w:p w:rsidR="007D22FC" w:rsidRPr="00D855C3" w:rsidRDefault="007D22FC" w:rsidP="007D22FC">
      <w:pPr>
        <w:pStyle w:val="ListParagraph"/>
        <w:numPr>
          <w:ilvl w:val="0"/>
          <w:numId w:val="8"/>
        </w:numPr>
        <w:autoSpaceDE w:val="0"/>
        <w:autoSpaceDN w:val="0"/>
        <w:adjustRightInd w:val="0"/>
        <w:contextualSpacing/>
        <w:rPr>
          <w:rFonts w:asciiTheme="minorHAnsi" w:hAnsiTheme="minorHAnsi" w:cstheme="minorHAnsi"/>
          <w:sz w:val="24"/>
          <w:szCs w:val="24"/>
        </w:rPr>
      </w:pPr>
      <w:r w:rsidRPr="00D855C3">
        <w:rPr>
          <w:rFonts w:asciiTheme="minorHAnsi" w:hAnsiTheme="minorHAnsi" w:cstheme="minorHAnsi"/>
          <w:sz w:val="24"/>
          <w:szCs w:val="24"/>
        </w:rPr>
        <w:t>To ensure electronic reporting via ICE middleware.</w:t>
      </w:r>
    </w:p>
    <w:p w:rsidR="007D22FC" w:rsidRPr="00D855C3" w:rsidRDefault="007D22FC" w:rsidP="007D22FC">
      <w:pPr>
        <w:pStyle w:val="ListParagraph"/>
        <w:rPr>
          <w:rFonts w:asciiTheme="minorHAnsi" w:hAnsiTheme="minorHAnsi" w:cstheme="minorHAnsi"/>
          <w:sz w:val="24"/>
          <w:szCs w:val="24"/>
        </w:rPr>
      </w:pPr>
    </w:p>
    <w:p w:rsidR="007D22FC" w:rsidRPr="00D855C3" w:rsidRDefault="007D22FC" w:rsidP="007D22FC">
      <w:pPr>
        <w:pStyle w:val="ListParagraph"/>
        <w:numPr>
          <w:ilvl w:val="0"/>
          <w:numId w:val="8"/>
        </w:numPr>
        <w:autoSpaceDE w:val="0"/>
        <w:autoSpaceDN w:val="0"/>
        <w:adjustRightInd w:val="0"/>
        <w:contextualSpacing/>
        <w:rPr>
          <w:rFonts w:asciiTheme="minorHAnsi" w:hAnsiTheme="minorHAnsi" w:cstheme="minorHAnsi"/>
          <w:sz w:val="24"/>
          <w:szCs w:val="24"/>
        </w:rPr>
      </w:pPr>
      <w:r w:rsidRPr="00D855C3">
        <w:rPr>
          <w:rFonts w:asciiTheme="minorHAnsi" w:hAnsiTheme="minorHAnsi" w:cstheme="minorHAnsi"/>
          <w:sz w:val="24"/>
          <w:szCs w:val="24"/>
        </w:rPr>
        <w:t xml:space="preserve">To transport samples from GP Practices to the laboratory safely, promptly and within key timescales, </w:t>
      </w:r>
      <w:r w:rsidRPr="00D855C3">
        <w:rPr>
          <w:rFonts w:asciiTheme="minorHAnsi" w:hAnsiTheme="minorHAnsi"/>
          <w:sz w:val="24"/>
          <w:szCs w:val="24"/>
        </w:rPr>
        <w:t>in accordance with all applicable laws and regulations and Good Industry Practice</w:t>
      </w:r>
    </w:p>
    <w:p w:rsidR="007D22FC" w:rsidRPr="00D855C3" w:rsidRDefault="007D22FC" w:rsidP="007D22FC">
      <w:pPr>
        <w:pStyle w:val="ListParagraph"/>
        <w:rPr>
          <w:rFonts w:asciiTheme="minorHAnsi" w:hAnsiTheme="minorHAnsi" w:cstheme="minorHAnsi"/>
          <w:sz w:val="24"/>
          <w:szCs w:val="24"/>
        </w:rPr>
      </w:pPr>
    </w:p>
    <w:p w:rsidR="007D22FC" w:rsidRPr="00D855C3" w:rsidRDefault="007D22FC" w:rsidP="007D22FC">
      <w:pPr>
        <w:pStyle w:val="ListParagraph"/>
        <w:numPr>
          <w:ilvl w:val="0"/>
          <w:numId w:val="8"/>
        </w:numPr>
        <w:autoSpaceDE w:val="0"/>
        <w:autoSpaceDN w:val="0"/>
        <w:adjustRightInd w:val="0"/>
        <w:contextualSpacing/>
        <w:rPr>
          <w:rFonts w:asciiTheme="minorHAnsi" w:hAnsiTheme="minorHAnsi" w:cstheme="minorHAnsi"/>
          <w:sz w:val="24"/>
          <w:szCs w:val="24"/>
        </w:rPr>
      </w:pPr>
      <w:r w:rsidRPr="00D855C3">
        <w:rPr>
          <w:rFonts w:asciiTheme="minorHAnsi" w:hAnsiTheme="minorHAnsi" w:cstheme="minorHAnsi"/>
          <w:sz w:val="24"/>
          <w:szCs w:val="24"/>
        </w:rPr>
        <w:t>To improve primary care satisfaction</w:t>
      </w:r>
      <w:r w:rsidR="00320C70">
        <w:rPr>
          <w:rFonts w:asciiTheme="minorHAnsi" w:hAnsiTheme="minorHAnsi" w:cstheme="minorHAnsi"/>
          <w:sz w:val="24"/>
          <w:szCs w:val="24"/>
        </w:rPr>
        <w:t xml:space="preserve"> by engaging with service developments / innovations and with demand management initiatives</w:t>
      </w:r>
    </w:p>
    <w:p w:rsidR="007D22FC" w:rsidRPr="00D855C3" w:rsidRDefault="007D22FC" w:rsidP="00C529F6">
      <w:pPr>
        <w:spacing w:after="120" w:line="240" w:lineRule="auto"/>
        <w:jc w:val="both"/>
        <w:rPr>
          <w:rFonts w:eastAsia="Times New Roman" w:cstheme="minorHAnsi"/>
          <w:sz w:val="24"/>
          <w:szCs w:val="24"/>
          <w:lang w:eastAsia="en-GB"/>
        </w:rPr>
      </w:pPr>
    </w:p>
    <w:p w:rsidR="004D077D" w:rsidRPr="001F5C70" w:rsidRDefault="007D22FC" w:rsidP="004D077D">
      <w:pPr>
        <w:spacing w:after="120" w:line="240" w:lineRule="auto"/>
        <w:jc w:val="both"/>
        <w:rPr>
          <w:rFonts w:eastAsia="Times New Roman" w:cstheme="minorHAnsi"/>
          <w:b/>
          <w:sz w:val="24"/>
          <w:szCs w:val="24"/>
          <w:u w:val="single"/>
          <w:lang w:eastAsia="en-GB"/>
        </w:rPr>
      </w:pPr>
      <w:r w:rsidRPr="001F5C70">
        <w:rPr>
          <w:rFonts w:eastAsia="Times New Roman" w:cstheme="minorHAnsi"/>
          <w:b/>
          <w:sz w:val="24"/>
          <w:szCs w:val="24"/>
          <w:u w:val="single"/>
          <w:lang w:eastAsia="en-GB"/>
        </w:rPr>
        <w:t>Scope</w:t>
      </w:r>
    </w:p>
    <w:p w:rsidR="00D855C3" w:rsidRPr="00D855C3" w:rsidRDefault="00D855C3" w:rsidP="00CE208B">
      <w:pPr>
        <w:rPr>
          <w:rFonts w:cstheme="minorHAnsi"/>
          <w:sz w:val="24"/>
          <w:szCs w:val="24"/>
        </w:rPr>
      </w:pPr>
      <w:r w:rsidRPr="00D855C3">
        <w:rPr>
          <w:rFonts w:cstheme="minorHAnsi"/>
          <w:sz w:val="24"/>
          <w:szCs w:val="24"/>
        </w:rPr>
        <w:t>The service will need to meet the following requirements:-</w:t>
      </w:r>
    </w:p>
    <w:p w:rsidR="007D22FC" w:rsidRPr="00D855C3" w:rsidRDefault="00D855C3" w:rsidP="00CE208B">
      <w:pPr>
        <w:pStyle w:val="ListParagraph"/>
        <w:numPr>
          <w:ilvl w:val="0"/>
          <w:numId w:val="8"/>
        </w:numPr>
        <w:rPr>
          <w:rFonts w:asciiTheme="minorHAnsi" w:hAnsiTheme="minorHAnsi" w:cstheme="minorHAnsi"/>
          <w:sz w:val="24"/>
          <w:szCs w:val="24"/>
        </w:rPr>
      </w:pPr>
      <w:r w:rsidRPr="00D855C3">
        <w:rPr>
          <w:rFonts w:asciiTheme="minorHAnsi" w:hAnsiTheme="minorHAnsi" w:cstheme="minorHAnsi"/>
          <w:sz w:val="24"/>
          <w:szCs w:val="24"/>
        </w:rPr>
        <w:t>Provision of a wide r</w:t>
      </w:r>
      <w:r w:rsidR="007D22FC" w:rsidRPr="00D855C3">
        <w:rPr>
          <w:rFonts w:asciiTheme="minorHAnsi" w:hAnsiTheme="minorHAnsi" w:cstheme="minorHAnsi"/>
          <w:sz w:val="24"/>
          <w:szCs w:val="24"/>
        </w:rPr>
        <w:t>ange of tests appropriate to primary care</w:t>
      </w:r>
      <w:r w:rsidRPr="00D855C3">
        <w:rPr>
          <w:rFonts w:asciiTheme="minorHAnsi" w:hAnsiTheme="minorHAnsi" w:cstheme="minorHAnsi"/>
          <w:sz w:val="24"/>
          <w:szCs w:val="24"/>
        </w:rPr>
        <w:t xml:space="preserve"> within a</w:t>
      </w:r>
      <w:r w:rsidR="004D35EF">
        <w:rPr>
          <w:rFonts w:asciiTheme="minorHAnsi" w:hAnsiTheme="minorHAnsi" w:cstheme="minorHAnsi"/>
          <w:sz w:val="24"/>
          <w:szCs w:val="24"/>
        </w:rPr>
        <w:t>greed</w:t>
      </w:r>
      <w:r w:rsidR="007D22FC" w:rsidRPr="00D855C3">
        <w:rPr>
          <w:rFonts w:asciiTheme="minorHAnsi" w:hAnsiTheme="minorHAnsi" w:cstheme="minorHAnsi"/>
          <w:sz w:val="24"/>
          <w:szCs w:val="24"/>
        </w:rPr>
        <w:t xml:space="preserve"> turnaround times</w:t>
      </w:r>
      <w:r w:rsidR="004D35EF">
        <w:rPr>
          <w:rFonts w:asciiTheme="minorHAnsi" w:hAnsiTheme="minorHAnsi" w:cstheme="minorHAnsi"/>
          <w:sz w:val="24"/>
          <w:szCs w:val="24"/>
        </w:rPr>
        <w:t xml:space="preserve"> and test interval times</w:t>
      </w:r>
    </w:p>
    <w:p w:rsidR="00D855C3" w:rsidRPr="00D855C3" w:rsidRDefault="00D855C3" w:rsidP="00CE208B">
      <w:pPr>
        <w:pStyle w:val="ListParagraph"/>
        <w:numPr>
          <w:ilvl w:val="0"/>
          <w:numId w:val="8"/>
        </w:numPr>
        <w:rPr>
          <w:rFonts w:asciiTheme="minorHAnsi" w:hAnsiTheme="minorHAnsi" w:cstheme="minorHAnsi"/>
          <w:sz w:val="24"/>
          <w:szCs w:val="24"/>
        </w:rPr>
      </w:pPr>
      <w:r w:rsidRPr="00D855C3">
        <w:rPr>
          <w:rFonts w:asciiTheme="minorHAnsi" w:hAnsiTheme="minorHAnsi" w:cstheme="minorHAnsi"/>
          <w:sz w:val="24"/>
          <w:szCs w:val="24"/>
        </w:rPr>
        <w:t>CPA accreditation (or any replacement accreditation system) across all services provided</w:t>
      </w:r>
    </w:p>
    <w:p w:rsidR="00D855C3" w:rsidRPr="00D855C3" w:rsidRDefault="00D855C3" w:rsidP="00CE208B">
      <w:pPr>
        <w:pStyle w:val="ListParagraph"/>
        <w:numPr>
          <w:ilvl w:val="0"/>
          <w:numId w:val="8"/>
        </w:numPr>
        <w:rPr>
          <w:rFonts w:asciiTheme="minorHAnsi" w:hAnsiTheme="minorHAnsi" w:cstheme="minorHAnsi"/>
          <w:sz w:val="24"/>
          <w:szCs w:val="24"/>
        </w:rPr>
      </w:pPr>
      <w:r w:rsidRPr="00D855C3">
        <w:rPr>
          <w:rFonts w:asciiTheme="minorHAnsi" w:hAnsiTheme="minorHAnsi" w:cstheme="minorHAnsi"/>
          <w:sz w:val="24"/>
          <w:szCs w:val="24"/>
        </w:rPr>
        <w:t xml:space="preserve">Transport of samples from primary care to the laboratory, ensuring sample integrity throughout the journey </w:t>
      </w:r>
    </w:p>
    <w:p w:rsidR="00D855C3" w:rsidRPr="00D855C3" w:rsidRDefault="00D855C3" w:rsidP="00CE208B">
      <w:pPr>
        <w:pStyle w:val="ListParagraph"/>
        <w:numPr>
          <w:ilvl w:val="0"/>
          <w:numId w:val="8"/>
        </w:numPr>
        <w:rPr>
          <w:rFonts w:asciiTheme="minorHAnsi" w:hAnsiTheme="minorHAnsi" w:cstheme="minorHAnsi"/>
          <w:sz w:val="24"/>
          <w:szCs w:val="24"/>
        </w:rPr>
      </w:pPr>
      <w:r w:rsidRPr="00D855C3">
        <w:rPr>
          <w:rFonts w:asciiTheme="minorHAnsi" w:hAnsiTheme="minorHAnsi" w:cstheme="minorHAnsi"/>
          <w:sz w:val="24"/>
          <w:szCs w:val="24"/>
        </w:rPr>
        <w:t>Clinical interpretation of samples where required and acc</w:t>
      </w:r>
      <w:r w:rsidR="00302090">
        <w:rPr>
          <w:rFonts w:asciiTheme="minorHAnsi" w:hAnsiTheme="minorHAnsi" w:cstheme="minorHAnsi"/>
          <w:sz w:val="24"/>
          <w:szCs w:val="24"/>
        </w:rPr>
        <w:t>ess to clinical and scientific</w:t>
      </w:r>
      <w:r w:rsidRPr="00D855C3">
        <w:rPr>
          <w:rFonts w:asciiTheme="minorHAnsi" w:hAnsiTheme="minorHAnsi" w:cstheme="minorHAnsi"/>
          <w:sz w:val="24"/>
          <w:szCs w:val="24"/>
        </w:rPr>
        <w:t xml:space="preserve"> advice for all specialties</w:t>
      </w:r>
    </w:p>
    <w:p w:rsidR="00D855C3" w:rsidRPr="00D855C3" w:rsidRDefault="00D855C3" w:rsidP="00D855C3">
      <w:pPr>
        <w:pStyle w:val="ListParagraph"/>
        <w:numPr>
          <w:ilvl w:val="0"/>
          <w:numId w:val="8"/>
        </w:numPr>
        <w:rPr>
          <w:rFonts w:asciiTheme="minorHAnsi" w:hAnsiTheme="minorHAnsi" w:cstheme="minorHAnsi"/>
          <w:sz w:val="24"/>
          <w:szCs w:val="24"/>
        </w:rPr>
      </w:pPr>
      <w:r w:rsidRPr="00D855C3">
        <w:rPr>
          <w:rFonts w:asciiTheme="minorHAnsi" w:hAnsiTheme="minorHAnsi" w:cstheme="minorHAnsi"/>
          <w:sz w:val="24"/>
          <w:szCs w:val="24"/>
        </w:rPr>
        <w:lastRenderedPageBreak/>
        <w:t>Quality reporting format  together with appropriate governance processes for the management of breaches and incidents</w:t>
      </w:r>
    </w:p>
    <w:p w:rsidR="00D855C3" w:rsidRDefault="00D855C3" w:rsidP="00CE208B">
      <w:pPr>
        <w:pStyle w:val="ListParagraph"/>
        <w:numPr>
          <w:ilvl w:val="0"/>
          <w:numId w:val="8"/>
        </w:numPr>
        <w:rPr>
          <w:rFonts w:asciiTheme="minorHAnsi" w:hAnsiTheme="minorHAnsi" w:cstheme="minorHAnsi"/>
          <w:sz w:val="24"/>
          <w:szCs w:val="24"/>
        </w:rPr>
      </w:pPr>
      <w:r w:rsidRPr="00D855C3">
        <w:rPr>
          <w:rFonts w:asciiTheme="minorHAnsi" w:hAnsiTheme="minorHAnsi" w:cstheme="minorHAnsi"/>
          <w:sz w:val="24"/>
          <w:szCs w:val="24"/>
        </w:rPr>
        <w:t>Ability to link in with the NWL Sector ICE system for ordering tests</w:t>
      </w:r>
    </w:p>
    <w:p w:rsidR="00320C70" w:rsidRDefault="00320C70" w:rsidP="00CE208B">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Competitive pricing structures</w:t>
      </w:r>
    </w:p>
    <w:p w:rsidR="0001130F" w:rsidRPr="0001130F" w:rsidRDefault="0001130F" w:rsidP="0001130F">
      <w:pPr>
        <w:pStyle w:val="ListParagraph"/>
        <w:rPr>
          <w:rFonts w:asciiTheme="minorHAnsi" w:hAnsiTheme="minorHAnsi" w:cstheme="minorHAnsi"/>
          <w:sz w:val="24"/>
          <w:szCs w:val="24"/>
        </w:rPr>
      </w:pPr>
    </w:p>
    <w:p w:rsidR="001F5C70" w:rsidRPr="001F5C70" w:rsidRDefault="001F5C70" w:rsidP="00CE208B">
      <w:pPr>
        <w:rPr>
          <w:rFonts w:cstheme="minorHAnsi"/>
          <w:b/>
          <w:sz w:val="24"/>
          <w:szCs w:val="24"/>
          <w:u w:val="single"/>
        </w:rPr>
      </w:pPr>
      <w:r w:rsidRPr="001F5C70">
        <w:rPr>
          <w:rFonts w:cstheme="minorHAnsi"/>
          <w:b/>
          <w:sz w:val="24"/>
          <w:szCs w:val="24"/>
          <w:u w:val="single"/>
        </w:rPr>
        <w:t>Current Pathology Contract</w:t>
      </w:r>
    </w:p>
    <w:p w:rsidR="00B17936" w:rsidRDefault="00C14CD9" w:rsidP="00B17936">
      <w:pPr>
        <w:rPr>
          <w:rFonts w:cstheme="minorHAnsi"/>
          <w:sz w:val="24"/>
          <w:szCs w:val="24"/>
        </w:rPr>
      </w:pPr>
      <w:r>
        <w:rPr>
          <w:rFonts w:cstheme="minorHAnsi"/>
          <w:sz w:val="24"/>
          <w:szCs w:val="24"/>
        </w:rPr>
        <w:t>During 2016/2017, the current provider of the Direct Access Patholo</w:t>
      </w:r>
      <w:r w:rsidR="00970B30">
        <w:rPr>
          <w:rFonts w:cstheme="minorHAnsi"/>
          <w:sz w:val="24"/>
          <w:szCs w:val="24"/>
        </w:rPr>
        <w:t>gy Services contract tested 2.3</w:t>
      </w:r>
      <w:r>
        <w:rPr>
          <w:rFonts w:cstheme="minorHAnsi"/>
          <w:sz w:val="24"/>
          <w:szCs w:val="24"/>
        </w:rPr>
        <w:t xml:space="preserve"> million sampl</w:t>
      </w:r>
      <w:r w:rsidR="00970B30">
        <w:rPr>
          <w:rFonts w:cstheme="minorHAnsi"/>
          <w:sz w:val="24"/>
          <w:szCs w:val="24"/>
        </w:rPr>
        <w:t>es ordered by Brent GPs and 1.8</w:t>
      </w:r>
      <w:r>
        <w:rPr>
          <w:rFonts w:cstheme="minorHAnsi"/>
          <w:sz w:val="24"/>
          <w:szCs w:val="24"/>
        </w:rPr>
        <w:t xml:space="preserve"> million samples ordered by Harrow GPs. </w:t>
      </w:r>
      <w:r w:rsidR="00B17936" w:rsidRPr="00D855C3">
        <w:rPr>
          <w:rFonts w:cstheme="minorHAnsi"/>
          <w:sz w:val="24"/>
          <w:szCs w:val="24"/>
        </w:rPr>
        <w:t>Th</w:t>
      </w:r>
      <w:r w:rsidR="00683116">
        <w:rPr>
          <w:rFonts w:cstheme="minorHAnsi"/>
          <w:sz w:val="24"/>
          <w:szCs w:val="24"/>
        </w:rPr>
        <w:t xml:space="preserve">e total </w:t>
      </w:r>
      <w:r w:rsidR="00B17936">
        <w:rPr>
          <w:rFonts w:cstheme="minorHAnsi"/>
          <w:sz w:val="24"/>
          <w:szCs w:val="24"/>
        </w:rPr>
        <w:t>e</w:t>
      </w:r>
      <w:r w:rsidR="00683116">
        <w:rPr>
          <w:rFonts w:cstheme="minorHAnsi"/>
          <w:sz w:val="24"/>
          <w:szCs w:val="24"/>
        </w:rPr>
        <w:t>xpenditure for 2016/2017 was</w:t>
      </w:r>
      <w:r w:rsidR="00B17936">
        <w:rPr>
          <w:rFonts w:cstheme="minorHAnsi"/>
          <w:sz w:val="24"/>
          <w:szCs w:val="24"/>
        </w:rPr>
        <w:t xml:space="preserve"> </w:t>
      </w:r>
      <w:r w:rsidR="004D35EF">
        <w:rPr>
          <w:rFonts w:cstheme="minorHAnsi"/>
          <w:sz w:val="24"/>
          <w:szCs w:val="24"/>
        </w:rPr>
        <w:t xml:space="preserve">approximately </w:t>
      </w:r>
      <w:r w:rsidR="00757188">
        <w:rPr>
          <w:rFonts w:cstheme="minorHAnsi"/>
          <w:sz w:val="24"/>
          <w:szCs w:val="24"/>
        </w:rPr>
        <w:t>£8.2</w:t>
      </w:r>
      <w:r w:rsidR="00B17936">
        <w:rPr>
          <w:rFonts w:cstheme="minorHAnsi"/>
          <w:sz w:val="24"/>
          <w:szCs w:val="24"/>
        </w:rPr>
        <w:t>m.</w:t>
      </w:r>
    </w:p>
    <w:p w:rsidR="000F19A3" w:rsidRDefault="00C14CD9" w:rsidP="00CE208B">
      <w:pPr>
        <w:rPr>
          <w:rFonts w:cstheme="minorHAnsi"/>
          <w:sz w:val="24"/>
          <w:szCs w:val="24"/>
        </w:rPr>
      </w:pPr>
      <w:r>
        <w:rPr>
          <w:rFonts w:cstheme="minorHAnsi"/>
          <w:sz w:val="24"/>
          <w:szCs w:val="24"/>
        </w:rPr>
        <w:t xml:space="preserve">Samples are </w:t>
      </w:r>
      <w:r w:rsidRPr="000F19A3">
        <w:rPr>
          <w:rFonts w:cstheme="minorHAnsi"/>
          <w:sz w:val="24"/>
          <w:szCs w:val="24"/>
        </w:rPr>
        <w:t>transport</w:t>
      </w:r>
      <w:r w:rsidR="000F19A3">
        <w:rPr>
          <w:rFonts w:cstheme="minorHAnsi"/>
          <w:sz w:val="24"/>
          <w:szCs w:val="24"/>
        </w:rPr>
        <w:t xml:space="preserve">ed by courier from GP Practices </w:t>
      </w:r>
      <w:r w:rsidRPr="000F19A3">
        <w:rPr>
          <w:rFonts w:cstheme="minorHAnsi"/>
          <w:sz w:val="24"/>
          <w:szCs w:val="24"/>
        </w:rPr>
        <w:t>to the current provider’s laboratories</w:t>
      </w:r>
      <w:r w:rsidR="001F5C70" w:rsidRPr="000F19A3">
        <w:rPr>
          <w:rFonts w:cstheme="minorHAnsi"/>
          <w:sz w:val="24"/>
          <w:szCs w:val="24"/>
        </w:rPr>
        <w:t xml:space="preserve"> at Northwick Park Hospital according to set routes and within agreed turnaround times</w:t>
      </w:r>
      <w:r w:rsidRPr="000F19A3">
        <w:rPr>
          <w:rFonts w:cstheme="minorHAnsi"/>
          <w:sz w:val="24"/>
          <w:szCs w:val="24"/>
        </w:rPr>
        <w:t xml:space="preserve">. </w:t>
      </w:r>
      <w:r w:rsidR="000F19A3" w:rsidRPr="000F19A3">
        <w:rPr>
          <w:sz w:val="24"/>
          <w:szCs w:val="24"/>
        </w:rPr>
        <w:t>The current provider also has satellite laboratories at Central Middlesex Hospital and at Ealing Hospital.</w:t>
      </w:r>
      <w:r w:rsidR="000F19A3" w:rsidRPr="000F19A3">
        <w:rPr>
          <w:rFonts w:cstheme="minorHAnsi"/>
          <w:sz w:val="24"/>
          <w:szCs w:val="24"/>
        </w:rPr>
        <w:t xml:space="preserve"> </w:t>
      </w:r>
    </w:p>
    <w:p w:rsidR="000F19A3" w:rsidRPr="00D855C3" w:rsidRDefault="001F5C70" w:rsidP="00CE208B">
      <w:pPr>
        <w:rPr>
          <w:rFonts w:cstheme="minorHAnsi"/>
          <w:sz w:val="24"/>
          <w:szCs w:val="24"/>
        </w:rPr>
      </w:pPr>
      <w:r w:rsidRPr="000F19A3">
        <w:rPr>
          <w:rFonts w:cstheme="minorHAnsi"/>
          <w:sz w:val="24"/>
          <w:szCs w:val="24"/>
        </w:rPr>
        <w:t>Clinical input and advice is provided by Clinical Leads at London North West Healthcare NHS Trust (LNWHT) where required; LNWHT also manages the ICE IT system for the ordering of tests by primary care.</w:t>
      </w:r>
      <w:r>
        <w:rPr>
          <w:rFonts w:cstheme="minorHAnsi"/>
          <w:sz w:val="24"/>
          <w:szCs w:val="24"/>
        </w:rPr>
        <w:t xml:space="preserve"> </w:t>
      </w:r>
    </w:p>
    <w:p w:rsidR="00522370" w:rsidRDefault="00522370" w:rsidP="00CE208B">
      <w:pPr>
        <w:rPr>
          <w:rFonts w:cstheme="minorHAnsi"/>
          <w:b/>
          <w:sz w:val="24"/>
          <w:szCs w:val="24"/>
          <w:u w:val="single"/>
        </w:rPr>
      </w:pPr>
      <w:r>
        <w:rPr>
          <w:rFonts w:cstheme="minorHAnsi"/>
          <w:b/>
          <w:sz w:val="24"/>
          <w:szCs w:val="24"/>
          <w:u w:val="single"/>
        </w:rPr>
        <w:t>About Brent CCG and Harrow CCG</w:t>
      </w:r>
    </w:p>
    <w:p w:rsidR="0075711A" w:rsidRPr="00F53571" w:rsidRDefault="00522370" w:rsidP="0075711A">
      <w:pPr>
        <w:rPr>
          <w:rFonts w:ascii="Arial" w:eastAsiaTheme="minorEastAsia" w:hAnsi="Arial" w:cs="Arial"/>
          <w:color w:val="000000" w:themeColor="text1"/>
          <w:kern w:val="24"/>
          <w:sz w:val="28"/>
          <w:szCs w:val="28"/>
          <w:lang w:eastAsia="en-GB"/>
        </w:rPr>
      </w:pPr>
      <w:r w:rsidRPr="00D855C3">
        <w:rPr>
          <w:rFonts w:cstheme="minorHAnsi"/>
          <w:sz w:val="24"/>
          <w:szCs w:val="24"/>
        </w:rPr>
        <w:t>Brent has 62 GP practices, with a registered GP population of 370</w:t>
      </w:r>
      <w:r w:rsidRPr="0075711A">
        <w:rPr>
          <w:rFonts w:cstheme="minorHAnsi"/>
          <w:sz w:val="24"/>
          <w:szCs w:val="24"/>
        </w:rPr>
        <w:t>,000.</w:t>
      </w:r>
      <w:r w:rsidRPr="0075711A">
        <w:rPr>
          <w:rFonts w:cstheme="minorHAnsi"/>
          <w:b/>
          <w:sz w:val="24"/>
          <w:szCs w:val="24"/>
        </w:rPr>
        <w:t xml:space="preserve"> </w:t>
      </w:r>
      <w:r w:rsidR="0075711A" w:rsidRPr="0075711A">
        <w:rPr>
          <w:rFonts w:cstheme="minorHAnsi"/>
          <w:sz w:val="24"/>
          <w:szCs w:val="24"/>
        </w:rPr>
        <w:t xml:space="preserve">Brent has a young population with 35.1% aged between 20 and 39. The </w:t>
      </w:r>
      <w:proofErr w:type="gramStart"/>
      <w:r w:rsidR="0075711A" w:rsidRPr="0075711A">
        <w:rPr>
          <w:rFonts w:cstheme="minorHAnsi"/>
          <w:sz w:val="24"/>
          <w:szCs w:val="24"/>
        </w:rPr>
        <w:t>under</w:t>
      </w:r>
      <w:proofErr w:type="gramEnd"/>
      <w:r w:rsidR="0075711A" w:rsidRPr="0075711A">
        <w:rPr>
          <w:rFonts w:cstheme="minorHAnsi"/>
          <w:sz w:val="24"/>
          <w:szCs w:val="24"/>
        </w:rPr>
        <w:t xml:space="preserve"> 18 population makes up 22.9% of the population, the 16-64 (working age population) </w:t>
      </w:r>
      <w:r w:rsidR="0075711A" w:rsidRPr="00F53571">
        <w:rPr>
          <w:rFonts w:cstheme="minorHAnsi"/>
          <w:sz w:val="24"/>
          <w:szCs w:val="24"/>
        </w:rPr>
        <w:t>makes up 68.2% of the population and the 65 and over population makes up 11% of the population.</w:t>
      </w:r>
      <w:r w:rsidR="0075711A" w:rsidRPr="00F53571">
        <w:rPr>
          <w:rFonts w:ascii="Arial" w:eastAsiaTheme="minorEastAsia" w:hAnsi="Arial" w:cs="Arial"/>
          <w:color w:val="000000" w:themeColor="text1"/>
          <w:kern w:val="24"/>
          <w:sz w:val="24"/>
          <w:szCs w:val="24"/>
          <w:lang w:eastAsia="en-GB"/>
        </w:rPr>
        <w:t xml:space="preserve"> </w:t>
      </w:r>
      <w:r w:rsidR="0075711A" w:rsidRPr="00F53571">
        <w:rPr>
          <w:rFonts w:cstheme="minorHAnsi"/>
          <w:sz w:val="24"/>
          <w:szCs w:val="24"/>
        </w:rPr>
        <w:t>Brent is ethnically diverse: 66.4% of the population is Black, Asian or other minority ethnicity (BAME).</w:t>
      </w:r>
      <w:r w:rsidR="0075711A" w:rsidRPr="0075711A">
        <w:rPr>
          <w:rFonts w:cstheme="minorHAnsi"/>
        </w:rPr>
        <w:t xml:space="preserve"> </w:t>
      </w:r>
    </w:p>
    <w:p w:rsidR="00F53571" w:rsidRPr="00652185" w:rsidRDefault="00522370" w:rsidP="00652185">
      <w:pPr>
        <w:rPr>
          <w:rFonts w:cstheme="minorHAnsi"/>
          <w:b/>
          <w:sz w:val="24"/>
          <w:szCs w:val="24"/>
          <w:u w:val="single"/>
        </w:rPr>
      </w:pPr>
      <w:r w:rsidRPr="00F53571">
        <w:rPr>
          <w:rFonts w:cstheme="minorHAnsi"/>
          <w:sz w:val="24"/>
          <w:szCs w:val="24"/>
        </w:rPr>
        <w:t>Harrow has 34 GP practices, with a registered GP population of 260,000.</w:t>
      </w:r>
      <w:r w:rsidR="00F53571" w:rsidRPr="00F53571">
        <w:rPr>
          <w:rFonts w:cstheme="minorHAnsi"/>
          <w:sz w:val="24"/>
          <w:szCs w:val="24"/>
        </w:rPr>
        <w:t xml:space="preserve"> </w:t>
      </w:r>
      <w:r w:rsidR="00F53571">
        <w:rPr>
          <w:rFonts w:cstheme="minorHAnsi"/>
          <w:sz w:val="24"/>
          <w:szCs w:val="24"/>
        </w:rPr>
        <w:t xml:space="preserve">Approximately </w:t>
      </w:r>
      <w:r w:rsidR="00F53571" w:rsidRPr="00F53571">
        <w:rPr>
          <w:sz w:val="24"/>
          <w:szCs w:val="24"/>
        </w:rPr>
        <w:t xml:space="preserve">7% of the population are children under 5 years old and 7% are aged over 75. Compared to London, the population of Harrow has a greater proportion of older people and a lower proportion of people in their 20s and 30s. </w:t>
      </w:r>
      <w:r w:rsidR="00F53571" w:rsidRPr="00F53571">
        <w:rPr>
          <w:rFonts w:cs="Arial"/>
          <w:sz w:val="24"/>
          <w:szCs w:val="24"/>
        </w:rPr>
        <w:t xml:space="preserve">More than 50% of the Harrow population is from black, Asian and minority ethnic (BAME) groups. </w:t>
      </w:r>
      <w:r w:rsidR="00F53571" w:rsidRPr="00F53571">
        <w:rPr>
          <w:sz w:val="24"/>
          <w:szCs w:val="24"/>
        </w:rPr>
        <w:t xml:space="preserve">In 2011, 42% of the Harrow populations were from a white ethnic background, while 43% were from an Asian/ Asian British background and 8% were from Black/ African/ Caribbean/ Black British ethnic background. Over the next 10 years it is predicted that the local Black, Asian and minority ethnic (BAME) population in Harrow is projected to increase from almost 54% to 68%. </w:t>
      </w:r>
    </w:p>
    <w:p w:rsidR="005F074E" w:rsidRPr="005F074E" w:rsidRDefault="005F074E" w:rsidP="00CE208B">
      <w:pPr>
        <w:rPr>
          <w:rFonts w:cstheme="minorHAnsi"/>
          <w:b/>
          <w:sz w:val="24"/>
          <w:szCs w:val="24"/>
          <w:u w:val="single"/>
        </w:rPr>
      </w:pPr>
      <w:r w:rsidRPr="005F074E">
        <w:rPr>
          <w:rFonts w:cstheme="minorHAnsi"/>
          <w:b/>
          <w:sz w:val="24"/>
          <w:szCs w:val="24"/>
          <w:u w:val="single"/>
        </w:rPr>
        <w:t>Demand Management</w:t>
      </w:r>
    </w:p>
    <w:p w:rsidR="004D35EF" w:rsidRPr="004D35EF" w:rsidRDefault="004D35EF" w:rsidP="00CE208B">
      <w:pPr>
        <w:rPr>
          <w:rFonts w:cstheme="minorHAnsi"/>
          <w:sz w:val="24"/>
          <w:szCs w:val="24"/>
        </w:rPr>
      </w:pPr>
      <w:r>
        <w:rPr>
          <w:sz w:val="24"/>
          <w:szCs w:val="24"/>
        </w:rPr>
        <w:t xml:space="preserve">The current provider </w:t>
      </w:r>
      <w:r w:rsidRPr="004D35EF">
        <w:rPr>
          <w:rFonts w:cstheme="minorHAnsi"/>
          <w:sz w:val="24"/>
          <w:szCs w:val="24"/>
        </w:rPr>
        <w:t xml:space="preserve">engages with Brent </w:t>
      </w:r>
      <w:r w:rsidR="00302090">
        <w:rPr>
          <w:rFonts w:cstheme="minorHAnsi"/>
          <w:sz w:val="24"/>
          <w:szCs w:val="24"/>
        </w:rPr>
        <w:t>CCG’s and Harrow CCG’s</w:t>
      </w:r>
      <w:r w:rsidRPr="004D35EF">
        <w:rPr>
          <w:rFonts w:cstheme="minorHAnsi"/>
          <w:sz w:val="24"/>
          <w:szCs w:val="24"/>
        </w:rPr>
        <w:t xml:space="preserve"> demand management programme, which includes joint clinical discussion on key areas, including:-</w:t>
      </w:r>
    </w:p>
    <w:p w:rsidR="004D35EF" w:rsidRPr="004D35EF" w:rsidRDefault="004D35EF" w:rsidP="004D35EF">
      <w:pPr>
        <w:pStyle w:val="ListParagraph"/>
        <w:numPr>
          <w:ilvl w:val="0"/>
          <w:numId w:val="8"/>
        </w:numPr>
        <w:rPr>
          <w:rFonts w:asciiTheme="minorHAnsi" w:hAnsiTheme="minorHAnsi" w:cstheme="minorHAnsi"/>
          <w:sz w:val="24"/>
          <w:szCs w:val="24"/>
        </w:rPr>
      </w:pPr>
      <w:r w:rsidRPr="004D35EF">
        <w:rPr>
          <w:rFonts w:asciiTheme="minorHAnsi" w:hAnsiTheme="minorHAnsi" w:cstheme="minorHAnsi"/>
          <w:sz w:val="24"/>
          <w:szCs w:val="24"/>
        </w:rPr>
        <w:t>Re</w:t>
      </w:r>
      <w:r>
        <w:rPr>
          <w:rFonts w:asciiTheme="minorHAnsi" w:hAnsiTheme="minorHAnsi" w:cstheme="minorHAnsi"/>
          <w:sz w:val="24"/>
          <w:szCs w:val="24"/>
        </w:rPr>
        <w:t>-</w:t>
      </w:r>
      <w:r w:rsidRPr="004D35EF">
        <w:rPr>
          <w:rFonts w:asciiTheme="minorHAnsi" w:hAnsiTheme="minorHAnsi" w:cstheme="minorHAnsi"/>
          <w:sz w:val="24"/>
          <w:szCs w:val="24"/>
        </w:rPr>
        <w:t>profiling order sets</w:t>
      </w:r>
    </w:p>
    <w:p w:rsidR="004D35EF" w:rsidRDefault="004D35EF" w:rsidP="004D35EF">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Minimum retesting intervals</w:t>
      </w:r>
    </w:p>
    <w:p w:rsidR="004D35EF" w:rsidRDefault="004D35EF" w:rsidP="00CE208B">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lastRenderedPageBreak/>
        <w:t>Feedback from GP practices</w:t>
      </w:r>
    </w:p>
    <w:p w:rsidR="004D35EF" w:rsidRPr="004D35EF" w:rsidRDefault="004D35EF" w:rsidP="004D35EF">
      <w:pPr>
        <w:pStyle w:val="ListParagraph"/>
        <w:rPr>
          <w:rFonts w:asciiTheme="minorHAnsi" w:hAnsiTheme="minorHAnsi" w:cstheme="minorHAnsi"/>
          <w:sz w:val="24"/>
          <w:szCs w:val="24"/>
        </w:rPr>
      </w:pPr>
    </w:p>
    <w:p w:rsidR="00CA3FB9" w:rsidRPr="001F5C70" w:rsidRDefault="00CA3FB9" w:rsidP="00CE208B">
      <w:pPr>
        <w:rPr>
          <w:rFonts w:cstheme="minorHAnsi"/>
          <w:b/>
          <w:sz w:val="24"/>
          <w:szCs w:val="24"/>
          <w:u w:val="single"/>
        </w:rPr>
      </w:pPr>
      <w:r w:rsidRPr="001F5C70">
        <w:rPr>
          <w:rFonts w:cstheme="minorHAnsi"/>
          <w:b/>
          <w:sz w:val="24"/>
          <w:szCs w:val="24"/>
          <w:u w:val="single"/>
        </w:rPr>
        <w:t>What We Are Looking For</w:t>
      </w:r>
    </w:p>
    <w:p w:rsidR="00C529F6" w:rsidRPr="00D855C3" w:rsidRDefault="007D22FC" w:rsidP="007D22FC">
      <w:pPr>
        <w:rPr>
          <w:rFonts w:cstheme="minorHAnsi"/>
          <w:b/>
          <w:sz w:val="24"/>
          <w:szCs w:val="24"/>
        </w:rPr>
      </w:pPr>
      <w:r w:rsidRPr="00D855C3">
        <w:rPr>
          <w:rFonts w:cstheme="minorHAnsi"/>
          <w:sz w:val="24"/>
          <w:szCs w:val="24"/>
        </w:rPr>
        <w:t>The current contract for direct access pathology expires in April 2019.</w:t>
      </w:r>
      <w:r w:rsidRPr="00D855C3">
        <w:rPr>
          <w:rFonts w:cstheme="minorHAnsi"/>
          <w:b/>
          <w:sz w:val="24"/>
          <w:szCs w:val="24"/>
        </w:rPr>
        <w:t xml:space="preserve"> </w:t>
      </w:r>
      <w:r w:rsidR="007F07C7" w:rsidRPr="007F07C7">
        <w:rPr>
          <w:rFonts w:cstheme="minorHAnsi"/>
          <w:sz w:val="24"/>
          <w:szCs w:val="24"/>
        </w:rPr>
        <w:t>NHS</w:t>
      </w:r>
      <w:r w:rsidR="007F07C7">
        <w:rPr>
          <w:rFonts w:cstheme="minorHAnsi"/>
          <w:b/>
          <w:sz w:val="24"/>
          <w:szCs w:val="24"/>
        </w:rPr>
        <w:t xml:space="preserve"> </w:t>
      </w:r>
      <w:r w:rsidR="007F07C7">
        <w:rPr>
          <w:rFonts w:cstheme="minorHAnsi"/>
          <w:sz w:val="24"/>
          <w:szCs w:val="24"/>
        </w:rPr>
        <w:t xml:space="preserve">Brent CCG and NHS Harrow CCG are </w:t>
      </w:r>
      <w:r w:rsidR="00C529F6" w:rsidRPr="00D855C3">
        <w:rPr>
          <w:rFonts w:cstheme="minorHAnsi"/>
          <w:sz w:val="24"/>
          <w:szCs w:val="24"/>
        </w:rPr>
        <w:t xml:space="preserve">engaging with the market to establish current market provisions </w:t>
      </w:r>
      <w:r w:rsidRPr="00D855C3">
        <w:rPr>
          <w:rFonts w:cstheme="minorHAnsi"/>
          <w:sz w:val="24"/>
          <w:szCs w:val="24"/>
        </w:rPr>
        <w:t>in order to:</w:t>
      </w:r>
    </w:p>
    <w:p w:rsidR="00C529F6" w:rsidRPr="00D855C3" w:rsidRDefault="00C77EAF" w:rsidP="00C529F6">
      <w:pPr>
        <w:pStyle w:val="ListParagraph"/>
        <w:numPr>
          <w:ilvl w:val="0"/>
          <w:numId w:val="7"/>
        </w:numPr>
        <w:rPr>
          <w:rFonts w:asciiTheme="minorHAnsi" w:hAnsiTheme="minorHAnsi" w:cstheme="minorHAnsi"/>
          <w:sz w:val="24"/>
          <w:szCs w:val="24"/>
        </w:rPr>
      </w:pPr>
      <w:r w:rsidRPr="00D855C3">
        <w:rPr>
          <w:rFonts w:asciiTheme="minorHAnsi" w:hAnsiTheme="minorHAnsi" w:cstheme="minorHAnsi"/>
          <w:sz w:val="24"/>
          <w:szCs w:val="24"/>
        </w:rPr>
        <w:t>establish the availability and interest of providers in the market</w:t>
      </w:r>
    </w:p>
    <w:p w:rsidR="00C77EAF" w:rsidRPr="00D855C3" w:rsidRDefault="00C77EAF" w:rsidP="00C529F6">
      <w:pPr>
        <w:pStyle w:val="ListParagraph"/>
        <w:numPr>
          <w:ilvl w:val="0"/>
          <w:numId w:val="7"/>
        </w:numPr>
        <w:rPr>
          <w:rFonts w:asciiTheme="minorHAnsi" w:hAnsiTheme="minorHAnsi" w:cstheme="minorHAnsi"/>
          <w:sz w:val="24"/>
          <w:szCs w:val="24"/>
        </w:rPr>
      </w:pPr>
      <w:r w:rsidRPr="00D855C3">
        <w:rPr>
          <w:rFonts w:asciiTheme="minorHAnsi" w:hAnsiTheme="minorHAnsi" w:cstheme="minorHAnsi"/>
          <w:sz w:val="24"/>
          <w:szCs w:val="24"/>
        </w:rPr>
        <w:t xml:space="preserve">consult about the draft specification </w:t>
      </w:r>
    </w:p>
    <w:p w:rsidR="00C77EAF" w:rsidRPr="00D855C3" w:rsidRDefault="00C77EAF" w:rsidP="00C529F6">
      <w:pPr>
        <w:pStyle w:val="ListParagraph"/>
        <w:numPr>
          <w:ilvl w:val="0"/>
          <w:numId w:val="7"/>
        </w:numPr>
        <w:rPr>
          <w:rFonts w:asciiTheme="minorHAnsi" w:hAnsiTheme="minorHAnsi" w:cstheme="minorHAnsi"/>
          <w:sz w:val="24"/>
          <w:szCs w:val="24"/>
        </w:rPr>
      </w:pPr>
      <w:r w:rsidRPr="00D855C3">
        <w:rPr>
          <w:rFonts w:asciiTheme="minorHAnsi" w:hAnsiTheme="minorHAnsi" w:cstheme="minorHAnsi"/>
          <w:sz w:val="24"/>
          <w:szCs w:val="24"/>
        </w:rPr>
        <w:t>identify alternative options and opportunities</w:t>
      </w:r>
    </w:p>
    <w:p w:rsidR="00CA3FB9" w:rsidRDefault="007D22FC" w:rsidP="00CE208B">
      <w:pPr>
        <w:pStyle w:val="ListParagraph"/>
        <w:numPr>
          <w:ilvl w:val="0"/>
          <w:numId w:val="7"/>
        </w:numPr>
        <w:rPr>
          <w:rFonts w:asciiTheme="minorHAnsi" w:hAnsiTheme="minorHAnsi" w:cstheme="minorHAnsi"/>
          <w:sz w:val="24"/>
          <w:szCs w:val="24"/>
        </w:rPr>
      </w:pPr>
      <w:proofErr w:type="gramStart"/>
      <w:r w:rsidRPr="00D855C3">
        <w:rPr>
          <w:rFonts w:asciiTheme="minorHAnsi" w:hAnsiTheme="minorHAnsi" w:cstheme="minorHAnsi"/>
          <w:sz w:val="24"/>
          <w:szCs w:val="24"/>
        </w:rPr>
        <w:t>improve</w:t>
      </w:r>
      <w:proofErr w:type="gramEnd"/>
      <w:r w:rsidRPr="00D855C3">
        <w:rPr>
          <w:rFonts w:asciiTheme="minorHAnsi" w:hAnsiTheme="minorHAnsi" w:cstheme="minorHAnsi"/>
          <w:sz w:val="24"/>
          <w:szCs w:val="24"/>
        </w:rPr>
        <w:t xml:space="preserve"> outcomes for primary care whilst maintaining a high level of service at a sustainable cost.</w:t>
      </w:r>
    </w:p>
    <w:p w:rsidR="001F5C70" w:rsidRPr="001F5C70" w:rsidRDefault="001F5C70" w:rsidP="001F5C70">
      <w:pPr>
        <w:pStyle w:val="ListParagraph"/>
        <w:rPr>
          <w:rFonts w:asciiTheme="minorHAnsi" w:hAnsiTheme="minorHAnsi" w:cstheme="minorHAnsi"/>
          <w:sz w:val="24"/>
          <w:szCs w:val="24"/>
        </w:rPr>
      </w:pPr>
    </w:p>
    <w:p w:rsidR="00320C70" w:rsidRDefault="00320C70" w:rsidP="00CE208B">
      <w:pPr>
        <w:rPr>
          <w:rFonts w:cstheme="minorHAnsi"/>
          <w:sz w:val="24"/>
          <w:szCs w:val="24"/>
        </w:rPr>
      </w:pPr>
      <w:r>
        <w:rPr>
          <w:rFonts w:cstheme="minorHAnsi"/>
          <w:sz w:val="24"/>
          <w:szCs w:val="24"/>
        </w:rPr>
        <w:t>A list of the tests currently undertaken is attached.</w:t>
      </w:r>
    </w:p>
    <w:p w:rsidR="00320C70" w:rsidRDefault="00320C70" w:rsidP="00CE208B">
      <w:pPr>
        <w:rPr>
          <w:rFonts w:cstheme="minorHAnsi"/>
          <w:sz w:val="24"/>
          <w:szCs w:val="24"/>
        </w:rPr>
      </w:pPr>
      <w:r>
        <w:rPr>
          <w:rFonts w:cstheme="minorHAnsi"/>
          <w:sz w:val="24"/>
          <w:szCs w:val="24"/>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3pt" o:ole="">
            <v:imagedata r:id="rId12" o:title=""/>
          </v:shape>
          <o:OLEObject Type="Embed" ProgID="Excel.Sheet.12" ShapeID="_x0000_i1025" DrawAspect="Icon" ObjectID="_1572069917" r:id="rId13"/>
        </w:object>
      </w:r>
    </w:p>
    <w:p w:rsidR="00320C70" w:rsidRPr="00D855C3" w:rsidRDefault="00320C70" w:rsidP="00CE208B">
      <w:pPr>
        <w:rPr>
          <w:rFonts w:cstheme="minorHAnsi"/>
          <w:sz w:val="24"/>
          <w:szCs w:val="24"/>
        </w:rPr>
      </w:pPr>
    </w:p>
    <w:sectPr w:rsidR="00320C70" w:rsidRPr="00D855C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9D4" w:rsidRDefault="004209D4" w:rsidP="004D077D">
      <w:pPr>
        <w:spacing w:after="0" w:line="240" w:lineRule="auto"/>
      </w:pPr>
      <w:r>
        <w:separator/>
      </w:r>
    </w:p>
  </w:endnote>
  <w:endnote w:type="continuationSeparator" w:id="0">
    <w:p w:rsidR="004209D4" w:rsidRDefault="004209D4" w:rsidP="004D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9D4" w:rsidRDefault="004209D4" w:rsidP="004D077D">
      <w:pPr>
        <w:spacing w:after="0" w:line="240" w:lineRule="auto"/>
      </w:pPr>
      <w:r>
        <w:separator/>
      </w:r>
    </w:p>
  </w:footnote>
  <w:footnote w:type="continuationSeparator" w:id="0">
    <w:p w:rsidR="004209D4" w:rsidRDefault="004209D4" w:rsidP="004D0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755" w:rsidRDefault="00B43713">
    <w:pPr>
      <w:pStyle w:val="Header"/>
    </w:pPr>
    <w:r>
      <w:rPr>
        <w:noProof/>
        <w:lang w:eastAsia="en-GB"/>
      </w:rPr>
      <w:drawing>
        <wp:inline distT="0" distB="0" distL="0" distR="0" wp14:anchorId="3E030DFA" wp14:editId="163C14FA">
          <wp:extent cx="1775132" cy="457200"/>
          <wp:effectExtent l="0" t="0" r="0" b="0"/>
          <wp:docPr id="2" name="Picture 2" descr="Description: 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rent CCG statut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887" cy="463061"/>
                  </a:xfrm>
                  <a:prstGeom prst="rect">
                    <a:avLst/>
                  </a:prstGeom>
                  <a:noFill/>
                  <a:ln>
                    <a:noFill/>
                  </a:ln>
                </pic:spPr>
              </pic:pic>
            </a:graphicData>
          </a:graphic>
        </wp:inline>
      </w:drawing>
    </w:r>
    <w:r>
      <w:t xml:space="preserve"> </w:t>
    </w:r>
    <w:r>
      <w:tab/>
    </w:r>
    <w:r>
      <w:tab/>
    </w:r>
    <w:r>
      <w:rPr>
        <w:noProof/>
        <w:lang w:eastAsia="en-GB"/>
      </w:rPr>
      <w:drawing>
        <wp:inline distT="0" distB="0" distL="0" distR="0" wp14:anchorId="5577CDFB" wp14:editId="702607EC">
          <wp:extent cx="1922009" cy="533400"/>
          <wp:effectExtent l="0" t="0" r="2540" b="0"/>
          <wp:docPr id="3" name="Picture 3" descr="Harrow CCG COL v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rrow CCG COL v2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571" cy="5341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DA3"/>
    <w:multiLevelType w:val="hybridMultilevel"/>
    <w:tmpl w:val="563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1411D3"/>
    <w:multiLevelType w:val="hybridMultilevel"/>
    <w:tmpl w:val="F730915C"/>
    <w:lvl w:ilvl="0" w:tplc="BD6EA568">
      <w:start w:val="3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D73CBA"/>
    <w:multiLevelType w:val="hybridMultilevel"/>
    <w:tmpl w:val="B1C2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375957"/>
    <w:multiLevelType w:val="hybridMultilevel"/>
    <w:tmpl w:val="D42EA632"/>
    <w:lvl w:ilvl="0" w:tplc="2A2AD7B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E4699C"/>
    <w:multiLevelType w:val="multilevel"/>
    <w:tmpl w:val="AF4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4972AB"/>
    <w:multiLevelType w:val="hybridMultilevel"/>
    <w:tmpl w:val="CB58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793B72"/>
    <w:multiLevelType w:val="hybridMultilevel"/>
    <w:tmpl w:val="D09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7F61CD"/>
    <w:multiLevelType w:val="hybridMultilevel"/>
    <w:tmpl w:val="6F3A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43711A"/>
    <w:multiLevelType w:val="multilevel"/>
    <w:tmpl w:val="66B6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8"/>
  </w:num>
  <w:num w:numId="5">
    <w:abstractNumId w:val="4"/>
  </w:num>
  <w:num w:numId="6">
    <w:abstractNumId w:val="5"/>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7D"/>
    <w:rsid w:val="0001130F"/>
    <w:rsid w:val="00077755"/>
    <w:rsid w:val="000F19A3"/>
    <w:rsid w:val="000F2596"/>
    <w:rsid w:val="00103F8D"/>
    <w:rsid w:val="00124B6C"/>
    <w:rsid w:val="00186831"/>
    <w:rsid w:val="001A4DDB"/>
    <w:rsid w:val="001E0081"/>
    <w:rsid w:val="001E3A5A"/>
    <w:rsid w:val="001E3EEE"/>
    <w:rsid w:val="001F5C70"/>
    <w:rsid w:val="00221E2A"/>
    <w:rsid w:val="002F4A5C"/>
    <w:rsid w:val="00302090"/>
    <w:rsid w:val="00320C70"/>
    <w:rsid w:val="00337ACD"/>
    <w:rsid w:val="0036588D"/>
    <w:rsid w:val="00390CCD"/>
    <w:rsid w:val="003A2981"/>
    <w:rsid w:val="003B480F"/>
    <w:rsid w:val="003D5AC4"/>
    <w:rsid w:val="00404F03"/>
    <w:rsid w:val="004209D4"/>
    <w:rsid w:val="00434BBE"/>
    <w:rsid w:val="004D077D"/>
    <w:rsid w:val="004D35EF"/>
    <w:rsid w:val="00505DC6"/>
    <w:rsid w:val="00522370"/>
    <w:rsid w:val="00544DD3"/>
    <w:rsid w:val="00587522"/>
    <w:rsid w:val="005F074E"/>
    <w:rsid w:val="00643A3F"/>
    <w:rsid w:val="00652185"/>
    <w:rsid w:val="00683116"/>
    <w:rsid w:val="006A1DAB"/>
    <w:rsid w:val="006C304F"/>
    <w:rsid w:val="00714A0E"/>
    <w:rsid w:val="0075711A"/>
    <w:rsid w:val="00757188"/>
    <w:rsid w:val="00775DE9"/>
    <w:rsid w:val="007D22FC"/>
    <w:rsid w:val="007D3D00"/>
    <w:rsid w:val="007F07C7"/>
    <w:rsid w:val="00805AC7"/>
    <w:rsid w:val="00831C02"/>
    <w:rsid w:val="0085783B"/>
    <w:rsid w:val="008949E3"/>
    <w:rsid w:val="00970B30"/>
    <w:rsid w:val="00A719BA"/>
    <w:rsid w:val="00AC6B1E"/>
    <w:rsid w:val="00B037D9"/>
    <w:rsid w:val="00B17936"/>
    <w:rsid w:val="00B27DE1"/>
    <w:rsid w:val="00B43713"/>
    <w:rsid w:val="00B807CC"/>
    <w:rsid w:val="00B95334"/>
    <w:rsid w:val="00BB2C3A"/>
    <w:rsid w:val="00BD54C5"/>
    <w:rsid w:val="00C14CD9"/>
    <w:rsid w:val="00C529F6"/>
    <w:rsid w:val="00C77EAF"/>
    <w:rsid w:val="00CA3FB9"/>
    <w:rsid w:val="00CE208B"/>
    <w:rsid w:val="00D10AC1"/>
    <w:rsid w:val="00D855C3"/>
    <w:rsid w:val="00DA2402"/>
    <w:rsid w:val="00DC1EEB"/>
    <w:rsid w:val="00DF4208"/>
    <w:rsid w:val="00E21C92"/>
    <w:rsid w:val="00E34B23"/>
    <w:rsid w:val="00E4511E"/>
    <w:rsid w:val="00E71680"/>
    <w:rsid w:val="00E71B39"/>
    <w:rsid w:val="00EF19F0"/>
    <w:rsid w:val="00EF3057"/>
    <w:rsid w:val="00F0536B"/>
    <w:rsid w:val="00F11D63"/>
    <w:rsid w:val="00F516CC"/>
    <w:rsid w:val="00F5179F"/>
    <w:rsid w:val="00F53571"/>
    <w:rsid w:val="00F84964"/>
    <w:rsid w:val="00FB4A89"/>
    <w:rsid w:val="00FC11C1"/>
    <w:rsid w:val="00FD1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7D"/>
  </w:style>
  <w:style w:type="paragraph" w:styleId="Footer">
    <w:name w:val="footer"/>
    <w:basedOn w:val="Normal"/>
    <w:link w:val="FooterChar"/>
    <w:uiPriority w:val="99"/>
    <w:unhideWhenUsed/>
    <w:rsid w:val="004D0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7D"/>
  </w:style>
  <w:style w:type="paragraph" w:styleId="BalloonText">
    <w:name w:val="Balloon Text"/>
    <w:basedOn w:val="Normal"/>
    <w:link w:val="BalloonTextChar"/>
    <w:uiPriority w:val="99"/>
    <w:semiHidden/>
    <w:unhideWhenUsed/>
    <w:rsid w:val="004D0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7D"/>
    <w:rPr>
      <w:rFonts w:ascii="Tahoma" w:hAnsi="Tahoma" w:cs="Tahoma"/>
      <w:sz w:val="16"/>
      <w:szCs w:val="16"/>
    </w:rPr>
  </w:style>
  <w:style w:type="paragraph" w:styleId="FootnoteText">
    <w:name w:val="footnote text"/>
    <w:basedOn w:val="Normal"/>
    <w:link w:val="FootnoteTextChar"/>
    <w:uiPriority w:val="99"/>
    <w:semiHidden/>
    <w:unhideWhenUsed/>
    <w:rsid w:val="004D0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77D"/>
    <w:rPr>
      <w:sz w:val="20"/>
      <w:szCs w:val="20"/>
    </w:rPr>
  </w:style>
  <w:style w:type="paragraph" w:customStyle="1" w:styleId="Default">
    <w:name w:val="Default"/>
    <w:rsid w:val="004D077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link w:val="ListParagraphChar"/>
    <w:uiPriority w:val="34"/>
    <w:qFormat/>
    <w:rsid w:val="004D077D"/>
    <w:pPr>
      <w:spacing w:after="0" w:line="240" w:lineRule="auto"/>
      <w:ind w:left="720"/>
    </w:pPr>
    <w:rPr>
      <w:rFonts w:ascii="Arial" w:eastAsia="Times New Roman" w:hAnsi="Arial" w:cs="Arial"/>
    </w:rPr>
  </w:style>
  <w:style w:type="character" w:customStyle="1" w:styleId="ListParagraphChar">
    <w:name w:val="List Paragraph Char"/>
    <w:basedOn w:val="DefaultParagraphFont"/>
    <w:link w:val="ListParagraph"/>
    <w:uiPriority w:val="34"/>
    <w:locked/>
    <w:rsid w:val="004D077D"/>
    <w:rPr>
      <w:rFonts w:ascii="Arial" w:eastAsia="Times New Roman" w:hAnsi="Arial" w:cs="Arial"/>
    </w:rPr>
  </w:style>
  <w:style w:type="paragraph" w:styleId="NormalWeb">
    <w:name w:val="Normal (Web)"/>
    <w:basedOn w:val="Normal"/>
    <w:uiPriority w:val="99"/>
    <w:semiHidden/>
    <w:unhideWhenUsed/>
    <w:rsid w:val="007571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7D"/>
  </w:style>
  <w:style w:type="paragraph" w:styleId="Footer">
    <w:name w:val="footer"/>
    <w:basedOn w:val="Normal"/>
    <w:link w:val="FooterChar"/>
    <w:uiPriority w:val="99"/>
    <w:unhideWhenUsed/>
    <w:rsid w:val="004D0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7D"/>
  </w:style>
  <w:style w:type="paragraph" w:styleId="BalloonText">
    <w:name w:val="Balloon Text"/>
    <w:basedOn w:val="Normal"/>
    <w:link w:val="BalloonTextChar"/>
    <w:uiPriority w:val="99"/>
    <w:semiHidden/>
    <w:unhideWhenUsed/>
    <w:rsid w:val="004D0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7D"/>
    <w:rPr>
      <w:rFonts w:ascii="Tahoma" w:hAnsi="Tahoma" w:cs="Tahoma"/>
      <w:sz w:val="16"/>
      <w:szCs w:val="16"/>
    </w:rPr>
  </w:style>
  <w:style w:type="paragraph" w:styleId="FootnoteText">
    <w:name w:val="footnote text"/>
    <w:basedOn w:val="Normal"/>
    <w:link w:val="FootnoteTextChar"/>
    <w:uiPriority w:val="99"/>
    <w:semiHidden/>
    <w:unhideWhenUsed/>
    <w:rsid w:val="004D0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77D"/>
    <w:rPr>
      <w:sz w:val="20"/>
      <w:szCs w:val="20"/>
    </w:rPr>
  </w:style>
  <w:style w:type="paragraph" w:customStyle="1" w:styleId="Default">
    <w:name w:val="Default"/>
    <w:rsid w:val="004D077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link w:val="ListParagraphChar"/>
    <w:uiPriority w:val="34"/>
    <w:qFormat/>
    <w:rsid w:val="004D077D"/>
    <w:pPr>
      <w:spacing w:after="0" w:line="240" w:lineRule="auto"/>
      <w:ind w:left="720"/>
    </w:pPr>
    <w:rPr>
      <w:rFonts w:ascii="Arial" w:eastAsia="Times New Roman" w:hAnsi="Arial" w:cs="Arial"/>
    </w:rPr>
  </w:style>
  <w:style w:type="character" w:customStyle="1" w:styleId="ListParagraphChar">
    <w:name w:val="List Paragraph Char"/>
    <w:basedOn w:val="DefaultParagraphFont"/>
    <w:link w:val="ListParagraph"/>
    <w:uiPriority w:val="34"/>
    <w:locked/>
    <w:rsid w:val="004D077D"/>
    <w:rPr>
      <w:rFonts w:ascii="Arial" w:eastAsia="Times New Roman" w:hAnsi="Arial" w:cs="Arial"/>
    </w:rPr>
  </w:style>
  <w:style w:type="paragraph" w:styleId="NormalWeb">
    <w:name w:val="Normal (Web)"/>
    <w:basedOn w:val="Normal"/>
    <w:uiPriority w:val="99"/>
    <w:semiHidden/>
    <w:unhideWhenUsed/>
    <w:rsid w:val="007571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92417">
      <w:bodyDiv w:val="1"/>
      <w:marLeft w:val="0"/>
      <w:marRight w:val="0"/>
      <w:marTop w:val="0"/>
      <w:marBottom w:val="0"/>
      <w:divBdr>
        <w:top w:val="none" w:sz="0" w:space="0" w:color="auto"/>
        <w:left w:val="none" w:sz="0" w:space="0" w:color="auto"/>
        <w:bottom w:val="none" w:sz="0" w:space="0" w:color="auto"/>
        <w:right w:val="none" w:sz="0" w:space="0" w:color="auto"/>
      </w:divBdr>
    </w:div>
    <w:div w:id="1947232398">
      <w:bodyDiv w:val="1"/>
      <w:marLeft w:val="0"/>
      <w:marRight w:val="0"/>
      <w:marTop w:val="0"/>
      <w:marBottom w:val="0"/>
      <w:divBdr>
        <w:top w:val="none" w:sz="0" w:space="0" w:color="auto"/>
        <w:left w:val="none" w:sz="0" w:space="0" w:color="auto"/>
        <w:bottom w:val="none" w:sz="0" w:space="0" w:color="auto"/>
        <w:right w:val="none" w:sz="0" w:space="0" w:color="auto"/>
      </w:divBdr>
    </w:div>
    <w:div w:id="2024433035">
      <w:bodyDiv w:val="1"/>
      <w:marLeft w:val="0"/>
      <w:marRight w:val="0"/>
      <w:marTop w:val="0"/>
      <w:marBottom w:val="0"/>
      <w:divBdr>
        <w:top w:val="none" w:sz="0" w:space="0" w:color="auto"/>
        <w:left w:val="none" w:sz="0" w:space="0" w:color="auto"/>
        <w:bottom w:val="none" w:sz="0" w:space="0" w:color="auto"/>
        <w:right w:val="none" w:sz="0" w:space="0" w:color="auto"/>
      </w:divBdr>
    </w:div>
    <w:div w:id="20298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1.xlsx"/><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DFD48-ED28-466F-AC5D-79BD7B4C517E}">
  <ds:schemaRefs>
    <ds:schemaRef ds:uri="http://schemas.microsoft.com/sharepoint/v3/contenttype/forms"/>
  </ds:schemaRefs>
</ds:datastoreItem>
</file>

<file path=customXml/itemProps2.xml><?xml version="1.0" encoding="utf-8"?>
<ds:datastoreItem xmlns:ds="http://schemas.openxmlformats.org/officeDocument/2006/customXml" ds:itemID="{53441DE5-8444-463B-8900-30C25338E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B6FAC63-ACD3-4734-8B8B-6487C0A8A7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B1C91D-0188-47FC-A562-B6E9F7B1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 Kugler</dc:creator>
  <cp:lastModifiedBy>Tom Baker</cp:lastModifiedBy>
  <cp:revision>5</cp:revision>
  <cp:lastPrinted>2017-07-03T11:21:00Z</cp:lastPrinted>
  <dcterms:created xsi:type="dcterms:W3CDTF">2017-11-13T09:15:00Z</dcterms:created>
  <dcterms:modified xsi:type="dcterms:W3CDTF">2017-11-13T09:19:00Z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