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35" w:rsidRDefault="00066F35">
      <w:pPr>
        <w:spacing w:before="0" w:after="0" w:line="240" w:lineRule="auto"/>
      </w:pPr>
    </w:p>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6390005</wp:posOffset>
            </wp:positionH>
            <wp:positionV relativeFrom="page">
              <wp:posOffset>334950</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066F35" w:rsidRDefault="00066F35" w:rsidP="00066F35">
      <w:pPr>
        <w:widowControl w:val="0"/>
        <w:spacing w:before="0" w:after="0" w:line="240" w:lineRule="auto"/>
        <w:jc w:val="right"/>
        <w:rPr>
          <w:rFonts w:cs="Arial"/>
          <w:snapToGrid w:val="0"/>
          <w:sz w:val="24"/>
          <w:lang w:eastAsia="en-US"/>
        </w:rPr>
      </w:pPr>
    </w:p>
    <w:p w:rsidR="00066F35" w:rsidRDefault="00066F35" w:rsidP="00066F35">
      <w:pPr>
        <w:widowControl w:val="0"/>
        <w:spacing w:before="0" w:after="0" w:line="240" w:lineRule="auto"/>
        <w:jc w:val="right"/>
        <w:rPr>
          <w:rFonts w:cs="Arial"/>
          <w:snapToGrid w:val="0"/>
          <w:sz w:val="24"/>
          <w:lang w:eastAsia="en-US"/>
        </w:rPr>
      </w:pPr>
    </w:p>
    <w:p w:rsidR="002C2203" w:rsidRPr="00A85EE8" w:rsidRDefault="002C2203" w:rsidP="002C2203">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2C2203" w:rsidRPr="00A85EE8" w:rsidRDefault="002C2203" w:rsidP="002C2203">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2C2203" w:rsidRPr="00A85EE8" w:rsidRDefault="002C2203" w:rsidP="002C2203">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2C2203" w:rsidRPr="00A85EE8" w:rsidRDefault="002C2203" w:rsidP="002C2203">
      <w:pPr>
        <w:spacing w:before="0" w:after="0" w:line="240" w:lineRule="auto"/>
        <w:jc w:val="right"/>
        <w:rPr>
          <w:rFonts w:eastAsia="Calibri" w:cs="Arial"/>
          <w:sz w:val="24"/>
          <w:lang w:eastAsia="en-US"/>
        </w:rPr>
      </w:pPr>
      <w:r w:rsidRPr="00A85EE8">
        <w:rPr>
          <w:rFonts w:eastAsia="Calibri" w:cs="Arial"/>
          <w:sz w:val="24"/>
          <w:lang w:eastAsia="en-US"/>
        </w:rPr>
        <w:t>Rutland House</w:t>
      </w:r>
    </w:p>
    <w:p w:rsidR="002C2203" w:rsidRPr="00A85EE8" w:rsidRDefault="002C2203" w:rsidP="002C2203">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2C2203" w:rsidRPr="00A85EE8" w:rsidRDefault="002C2203" w:rsidP="002C2203">
      <w:pPr>
        <w:spacing w:before="0" w:after="0" w:line="240" w:lineRule="auto"/>
        <w:jc w:val="right"/>
        <w:rPr>
          <w:rFonts w:eastAsia="Calibri" w:cs="Arial"/>
          <w:sz w:val="24"/>
          <w:lang w:eastAsia="en-US"/>
        </w:rPr>
      </w:pPr>
      <w:r w:rsidRPr="00A85EE8">
        <w:rPr>
          <w:rFonts w:eastAsia="Calibri" w:cs="Arial"/>
          <w:sz w:val="24"/>
          <w:lang w:eastAsia="en-US"/>
        </w:rPr>
        <w:t>Cheshire</w:t>
      </w:r>
    </w:p>
    <w:p w:rsidR="002C2203" w:rsidRPr="00A85EE8" w:rsidRDefault="002C2203" w:rsidP="002C2203">
      <w:pPr>
        <w:spacing w:before="0" w:after="0" w:line="240" w:lineRule="auto"/>
        <w:jc w:val="right"/>
        <w:rPr>
          <w:rFonts w:eastAsia="Calibri" w:cs="Arial"/>
          <w:sz w:val="24"/>
          <w:lang w:eastAsia="en-US"/>
        </w:rPr>
      </w:pPr>
      <w:r w:rsidRPr="00A85EE8">
        <w:rPr>
          <w:rFonts w:eastAsia="Calibri" w:cs="Arial"/>
          <w:sz w:val="24"/>
          <w:lang w:eastAsia="en-US"/>
        </w:rPr>
        <w:t>WA7 2ES</w:t>
      </w:r>
    </w:p>
    <w:p w:rsidR="00066F35" w:rsidRPr="008F67FD" w:rsidRDefault="00066F35" w:rsidP="00066F35">
      <w:pPr>
        <w:spacing w:before="0" w:after="0" w:line="240" w:lineRule="auto"/>
        <w:jc w:val="right"/>
        <w:rPr>
          <w:rFonts w:eastAsia="Calibri" w:cs="Arial"/>
          <w:sz w:val="24"/>
          <w:lang w:eastAsia="en-US"/>
        </w:rPr>
      </w:pPr>
    </w:p>
    <w:p w:rsidR="00066F35" w:rsidRPr="00E166FA" w:rsidRDefault="00E166FA" w:rsidP="00066F35">
      <w:pPr>
        <w:spacing w:before="0" w:after="0" w:line="240" w:lineRule="auto"/>
        <w:jc w:val="right"/>
        <w:rPr>
          <w:rFonts w:eastAsia="Calibri" w:cs="Arial"/>
          <w:sz w:val="24"/>
          <w:lang w:eastAsia="en-US"/>
        </w:rPr>
      </w:pPr>
      <w:r w:rsidRPr="00E166FA">
        <w:rPr>
          <w:rFonts w:eastAsia="Calibri" w:cs="Arial"/>
          <w:sz w:val="24"/>
          <w:lang w:eastAsia="en-US"/>
        </w:rPr>
        <w:t>tom.redfearn@nhs.net</w:t>
      </w:r>
    </w:p>
    <w:p w:rsidR="00066F35" w:rsidRPr="008F67FD" w:rsidRDefault="00066F35" w:rsidP="00066F35">
      <w:pPr>
        <w:pStyle w:val="NoSpacing"/>
        <w:jc w:val="right"/>
        <w:rPr>
          <w:rFonts w:cs="Arial"/>
          <w:sz w:val="24"/>
          <w:highlight w:val="yellow"/>
        </w:rPr>
      </w:pPr>
    </w:p>
    <w:p w:rsidR="00066F35" w:rsidRDefault="002C438A" w:rsidP="00066F35">
      <w:pPr>
        <w:pStyle w:val="NoSpacing"/>
        <w:jc w:val="right"/>
        <w:rPr>
          <w:rFonts w:cs="Arial"/>
          <w:sz w:val="24"/>
        </w:rPr>
      </w:pPr>
      <w:r>
        <w:rPr>
          <w:rFonts w:cs="Arial"/>
          <w:sz w:val="24"/>
        </w:rPr>
        <w:t xml:space="preserve">Tuesday </w:t>
      </w:r>
      <w:bookmarkStart w:id="0" w:name="_GoBack"/>
      <w:bookmarkEnd w:id="0"/>
      <w:r w:rsidR="00AA12D1" w:rsidRPr="00AA12D1">
        <w:rPr>
          <w:rFonts w:cs="Arial"/>
          <w:sz w:val="24"/>
        </w:rPr>
        <w:t>13 March</w:t>
      </w:r>
      <w:r w:rsidR="007E2A4D" w:rsidRPr="00AA12D1">
        <w:rPr>
          <w:rFonts w:cs="Arial"/>
          <w:sz w:val="24"/>
        </w:rPr>
        <w:t xml:space="preserve"> 2018 </w:t>
      </w:r>
    </w:p>
    <w:p w:rsidR="00B06340" w:rsidRDefault="002C2203" w:rsidP="00160BD1">
      <w:pPr>
        <w:pStyle w:val="NoSpacing"/>
      </w:pPr>
      <w:r>
        <w:t>Dear Sirs</w:t>
      </w:r>
    </w:p>
    <w:p w:rsidR="002C2203" w:rsidRDefault="002C2203" w:rsidP="00160BD1">
      <w:pPr>
        <w:pStyle w:val="NoSpacing"/>
      </w:pPr>
    </w:p>
    <w:p w:rsidR="00D11CD8" w:rsidRPr="00D11CD8" w:rsidRDefault="00066F35" w:rsidP="002C2203">
      <w:pPr>
        <w:spacing w:before="0" w:after="0" w:line="240" w:lineRule="auto"/>
        <w:rPr>
          <w:rFonts w:cs="Arial"/>
          <w:b/>
          <w:sz w:val="24"/>
        </w:rPr>
      </w:pPr>
      <w:r w:rsidRPr="008D7C5D">
        <w:rPr>
          <w:rFonts w:cs="Arial"/>
          <w:b/>
          <w:sz w:val="24"/>
        </w:rPr>
        <w:t>Invitation to offer for</w:t>
      </w:r>
      <w:r w:rsidR="00E166FA">
        <w:rPr>
          <w:rFonts w:cs="Arial"/>
          <w:b/>
          <w:sz w:val="24"/>
        </w:rPr>
        <w:t xml:space="preserve"> </w:t>
      </w:r>
      <w:r w:rsidR="00D11CD8" w:rsidRPr="00D11CD8">
        <w:rPr>
          <w:rFonts w:cs="Arial"/>
          <w:b/>
          <w:sz w:val="24"/>
        </w:rPr>
        <w:t>NHS National Framework Agreement for Intravenous Solutions, Topical Solutions, Urological Solutions and Gelatins</w:t>
      </w:r>
    </w:p>
    <w:p w:rsidR="00035FBC" w:rsidRDefault="00035FBC" w:rsidP="002C2203">
      <w:pPr>
        <w:pStyle w:val="NoSpacing"/>
        <w:rPr>
          <w:rFonts w:cs="Arial"/>
          <w:b/>
          <w:sz w:val="24"/>
        </w:rPr>
      </w:pPr>
    </w:p>
    <w:p w:rsidR="00066F35" w:rsidRPr="008D7C5D" w:rsidRDefault="00E166FA" w:rsidP="002C2203">
      <w:pPr>
        <w:pStyle w:val="NoSpacing"/>
        <w:rPr>
          <w:rFonts w:cs="Arial"/>
          <w:b/>
          <w:sz w:val="24"/>
        </w:rPr>
      </w:pPr>
      <w:r>
        <w:rPr>
          <w:rFonts w:cs="Arial"/>
          <w:b/>
          <w:sz w:val="24"/>
        </w:rPr>
        <w:t xml:space="preserve">Offer reference number: </w:t>
      </w:r>
      <w:r w:rsidRPr="00E166FA">
        <w:rPr>
          <w:rFonts w:cs="Arial"/>
          <w:b/>
          <w:sz w:val="24"/>
        </w:rPr>
        <w:t>CM/PHR/16/5519</w:t>
      </w:r>
    </w:p>
    <w:p w:rsidR="00035FBC" w:rsidRDefault="00035FBC" w:rsidP="002C2203">
      <w:pPr>
        <w:pStyle w:val="NoSpacing"/>
        <w:rPr>
          <w:rFonts w:cs="Arial"/>
          <w:b/>
          <w:sz w:val="24"/>
        </w:rPr>
      </w:pPr>
    </w:p>
    <w:p w:rsidR="002B6C8E" w:rsidRDefault="00066F35" w:rsidP="002C2203">
      <w:pPr>
        <w:pStyle w:val="NoSpacing"/>
        <w:rPr>
          <w:rFonts w:cs="Arial"/>
          <w:b/>
          <w:sz w:val="24"/>
        </w:rPr>
      </w:pPr>
      <w:r w:rsidRPr="008D7C5D">
        <w:rPr>
          <w:rFonts w:cs="Arial"/>
          <w:b/>
          <w:sz w:val="24"/>
        </w:rPr>
        <w:t xml:space="preserve">Period of framework agreement: </w:t>
      </w:r>
      <w:r w:rsidR="007E2A4D">
        <w:rPr>
          <w:rFonts w:cs="Arial"/>
          <w:b/>
          <w:sz w:val="24"/>
        </w:rPr>
        <w:t xml:space="preserve">01 June 2018 – 31 May 2020 </w:t>
      </w:r>
      <w:r w:rsidR="007E2A4D" w:rsidRPr="007E2A4D">
        <w:rPr>
          <w:rFonts w:cs="Arial"/>
          <w:b/>
          <w:sz w:val="24"/>
        </w:rPr>
        <w:t>with an option to extend (at the Authority’s discretion) for a period or periods up to a total of 24 months</w:t>
      </w:r>
    </w:p>
    <w:p w:rsidR="007E2A4D" w:rsidRPr="00E166FA" w:rsidRDefault="007E2A4D" w:rsidP="00E166FA">
      <w:pPr>
        <w:pStyle w:val="NoSpacing"/>
        <w:spacing w:line="360" w:lineRule="auto"/>
        <w:rPr>
          <w:rFonts w:cs="Arial"/>
          <w:b/>
          <w:sz w:val="24"/>
        </w:rPr>
      </w:pPr>
    </w:p>
    <w:p w:rsidR="002B6C8E" w:rsidRDefault="00A50B39" w:rsidP="00066F35">
      <w:pPr>
        <w:pStyle w:val="NoSpacing"/>
      </w:pPr>
      <w:r w:rsidRPr="007342C8">
        <w:rPr>
          <w:rFonts w:cs="Arial"/>
          <w:color w:val="000000"/>
        </w:rPr>
        <w:t>The NHS Commi</w:t>
      </w:r>
      <w:r w:rsidR="007342C8">
        <w:rPr>
          <w:rFonts w:cs="Arial"/>
          <w:color w:val="000000"/>
        </w:rPr>
        <w:t xml:space="preserve">ssioning Board (Operating </w:t>
      </w:r>
      <w:r w:rsidR="002C2203">
        <w:rPr>
          <w:rFonts w:cs="Arial"/>
          <w:color w:val="000000"/>
        </w:rPr>
        <w:t>u</w:t>
      </w:r>
      <w:r w:rsidR="007342C8">
        <w:rPr>
          <w:rFonts w:cs="Arial"/>
          <w:color w:val="000000"/>
        </w:rPr>
        <w:t xml:space="preserve">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066F35" w:rsidRDefault="00066F35" w:rsidP="00066F35">
      <w:pPr>
        <w:pStyle w:val="NoSpacing"/>
      </w:pPr>
    </w:p>
    <w:tbl>
      <w:tblPr>
        <w:tblStyle w:val="TableGrid"/>
        <w:tblW w:w="10378" w:type="dxa"/>
        <w:jc w:val="center"/>
        <w:tblInd w:w="331" w:type="dxa"/>
        <w:tblLook w:val="04A0" w:firstRow="1" w:lastRow="0" w:firstColumn="1" w:lastColumn="0" w:noHBand="0" w:noVBand="1"/>
      </w:tblPr>
      <w:tblGrid>
        <w:gridCol w:w="1310"/>
        <w:gridCol w:w="9068"/>
      </w:tblGrid>
      <w:tr w:rsidR="00066F35" w:rsidRPr="00877EB1" w:rsidTr="00EE687B">
        <w:trPr>
          <w:jc w:val="center"/>
        </w:trPr>
        <w:tc>
          <w:tcPr>
            <w:tcW w:w="1278" w:type="dxa"/>
            <w:shd w:val="clear" w:color="auto" w:fill="005EB8"/>
          </w:tcPr>
          <w:p w:rsidR="00066F35" w:rsidRPr="00877EB1" w:rsidRDefault="00066F35" w:rsidP="00066F35">
            <w:pPr>
              <w:pStyle w:val="NoSpacing"/>
              <w:rPr>
                <w:rFonts w:cs="Arial"/>
                <w:color w:val="FFFFFF" w:themeColor="background1"/>
                <w:sz w:val="24"/>
              </w:rPr>
            </w:pPr>
            <w:r w:rsidRPr="00877EB1">
              <w:rPr>
                <w:rFonts w:cs="Arial"/>
                <w:color w:val="FFFFFF" w:themeColor="background1"/>
                <w:sz w:val="24"/>
              </w:rPr>
              <w:t>Document Number</w:t>
            </w:r>
          </w:p>
        </w:tc>
        <w:tc>
          <w:tcPr>
            <w:tcW w:w="9100" w:type="dxa"/>
            <w:shd w:val="clear" w:color="auto" w:fill="005EB8"/>
          </w:tcPr>
          <w:p w:rsidR="00066F35" w:rsidRPr="00877EB1" w:rsidRDefault="00066F35" w:rsidP="00066F35">
            <w:pPr>
              <w:pStyle w:val="NoSpacing"/>
              <w:rPr>
                <w:rFonts w:cs="Arial"/>
                <w:color w:val="FFFFFF" w:themeColor="background1"/>
                <w:sz w:val="24"/>
              </w:rPr>
            </w:pPr>
            <w:r w:rsidRPr="00877EB1">
              <w:rPr>
                <w:rFonts w:cs="Arial"/>
                <w:color w:val="FFFFFF" w:themeColor="background1"/>
                <w:sz w:val="24"/>
              </w:rPr>
              <w:t>Title</w:t>
            </w:r>
          </w:p>
        </w:tc>
      </w:tr>
      <w:tr w:rsidR="00066F35" w:rsidRPr="00877EB1" w:rsidTr="00EE687B">
        <w:trPr>
          <w:jc w:val="center"/>
        </w:trPr>
        <w:tc>
          <w:tcPr>
            <w:tcW w:w="1278" w:type="dxa"/>
          </w:tcPr>
          <w:p w:rsidR="00066F35" w:rsidRPr="00877EB1" w:rsidRDefault="00066F35" w:rsidP="00066F35">
            <w:pPr>
              <w:pStyle w:val="NoSpacing"/>
              <w:rPr>
                <w:rFonts w:cs="Arial"/>
                <w:sz w:val="24"/>
              </w:rPr>
            </w:pPr>
            <w:r w:rsidRPr="00877EB1">
              <w:rPr>
                <w:rFonts w:cs="Arial"/>
                <w:sz w:val="24"/>
              </w:rPr>
              <w:t>No.01</w:t>
            </w:r>
          </w:p>
        </w:tc>
        <w:tc>
          <w:tcPr>
            <w:tcW w:w="9100" w:type="dxa"/>
          </w:tcPr>
          <w:p w:rsidR="00066F35" w:rsidRPr="00877EB1" w:rsidRDefault="00220758" w:rsidP="00066F35">
            <w:pPr>
              <w:pStyle w:val="NoSpacing"/>
              <w:rPr>
                <w:rFonts w:cs="Arial"/>
                <w:sz w:val="24"/>
              </w:rPr>
            </w:pPr>
            <w:r>
              <w:rPr>
                <w:rFonts w:cs="Arial"/>
                <w:sz w:val="24"/>
              </w:rPr>
              <w:t>This Covering L</w:t>
            </w:r>
            <w:r w:rsidR="00066F35" w:rsidRPr="00877EB1">
              <w:rPr>
                <w:rFonts w:cs="Arial"/>
                <w:sz w:val="24"/>
              </w:rPr>
              <w:t>etter</w:t>
            </w:r>
          </w:p>
        </w:tc>
      </w:tr>
      <w:tr w:rsidR="00066F35" w:rsidRPr="00877EB1" w:rsidTr="00EE687B">
        <w:trPr>
          <w:jc w:val="center"/>
        </w:trPr>
        <w:tc>
          <w:tcPr>
            <w:tcW w:w="1278" w:type="dxa"/>
          </w:tcPr>
          <w:p w:rsidR="00066F35" w:rsidRPr="00877EB1" w:rsidRDefault="00066F35" w:rsidP="00066F35">
            <w:pPr>
              <w:pStyle w:val="NoSpacing"/>
              <w:rPr>
                <w:rFonts w:cs="Arial"/>
                <w:sz w:val="24"/>
              </w:rPr>
            </w:pPr>
            <w:r w:rsidRPr="00877EB1">
              <w:rPr>
                <w:rFonts w:cs="Arial"/>
                <w:sz w:val="24"/>
              </w:rPr>
              <w:t>No.02</w:t>
            </w:r>
          </w:p>
        </w:tc>
        <w:tc>
          <w:tcPr>
            <w:tcW w:w="9100" w:type="dxa"/>
          </w:tcPr>
          <w:p w:rsidR="00066F35" w:rsidRPr="00877EB1" w:rsidRDefault="00220758" w:rsidP="00066F35">
            <w:pPr>
              <w:pStyle w:val="NoSpacing"/>
              <w:rPr>
                <w:rFonts w:cs="Arial"/>
                <w:sz w:val="24"/>
              </w:rPr>
            </w:pPr>
            <w:r>
              <w:rPr>
                <w:rFonts w:cs="Arial"/>
                <w:sz w:val="24"/>
              </w:rPr>
              <w:t>Terms of O</w:t>
            </w:r>
            <w:r w:rsidR="00066F35" w:rsidRPr="00877EB1">
              <w:rPr>
                <w:rFonts w:cs="Arial"/>
                <w:sz w:val="24"/>
              </w:rPr>
              <w:t>ffer</w:t>
            </w:r>
          </w:p>
        </w:tc>
      </w:tr>
      <w:tr w:rsidR="00066F35" w:rsidRPr="00877EB1" w:rsidTr="00EE687B">
        <w:trPr>
          <w:jc w:val="center"/>
        </w:trPr>
        <w:tc>
          <w:tcPr>
            <w:tcW w:w="1278" w:type="dxa"/>
          </w:tcPr>
          <w:p w:rsidR="00066F35" w:rsidRPr="00877EB1" w:rsidRDefault="00066F35" w:rsidP="00066F35">
            <w:pPr>
              <w:pStyle w:val="NoSpacing"/>
              <w:rPr>
                <w:rFonts w:cs="Arial"/>
                <w:sz w:val="24"/>
              </w:rPr>
            </w:pPr>
            <w:r>
              <w:rPr>
                <w:rFonts w:cs="Arial"/>
                <w:sz w:val="24"/>
              </w:rPr>
              <w:t>N</w:t>
            </w:r>
            <w:r w:rsidRPr="00877EB1">
              <w:rPr>
                <w:rFonts w:cs="Arial"/>
                <w:sz w:val="24"/>
              </w:rPr>
              <w:t>o.03</w:t>
            </w:r>
          </w:p>
        </w:tc>
        <w:tc>
          <w:tcPr>
            <w:tcW w:w="9100" w:type="dxa"/>
          </w:tcPr>
          <w:p w:rsidR="00066F35" w:rsidRPr="00877EB1" w:rsidRDefault="00066F35" w:rsidP="00066F35">
            <w:pPr>
              <w:pStyle w:val="NoSpacing"/>
              <w:rPr>
                <w:rFonts w:cs="Arial"/>
                <w:sz w:val="24"/>
              </w:rPr>
            </w:pPr>
            <w:r w:rsidRPr="00877EB1">
              <w:rPr>
                <w:rFonts w:cs="Arial"/>
                <w:sz w:val="24"/>
              </w:rPr>
              <w:t>Framework Agreement and Terms and Conditions</w:t>
            </w:r>
          </w:p>
        </w:tc>
      </w:tr>
      <w:tr w:rsidR="00066F35" w:rsidRPr="00877EB1" w:rsidTr="00EE687B">
        <w:trPr>
          <w:jc w:val="center"/>
        </w:trPr>
        <w:tc>
          <w:tcPr>
            <w:tcW w:w="1278" w:type="dxa"/>
          </w:tcPr>
          <w:p w:rsidR="00066F35" w:rsidRPr="00877EB1" w:rsidRDefault="00066F35" w:rsidP="00066F35">
            <w:pPr>
              <w:pStyle w:val="NoSpacing"/>
              <w:rPr>
                <w:rFonts w:cs="Arial"/>
                <w:sz w:val="24"/>
              </w:rPr>
            </w:pPr>
            <w:r w:rsidRPr="00877EB1">
              <w:rPr>
                <w:rFonts w:cs="Arial"/>
                <w:sz w:val="24"/>
              </w:rPr>
              <w:t>No.04</w:t>
            </w:r>
          </w:p>
        </w:tc>
        <w:tc>
          <w:tcPr>
            <w:tcW w:w="9100" w:type="dxa"/>
          </w:tcPr>
          <w:p w:rsidR="00066F35" w:rsidRPr="00877EB1" w:rsidRDefault="00220758" w:rsidP="00220758">
            <w:pPr>
              <w:pStyle w:val="NoSpacing"/>
              <w:rPr>
                <w:rFonts w:cs="Arial"/>
                <w:sz w:val="24"/>
              </w:rPr>
            </w:pPr>
            <w:r>
              <w:rPr>
                <w:rFonts w:cs="Arial"/>
                <w:sz w:val="24"/>
              </w:rPr>
              <w:t>Contract T</w:t>
            </w:r>
            <w:r w:rsidR="00066F35" w:rsidRPr="00877EB1">
              <w:rPr>
                <w:rFonts w:cs="Arial"/>
                <w:sz w:val="24"/>
              </w:rPr>
              <w:t xml:space="preserve">echnical </w:t>
            </w:r>
            <w:r>
              <w:rPr>
                <w:rFonts w:cs="Arial"/>
                <w:sz w:val="24"/>
              </w:rPr>
              <w:t>S</w:t>
            </w:r>
            <w:r w:rsidR="00066F35" w:rsidRPr="00877EB1">
              <w:rPr>
                <w:rFonts w:cs="Arial"/>
                <w:sz w:val="24"/>
              </w:rPr>
              <w:t>pecification</w:t>
            </w:r>
          </w:p>
        </w:tc>
      </w:tr>
      <w:tr w:rsidR="003D6783" w:rsidRPr="00877EB1" w:rsidTr="00EE687B">
        <w:trPr>
          <w:jc w:val="center"/>
        </w:trPr>
        <w:tc>
          <w:tcPr>
            <w:tcW w:w="1278" w:type="dxa"/>
          </w:tcPr>
          <w:p w:rsidR="003D6783" w:rsidRPr="00877EB1" w:rsidRDefault="00E52E26" w:rsidP="00066F35">
            <w:pPr>
              <w:pStyle w:val="NoSpacing"/>
              <w:rPr>
                <w:rFonts w:cs="Arial"/>
                <w:sz w:val="24"/>
              </w:rPr>
            </w:pPr>
            <w:r>
              <w:rPr>
                <w:rFonts w:cs="Arial"/>
                <w:sz w:val="24"/>
              </w:rPr>
              <w:t>No.</w:t>
            </w:r>
            <w:r w:rsidR="003D6783">
              <w:rPr>
                <w:rFonts w:cs="Arial"/>
                <w:sz w:val="24"/>
              </w:rPr>
              <w:t>04a</w:t>
            </w:r>
          </w:p>
        </w:tc>
        <w:tc>
          <w:tcPr>
            <w:tcW w:w="9100" w:type="dxa"/>
          </w:tcPr>
          <w:p w:rsidR="003D6783" w:rsidRPr="00877EB1" w:rsidRDefault="00220758" w:rsidP="00220758">
            <w:pPr>
              <w:pStyle w:val="NoSpacing"/>
              <w:rPr>
                <w:rFonts w:cs="Arial"/>
                <w:sz w:val="24"/>
              </w:rPr>
            </w:pPr>
            <w:r w:rsidRPr="00220758">
              <w:rPr>
                <w:rFonts w:cs="Arial"/>
                <w:sz w:val="24"/>
              </w:rPr>
              <w:t>Conformance and Performance Specification for Intravenous Fluids</w:t>
            </w:r>
          </w:p>
        </w:tc>
      </w:tr>
      <w:tr w:rsidR="00066F35" w:rsidRPr="00877EB1" w:rsidTr="00EE687B">
        <w:trPr>
          <w:jc w:val="center"/>
        </w:trPr>
        <w:tc>
          <w:tcPr>
            <w:tcW w:w="1278" w:type="dxa"/>
          </w:tcPr>
          <w:p w:rsidR="00066F35" w:rsidRPr="00877EB1" w:rsidRDefault="00066F35" w:rsidP="00066F35">
            <w:pPr>
              <w:pStyle w:val="NoSpacing"/>
              <w:rPr>
                <w:rFonts w:cs="Arial"/>
                <w:sz w:val="24"/>
              </w:rPr>
            </w:pPr>
            <w:r w:rsidRPr="00877EB1">
              <w:rPr>
                <w:rFonts w:cs="Arial"/>
                <w:sz w:val="24"/>
              </w:rPr>
              <w:t>No.05a</w:t>
            </w:r>
          </w:p>
        </w:tc>
        <w:tc>
          <w:tcPr>
            <w:tcW w:w="9100" w:type="dxa"/>
          </w:tcPr>
          <w:p w:rsidR="00066F35" w:rsidRPr="00877EB1" w:rsidRDefault="00220758" w:rsidP="00AA12D1">
            <w:pPr>
              <w:pStyle w:val="NoSpacing"/>
              <w:rPr>
                <w:rFonts w:cs="Arial"/>
                <w:sz w:val="24"/>
              </w:rPr>
            </w:pPr>
            <w:r>
              <w:rPr>
                <w:rFonts w:cs="Arial"/>
                <w:sz w:val="24"/>
              </w:rPr>
              <w:t>Product Listing and U</w:t>
            </w:r>
            <w:r w:rsidR="00066F35" w:rsidRPr="00877EB1">
              <w:rPr>
                <w:rFonts w:cs="Arial"/>
                <w:sz w:val="24"/>
              </w:rPr>
              <w:t xml:space="preserve">sage </w:t>
            </w:r>
          </w:p>
        </w:tc>
      </w:tr>
      <w:tr w:rsidR="00E52E26" w:rsidRPr="00877EB1" w:rsidTr="00EE687B">
        <w:trPr>
          <w:jc w:val="center"/>
        </w:trPr>
        <w:tc>
          <w:tcPr>
            <w:tcW w:w="1278" w:type="dxa"/>
          </w:tcPr>
          <w:p w:rsidR="00E52E26" w:rsidRPr="00877EB1" w:rsidRDefault="00E52E26" w:rsidP="00E52E26">
            <w:pPr>
              <w:pStyle w:val="NoSpacing"/>
              <w:rPr>
                <w:rFonts w:cs="Arial"/>
                <w:sz w:val="24"/>
              </w:rPr>
            </w:pPr>
            <w:r>
              <w:rPr>
                <w:rFonts w:cs="Arial"/>
                <w:sz w:val="24"/>
              </w:rPr>
              <w:t>No.05b</w:t>
            </w:r>
          </w:p>
        </w:tc>
        <w:tc>
          <w:tcPr>
            <w:tcW w:w="9100" w:type="dxa"/>
          </w:tcPr>
          <w:p w:rsidR="00E52E26" w:rsidRDefault="00E52E26" w:rsidP="002C2203">
            <w:pPr>
              <w:pStyle w:val="NoSpacing"/>
              <w:rPr>
                <w:rFonts w:cs="Arial"/>
                <w:sz w:val="24"/>
              </w:rPr>
            </w:pPr>
            <w:r>
              <w:rPr>
                <w:rFonts w:cs="Arial"/>
                <w:sz w:val="24"/>
              </w:rPr>
              <w:t>Selec</w:t>
            </w:r>
            <w:r w:rsidR="002C2203">
              <w:rPr>
                <w:rFonts w:cs="Arial"/>
                <w:sz w:val="24"/>
              </w:rPr>
              <w:t>tt</w:t>
            </w:r>
            <w:r>
              <w:rPr>
                <w:rFonts w:cs="Arial"/>
                <w:sz w:val="24"/>
              </w:rPr>
              <w:t xml:space="preserve"> Offer Schedule</w:t>
            </w:r>
          </w:p>
        </w:tc>
      </w:tr>
      <w:tr w:rsidR="008D6B10" w:rsidRPr="00877EB1" w:rsidTr="00EE687B">
        <w:trPr>
          <w:jc w:val="center"/>
        </w:trPr>
        <w:tc>
          <w:tcPr>
            <w:tcW w:w="1278" w:type="dxa"/>
          </w:tcPr>
          <w:p w:rsidR="008D6B10" w:rsidRPr="00877EB1" w:rsidRDefault="008D6B10" w:rsidP="00431DE0">
            <w:pPr>
              <w:pStyle w:val="NoSpacing"/>
              <w:rPr>
                <w:rFonts w:cs="Arial"/>
                <w:sz w:val="24"/>
              </w:rPr>
            </w:pPr>
            <w:r>
              <w:rPr>
                <w:rFonts w:cs="Arial"/>
                <w:sz w:val="24"/>
              </w:rPr>
              <w:t>No.05c</w:t>
            </w:r>
          </w:p>
        </w:tc>
        <w:tc>
          <w:tcPr>
            <w:tcW w:w="9100" w:type="dxa"/>
          </w:tcPr>
          <w:p w:rsidR="008D6B10" w:rsidRPr="00877EB1" w:rsidRDefault="008D6B10" w:rsidP="00431DE0">
            <w:pPr>
              <w:pStyle w:val="NoSpacing"/>
              <w:rPr>
                <w:rFonts w:cs="Arial"/>
                <w:sz w:val="24"/>
              </w:rPr>
            </w:pPr>
            <w:r w:rsidRPr="00220758">
              <w:rPr>
                <w:rFonts w:cs="Arial"/>
                <w:sz w:val="24"/>
              </w:rPr>
              <w:t>Offer</w:t>
            </w:r>
            <w:r w:rsidR="00EE687B">
              <w:rPr>
                <w:rFonts w:cs="Arial"/>
                <w:sz w:val="24"/>
              </w:rPr>
              <w:t xml:space="preserve"> Schedule</w:t>
            </w:r>
            <w:r w:rsidRPr="00220758">
              <w:rPr>
                <w:rFonts w:cs="Arial"/>
                <w:sz w:val="24"/>
              </w:rPr>
              <w:t>: Supplementary Information</w:t>
            </w:r>
          </w:p>
        </w:tc>
      </w:tr>
      <w:tr w:rsidR="008D6B10" w:rsidRPr="00877EB1" w:rsidTr="00EE687B">
        <w:trPr>
          <w:jc w:val="center"/>
        </w:trPr>
        <w:tc>
          <w:tcPr>
            <w:tcW w:w="1278" w:type="dxa"/>
          </w:tcPr>
          <w:p w:rsidR="008D6B10" w:rsidRPr="00877EB1" w:rsidRDefault="008D6B10" w:rsidP="002C2203">
            <w:pPr>
              <w:pStyle w:val="NoSpacing"/>
              <w:rPr>
                <w:rFonts w:cs="Arial"/>
                <w:sz w:val="24"/>
              </w:rPr>
            </w:pPr>
            <w:r w:rsidRPr="00877EB1">
              <w:rPr>
                <w:rFonts w:cs="Arial"/>
                <w:sz w:val="24"/>
              </w:rPr>
              <w:t>No.05</w:t>
            </w:r>
            <w:r>
              <w:rPr>
                <w:rFonts w:cs="Arial"/>
                <w:sz w:val="24"/>
              </w:rPr>
              <w:t>d</w:t>
            </w:r>
          </w:p>
        </w:tc>
        <w:tc>
          <w:tcPr>
            <w:tcW w:w="9100" w:type="dxa"/>
          </w:tcPr>
          <w:p w:rsidR="008D6B10" w:rsidRPr="00877EB1" w:rsidRDefault="008D6B10" w:rsidP="002C2203">
            <w:pPr>
              <w:pStyle w:val="NoSpacing"/>
              <w:rPr>
                <w:rFonts w:cs="Arial"/>
                <w:sz w:val="24"/>
              </w:rPr>
            </w:pPr>
            <w:r>
              <w:rPr>
                <w:rFonts w:cs="Arial"/>
                <w:sz w:val="24"/>
              </w:rPr>
              <w:t>Selectt Offer Schedule I</w:t>
            </w:r>
            <w:r w:rsidRPr="00877EB1">
              <w:rPr>
                <w:rFonts w:cs="Arial"/>
                <w:sz w:val="24"/>
              </w:rPr>
              <w:t>nstructions</w:t>
            </w:r>
          </w:p>
        </w:tc>
      </w:tr>
      <w:tr w:rsidR="008D6B10" w:rsidRPr="00877EB1" w:rsidTr="00EE687B">
        <w:trPr>
          <w:jc w:val="center"/>
        </w:trPr>
        <w:tc>
          <w:tcPr>
            <w:tcW w:w="1278" w:type="dxa"/>
          </w:tcPr>
          <w:p w:rsidR="008D6B10" w:rsidRPr="00877EB1" w:rsidRDefault="008D6B10" w:rsidP="00066F35">
            <w:pPr>
              <w:pStyle w:val="NoSpacing"/>
              <w:rPr>
                <w:rFonts w:cs="Arial"/>
                <w:sz w:val="24"/>
              </w:rPr>
            </w:pPr>
            <w:r w:rsidRPr="00877EB1">
              <w:rPr>
                <w:rFonts w:cs="Arial"/>
                <w:sz w:val="24"/>
              </w:rPr>
              <w:t>No.06</w:t>
            </w:r>
          </w:p>
        </w:tc>
        <w:tc>
          <w:tcPr>
            <w:tcW w:w="9100" w:type="dxa"/>
          </w:tcPr>
          <w:p w:rsidR="008D6B10" w:rsidRPr="00877EB1" w:rsidRDefault="008D6B10" w:rsidP="00066F35">
            <w:pPr>
              <w:pStyle w:val="NoSpacing"/>
              <w:rPr>
                <w:rFonts w:cs="Arial"/>
                <w:sz w:val="24"/>
              </w:rPr>
            </w:pPr>
            <w:r>
              <w:rPr>
                <w:rFonts w:cs="Arial"/>
                <w:sz w:val="24"/>
              </w:rPr>
              <w:t>Form of O</w:t>
            </w:r>
            <w:r w:rsidRPr="00877EB1">
              <w:rPr>
                <w:rFonts w:cs="Arial"/>
                <w:sz w:val="24"/>
              </w:rPr>
              <w:t>ffer</w:t>
            </w:r>
          </w:p>
        </w:tc>
      </w:tr>
      <w:tr w:rsidR="008D6B10" w:rsidRPr="00877EB1" w:rsidTr="00EE687B">
        <w:trPr>
          <w:jc w:val="center"/>
        </w:trPr>
        <w:tc>
          <w:tcPr>
            <w:tcW w:w="1278" w:type="dxa"/>
          </w:tcPr>
          <w:p w:rsidR="008D6B10" w:rsidRPr="00877EB1" w:rsidRDefault="008D6B10" w:rsidP="00066F35">
            <w:pPr>
              <w:pStyle w:val="NoSpacing"/>
              <w:rPr>
                <w:rFonts w:cs="Arial"/>
                <w:sz w:val="24"/>
              </w:rPr>
            </w:pPr>
            <w:r w:rsidRPr="00877EB1">
              <w:rPr>
                <w:rFonts w:cs="Arial"/>
                <w:sz w:val="24"/>
              </w:rPr>
              <w:t>No.07a</w:t>
            </w:r>
          </w:p>
        </w:tc>
        <w:tc>
          <w:tcPr>
            <w:tcW w:w="9100" w:type="dxa"/>
          </w:tcPr>
          <w:p w:rsidR="008D6B10" w:rsidRPr="00877EB1" w:rsidRDefault="008D6B10" w:rsidP="00066F35">
            <w:pPr>
              <w:pStyle w:val="NoSpacing"/>
              <w:rPr>
                <w:rFonts w:cs="Arial"/>
                <w:sz w:val="24"/>
              </w:rPr>
            </w:pPr>
            <w:r>
              <w:rPr>
                <w:rFonts w:cs="Arial"/>
                <w:sz w:val="24"/>
              </w:rPr>
              <w:t>Quality Control Technical S</w:t>
            </w:r>
            <w:r w:rsidRPr="00877EB1">
              <w:rPr>
                <w:rFonts w:cs="Arial"/>
                <w:sz w:val="24"/>
              </w:rPr>
              <w:t>heet</w:t>
            </w:r>
          </w:p>
        </w:tc>
      </w:tr>
      <w:tr w:rsidR="008D6B10" w:rsidRPr="00877EB1" w:rsidTr="00EE687B">
        <w:trPr>
          <w:jc w:val="center"/>
        </w:trPr>
        <w:tc>
          <w:tcPr>
            <w:tcW w:w="1278" w:type="dxa"/>
          </w:tcPr>
          <w:p w:rsidR="008D6B10" w:rsidRPr="00877EB1" w:rsidRDefault="008D6B10" w:rsidP="00066F35">
            <w:pPr>
              <w:pStyle w:val="NoSpacing"/>
              <w:rPr>
                <w:rFonts w:cs="Arial"/>
                <w:sz w:val="24"/>
              </w:rPr>
            </w:pPr>
            <w:r w:rsidRPr="00877EB1">
              <w:rPr>
                <w:rFonts w:cs="Arial"/>
                <w:sz w:val="24"/>
              </w:rPr>
              <w:t>No.07b</w:t>
            </w:r>
          </w:p>
        </w:tc>
        <w:tc>
          <w:tcPr>
            <w:tcW w:w="9100" w:type="dxa"/>
          </w:tcPr>
          <w:p w:rsidR="008D6B10" w:rsidRPr="00877EB1" w:rsidRDefault="008D6B10" w:rsidP="00220758">
            <w:pPr>
              <w:pStyle w:val="NoSpacing"/>
              <w:rPr>
                <w:rFonts w:cs="Arial"/>
                <w:sz w:val="24"/>
              </w:rPr>
            </w:pPr>
            <w:r>
              <w:rPr>
                <w:rFonts w:cs="Arial"/>
                <w:sz w:val="24"/>
              </w:rPr>
              <w:t>Guidance for P</w:t>
            </w:r>
            <w:r w:rsidRPr="00877EB1">
              <w:rPr>
                <w:rFonts w:cs="Arial"/>
                <w:sz w:val="24"/>
              </w:rPr>
              <w:t xml:space="preserve">erforming a </w:t>
            </w:r>
            <w:r>
              <w:rPr>
                <w:rFonts w:cs="Arial"/>
                <w:sz w:val="24"/>
              </w:rPr>
              <w:t>Pharmaceutical Quality Assessment of Licensed M</w:t>
            </w:r>
            <w:r w:rsidRPr="00877EB1">
              <w:rPr>
                <w:rFonts w:cs="Arial"/>
                <w:sz w:val="24"/>
              </w:rPr>
              <w:t>edicines for the NHS</w:t>
            </w:r>
          </w:p>
        </w:tc>
      </w:tr>
      <w:tr w:rsidR="008D6B10" w:rsidRPr="00877EB1" w:rsidTr="00EE687B">
        <w:trPr>
          <w:jc w:val="center"/>
        </w:trPr>
        <w:tc>
          <w:tcPr>
            <w:tcW w:w="1278" w:type="dxa"/>
          </w:tcPr>
          <w:p w:rsidR="008D6B10" w:rsidRPr="00877EB1" w:rsidRDefault="008D6B10" w:rsidP="00E52E26">
            <w:pPr>
              <w:pStyle w:val="NoSpacing"/>
              <w:rPr>
                <w:rFonts w:cs="Arial"/>
                <w:sz w:val="24"/>
              </w:rPr>
            </w:pPr>
            <w:r w:rsidRPr="00877EB1">
              <w:rPr>
                <w:rFonts w:cs="Arial"/>
                <w:sz w:val="24"/>
              </w:rPr>
              <w:t>No.08</w:t>
            </w:r>
          </w:p>
        </w:tc>
        <w:tc>
          <w:tcPr>
            <w:tcW w:w="9100" w:type="dxa"/>
          </w:tcPr>
          <w:p w:rsidR="008D6B10" w:rsidRPr="00877EB1" w:rsidRDefault="008D6B10" w:rsidP="00220758">
            <w:pPr>
              <w:pStyle w:val="NoSpacing"/>
              <w:rPr>
                <w:rFonts w:cs="Arial"/>
                <w:sz w:val="24"/>
              </w:rPr>
            </w:pPr>
            <w:r w:rsidRPr="00877EB1">
              <w:rPr>
                <w:rFonts w:cs="Arial"/>
                <w:sz w:val="24"/>
              </w:rPr>
              <w:t xml:space="preserve">Confidential </w:t>
            </w:r>
            <w:r>
              <w:rPr>
                <w:rFonts w:cs="Arial"/>
                <w:sz w:val="24"/>
              </w:rPr>
              <w:t>Information S</w:t>
            </w:r>
            <w:r w:rsidRPr="00877EB1">
              <w:rPr>
                <w:rFonts w:cs="Arial"/>
                <w:sz w:val="24"/>
              </w:rPr>
              <w:t>chedule</w:t>
            </w:r>
          </w:p>
        </w:tc>
      </w:tr>
    </w:tbl>
    <w:p w:rsidR="002B6C8E" w:rsidRPr="001540F0" w:rsidRDefault="002B6C8E" w:rsidP="00066F35">
      <w:pPr>
        <w:pStyle w:val="NoSpacing"/>
      </w:pPr>
    </w:p>
    <w:p w:rsidR="002B6C8E" w:rsidRDefault="002B6C8E" w:rsidP="00066F35">
      <w:pPr>
        <w:pStyle w:val="NoSpacing"/>
      </w:pPr>
      <w:r w:rsidRPr="000E0B89">
        <w:t xml:space="preserve">all of which constitute this Invitation </w:t>
      </w:r>
      <w:r>
        <w:t>t</w:t>
      </w:r>
      <w:r w:rsidRPr="000E0B89">
        <w:t xml:space="preserve">o </w:t>
      </w:r>
      <w:r>
        <w:t>o</w:t>
      </w:r>
      <w:r w:rsidRPr="000E0B89">
        <w:t>ffer.</w:t>
      </w:r>
      <w:r>
        <w:t xml:space="preserve">  </w:t>
      </w:r>
    </w:p>
    <w:p w:rsidR="00EE687B" w:rsidRDefault="00EE687B" w:rsidP="00066F35">
      <w:pPr>
        <w:pStyle w:val="NoSpacing"/>
      </w:pPr>
    </w:p>
    <w:p w:rsidR="002B6C8E" w:rsidRDefault="002B6C8E" w:rsidP="00066F35">
      <w:pPr>
        <w:pStyle w:val="NoSpacing"/>
      </w:pPr>
    </w:p>
    <w:p w:rsidR="00EE687B" w:rsidRDefault="00EE687B" w:rsidP="00066F35">
      <w:pPr>
        <w:pStyle w:val="NoSpacing"/>
      </w:pPr>
    </w:p>
    <w:p w:rsidR="00EE687B" w:rsidRDefault="00EE687B" w:rsidP="00066F35">
      <w:pPr>
        <w:pStyle w:val="NoSpacing"/>
      </w:pPr>
    </w:p>
    <w:p w:rsidR="002B6C8E" w:rsidRPr="000E0B89" w:rsidRDefault="002B6C8E" w:rsidP="00066F35">
      <w:pPr>
        <w:pStyle w:val="NoSpacing"/>
      </w:pPr>
      <w:r>
        <w:t>I</w:t>
      </w:r>
      <w:r w:rsidRPr="000E0B89">
        <w:t xml:space="preserve">f any of the documents </w:t>
      </w:r>
      <w:r>
        <w:t xml:space="preserve">constituting the Invitation to offer </w:t>
      </w:r>
      <w:r w:rsidR="00EE687B">
        <w:t>are</w:t>
      </w:r>
      <w:r w:rsidRPr="000E0B89">
        <w:t xml:space="preserve"> missing please contact the undersigned immediately via the Bravosolution messaging portal</w:t>
      </w:r>
      <w:r>
        <w:t>.</w:t>
      </w:r>
    </w:p>
    <w:p w:rsidR="002B6C8E" w:rsidRPr="000E0B89" w:rsidRDefault="002B6C8E" w:rsidP="00066F35">
      <w:pPr>
        <w:pStyle w:val="NoSpacing"/>
      </w:pPr>
    </w:p>
    <w:p w:rsidR="002B6C8E" w:rsidRPr="000E0B89" w:rsidRDefault="002B6C8E" w:rsidP="00066F35">
      <w:pPr>
        <w:pStyle w:val="NoSpacing"/>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066F35">
      <w:pPr>
        <w:pStyle w:val="NoSpacing"/>
      </w:pPr>
    </w:p>
    <w:p w:rsidR="002B6C8E" w:rsidRPr="000E0B89" w:rsidRDefault="002B6C8E" w:rsidP="00066F35">
      <w:pPr>
        <w:pStyle w:val="NoSpacing"/>
      </w:pPr>
      <w:r w:rsidRPr="000E0B89">
        <w:t>I would like to draw your attention to the following important points when completing and submitting your offer:</w:t>
      </w:r>
    </w:p>
    <w:p w:rsidR="002B6C8E" w:rsidRPr="000E0B89" w:rsidRDefault="002B6C8E" w:rsidP="00066F35">
      <w:pPr>
        <w:pStyle w:val="NoSpacing"/>
      </w:pPr>
    </w:p>
    <w:p w:rsidR="002B6C8E" w:rsidRPr="000E0B89" w:rsidRDefault="002B6C8E" w:rsidP="00066F35">
      <w:pPr>
        <w:pStyle w:val="NoSpacing"/>
      </w:pPr>
      <w:r w:rsidRPr="000E0B89">
        <w:t>1.</w:t>
      </w:r>
      <w:r w:rsidRPr="000E0B89">
        <w:tab/>
        <w:t xml:space="preserve">All offers must be written in English. </w:t>
      </w:r>
    </w:p>
    <w:p w:rsidR="002B6C8E" w:rsidRPr="000E0B89" w:rsidRDefault="002B6C8E" w:rsidP="00066F35">
      <w:pPr>
        <w:pStyle w:val="NoSpacing"/>
      </w:pPr>
    </w:p>
    <w:p w:rsidR="002B6C8E" w:rsidRPr="000E0B89" w:rsidRDefault="002B6C8E" w:rsidP="00066F35">
      <w:pPr>
        <w:pStyle w:val="NoSpacing"/>
        <w:ind w:left="720" w:hanging="720"/>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066F35">
      <w:pPr>
        <w:pStyle w:val="NoSpacing"/>
      </w:pPr>
    </w:p>
    <w:p w:rsidR="002B6C8E" w:rsidRDefault="002B6C8E" w:rsidP="00066F35">
      <w:pPr>
        <w:pStyle w:val="NoSpacing"/>
      </w:pPr>
      <w:r w:rsidRPr="000E0B89">
        <w:t>3.</w:t>
      </w:r>
      <w:r w:rsidRPr="000E0B89">
        <w:tab/>
        <w:t>All offers must be loaded onto the Commercial Medicines Unit’s eTendering portal</w:t>
      </w:r>
      <w:r w:rsidRPr="000E0B89">
        <w:tab/>
      </w:r>
      <w:hyperlink r:id="rId10" w:history="1">
        <w:r w:rsidR="00393338" w:rsidRPr="00822DBB">
          <w:rPr>
            <w:rStyle w:val="Hyperlink"/>
            <w:rFonts w:cs="Arial"/>
          </w:rPr>
          <w:t>https://nhsengland.bravosolution.co.uk/web/login.html</w:t>
        </w:r>
      </w:hyperlink>
    </w:p>
    <w:p w:rsidR="002B6C8E" w:rsidRDefault="002B6C8E" w:rsidP="00066F35">
      <w:pPr>
        <w:pStyle w:val="NoSpacing"/>
      </w:pPr>
    </w:p>
    <w:p w:rsidR="002B6C8E" w:rsidRDefault="002B6C8E" w:rsidP="00066F35">
      <w:pPr>
        <w:pStyle w:val="NoSpacing"/>
        <w:ind w:left="720" w:hanging="720"/>
      </w:pPr>
      <w:r>
        <w:t>4.</w:t>
      </w:r>
      <w:r>
        <w:tab/>
        <w:t>Offers must be open for 9</w:t>
      </w:r>
      <w:r w:rsidRPr="00630769">
        <w:t xml:space="preserve">0 </w:t>
      </w:r>
      <w:r w:rsidR="00E166FA">
        <w:t>days.</w:t>
      </w:r>
    </w:p>
    <w:p w:rsidR="002B6C8E" w:rsidRPr="000E0B89" w:rsidRDefault="002B6C8E" w:rsidP="00066F35">
      <w:pPr>
        <w:pStyle w:val="NoSpacing"/>
      </w:pPr>
    </w:p>
    <w:p w:rsidR="002B6C8E" w:rsidRPr="00861CB3" w:rsidRDefault="002B6C8E" w:rsidP="00066F35">
      <w:pPr>
        <w:pStyle w:val="NoSpacing"/>
        <w:ind w:left="720" w:hanging="720"/>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2967CA" w:rsidRPr="002967CA">
        <w:rPr>
          <w:b/>
        </w:rPr>
        <w:t>Friday</w:t>
      </w:r>
      <w:r w:rsidR="00FA2EAE" w:rsidRPr="002967CA">
        <w:rPr>
          <w:b/>
        </w:rPr>
        <w:t xml:space="preserve"> </w:t>
      </w:r>
      <w:r w:rsidR="002967CA" w:rsidRPr="002967CA">
        <w:rPr>
          <w:b/>
        </w:rPr>
        <w:t>13 April</w:t>
      </w:r>
      <w:r w:rsidR="00E007B1" w:rsidRPr="002967CA">
        <w:rPr>
          <w:b/>
        </w:rPr>
        <w:t xml:space="preserve"> 2018</w:t>
      </w:r>
      <w:r w:rsidRPr="002967CA">
        <w:t>.</w:t>
      </w:r>
    </w:p>
    <w:p w:rsidR="002B6C8E" w:rsidRPr="000E0B89" w:rsidRDefault="002B6C8E" w:rsidP="00066F35">
      <w:pPr>
        <w:pStyle w:val="NoSpacing"/>
        <w:rPr>
          <w:color w:val="FF0000"/>
        </w:rPr>
      </w:pPr>
    </w:p>
    <w:p w:rsidR="002B6C8E" w:rsidRPr="000E0B89" w:rsidRDefault="002B6C8E" w:rsidP="00066F35">
      <w:pPr>
        <w:pStyle w:val="NoSpacing"/>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066F35">
      <w:pPr>
        <w:pStyle w:val="NoSpacing"/>
      </w:pPr>
    </w:p>
    <w:p w:rsidR="002B6C8E" w:rsidRPr="000E0B89" w:rsidRDefault="002B6C8E" w:rsidP="00066F35">
      <w:pPr>
        <w:pStyle w:val="NoSpacing"/>
      </w:pPr>
      <w:r w:rsidRPr="000E0B89">
        <w:t>I hope that the above instructions are clear but please contact the undersigned via the Bravosolution messaging portal if there is anything you wish to clarify.</w:t>
      </w:r>
    </w:p>
    <w:p w:rsidR="002B6C8E" w:rsidRDefault="002B6C8E" w:rsidP="00066F35">
      <w:pPr>
        <w:pStyle w:val="NoSpacing"/>
      </w:pPr>
    </w:p>
    <w:p w:rsidR="00D9112B" w:rsidRDefault="007B4BD5" w:rsidP="00066F35">
      <w:pPr>
        <w:pStyle w:val="NoSpacing"/>
      </w:pPr>
      <w:r>
        <w:t xml:space="preserve">Yours faithfully </w:t>
      </w:r>
    </w:p>
    <w:p w:rsidR="00D9112B" w:rsidRDefault="00D9112B" w:rsidP="00066F35">
      <w:pPr>
        <w:pStyle w:val="NoSpacing"/>
      </w:pPr>
    </w:p>
    <w:p w:rsidR="007E2A4D" w:rsidRDefault="007E2A4D" w:rsidP="00D9112B">
      <w:pPr>
        <w:pStyle w:val="NoSpacing"/>
      </w:pPr>
      <w:r w:rsidRPr="00990446">
        <w:rPr>
          <w:noProof/>
          <w:sz w:val="24"/>
          <w:vertAlign w:val="superscript"/>
        </w:rPr>
        <w:drawing>
          <wp:inline distT="0" distB="0" distL="0" distR="0" wp14:anchorId="1B558C9A" wp14:editId="3BFFB9AD">
            <wp:extent cx="352393" cy="88542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040" t="60652" r="83196" b="14658"/>
                    <a:stretch/>
                  </pic:blipFill>
                  <pic:spPr bwMode="auto">
                    <a:xfrm rot="5400000">
                      <a:off x="0" y="0"/>
                      <a:ext cx="365091" cy="917329"/>
                    </a:xfrm>
                    <a:prstGeom prst="rect">
                      <a:avLst/>
                    </a:prstGeom>
                    <a:ln>
                      <a:noFill/>
                    </a:ln>
                    <a:extLst>
                      <a:ext uri="{53640926-AAD7-44D8-BBD7-CCE9431645EC}">
                        <a14:shadowObscured xmlns:a14="http://schemas.microsoft.com/office/drawing/2010/main"/>
                      </a:ext>
                    </a:extLst>
                  </pic:spPr>
                </pic:pic>
              </a:graphicData>
            </a:graphic>
          </wp:inline>
        </w:drawing>
      </w:r>
    </w:p>
    <w:p w:rsidR="00D9112B" w:rsidRDefault="00D9112B" w:rsidP="00565777">
      <w:pPr>
        <w:pStyle w:val="NoSpacing"/>
      </w:pPr>
    </w:p>
    <w:p w:rsidR="00565777" w:rsidRDefault="00E007B1" w:rsidP="00565777">
      <w:pPr>
        <w:pStyle w:val="NoSpacing"/>
      </w:pPr>
      <w:r>
        <w:t xml:space="preserve">Tom Redfearn </w:t>
      </w:r>
    </w:p>
    <w:p w:rsidR="00E007B1" w:rsidRDefault="00E007B1" w:rsidP="00565777">
      <w:pPr>
        <w:pStyle w:val="NoSpacing"/>
      </w:pPr>
      <w:r>
        <w:t xml:space="preserve">Operations Adviser &amp; Developing Commercial Practitioner </w:t>
      </w:r>
    </w:p>
    <w:sectPr w:rsidR="00E007B1" w:rsidSect="002C2203">
      <w:headerReference w:type="default" r:id="rId12"/>
      <w:footerReference w:type="even" r:id="rId13"/>
      <w:footerReference w:type="default" r:id="rId14"/>
      <w:headerReference w:type="first" r:id="rId15"/>
      <w:footerReference w:type="first" r:id="rId16"/>
      <w:pgSz w:w="11906" w:h="16838" w:code="9"/>
      <w:pgMar w:top="624" w:right="851" w:bottom="567" w:left="96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B3" w:rsidRDefault="00CC75B3">
      <w:r>
        <w:separator/>
      </w:r>
    </w:p>
  </w:endnote>
  <w:endnote w:type="continuationSeparator" w:id="0">
    <w:p w:rsidR="00CC75B3" w:rsidRDefault="00CC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4D" w:rsidRDefault="007E2A4D"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A4D" w:rsidRDefault="007E2A4D"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4"/>
      </w:rPr>
      <w:id w:val="25599698"/>
      <w:docPartObj>
        <w:docPartGallery w:val="Page Numbers (Top of Page)"/>
        <w:docPartUnique/>
      </w:docPartObj>
    </w:sdtPr>
    <w:sdtEndPr/>
    <w:sdtContent>
      <w:p w:rsidR="007E2A4D" w:rsidRDefault="007E2A4D" w:rsidP="00066F35">
        <w:pPr>
          <w:pStyle w:val="Footer"/>
          <w:jc w:val="center"/>
          <w:rPr>
            <w:rFonts w:cs="Arial"/>
            <w:sz w:val="24"/>
          </w:rPr>
        </w:pPr>
        <w:r w:rsidRPr="00877EB1">
          <w:rPr>
            <w:rFonts w:cs="Arial"/>
            <w:sz w:val="24"/>
          </w:rPr>
          <w:t>OFFICIAL</w:t>
        </w:r>
      </w:p>
      <w:p w:rsidR="007E2A4D" w:rsidRPr="00F11AFE" w:rsidRDefault="007E2A4D" w:rsidP="00066F35">
        <w:pPr>
          <w:pStyle w:val="Footer"/>
          <w:jc w:val="left"/>
          <w:rPr>
            <w:rFonts w:cs="Arial"/>
            <w:sz w:val="24"/>
          </w:rPr>
        </w:pPr>
        <w:r w:rsidRPr="00877EB1">
          <w:rPr>
            <w:rFonts w:cs="Arial"/>
            <w:sz w:val="24"/>
          </w:rPr>
          <w:t xml:space="preserve">Document No. 01 Invitation to Offer </w:t>
        </w:r>
        <w:r w:rsidR="00AA12D1">
          <w:rPr>
            <w:rFonts w:cs="Arial"/>
            <w:sz w:val="24"/>
          </w:rPr>
          <w:t xml:space="preserve">Covering </w:t>
        </w:r>
        <w:r w:rsidRPr="00877EB1">
          <w:rPr>
            <w:rFonts w:cs="Arial"/>
            <w:sz w:val="24"/>
          </w:rPr>
          <w:t>Letter</w:t>
        </w:r>
        <w:r w:rsidRPr="00877EB1">
          <w:rPr>
            <w:rFonts w:cs="Arial"/>
            <w:sz w:val="24"/>
          </w:rPr>
          <w:tab/>
        </w:r>
        <w:r w:rsidRPr="00877EB1">
          <w:rPr>
            <w:rFonts w:cs="Arial"/>
            <w:sz w:val="24"/>
          </w:rPr>
          <w:tab/>
        </w:r>
        <w:r w:rsidRPr="00877EB1">
          <w:rPr>
            <w:rFonts w:cs="Arial"/>
            <w:sz w:val="24"/>
          </w:rPr>
          <w:tab/>
        </w:r>
        <w:r w:rsidRPr="00877EB1">
          <w:rPr>
            <w:rFonts w:cs="Arial"/>
            <w:sz w:val="24"/>
          </w:rPr>
          <w:tab/>
        </w:r>
        <w:r>
          <w:rPr>
            <w:rFonts w:cs="Arial"/>
            <w:sz w:val="24"/>
          </w:rPr>
          <w:t xml:space="preserve">             </w:t>
        </w:r>
        <w:r w:rsidRPr="00F11AFE">
          <w:rPr>
            <w:rFonts w:cs="Arial"/>
            <w:sz w:val="24"/>
          </w:rPr>
          <w:t xml:space="preserve">Page </w:t>
        </w:r>
        <w:r w:rsidRPr="00F11AFE">
          <w:rPr>
            <w:rFonts w:cs="Arial"/>
            <w:sz w:val="24"/>
          </w:rPr>
          <w:fldChar w:fldCharType="begin"/>
        </w:r>
        <w:r w:rsidRPr="00F11AFE">
          <w:rPr>
            <w:rFonts w:cs="Arial"/>
            <w:sz w:val="24"/>
          </w:rPr>
          <w:instrText xml:space="preserve"> PAGE  \* Arabic  \* MERGEFORMAT </w:instrText>
        </w:r>
        <w:r w:rsidRPr="00F11AFE">
          <w:rPr>
            <w:rFonts w:cs="Arial"/>
            <w:sz w:val="24"/>
          </w:rPr>
          <w:fldChar w:fldCharType="separate"/>
        </w:r>
        <w:r w:rsidR="000079D3">
          <w:rPr>
            <w:rFonts w:cs="Arial"/>
            <w:noProof/>
            <w:sz w:val="24"/>
          </w:rPr>
          <w:t>1</w:t>
        </w:r>
        <w:r w:rsidRPr="00F11AFE">
          <w:rPr>
            <w:rFonts w:cs="Arial"/>
            <w:sz w:val="24"/>
          </w:rPr>
          <w:fldChar w:fldCharType="end"/>
        </w:r>
        <w:r w:rsidRPr="00F11AFE">
          <w:rPr>
            <w:rFonts w:cs="Arial"/>
            <w:sz w:val="24"/>
          </w:rPr>
          <w:t xml:space="preserve"> of </w:t>
        </w:r>
        <w:r w:rsidRPr="00F11AFE">
          <w:rPr>
            <w:rFonts w:cs="Arial"/>
            <w:sz w:val="24"/>
          </w:rPr>
          <w:fldChar w:fldCharType="begin"/>
        </w:r>
        <w:r w:rsidRPr="00F11AFE">
          <w:rPr>
            <w:rFonts w:cs="Arial"/>
            <w:sz w:val="24"/>
          </w:rPr>
          <w:instrText xml:space="preserve"> NUMPAGES  \* Arabic  \* MERGEFORMAT </w:instrText>
        </w:r>
        <w:r w:rsidRPr="00F11AFE">
          <w:rPr>
            <w:rFonts w:cs="Arial"/>
            <w:sz w:val="24"/>
          </w:rPr>
          <w:fldChar w:fldCharType="separate"/>
        </w:r>
        <w:r w:rsidR="000079D3">
          <w:rPr>
            <w:rFonts w:cs="Arial"/>
            <w:noProof/>
            <w:sz w:val="24"/>
          </w:rPr>
          <w:t>2</w:t>
        </w:r>
        <w:r w:rsidRPr="00F11AFE">
          <w:rPr>
            <w:rFonts w:cs="Arial"/>
            <w:sz w:val="24"/>
          </w:rPr>
          <w:fldChar w:fldCharType="end"/>
        </w:r>
      </w:p>
      <w:p w:rsidR="007E2A4D" w:rsidRPr="00877EB1" w:rsidRDefault="007E2A4D" w:rsidP="00066F35">
        <w:pPr>
          <w:pStyle w:val="Footer"/>
          <w:jc w:val="left"/>
          <w:rPr>
            <w:rFonts w:cs="Arial"/>
            <w:sz w:val="24"/>
          </w:rPr>
        </w:pPr>
        <w:r w:rsidRPr="00877EB1">
          <w:rPr>
            <w:rFonts w:cs="Arial"/>
            <w:sz w:val="24"/>
          </w:rPr>
          <w:t>©</w:t>
        </w:r>
        <w:r>
          <w:rPr>
            <w:rFonts w:cs="Arial"/>
            <w:sz w:val="24"/>
          </w:rPr>
          <w:t xml:space="preserve"> </w:t>
        </w:r>
        <w:r w:rsidRPr="00877EB1">
          <w:rPr>
            <w:rFonts w:cs="Arial"/>
            <w:sz w:val="24"/>
          </w:rPr>
          <w:t>NHS England 201</w:t>
        </w:r>
        <w:r w:rsidR="00033D4A">
          <w:rPr>
            <w:rFonts w:cs="Arial"/>
            <w:sz w:val="24"/>
          </w:rPr>
          <w:t>8</w:t>
        </w:r>
      </w:p>
      <w:p w:rsidR="007E2A4D" w:rsidRPr="00066F35" w:rsidRDefault="007E2A4D" w:rsidP="00066F35">
        <w:pPr>
          <w:pStyle w:val="Footer"/>
          <w:rPr>
            <w:rStyle w:val="PageNumber"/>
            <w:rFonts w:cs="Arial"/>
            <w:i/>
            <w:sz w:val="24"/>
          </w:rPr>
        </w:pPr>
        <w:r w:rsidRPr="00877EB1">
          <w:rPr>
            <w:rFonts w:cs="Arial"/>
            <w:i/>
            <w:sz w:val="24"/>
          </w:rPr>
          <w:t>Health and high quality care for all, now and for future generations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7E2A4D" w:rsidRPr="00EC4CF4" w:rsidRDefault="007E2A4D" w:rsidP="00BD510C">
            <w:pPr>
              <w:pStyle w:val="Footer"/>
              <w:jc w:val="center"/>
              <w:rPr>
                <w:sz w:val="20"/>
                <w:szCs w:val="20"/>
              </w:rPr>
            </w:pPr>
            <w:r w:rsidRPr="00EC4CF4">
              <w:rPr>
                <w:sz w:val="20"/>
                <w:szCs w:val="20"/>
              </w:rPr>
              <w:t>OFFICIAL</w:t>
            </w:r>
          </w:p>
          <w:p w:rsidR="007E2A4D" w:rsidRPr="00EC4CF4" w:rsidRDefault="007E2A4D"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433D01">
              <w:rPr>
                <w:b/>
                <w:noProof/>
                <w:sz w:val="20"/>
                <w:szCs w:val="20"/>
              </w:rPr>
              <w:t>2</w:t>
            </w:r>
            <w:r w:rsidRPr="00EC4CF4">
              <w:rPr>
                <w:b/>
                <w:sz w:val="20"/>
                <w:szCs w:val="20"/>
              </w:rPr>
              <w:fldChar w:fldCharType="end"/>
            </w:r>
          </w:p>
          <w:p w:rsidR="007E2A4D" w:rsidRDefault="007E2A4D"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B3" w:rsidRDefault="00CC75B3">
      <w:r>
        <w:separator/>
      </w:r>
    </w:p>
  </w:footnote>
  <w:footnote w:type="continuationSeparator" w:id="0">
    <w:p w:rsidR="00CC75B3" w:rsidRDefault="00CC7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4D" w:rsidRPr="00066F35" w:rsidRDefault="007E2A4D" w:rsidP="00371038">
    <w:pPr>
      <w:pStyle w:val="Header"/>
      <w:jc w:val="center"/>
      <w:rPr>
        <w:sz w:val="24"/>
        <w:szCs w:val="20"/>
      </w:rPr>
    </w:pPr>
    <w:r w:rsidRPr="00066F35">
      <w:rPr>
        <w:sz w:val="24"/>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4D" w:rsidRPr="00DB6D17" w:rsidRDefault="007E2A4D" w:rsidP="00DB6D17">
    <w:pPr>
      <w:pStyle w:val="Header"/>
      <w:jc w:val="center"/>
      <w:rPr>
        <w:noProof/>
        <w:sz w:val="20"/>
        <w:szCs w:val="20"/>
      </w:rPr>
    </w:pPr>
    <w:r w:rsidRPr="00DB6D17">
      <w:rPr>
        <w:noProof/>
        <w:sz w:val="20"/>
        <w:szCs w:val="20"/>
      </w:rPr>
      <w:t>OFFICIAL</w:t>
    </w:r>
  </w:p>
  <w:p w:rsidR="007E2A4D" w:rsidRDefault="007E2A4D">
    <w:pPr>
      <w:pStyle w:val="Header"/>
      <w:rPr>
        <w:noProof/>
      </w:rPr>
    </w:pPr>
  </w:p>
  <w:p w:rsidR="007E2A4D" w:rsidRDefault="007E2A4D"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90D3032"/>
    <w:multiLevelType w:val="hybridMultilevel"/>
    <w:tmpl w:val="6CB27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068F8"/>
    <w:rsid w:val="000079D3"/>
    <w:rsid w:val="00010FC1"/>
    <w:rsid w:val="000158F6"/>
    <w:rsid w:val="00030BE4"/>
    <w:rsid w:val="00033D4A"/>
    <w:rsid w:val="00035FBC"/>
    <w:rsid w:val="00066F35"/>
    <w:rsid w:val="00092F30"/>
    <w:rsid w:val="000E3E81"/>
    <w:rsid w:val="000E5244"/>
    <w:rsid w:val="000E603C"/>
    <w:rsid w:val="000F4A21"/>
    <w:rsid w:val="00107260"/>
    <w:rsid w:val="00130477"/>
    <w:rsid w:val="00132645"/>
    <w:rsid w:val="0015722D"/>
    <w:rsid w:val="0015769D"/>
    <w:rsid w:val="00160BD1"/>
    <w:rsid w:val="001712FB"/>
    <w:rsid w:val="001B0BEE"/>
    <w:rsid w:val="001C1ED2"/>
    <w:rsid w:val="001D2FAF"/>
    <w:rsid w:val="001E5314"/>
    <w:rsid w:val="001F46D8"/>
    <w:rsid w:val="00220758"/>
    <w:rsid w:val="002216EC"/>
    <w:rsid w:val="002408CC"/>
    <w:rsid w:val="00243D39"/>
    <w:rsid w:val="002967CA"/>
    <w:rsid w:val="002B6C8E"/>
    <w:rsid w:val="002C2203"/>
    <w:rsid w:val="002C438A"/>
    <w:rsid w:val="002D0287"/>
    <w:rsid w:val="002E4D64"/>
    <w:rsid w:val="002E516F"/>
    <w:rsid w:val="002F5C3F"/>
    <w:rsid w:val="0031766F"/>
    <w:rsid w:val="003372B6"/>
    <w:rsid w:val="00337DBE"/>
    <w:rsid w:val="00371038"/>
    <w:rsid w:val="00393338"/>
    <w:rsid w:val="003A305B"/>
    <w:rsid w:val="003B0C09"/>
    <w:rsid w:val="003B49CB"/>
    <w:rsid w:val="003C5060"/>
    <w:rsid w:val="003C54F7"/>
    <w:rsid w:val="003D6783"/>
    <w:rsid w:val="003F3125"/>
    <w:rsid w:val="003F6AFD"/>
    <w:rsid w:val="0042568C"/>
    <w:rsid w:val="00433D01"/>
    <w:rsid w:val="004374BB"/>
    <w:rsid w:val="00441E12"/>
    <w:rsid w:val="0047591B"/>
    <w:rsid w:val="00481098"/>
    <w:rsid w:val="00482904"/>
    <w:rsid w:val="00487CED"/>
    <w:rsid w:val="0049561C"/>
    <w:rsid w:val="00497DA5"/>
    <w:rsid w:val="004A633A"/>
    <w:rsid w:val="004C13A2"/>
    <w:rsid w:val="004F51DC"/>
    <w:rsid w:val="005041C6"/>
    <w:rsid w:val="00507C12"/>
    <w:rsid w:val="00524887"/>
    <w:rsid w:val="005403F0"/>
    <w:rsid w:val="00565777"/>
    <w:rsid w:val="005E169B"/>
    <w:rsid w:val="005E48C7"/>
    <w:rsid w:val="0061491F"/>
    <w:rsid w:val="00627762"/>
    <w:rsid w:val="00645F37"/>
    <w:rsid w:val="0067464F"/>
    <w:rsid w:val="00674E71"/>
    <w:rsid w:val="00680772"/>
    <w:rsid w:val="0069464A"/>
    <w:rsid w:val="006946B5"/>
    <w:rsid w:val="006B5A26"/>
    <w:rsid w:val="006C574C"/>
    <w:rsid w:val="006C5F7D"/>
    <w:rsid w:val="006D1346"/>
    <w:rsid w:val="006D79C9"/>
    <w:rsid w:val="006E110E"/>
    <w:rsid w:val="006E26C2"/>
    <w:rsid w:val="006F5CAB"/>
    <w:rsid w:val="007342C8"/>
    <w:rsid w:val="0073489E"/>
    <w:rsid w:val="007544D5"/>
    <w:rsid w:val="00785783"/>
    <w:rsid w:val="00792F10"/>
    <w:rsid w:val="007A2B66"/>
    <w:rsid w:val="007A7703"/>
    <w:rsid w:val="007B4BD5"/>
    <w:rsid w:val="007E2A4D"/>
    <w:rsid w:val="007F6906"/>
    <w:rsid w:val="00804608"/>
    <w:rsid w:val="00815A8F"/>
    <w:rsid w:val="0081669C"/>
    <w:rsid w:val="00821CBE"/>
    <w:rsid w:val="00827A41"/>
    <w:rsid w:val="00834900"/>
    <w:rsid w:val="00836053"/>
    <w:rsid w:val="008507C1"/>
    <w:rsid w:val="0085413E"/>
    <w:rsid w:val="008550F0"/>
    <w:rsid w:val="008874C7"/>
    <w:rsid w:val="00887E14"/>
    <w:rsid w:val="008C46EC"/>
    <w:rsid w:val="008D6B10"/>
    <w:rsid w:val="008E6448"/>
    <w:rsid w:val="00907869"/>
    <w:rsid w:val="00937157"/>
    <w:rsid w:val="009642C3"/>
    <w:rsid w:val="00980565"/>
    <w:rsid w:val="0098479D"/>
    <w:rsid w:val="009A1530"/>
    <w:rsid w:val="009E2F39"/>
    <w:rsid w:val="009F3149"/>
    <w:rsid w:val="009F5FE8"/>
    <w:rsid w:val="009F6B1F"/>
    <w:rsid w:val="00A12652"/>
    <w:rsid w:val="00A30389"/>
    <w:rsid w:val="00A36091"/>
    <w:rsid w:val="00A50B39"/>
    <w:rsid w:val="00A54E33"/>
    <w:rsid w:val="00A622CD"/>
    <w:rsid w:val="00A65A9E"/>
    <w:rsid w:val="00A76C25"/>
    <w:rsid w:val="00A85EE8"/>
    <w:rsid w:val="00A979A1"/>
    <w:rsid w:val="00AA12D1"/>
    <w:rsid w:val="00AA3173"/>
    <w:rsid w:val="00AA5272"/>
    <w:rsid w:val="00AC6834"/>
    <w:rsid w:val="00AD631E"/>
    <w:rsid w:val="00AE514D"/>
    <w:rsid w:val="00B02EA5"/>
    <w:rsid w:val="00B06340"/>
    <w:rsid w:val="00B34252"/>
    <w:rsid w:val="00BD510C"/>
    <w:rsid w:val="00C23BB0"/>
    <w:rsid w:val="00C30D7E"/>
    <w:rsid w:val="00C63400"/>
    <w:rsid w:val="00C95706"/>
    <w:rsid w:val="00CC75B3"/>
    <w:rsid w:val="00CE6ECB"/>
    <w:rsid w:val="00CF00A7"/>
    <w:rsid w:val="00D11CD8"/>
    <w:rsid w:val="00D15096"/>
    <w:rsid w:val="00D17812"/>
    <w:rsid w:val="00D20BCD"/>
    <w:rsid w:val="00D2274A"/>
    <w:rsid w:val="00D64002"/>
    <w:rsid w:val="00D70F0E"/>
    <w:rsid w:val="00D84F44"/>
    <w:rsid w:val="00D9112B"/>
    <w:rsid w:val="00D93D96"/>
    <w:rsid w:val="00D9436C"/>
    <w:rsid w:val="00DA336E"/>
    <w:rsid w:val="00DA6C36"/>
    <w:rsid w:val="00DB02A6"/>
    <w:rsid w:val="00DB6D17"/>
    <w:rsid w:val="00DC40C1"/>
    <w:rsid w:val="00DE4EC9"/>
    <w:rsid w:val="00E007B1"/>
    <w:rsid w:val="00E0466E"/>
    <w:rsid w:val="00E05BB2"/>
    <w:rsid w:val="00E166FA"/>
    <w:rsid w:val="00E52E26"/>
    <w:rsid w:val="00E644B3"/>
    <w:rsid w:val="00E651E3"/>
    <w:rsid w:val="00E83060"/>
    <w:rsid w:val="00E85D31"/>
    <w:rsid w:val="00E92BD2"/>
    <w:rsid w:val="00EC3655"/>
    <w:rsid w:val="00EE687B"/>
    <w:rsid w:val="00F11415"/>
    <w:rsid w:val="00F24100"/>
    <w:rsid w:val="00F51775"/>
    <w:rsid w:val="00F740EB"/>
    <w:rsid w:val="00F7590A"/>
    <w:rsid w:val="00FA2EAE"/>
    <w:rsid w:val="00FB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5E39-99AA-4A69-8595-D22A5214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TRedfearn</cp:lastModifiedBy>
  <cp:revision>9</cp:revision>
  <cp:lastPrinted>2018-03-09T12:35:00Z</cp:lastPrinted>
  <dcterms:created xsi:type="dcterms:W3CDTF">2018-03-09T12:36:00Z</dcterms:created>
  <dcterms:modified xsi:type="dcterms:W3CDTF">2018-03-13T12:49:00Z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A2410388</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2018-01-09T12:01:04Z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2018-03-13T12:02:24Z</vt:filetime>
  </property>
  <property fmtid="{D5CDD505-2E9C-101B-9397-08002B2CF9AE}" pid="11" name="Objective-Owner">
    <vt:lpwstr>Redfearn, Tom</vt:lpwstr>
  </property>
  <property fmtid="{D5CDD505-2E9C-101B-9397-08002B2CF9AE}" pid="12" name="Objective-Path">
    <vt:lpwstr>Global Folder:02 Branded Medicines Projects and Contracts, Meeting Minutes:02 Live Contracts:16 General Pharmaceuticals Projects 2018:CM/PHR/16/5519 Branded - National IV Fluids:03 Tender for CM/PHR/16/5519:02 ITO:ITO Documents:</vt:lpwstr>
  </property>
  <property fmtid="{D5CDD505-2E9C-101B-9397-08002B2CF9AE}" pid="13" name="Objective-Parent">
    <vt:lpwstr>ITO Documents</vt:lpwstr>
  </property>
  <property fmtid="{D5CDD505-2E9C-101B-9397-08002B2CF9AE}" pid="14" name="Objective-State">
    <vt:lpwstr>Being Edited</vt:lpwstr>
  </property>
  <property fmtid="{D5CDD505-2E9C-101B-9397-08002B2CF9AE}" pid="15" name="Objective-Version">
    <vt:lpwstr>18.1</vt:lpwstr>
  </property>
  <property fmtid="{D5CDD505-2E9C-101B-9397-08002B2CF9AE}" pid="16" name="Objective-VersionNumber">
    <vt:i4>20</vt:i4>
  </property>
  <property fmtid="{D5CDD505-2E9C-101B-9397-08002B2CF9AE}" pid="17" name="Objective-VersionComment">
    <vt:lpwstr>
    </vt:lpwstr>
  </property>
  <property fmtid="{D5CDD505-2E9C-101B-9397-08002B2CF9AE}" pid="18" name="Objective-FileNumber">
    <vt:lpwstr>qA18470</vt:lpwstr>
  </property>
  <property fmtid="{D5CDD505-2E9C-101B-9397-08002B2CF9AE}" pid="19" name="Objective-Classification">
    <vt:lpwstr>[Inherited - none]</vt:lpwstr>
  </property>
  <property fmtid="{D5CDD505-2E9C-101B-9397-08002B2CF9AE}" pid="20" name="Objective-Caveats">
    <vt:lpwstr>
    </vt:lpwstr>
  </property>
</Properties>
</file>