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A5" w:rsidRPr="008075F2" w:rsidRDefault="00EA2BA5" w:rsidP="008075F2">
      <w:pPr>
        <w:jc w:val="center"/>
        <w:rPr>
          <w:b/>
          <w:sz w:val="22"/>
        </w:rPr>
      </w:pPr>
      <w:r>
        <w:rPr>
          <w:b/>
          <w:sz w:val="22"/>
        </w:rPr>
        <w:t>Schedule 2: Call-Off Terms</w:t>
      </w:r>
    </w:p>
    <w:p w:rsidR="00EA2BA5" w:rsidRPr="00A9527C" w:rsidRDefault="00EA2BA5"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442"/>
        <w:gridCol w:w="1651"/>
        <w:gridCol w:w="4703"/>
      </w:tblGrid>
      <w:tr w:rsidR="00EA2BA5" w:rsidRPr="00785D74" w:rsidTr="00636FA4">
        <w:trPr>
          <w:trHeight w:val="217"/>
        </w:trPr>
        <w:tc>
          <w:tcPr>
            <w:tcW w:w="694" w:type="dxa"/>
            <w:shd w:val="clear" w:color="auto" w:fill="E6E6E6"/>
          </w:tcPr>
          <w:p w:rsidR="00EA2BA5" w:rsidRPr="00785D74" w:rsidRDefault="00EA2BA5" w:rsidP="00636FA4">
            <w:pPr>
              <w:rPr>
                <w:b/>
              </w:rPr>
            </w:pPr>
            <w:r w:rsidRPr="00785D74">
              <w:rPr>
                <w:b/>
              </w:rPr>
              <w:t>Date</w:t>
            </w:r>
          </w:p>
        </w:tc>
        <w:tc>
          <w:tcPr>
            <w:tcW w:w="3442" w:type="dxa"/>
          </w:tcPr>
          <w:p w:rsidR="00EA2BA5" w:rsidRPr="00621BCB" w:rsidRDefault="00EA2BA5" w:rsidP="000868A8">
            <w:pPr>
              <w:rPr>
                <w:color w:val="FF0000"/>
              </w:rPr>
            </w:pPr>
            <w:r>
              <w:t>18</w:t>
            </w:r>
            <w:r w:rsidRPr="000868A8">
              <w:rPr>
                <w:vertAlign w:val="superscript"/>
              </w:rPr>
              <w:t>th</w:t>
            </w:r>
            <w:r>
              <w:t xml:space="preserve"> Jan 2015</w:t>
            </w:r>
          </w:p>
        </w:tc>
        <w:tc>
          <w:tcPr>
            <w:tcW w:w="1651" w:type="dxa"/>
            <w:shd w:val="clear" w:color="auto" w:fill="E6E6E6"/>
          </w:tcPr>
          <w:p w:rsidR="00EA2BA5" w:rsidRPr="00785D74" w:rsidRDefault="00EA2BA5" w:rsidP="00636FA4">
            <w:pPr>
              <w:rPr>
                <w:b/>
              </w:rPr>
            </w:pPr>
            <w:r w:rsidRPr="00785D74">
              <w:rPr>
                <w:b/>
              </w:rPr>
              <w:t>Order Reference</w:t>
            </w:r>
          </w:p>
        </w:tc>
        <w:tc>
          <w:tcPr>
            <w:tcW w:w="4703" w:type="dxa"/>
          </w:tcPr>
          <w:p w:rsidR="00EA2BA5" w:rsidRPr="00785D74" w:rsidRDefault="00EA2BA5" w:rsidP="00636FA4">
            <w:pPr>
              <w:rPr>
                <w:b/>
              </w:rPr>
            </w:pPr>
            <w:r w:rsidRPr="00785D74">
              <w:rPr>
                <w:b/>
              </w:rPr>
              <w:br/>
            </w:r>
          </w:p>
        </w:tc>
      </w:tr>
    </w:tbl>
    <w:p w:rsidR="00EA2BA5" w:rsidRDefault="00EA2BA5" w:rsidP="00636FA4">
      <w:pPr>
        <w:rPr>
          <w:b/>
        </w:rPr>
      </w:pPr>
    </w:p>
    <w:p w:rsidR="00EA2BA5" w:rsidRPr="00636FA4" w:rsidRDefault="00EA2BA5"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8363"/>
      </w:tblGrid>
      <w:tr w:rsidR="00EA2BA5" w:rsidRPr="00785D74" w:rsidTr="00216F3D">
        <w:tc>
          <w:tcPr>
            <w:tcW w:w="2127" w:type="dxa"/>
            <w:shd w:val="clear" w:color="auto" w:fill="E6E6E6"/>
          </w:tcPr>
          <w:p w:rsidR="00EA2BA5" w:rsidRPr="00785D74" w:rsidRDefault="00EA2BA5" w:rsidP="00636FA4">
            <w:r w:rsidRPr="00785D74">
              <w:t>Customer</w:t>
            </w:r>
          </w:p>
        </w:tc>
        <w:tc>
          <w:tcPr>
            <w:tcW w:w="8363" w:type="dxa"/>
          </w:tcPr>
          <w:p w:rsidR="00EA2BA5" w:rsidRPr="00785D74" w:rsidRDefault="00EA2BA5" w:rsidP="00811B9A">
            <w:r w:rsidRPr="00EE3C6C">
              <w:rPr>
                <w:rStyle w:val="InfillNote"/>
                <w:shd w:val="clear" w:color="auto" w:fill="FFFFFF"/>
              </w:rPr>
              <w:t xml:space="preserve">Ministry of Justice (MoJ) </w:t>
            </w:r>
            <w:r w:rsidRPr="00785D74">
              <w:tab/>
              <w:t>“</w:t>
            </w:r>
            <w:r w:rsidRPr="00785D74">
              <w:rPr>
                <w:rStyle w:val="DefinedTerm"/>
              </w:rPr>
              <w:t>Customer</w:t>
            </w:r>
            <w:r w:rsidRPr="00785D74">
              <w:t>”</w:t>
            </w:r>
          </w:p>
        </w:tc>
      </w:tr>
      <w:tr w:rsidR="00EA2BA5" w:rsidRPr="00785D74" w:rsidTr="00EE3C6C">
        <w:tc>
          <w:tcPr>
            <w:tcW w:w="2127" w:type="dxa"/>
            <w:shd w:val="clear" w:color="auto" w:fill="E6E6E6"/>
          </w:tcPr>
          <w:p w:rsidR="00EA2BA5" w:rsidRPr="00785D74" w:rsidRDefault="00EA2BA5" w:rsidP="00636FA4">
            <w:r w:rsidRPr="00785D74">
              <w:t>Customer’s Address</w:t>
            </w:r>
          </w:p>
        </w:tc>
        <w:tc>
          <w:tcPr>
            <w:tcW w:w="8363" w:type="dxa"/>
            <w:shd w:val="clear" w:color="auto" w:fill="FFFFFF"/>
          </w:tcPr>
          <w:p w:rsidR="00EA2BA5" w:rsidRPr="00785D74" w:rsidRDefault="00EA2BA5" w:rsidP="00811B9A"/>
        </w:tc>
      </w:tr>
      <w:tr w:rsidR="00EA2BA5" w:rsidRPr="00785D74" w:rsidTr="00EE3C6C">
        <w:tc>
          <w:tcPr>
            <w:tcW w:w="2127" w:type="dxa"/>
            <w:shd w:val="clear" w:color="auto" w:fill="E6E6E6"/>
          </w:tcPr>
          <w:p w:rsidR="00EA2BA5" w:rsidRPr="00785D74" w:rsidRDefault="00EA2BA5" w:rsidP="00636FA4">
            <w:r w:rsidRPr="00785D74">
              <w:t>Invoice Address</w:t>
            </w:r>
          </w:p>
        </w:tc>
        <w:tc>
          <w:tcPr>
            <w:tcW w:w="8363" w:type="dxa"/>
            <w:shd w:val="clear" w:color="auto" w:fill="FFFFFF"/>
          </w:tcPr>
          <w:p w:rsidR="00EA2BA5" w:rsidRPr="00785D74" w:rsidRDefault="00EA2BA5" w:rsidP="00811B9A"/>
        </w:tc>
      </w:tr>
      <w:tr w:rsidR="00EA2BA5" w:rsidRPr="00785D74" w:rsidTr="00216F3D">
        <w:tc>
          <w:tcPr>
            <w:tcW w:w="2127" w:type="dxa"/>
            <w:shd w:val="clear" w:color="auto" w:fill="E6E6E6"/>
          </w:tcPr>
          <w:p w:rsidR="00EA2BA5" w:rsidRPr="00785D74" w:rsidRDefault="00EA2BA5" w:rsidP="00636FA4">
            <w:r w:rsidRPr="00785D74">
              <w:t>Principal Contact</w:t>
            </w:r>
          </w:p>
        </w:tc>
        <w:tc>
          <w:tcPr>
            <w:tcW w:w="8363" w:type="dxa"/>
          </w:tcPr>
          <w:p w:rsidR="00EA2BA5" w:rsidRPr="00785D74" w:rsidRDefault="00EA2BA5" w:rsidP="003E7EE8"/>
        </w:tc>
      </w:tr>
    </w:tbl>
    <w:p w:rsidR="00EA2BA5" w:rsidRPr="00636FA4" w:rsidRDefault="00EA2BA5" w:rsidP="00636FA4"/>
    <w:p w:rsidR="00EA2BA5" w:rsidRPr="00636FA4" w:rsidRDefault="00EA2BA5"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8363"/>
      </w:tblGrid>
      <w:tr w:rsidR="00EA2BA5" w:rsidRPr="00785D74" w:rsidTr="00216F3D">
        <w:tc>
          <w:tcPr>
            <w:tcW w:w="2127" w:type="dxa"/>
            <w:shd w:val="clear" w:color="auto" w:fill="E6E6E6"/>
          </w:tcPr>
          <w:p w:rsidR="00EA2BA5" w:rsidRPr="00785D74" w:rsidRDefault="00EA2BA5" w:rsidP="00636FA4">
            <w:r w:rsidRPr="00785D74">
              <w:t>Supplier</w:t>
            </w:r>
          </w:p>
        </w:tc>
        <w:tc>
          <w:tcPr>
            <w:tcW w:w="8363" w:type="dxa"/>
          </w:tcPr>
          <w:p w:rsidR="00EA2BA5" w:rsidRPr="00785D74" w:rsidRDefault="00EA2BA5" w:rsidP="0029252E">
            <w:r w:rsidRPr="00EE3C6C">
              <w:rPr>
                <w:rStyle w:val="InfillNote"/>
                <w:shd w:val="clear" w:color="auto" w:fill="FFFFFF"/>
              </w:rPr>
              <w:t>i2N Ltd</w:t>
            </w:r>
            <w:r w:rsidRPr="00785D74">
              <w:rPr>
                <w:b/>
              </w:rPr>
              <w:tab/>
            </w:r>
            <w:r w:rsidRPr="00785D74">
              <w:t xml:space="preserve"> “</w:t>
            </w:r>
            <w:r w:rsidRPr="00785D74">
              <w:rPr>
                <w:rStyle w:val="DefinedTerm"/>
              </w:rPr>
              <w:t>Supplier</w:t>
            </w:r>
            <w:r w:rsidRPr="00785D74">
              <w:t>”</w:t>
            </w:r>
          </w:p>
        </w:tc>
      </w:tr>
      <w:tr w:rsidR="00EA2BA5" w:rsidRPr="00785D74" w:rsidTr="00EE3C6C">
        <w:tc>
          <w:tcPr>
            <w:tcW w:w="2127" w:type="dxa"/>
            <w:shd w:val="clear" w:color="auto" w:fill="E6E6E6"/>
          </w:tcPr>
          <w:p w:rsidR="00EA2BA5" w:rsidRPr="00785D74" w:rsidRDefault="00EA2BA5" w:rsidP="00636FA4">
            <w:r w:rsidRPr="00785D74">
              <w:t>Supplier’s Address</w:t>
            </w:r>
          </w:p>
        </w:tc>
        <w:tc>
          <w:tcPr>
            <w:tcW w:w="8363" w:type="dxa"/>
            <w:shd w:val="clear" w:color="auto" w:fill="FFFFFF"/>
          </w:tcPr>
          <w:p w:rsidR="00EA2BA5" w:rsidRPr="00785D74" w:rsidRDefault="00EA2BA5" w:rsidP="0029252E"/>
        </w:tc>
      </w:tr>
      <w:tr w:rsidR="00EA2BA5" w:rsidRPr="00785D74" w:rsidTr="00216F3D">
        <w:tc>
          <w:tcPr>
            <w:tcW w:w="2127" w:type="dxa"/>
            <w:shd w:val="clear" w:color="auto" w:fill="E6E6E6"/>
          </w:tcPr>
          <w:p w:rsidR="00EA2BA5" w:rsidRPr="00785D74" w:rsidRDefault="00EA2BA5" w:rsidP="00636FA4">
            <w:r w:rsidRPr="00785D74">
              <w:t>Account Manager</w:t>
            </w:r>
          </w:p>
        </w:tc>
        <w:tc>
          <w:tcPr>
            <w:tcW w:w="8363" w:type="dxa"/>
          </w:tcPr>
          <w:p w:rsidR="00EA2BA5" w:rsidRPr="00785D74" w:rsidRDefault="00EA2BA5" w:rsidP="0029252E"/>
        </w:tc>
      </w:tr>
    </w:tbl>
    <w:p w:rsidR="00EA2BA5" w:rsidRPr="00636FA4" w:rsidRDefault="00EA2BA5" w:rsidP="00C13CB7">
      <w:r w:rsidRPr="002F61B4">
        <w:rPr>
          <w:rStyle w:val="GuidanceNote"/>
          <w:b/>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6"/>
        <w:gridCol w:w="1314"/>
        <w:gridCol w:w="3940"/>
        <w:gridCol w:w="1350"/>
        <w:gridCol w:w="586"/>
        <w:gridCol w:w="1594"/>
      </w:tblGrid>
      <w:tr w:rsidR="00EA2BA5" w:rsidRPr="00785D74" w:rsidTr="00636FA4">
        <w:tc>
          <w:tcPr>
            <w:tcW w:w="10490" w:type="dxa"/>
            <w:gridSpan w:val="6"/>
            <w:shd w:val="clear" w:color="auto" w:fill="E6E6E6"/>
          </w:tcPr>
          <w:p w:rsidR="00EA2BA5" w:rsidRPr="00785D74" w:rsidRDefault="00EA2BA5" w:rsidP="00636FA4">
            <w:pPr>
              <w:rPr>
                <w:b/>
              </w:rPr>
            </w:pPr>
            <w:r w:rsidRPr="00785D74">
              <w:rPr>
                <w:b/>
              </w:rPr>
              <w:t xml:space="preserve">1. </w:t>
            </w:r>
            <w:r w:rsidRPr="00785D74">
              <w:rPr>
                <w:b/>
              </w:rPr>
              <w:tab/>
              <w:t>TERM</w:t>
            </w:r>
          </w:p>
        </w:tc>
      </w:tr>
      <w:tr w:rsidR="00EA2BA5" w:rsidRPr="00785D74" w:rsidTr="00F814C2">
        <w:tc>
          <w:tcPr>
            <w:tcW w:w="10490" w:type="dxa"/>
            <w:gridSpan w:val="6"/>
            <w:tcBorders>
              <w:bottom w:val="nil"/>
            </w:tcBorders>
          </w:tcPr>
          <w:p w:rsidR="00EA2BA5" w:rsidRPr="00785D74" w:rsidRDefault="00EA2BA5" w:rsidP="00C75C1E">
            <w:pPr>
              <w:rPr>
                <w:b/>
              </w:rPr>
            </w:pPr>
            <w:r w:rsidRPr="00785D74">
              <w:rPr>
                <w:b/>
              </w:rPr>
              <w:t>1.1</w:t>
            </w:r>
            <w:r w:rsidRPr="00785D74">
              <w:rPr>
                <w:b/>
              </w:rPr>
              <w:tab/>
              <w:t>Commencement Date</w:t>
            </w:r>
          </w:p>
          <w:p w:rsidR="00EA2BA5" w:rsidRPr="00785D74" w:rsidRDefault="00EA2BA5" w:rsidP="00636FA4">
            <w:pPr>
              <w:rPr>
                <w:b/>
              </w:rPr>
            </w:pPr>
            <w:r w:rsidRPr="00785D74">
              <w:t>This Ca</w:t>
            </w:r>
            <w:r>
              <w:t>ll-Off Agreement commences on: 31 January 2015</w:t>
            </w:r>
            <w:r w:rsidRPr="00EE3C6C" w:rsidDel="00FE6572">
              <w:rPr>
                <w:b/>
              </w:rPr>
              <w:t xml:space="preserve"> </w:t>
            </w:r>
          </w:p>
          <w:p w:rsidR="00EA2BA5" w:rsidRPr="00785D74" w:rsidRDefault="00EA2BA5" w:rsidP="00F814C2">
            <w:pPr>
              <w:rPr>
                <w:b/>
              </w:rPr>
            </w:pPr>
            <w:r w:rsidRPr="00785D74">
              <w:rPr>
                <w:b/>
              </w:rPr>
              <w:t>1.2</w:t>
            </w:r>
            <w:r w:rsidRPr="00785D74">
              <w:tab/>
            </w:r>
            <w:r w:rsidRPr="00785D74">
              <w:rPr>
                <w:b/>
              </w:rPr>
              <w:t>Expiry Date</w:t>
            </w:r>
          </w:p>
          <w:p w:rsidR="00EA2BA5" w:rsidRPr="00785D74" w:rsidRDefault="00EA2BA5" w:rsidP="00F814C2">
            <w:r w:rsidRPr="00785D74">
              <w:t>This Call-Off Agreement shall expire on:</w:t>
            </w:r>
          </w:p>
          <w:p w:rsidR="00EA2BA5" w:rsidRPr="00785D74" w:rsidRDefault="00EA2BA5" w:rsidP="00F814C2">
            <w:r>
              <w:t xml:space="preserve">1.2.1 </w:t>
            </w:r>
            <w:r>
              <w:tab/>
            </w:r>
            <w:r>
              <w:rPr>
                <w:rStyle w:val="InfillNote"/>
                <w:shd w:val="clear" w:color="auto" w:fill="FFFFFF"/>
              </w:rPr>
              <w:t>31 January 2016 or</w:t>
            </w:r>
          </w:p>
          <w:p w:rsidR="00EA2BA5" w:rsidRPr="00785D74" w:rsidRDefault="00EA2BA5" w:rsidP="00F814C2">
            <w:pPr>
              <w:rPr>
                <w:b/>
              </w:rPr>
            </w:pPr>
            <w:r w:rsidRPr="00785D74">
              <w:t>1.2.2</w:t>
            </w:r>
            <w:r w:rsidRPr="00785D74">
              <w:tab/>
              <w:t xml:space="preserve"> the second (2) anniversary of the Commencement Date; whichever is the earlier, unless terminated earlier pursuant to Clause CO-9 of the Call-Off Agreement.</w:t>
            </w:r>
            <w:r w:rsidRPr="00785D74">
              <w:rPr>
                <w:b/>
              </w:rPr>
              <w:t xml:space="preserve"> </w:t>
            </w:r>
          </w:p>
          <w:p w:rsidR="00EA2BA5" w:rsidRPr="00785D74" w:rsidRDefault="00EA2BA5" w:rsidP="00F34D81">
            <w:pPr>
              <w:jc w:val="both"/>
            </w:pPr>
            <w:r w:rsidRPr="00785D74">
              <w:rPr>
                <w:b/>
              </w:rPr>
              <w:t>1.3</w:t>
            </w:r>
            <w:r w:rsidRPr="00785D74">
              <w:rPr>
                <w:b/>
              </w:rPr>
              <w:tab/>
              <w:t>Services Requirements</w:t>
            </w:r>
          </w:p>
          <w:p w:rsidR="00EA2BA5" w:rsidRPr="00785D74" w:rsidRDefault="00EA2BA5" w:rsidP="00F34D81">
            <w:pPr>
              <w:jc w:val="both"/>
              <w:rPr>
                <w:lang w:val="en-US"/>
              </w:rPr>
            </w:pPr>
            <w:r w:rsidRPr="00785D74">
              <w:t xml:space="preserve">1.3.1 </w:t>
            </w:r>
            <w:r w:rsidRPr="00785D74">
              <w:tab/>
            </w:r>
            <w:r w:rsidRPr="00785D74">
              <w:rPr>
                <w:lang w:val="en-US"/>
              </w:rPr>
              <w:t xml:space="preserve">This Order is for the G-Cloud Services outlined below. It is acknowledged </w:t>
            </w:r>
            <w:r w:rsidRPr="00785D74">
              <w:t>by the Parties</w:t>
            </w:r>
            <w:r w:rsidRPr="00785D74">
              <w:rPr>
                <w:lang w:val="en-US"/>
              </w:rPr>
              <w:t xml:space="preserve"> that the volume of the G-Cloud Services utilized by Customer may vary from time to time during the course of this Call-Off Agreement, subject always to the terms of the Call-Off Agreement.</w:t>
            </w:r>
          </w:p>
          <w:p w:rsidR="00EA2BA5" w:rsidRPr="00785D74" w:rsidRDefault="00EA2BA5" w:rsidP="000F7433">
            <w:pPr>
              <w:jc w:val="both"/>
              <w:rPr>
                <w:rStyle w:val="GuidanceNote"/>
              </w:rPr>
            </w:pPr>
            <w:r>
              <w:rPr>
                <w:lang w:val="en-US"/>
              </w:rPr>
              <w:t xml:space="preserve">1.3.2 </w:t>
            </w:r>
            <w:r>
              <w:rPr>
                <w:lang w:val="en-US"/>
              </w:rPr>
              <w:tab/>
              <w:t xml:space="preserve">G-Cloud Services </w:t>
            </w:r>
          </w:p>
        </w:tc>
      </w:tr>
      <w:tr w:rsidR="00EA2BA5" w:rsidRPr="00785D74" w:rsidTr="00F814C2">
        <w:tblPrEx>
          <w:tblLook w:val="00A0"/>
        </w:tblPrEx>
        <w:tc>
          <w:tcPr>
            <w:tcW w:w="2145" w:type="dxa"/>
            <w:gridSpan w:val="2"/>
            <w:tcBorders>
              <w:top w:val="nil"/>
              <w:bottom w:val="nil"/>
              <w:right w:val="nil"/>
            </w:tcBorders>
            <w:shd w:val="clear" w:color="auto" w:fill="FFFFFF"/>
          </w:tcPr>
          <w:p w:rsidR="00EA2BA5" w:rsidRPr="00785D74" w:rsidRDefault="00EA2BA5" w:rsidP="00C75C1E">
            <w:pPr>
              <w:ind w:left="60"/>
            </w:pPr>
            <w:r w:rsidRPr="00785D74">
              <w:t xml:space="preserve">1.3.2.1 Lot1 IaaS </w:t>
            </w:r>
          </w:p>
        </w:tc>
        <w:tc>
          <w:tcPr>
            <w:tcW w:w="8345" w:type="dxa"/>
            <w:gridSpan w:val="4"/>
            <w:tcBorders>
              <w:top w:val="nil"/>
              <w:left w:val="nil"/>
              <w:bottom w:val="nil"/>
            </w:tcBorders>
            <w:shd w:val="clear" w:color="auto" w:fill="FFFFFF"/>
          </w:tcPr>
          <w:p w:rsidR="00EA2BA5" w:rsidRPr="00785D74" w:rsidRDefault="00EA2BA5" w:rsidP="00C13CB7">
            <w:r w:rsidRPr="00785D74">
              <w:t>[</w:t>
            </w:r>
            <w:r w:rsidRPr="00EE3C6C">
              <w:rPr>
                <w:rStyle w:val="InfillNote"/>
                <w:shd w:val="clear" w:color="auto" w:fill="FFFFFF"/>
              </w:rPr>
              <w:t>none</w:t>
            </w:r>
            <w:r w:rsidRPr="00785D74">
              <w:t>];</w:t>
            </w:r>
          </w:p>
        </w:tc>
      </w:tr>
      <w:tr w:rsidR="00EA2BA5" w:rsidRPr="00785D74" w:rsidTr="00F814C2">
        <w:tblPrEx>
          <w:tblLook w:val="00A0"/>
        </w:tblPrEx>
        <w:tc>
          <w:tcPr>
            <w:tcW w:w="2145" w:type="dxa"/>
            <w:gridSpan w:val="2"/>
            <w:tcBorders>
              <w:top w:val="nil"/>
              <w:bottom w:val="nil"/>
              <w:right w:val="nil"/>
            </w:tcBorders>
            <w:shd w:val="clear" w:color="auto" w:fill="FFFFFF"/>
          </w:tcPr>
          <w:p w:rsidR="00EA2BA5" w:rsidRPr="00785D74" w:rsidRDefault="00EA2BA5" w:rsidP="00C75C1E">
            <w:pPr>
              <w:ind w:left="60"/>
            </w:pPr>
            <w:r w:rsidRPr="00785D74">
              <w:t>1.3.2.2 Lot 2 PaaS</w:t>
            </w:r>
          </w:p>
        </w:tc>
        <w:tc>
          <w:tcPr>
            <w:tcW w:w="8345" w:type="dxa"/>
            <w:gridSpan w:val="4"/>
            <w:tcBorders>
              <w:top w:val="nil"/>
              <w:left w:val="nil"/>
              <w:bottom w:val="nil"/>
            </w:tcBorders>
            <w:shd w:val="clear" w:color="auto" w:fill="FFFFFF"/>
          </w:tcPr>
          <w:p w:rsidR="00EA2BA5" w:rsidRPr="00785D74" w:rsidRDefault="00EA2BA5" w:rsidP="00C13CB7"/>
        </w:tc>
      </w:tr>
      <w:tr w:rsidR="00EA2BA5" w:rsidTr="008006B7">
        <w:tblPrEx>
          <w:tblLook w:val="00A0"/>
        </w:tblPrEx>
        <w:trPr>
          <w:gridAfter w:val="1"/>
          <w:wAfter w:w="2160" w:type="dxa"/>
          <w:tblHeader/>
        </w:trPr>
        <w:tc>
          <w:tcPr>
            <w:tcW w:w="1101" w:type="dxa"/>
            <w:shd w:val="clear" w:color="auto" w:fill="8DB3E2"/>
          </w:tcPr>
          <w:p w:rsidR="00EA2BA5" w:rsidRPr="008006B7" w:rsidRDefault="00EA2BA5" w:rsidP="00757805">
            <w:r w:rsidRPr="008006B7">
              <w:t>Item</w:t>
            </w:r>
          </w:p>
        </w:tc>
        <w:tc>
          <w:tcPr>
            <w:tcW w:w="4394" w:type="dxa"/>
            <w:gridSpan w:val="2"/>
            <w:shd w:val="clear" w:color="auto" w:fill="8DB3E2"/>
          </w:tcPr>
          <w:p w:rsidR="00EA2BA5" w:rsidRPr="008006B7" w:rsidRDefault="00EA2BA5" w:rsidP="00757805">
            <w:r w:rsidRPr="008006B7">
              <w:t>Description</w:t>
            </w:r>
          </w:p>
        </w:tc>
        <w:tc>
          <w:tcPr>
            <w:tcW w:w="1134" w:type="dxa"/>
            <w:shd w:val="clear" w:color="auto" w:fill="8DB3E2"/>
          </w:tcPr>
          <w:p w:rsidR="00EA2BA5" w:rsidRPr="008006B7" w:rsidRDefault="00EA2BA5" w:rsidP="00757805"/>
        </w:tc>
        <w:tc>
          <w:tcPr>
            <w:tcW w:w="1701" w:type="dxa"/>
            <w:shd w:val="clear" w:color="auto" w:fill="8DB3E2"/>
          </w:tcPr>
          <w:p w:rsidR="00EA2BA5" w:rsidRPr="008006B7" w:rsidRDefault="00EA2BA5" w:rsidP="00757805"/>
        </w:tc>
      </w:tr>
      <w:tr w:rsidR="00EA2BA5" w:rsidTr="008006B7">
        <w:tblPrEx>
          <w:tblLook w:val="00A0"/>
        </w:tblPrEx>
        <w:trPr>
          <w:gridAfter w:val="1"/>
          <w:wAfter w:w="2160" w:type="dxa"/>
        </w:trPr>
        <w:tc>
          <w:tcPr>
            <w:tcW w:w="1101" w:type="dxa"/>
          </w:tcPr>
          <w:p w:rsidR="00EA2BA5" w:rsidRPr="008006B7" w:rsidRDefault="00EA2BA5" w:rsidP="008006B7">
            <w:pPr>
              <w:jc w:val="center"/>
            </w:pPr>
            <w:r w:rsidRPr="008006B7">
              <w:t>1</w:t>
            </w:r>
          </w:p>
        </w:tc>
        <w:tc>
          <w:tcPr>
            <w:tcW w:w="4394" w:type="dxa"/>
            <w:gridSpan w:val="2"/>
          </w:tcPr>
          <w:p w:rsidR="00EA2BA5" w:rsidRPr="008006B7" w:rsidRDefault="00EA2BA5" w:rsidP="00757805">
            <w:r w:rsidRPr="008006B7">
              <w:t>On Boarding</w:t>
            </w:r>
          </w:p>
        </w:tc>
        <w:tc>
          <w:tcPr>
            <w:tcW w:w="1134" w:type="dxa"/>
          </w:tcPr>
          <w:p w:rsidR="00EA2BA5" w:rsidRPr="008006B7" w:rsidRDefault="00EA2BA5" w:rsidP="00757805"/>
        </w:tc>
        <w:tc>
          <w:tcPr>
            <w:tcW w:w="1701" w:type="dxa"/>
          </w:tcPr>
          <w:p w:rsidR="00EA2BA5" w:rsidRPr="008006B7" w:rsidRDefault="00EA2BA5" w:rsidP="00757805"/>
        </w:tc>
      </w:tr>
      <w:tr w:rsidR="00EA2BA5" w:rsidTr="008006B7">
        <w:tblPrEx>
          <w:tblLook w:val="00A0"/>
        </w:tblPrEx>
        <w:trPr>
          <w:gridAfter w:val="1"/>
          <w:wAfter w:w="2160" w:type="dxa"/>
        </w:trPr>
        <w:tc>
          <w:tcPr>
            <w:tcW w:w="1101" w:type="dxa"/>
          </w:tcPr>
          <w:p w:rsidR="00EA2BA5" w:rsidRPr="008006B7" w:rsidRDefault="00EA2BA5" w:rsidP="008006B7">
            <w:pPr>
              <w:jc w:val="center"/>
            </w:pPr>
            <w:r w:rsidRPr="008006B7">
              <w:t>3</w:t>
            </w:r>
          </w:p>
        </w:tc>
        <w:tc>
          <w:tcPr>
            <w:tcW w:w="4394" w:type="dxa"/>
            <w:gridSpan w:val="2"/>
          </w:tcPr>
          <w:p w:rsidR="00EA2BA5" w:rsidRPr="008006B7" w:rsidRDefault="00EA2BA5" w:rsidP="00757805">
            <w:r w:rsidRPr="008006B7">
              <w:t>Support</w:t>
            </w:r>
          </w:p>
        </w:tc>
        <w:tc>
          <w:tcPr>
            <w:tcW w:w="1134" w:type="dxa"/>
          </w:tcPr>
          <w:p w:rsidR="00EA2BA5" w:rsidRPr="008006B7" w:rsidRDefault="00EA2BA5" w:rsidP="00757805"/>
        </w:tc>
        <w:tc>
          <w:tcPr>
            <w:tcW w:w="1701" w:type="dxa"/>
          </w:tcPr>
          <w:p w:rsidR="00EA2BA5" w:rsidRPr="008006B7" w:rsidRDefault="00EA2BA5" w:rsidP="00757805"/>
        </w:tc>
      </w:tr>
      <w:tr w:rsidR="00EA2BA5" w:rsidTr="008006B7">
        <w:tblPrEx>
          <w:tblLook w:val="00A0"/>
        </w:tblPrEx>
        <w:trPr>
          <w:gridAfter w:val="1"/>
          <w:wAfter w:w="2160" w:type="dxa"/>
        </w:trPr>
        <w:tc>
          <w:tcPr>
            <w:tcW w:w="1101" w:type="dxa"/>
          </w:tcPr>
          <w:p w:rsidR="00EA2BA5" w:rsidRPr="008006B7" w:rsidRDefault="00EA2BA5" w:rsidP="008006B7">
            <w:pPr>
              <w:jc w:val="center"/>
            </w:pPr>
            <w:r w:rsidRPr="008006B7">
              <w:t>4</w:t>
            </w:r>
          </w:p>
        </w:tc>
        <w:tc>
          <w:tcPr>
            <w:tcW w:w="4394" w:type="dxa"/>
            <w:gridSpan w:val="2"/>
          </w:tcPr>
          <w:p w:rsidR="00EA2BA5" w:rsidRPr="008006B7" w:rsidRDefault="00EA2BA5" w:rsidP="00757805">
            <w:r w:rsidRPr="008006B7">
              <w:t xml:space="preserve">Hosting </w:t>
            </w:r>
          </w:p>
        </w:tc>
        <w:tc>
          <w:tcPr>
            <w:tcW w:w="1134" w:type="dxa"/>
          </w:tcPr>
          <w:p w:rsidR="00EA2BA5" w:rsidRPr="008006B7" w:rsidRDefault="00EA2BA5" w:rsidP="00757805"/>
        </w:tc>
        <w:tc>
          <w:tcPr>
            <w:tcW w:w="1701" w:type="dxa"/>
          </w:tcPr>
          <w:p w:rsidR="00EA2BA5" w:rsidRPr="008006B7" w:rsidRDefault="00EA2BA5" w:rsidP="00757805"/>
        </w:tc>
      </w:tr>
      <w:tr w:rsidR="00EA2BA5" w:rsidTr="008006B7">
        <w:tblPrEx>
          <w:tblLook w:val="00A0"/>
        </w:tblPrEx>
        <w:trPr>
          <w:gridAfter w:val="1"/>
          <w:wAfter w:w="2160" w:type="dxa"/>
        </w:trPr>
        <w:tc>
          <w:tcPr>
            <w:tcW w:w="1101" w:type="dxa"/>
            <w:shd w:val="clear" w:color="auto" w:fill="C6D9F1"/>
          </w:tcPr>
          <w:p w:rsidR="00EA2BA5" w:rsidRPr="008006B7" w:rsidRDefault="00EA2BA5" w:rsidP="008006B7">
            <w:pPr>
              <w:jc w:val="center"/>
            </w:pPr>
          </w:p>
        </w:tc>
        <w:tc>
          <w:tcPr>
            <w:tcW w:w="4394" w:type="dxa"/>
            <w:gridSpan w:val="2"/>
            <w:shd w:val="clear" w:color="auto" w:fill="C6D9F1"/>
          </w:tcPr>
          <w:p w:rsidR="00EA2BA5" w:rsidRPr="008006B7" w:rsidRDefault="00EA2BA5" w:rsidP="00757805"/>
        </w:tc>
        <w:tc>
          <w:tcPr>
            <w:tcW w:w="1134" w:type="dxa"/>
            <w:shd w:val="clear" w:color="auto" w:fill="C6D9F1"/>
          </w:tcPr>
          <w:p w:rsidR="00EA2BA5" w:rsidRPr="008006B7" w:rsidRDefault="00EA2BA5" w:rsidP="00757805"/>
        </w:tc>
        <w:tc>
          <w:tcPr>
            <w:tcW w:w="1701" w:type="dxa"/>
            <w:shd w:val="clear" w:color="auto" w:fill="C6D9F1"/>
          </w:tcPr>
          <w:p w:rsidR="00EA2BA5" w:rsidRPr="008006B7" w:rsidRDefault="00EA2BA5" w:rsidP="00757805"/>
        </w:tc>
      </w:tr>
      <w:tr w:rsidR="00EA2BA5" w:rsidTr="008006B7">
        <w:tblPrEx>
          <w:tblLook w:val="00A0"/>
        </w:tblPrEx>
        <w:trPr>
          <w:gridAfter w:val="1"/>
          <w:wAfter w:w="2160" w:type="dxa"/>
        </w:trPr>
        <w:tc>
          <w:tcPr>
            <w:tcW w:w="1101" w:type="dxa"/>
            <w:shd w:val="clear" w:color="auto" w:fill="C6D9F1"/>
          </w:tcPr>
          <w:p w:rsidR="00EA2BA5" w:rsidRPr="008006B7" w:rsidRDefault="00EA2BA5" w:rsidP="008006B7">
            <w:pPr>
              <w:jc w:val="center"/>
            </w:pPr>
          </w:p>
        </w:tc>
        <w:tc>
          <w:tcPr>
            <w:tcW w:w="4394" w:type="dxa"/>
            <w:gridSpan w:val="2"/>
            <w:shd w:val="clear" w:color="auto" w:fill="C6D9F1"/>
          </w:tcPr>
          <w:p w:rsidR="00EA2BA5" w:rsidRPr="008006B7" w:rsidRDefault="00EA2BA5" w:rsidP="00757805"/>
        </w:tc>
        <w:tc>
          <w:tcPr>
            <w:tcW w:w="1134" w:type="dxa"/>
            <w:shd w:val="clear" w:color="auto" w:fill="C6D9F1"/>
          </w:tcPr>
          <w:p w:rsidR="00EA2BA5" w:rsidRPr="008006B7" w:rsidRDefault="00EA2BA5" w:rsidP="00E943A3"/>
        </w:tc>
        <w:tc>
          <w:tcPr>
            <w:tcW w:w="1701" w:type="dxa"/>
            <w:shd w:val="clear" w:color="auto" w:fill="C6D9F1"/>
          </w:tcPr>
          <w:p w:rsidR="00EA2BA5" w:rsidRPr="008006B7" w:rsidRDefault="00EA2BA5" w:rsidP="00757805"/>
        </w:tc>
      </w:tr>
      <w:tr w:rsidR="00EA2BA5" w:rsidRPr="00785D74" w:rsidTr="00F814C2">
        <w:tblPrEx>
          <w:tblLook w:val="00A0"/>
        </w:tblPrEx>
        <w:tc>
          <w:tcPr>
            <w:tcW w:w="2145" w:type="dxa"/>
            <w:gridSpan w:val="4"/>
            <w:tcBorders>
              <w:top w:val="nil"/>
              <w:bottom w:val="nil"/>
              <w:right w:val="nil"/>
            </w:tcBorders>
            <w:shd w:val="clear" w:color="auto" w:fill="FFFFFF"/>
          </w:tcPr>
          <w:p w:rsidR="00EA2BA5" w:rsidRDefault="00EA2BA5" w:rsidP="00C75C1E">
            <w:pPr>
              <w:ind w:left="60"/>
            </w:pPr>
          </w:p>
          <w:p w:rsidR="00EA2BA5" w:rsidRPr="00785D74" w:rsidRDefault="00EA2BA5" w:rsidP="00C75C1E">
            <w:pPr>
              <w:ind w:left="60"/>
            </w:pPr>
            <w:r w:rsidRPr="00785D74">
              <w:t>1.3.2.3 Lot 3 SaaS</w:t>
            </w:r>
            <w:r>
              <w:t xml:space="preserve">     </w:t>
            </w:r>
            <w:r w:rsidRPr="00785D74">
              <w:t>[</w:t>
            </w:r>
            <w:r w:rsidRPr="00EE3C6C">
              <w:rPr>
                <w:rStyle w:val="InfillNote"/>
                <w:shd w:val="clear" w:color="auto" w:fill="FFFFFF"/>
              </w:rPr>
              <w:t>none</w:t>
            </w:r>
            <w:r w:rsidRPr="00785D74">
              <w:t>]; and / or</w:t>
            </w:r>
          </w:p>
        </w:tc>
        <w:tc>
          <w:tcPr>
            <w:tcW w:w="8345" w:type="dxa"/>
            <w:gridSpan w:val="2"/>
            <w:tcBorders>
              <w:top w:val="nil"/>
              <w:left w:val="nil"/>
              <w:bottom w:val="nil"/>
            </w:tcBorders>
            <w:shd w:val="clear" w:color="auto" w:fill="FFFFFF"/>
          </w:tcPr>
          <w:p w:rsidR="00EA2BA5" w:rsidRDefault="00EA2BA5" w:rsidP="00C13CB7"/>
          <w:p w:rsidR="00EA2BA5" w:rsidRPr="00785D74" w:rsidRDefault="00EA2BA5" w:rsidP="00C13CB7"/>
        </w:tc>
      </w:tr>
      <w:tr w:rsidR="00EA2BA5" w:rsidRPr="00785D74" w:rsidTr="00F814C2">
        <w:tblPrEx>
          <w:tblLook w:val="00A0"/>
        </w:tblPrEx>
        <w:tc>
          <w:tcPr>
            <w:tcW w:w="2145" w:type="dxa"/>
            <w:gridSpan w:val="4"/>
            <w:tcBorders>
              <w:top w:val="nil"/>
              <w:right w:val="nil"/>
            </w:tcBorders>
            <w:shd w:val="clear" w:color="auto" w:fill="FFFFFF"/>
          </w:tcPr>
          <w:p w:rsidR="00EA2BA5" w:rsidRDefault="00EA2BA5" w:rsidP="00C75C1E">
            <w:pPr>
              <w:ind w:left="60"/>
            </w:pPr>
          </w:p>
          <w:p w:rsidR="00EA2BA5" w:rsidRDefault="00EA2BA5" w:rsidP="00C75C1E">
            <w:pPr>
              <w:ind w:left="60"/>
            </w:pPr>
          </w:p>
          <w:p w:rsidR="00EA2BA5" w:rsidRDefault="00EA2BA5" w:rsidP="00C75C1E">
            <w:pPr>
              <w:ind w:left="60"/>
            </w:pPr>
            <w:r w:rsidRPr="00785D74">
              <w:t>1.3.2.4 Lot 4 Specialist Cloud Services</w:t>
            </w:r>
          </w:p>
          <w:tbl>
            <w:tblPr>
              <w:tblpPr w:leftFromText="180" w:rightFromText="180" w:vertAnchor="text" w:horzAnchor="page" w:tblpX="788" w:tblpY="80"/>
              <w:tblOverlap w:val="never"/>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5"/>
              <w:gridCol w:w="4394"/>
              <w:gridCol w:w="1134"/>
              <w:gridCol w:w="1701"/>
            </w:tblGrid>
            <w:tr w:rsidR="00EA2BA5" w:rsidTr="008006B7">
              <w:trPr>
                <w:tblHeader/>
              </w:trPr>
              <w:tc>
                <w:tcPr>
                  <w:tcW w:w="855"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E943A3">
                  <w:r w:rsidRPr="008006B7">
                    <w:t>Item</w:t>
                  </w:r>
                </w:p>
              </w:tc>
              <w:tc>
                <w:tcPr>
                  <w:tcW w:w="4394"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E943A3">
                  <w:r w:rsidRPr="008006B7">
                    <w:t>Description</w:t>
                  </w:r>
                </w:p>
              </w:tc>
              <w:tc>
                <w:tcPr>
                  <w:tcW w:w="1134"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E943A3">
                  <w:r w:rsidRPr="008006B7">
                    <w:t>Costs</w:t>
                  </w:r>
                </w:p>
              </w:tc>
              <w:tc>
                <w:tcPr>
                  <w:tcW w:w="1701"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E943A3">
                  <w:r w:rsidRPr="008006B7">
                    <w:t>Payable</w:t>
                  </w:r>
                </w:p>
              </w:tc>
            </w:tr>
            <w:tr w:rsidR="00EA2BA5" w:rsidTr="008006B7">
              <w:trPr>
                <w:trHeight w:val="521"/>
              </w:trPr>
              <w:tc>
                <w:tcPr>
                  <w:tcW w:w="855" w:type="dxa"/>
                  <w:tcBorders>
                    <w:top w:val="single" w:sz="4" w:space="0" w:color="auto"/>
                    <w:left w:val="single" w:sz="4" w:space="0" w:color="auto"/>
                    <w:bottom w:val="single" w:sz="4" w:space="0" w:color="auto"/>
                    <w:right w:val="single" w:sz="4" w:space="0" w:color="auto"/>
                  </w:tcBorders>
                </w:tcPr>
                <w:p w:rsidR="00EA2BA5" w:rsidRPr="008006B7" w:rsidRDefault="00EA2BA5" w:rsidP="008006B7">
                  <w:pPr>
                    <w:jc w:val="center"/>
                  </w:pPr>
                  <w:r w:rsidRPr="008006B7">
                    <w:t>2</w:t>
                  </w:r>
                </w:p>
              </w:tc>
              <w:tc>
                <w:tcPr>
                  <w:tcW w:w="4394" w:type="dxa"/>
                  <w:tcBorders>
                    <w:top w:val="single" w:sz="4" w:space="0" w:color="auto"/>
                    <w:left w:val="single" w:sz="4" w:space="0" w:color="auto"/>
                    <w:bottom w:val="single" w:sz="4" w:space="0" w:color="auto"/>
                    <w:right w:val="single" w:sz="4" w:space="0" w:color="auto"/>
                  </w:tcBorders>
                </w:tcPr>
                <w:p w:rsidR="00EA2BA5" w:rsidRPr="008006B7" w:rsidRDefault="00EA2BA5" w:rsidP="00E943A3">
                  <w:r w:rsidRPr="008006B7">
                    <w:t>Secure Data Management and Production Operation</w:t>
                  </w:r>
                </w:p>
              </w:tc>
              <w:tc>
                <w:tcPr>
                  <w:tcW w:w="1134" w:type="dxa"/>
                  <w:tcBorders>
                    <w:top w:val="single" w:sz="4" w:space="0" w:color="auto"/>
                    <w:left w:val="single" w:sz="4" w:space="0" w:color="auto"/>
                    <w:bottom w:val="single" w:sz="4" w:space="0" w:color="auto"/>
                    <w:right w:val="single" w:sz="4" w:space="0" w:color="auto"/>
                  </w:tcBorders>
                </w:tcPr>
                <w:p w:rsidR="00EA2BA5" w:rsidRPr="008006B7" w:rsidRDefault="00EA2BA5" w:rsidP="00E943A3"/>
              </w:tc>
              <w:tc>
                <w:tcPr>
                  <w:tcW w:w="1701" w:type="dxa"/>
                  <w:tcBorders>
                    <w:top w:val="single" w:sz="4" w:space="0" w:color="auto"/>
                    <w:left w:val="single" w:sz="4" w:space="0" w:color="auto"/>
                    <w:bottom w:val="single" w:sz="4" w:space="0" w:color="auto"/>
                    <w:right w:val="single" w:sz="4" w:space="0" w:color="auto"/>
                  </w:tcBorders>
                </w:tcPr>
                <w:p w:rsidR="00EA2BA5" w:rsidRPr="008006B7" w:rsidRDefault="00EA2BA5" w:rsidP="00E943A3"/>
              </w:tc>
            </w:tr>
          </w:tbl>
          <w:p w:rsidR="00EA2BA5" w:rsidRDefault="00EA2BA5" w:rsidP="00C75C1E">
            <w:pPr>
              <w:ind w:left="60"/>
            </w:pPr>
          </w:p>
          <w:p w:rsidR="00EA2BA5" w:rsidRDefault="00EA2BA5" w:rsidP="00C75C1E">
            <w:pPr>
              <w:ind w:left="60"/>
            </w:pPr>
          </w:p>
          <w:p w:rsidR="00EA2BA5" w:rsidRPr="00785D74" w:rsidRDefault="00EA2BA5" w:rsidP="00C75C1E">
            <w:pPr>
              <w:ind w:left="60"/>
            </w:pPr>
            <w:r w:rsidRPr="00785D74">
              <w:t>1.3.2.5 G-Cloud Additional Services</w:t>
            </w:r>
          </w:p>
        </w:tc>
        <w:tc>
          <w:tcPr>
            <w:tcW w:w="8345" w:type="dxa"/>
            <w:gridSpan w:val="2"/>
            <w:tcBorders>
              <w:top w:val="nil"/>
              <w:left w:val="nil"/>
            </w:tcBorders>
            <w:shd w:val="clear" w:color="auto" w:fill="FFFFFF"/>
          </w:tcPr>
          <w:p w:rsidR="00EA2BA5" w:rsidRPr="00785D74" w:rsidRDefault="00EA2BA5" w:rsidP="00C75C1E"/>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C75C1E">
        <w:tc>
          <w:tcPr>
            <w:tcW w:w="10490" w:type="dxa"/>
            <w:shd w:val="clear" w:color="auto" w:fill="E6E6E6"/>
          </w:tcPr>
          <w:p w:rsidR="00EA2BA5" w:rsidRPr="00785D74" w:rsidRDefault="00EA2BA5" w:rsidP="00636FA4">
            <w:pPr>
              <w:rPr>
                <w:b/>
              </w:rPr>
            </w:pPr>
            <w:r w:rsidRPr="00785D74">
              <w:rPr>
                <w:b/>
              </w:rPr>
              <w:t xml:space="preserve">2. </w:t>
            </w:r>
            <w:r w:rsidRPr="00785D74">
              <w:rPr>
                <w:b/>
              </w:rPr>
              <w:tab/>
              <w:t>PRINCIPAL LOCATIONS</w:t>
            </w:r>
          </w:p>
        </w:tc>
      </w:tr>
      <w:tr w:rsidR="00EA2BA5" w:rsidRPr="00785D74" w:rsidTr="00C75C1E">
        <w:tc>
          <w:tcPr>
            <w:tcW w:w="10490" w:type="dxa"/>
          </w:tcPr>
          <w:p w:rsidR="00EA2BA5" w:rsidRDefault="00EA2BA5" w:rsidP="00636FA4">
            <w:pPr>
              <w:rPr>
                <w:b/>
              </w:rPr>
            </w:pPr>
            <w:r w:rsidRPr="00785D74">
              <w:rPr>
                <w:b/>
              </w:rPr>
              <w:t xml:space="preserve">2.1 </w:t>
            </w:r>
            <w:r w:rsidRPr="00785D74">
              <w:rPr>
                <w:b/>
              </w:rPr>
              <w:tab/>
              <w:t>Principal locations where the services are being performed</w:t>
            </w:r>
          </w:p>
          <w:p w:rsidR="00EA2BA5" w:rsidRPr="006D3808" w:rsidRDefault="00EA2BA5" w:rsidP="00EE3C6C">
            <w:pPr>
              <w:shd w:val="clear" w:color="auto" w:fill="FFFFFF"/>
            </w:pPr>
            <w:r w:rsidRPr="00785D74">
              <w:rPr>
                <w:b/>
              </w:rPr>
              <w:t xml:space="preserve"> </w:t>
            </w:r>
          </w:p>
        </w:tc>
      </w:tr>
    </w:tbl>
    <w:p w:rsidR="00EA2BA5" w:rsidRDefault="00EA2BA5" w:rsidP="00636FA4"/>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C75C1E">
        <w:tc>
          <w:tcPr>
            <w:tcW w:w="10490" w:type="dxa"/>
            <w:shd w:val="pct15" w:color="auto" w:fill="auto"/>
          </w:tcPr>
          <w:p w:rsidR="00EA2BA5" w:rsidRPr="00785D74" w:rsidRDefault="00EA2BA5" w:rsidP="00636FA4">
            <w:pPr>
              <w:rPr>
                <w:b/>
              </w:rPr>
            </w:pPr>
            <w:r w:rsidRPr="00785D74">
              <w:rPr>
                <w:b/>
              </w:rPr>
              <w:t xml:space="preserve">3. </w:t>
            </w:r>
            <w:r w:rsidRPr="00785D74">
              <w:rPr>
                <w:b/>
              </w:rPr>
              <w:tab/>
              <w:t xml:space="preserve">STANDARDS </w:t>
            </w:r>
          </w:p>
        </w:tc>
      </w:tr>
      <w:tr w:rsidR="00EA2BA5" w:rsidRPr="00785D74" w:rsidTr="00C75C1E">
        <w:tc>
          <w:tcPr>
            <w:tcW w:w="10490" w:type="dxa"/>
          </w:tcPr>
          <w:p w:rsidR="00EA2BA5" w:rsidRPr="00785D74" w:rsidRDefault="00EA2BA5" w:rsidP="00636FA4">
            <w:pPr>
              <w:rPr>
                <w:b/>
              </w:rPr>
            </w:pPr>
            <w:r w:rsidRPr="00785D74">
              <w:rPr>
                <w:b/>
              </w:rPr>
              <w:t xml:space="preserve">3.1 </w:t>
            </w:r>
            <w:r w:rsidRPr="00785D74">
              <w:rPr>
                <w:b/>
              </w:rPr>
              <w:tab/>
              <w:t>Quality Standards</w:t>
            </w:r>
          </w:p>
          <w:p w:rsidR="00EA2BA5" w:rsidRDefault="00EA2BA5" w:rsidP="00D55EF4">
            <w:pPr>
              <w:spacing w:after="120"/>
            </w:pPr>
            <w:r w:rsidRPr="00EE3C6C">
              <w:t>Prince2 Project Management.</w:t>
            </w:r>
          </w:p>
          <w:p w:rsidR="00EA2BA5" w:rsidRPr="00555584" w:rsidRDefault="00EA2BA5" w:rsidP="00555584">
            <w:pPr>
              <w:shd w:val="clear" w:color="auto" w:fill="FFFFFF"/>
              <w:spacing w:after="120"/>
            </w:pPr>
            <w:r w:rsidRPr="00555584">
              <w:t xml:space="preserve">ITIL Incident Management </w:t>
            </w:r>
          </w:p>
          <w:p w:rsidR="00EA2BA5" w:rsidRPr="00555584" w:rsidRDefault="00EA2BA5" w:rsidP="00555584">
            <w:pPr>
              <w:shd w:val="clear" w:color="auto" w:fill="FFFFFF"/>
              <w:spacing w:after="120"/>
            </w:pPr>
            <w:r w:rsidRPr="00555584">
              <w:t>ISO27001 ISMS Certification Standards (ISO27002)</w:t>
            </w:r>
          </w:p>
          <w:p w:rsidR="00EA2BA5" w:rsidRPr="00555584" w:rsidRDefault="00EA2BA5" w:rsidP="00555584">
            <w:pPr>
              <w:shd w:val="clear" w:color="auto" w:fill="FFFFFF"/>
              <w:spacing w:after="120"/>
            </w:pPr>
            <w:r w:rsidRPr="00555584">
              <w:t>MoJ Information Assurance Accreditation Standards</w:t>
            </w:r>
          </w:p>
          <w:p w:rsidR="00EA2BA5" w:rsidRDefault="00EA2BA5" w:rsidP="00636FA4">
            <w:pPr>
              <w:rPr>
                <w:b/>
              </w:rPr>
            </w:pPr>
            <w:r w:rsidRPr="003E7EE8">
              <w:rPr>
                <w:b/>
              </w:rPr>
              <w:t>See proposal i2N Proposal for IAPS Development and Support v4.docx which details SLAs, Incident Management and MI escalation.</w:t>
            </w:r>
          </w:p>
          <w:p w:rsidR="00EA2BA5" w:rsidRPr="00785D74" w:rsidRDefault="00EA2BA5" w:rsidP="00636FA4">
            <w:pPr>
              <w:rPr>
                <w:b/>
              </w:rPr>
            </w:pPr>
            <w:r w:rsidRPr="00785D74">
              <w:rPr>
                <w:b/>
              </w:rPr>
              <w:t xml:space="preserve">3.2 </w:t>
            </w:r>
            <w:r w:rsidRPr="00785D74">
              <w:rPr>
                <w:b/>
              </w:rPr>
              <w:tab/>
              <w:t>Technical Standards</w:t>
            </w:r>
          </w:p>
          <w:p w:rsidR="00EA2BA5" w:rsidRPr="00D55EF4" w:rsidRDefault="00EA2BA5" w:rsidP="00181AFE">
            <w:r w:rsidRPr="00555584">
              <w:rPr>
                <w:rStyle w:val="InfillNote"/>
                <w:shd w:val="clear" w:color="auto" w:fill="auto"/>
              </w:rPr>
              <w:t>See i2N Software Development Testing Standards (SPG042P) – available on request</w:t>
            </w:r>
            <w:r w:rsidRPr="00555584">
              <w:t>.</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EA2BA5" w:rsidRPr="00785D74" w:rsidTr="00C75C1E">
        <w:tc>
          <w:tcPr>
            <w:tcW w:w="10490" w:type="dxa"/>
            <w:shd w:val="clear" w:color="auto" w:fill="E6E6E6"/>
          </w:tcPr>
          <w:p w:rsidR="00EA2BA5" w:rsidRPr="00785D74" w:rsidRDefault="00EA2BA5" w:rsidP="00636FA4">
            <w:pPr>
              <w:rPr>
                <w:b/>
              </w:rPr>
            </w:pPr>
            <w:r w:rsidRPr="00785D74">
              <w:rPr>
                <w:b/>
              </w:rPr>
              <w:t>4.</w:t>
            </w:r>
            <w:r w:rsidRPr="00785D74">
              <w:rPr>
                <w:b/>
              </w:rPr>
              <w:tab/>
              <w:t>ONBOARDING</w:t>
            </w:r>
          </w:p>
        </w:tc>
      </w:tr>
      <w:tr w:rsidR="00EA2BA5" w:rsidRPr="00785D74" w:rsidTr="00C75C1E">
        <w:trPr>
          <w:trHeight w:val="1542"/>
        </w:trPr>
        <w:tc>
          <w:tcPr>
            <w:tcW w:w="10490" w:type="dxa"/>
          </w:tcPr>
          <w:p w:rsidR="00EA2BA5" w:rsidRPr="00785D74" w:rsidRDefault="00EA2BA5" w:rsidP="00636FA4">
            <w:pPr>
              <w:rPr>
                <w:b/>
              </w:rPr>
            </w:pPr>
            <w:r w:rsidRPr="00785D74">
              <w:rPr>
                <w:b/>
              </w:rPr>
              <w:t xml:space="preserve">4.1 </w:t>
            </w:r>
            <w:r w:rsidRPr="00785D74">
              <w:rPr>
                <w:b/>
              </w:rPr>
              <w:tab/>
              <w:t>On-boarding</w:t>
            </w:r>
          </w:p>
          <w:p w:rsidR="00EA2BA5" w:rsidRDefault="00EA2BA5" w:rsidP="00E943A3">
            <w:r w:rsidRPr="00C9459E">
              <w:rPr>
                <w:b/>
              </w:rPr>
              <w:t>On-Boarding:</w:t>
            </w:r>
            <w:r>
              <w:t xml:space="preserve">  On boarding consists of building and commissioning two environments in the air-gapped network; each month there are two data-cuts which are loaded into alternative networks so that one network can hold data for users whilst the other network is processing.</w:t>
            </w:r>
          </w:p>
          <w:p w:rsidR="00EA2BA5" w:rsidRDefault="00EA2BA5" w:rsidP="00E943A3"/>
          <w:p w:rsidR="00EA2BA5" w:rsidRDefault="00EA2BA5" w:rsidP="00E943A3">
            <w:pPr>
              <w:pStyle w:val="ListParagraph"/>
              <w:numPr>
                <w:ilvl w:val="0"/>
                <w:numId w:val="82"/>
              </w:numPr>
              <w:spacing w:after="0" w:line="240" w:lineRule="auto"/>
              <w:ind w:left="993"/>
              <w:contextualSpacing w:val="0"/>
            </w:pPr>
            <w:r>
              <w:t>Set up and configure operating systems and build virtual network.</w:t>
            </w:r>
          </w:p>
          <w:p w:rsidR="00EA2BA5" w:rsidRDefault="00EA2BA5" w:rsidP="00E943A3">
            <w:pPr>
              <w:pStyle w:val="ListParagraph"/>
              <w:numPr>
                <w:ilvl w:val="0"/>
                <w:numId w:val="82"/>
              </w:numPr>
              <w:spacing w:after="0" w:line="240" w:lineRule="auto"/>
              <w:ind w:left="993"/>
              <w:contextualSpacing w:val="0"/>
            </w:pPr>
            <w:r>
              <w:t>Build infrastructure server for domain controller, backup server, WSUs server, Anti-virus server, Nessus scanning servers, file server</w:t>
            </w:r>
          </w:p>
          <w:p w:rsidR="00EA2BA5" w:rsidRDefault="00EA2BA5" w:rsidP="00E943A3">
            <w:pPr>
              <w:pStyle w:val="ListParagraph"/>
              <w:numPr>
                <w:ilvl w:val="0"/>
                <w:numId w:val="82"/>
              </w:numPr>
              <w:spacing w:after="0" w:line="240" w:lineRule="auto"/>
              <w:ind w:left="993"/>
              <w:contextualSpacing w:val="0"/>
            </w:pPr>
            <w:r>
              <w:t>Build application servers: Oracle server configured to Steria build, ETL server representing Steria end of ETL process, SQL server for staging and reporting database, ETL interface server, Business Objects server,</w:t>
            </w:r>
          </w:p>
          <w:p w:rsidR="00EA2BA5" w:rsidRDefault="00EA2BA5" w:rsidP="00E943A3">
            <w:pPr>
              <w:pStyle w:val="ListParagraph"/>
              <w:numPr>
                <w:ilvl w:val="0"/>
                <w:numId w:val="82"/>
              </w:numPr>
              <w:spacing w:after="0" w:line="240" w:lineRule="auto"/>
              <w:ind w:left="993"/>
              <w:contextualSpacing w:val="0"/>
            </w:pPr>
            <w:r>
              <w:t>Set up users and group for Active Directory</w:t>
            </w:r>
          </w:p>
          <w:p w:rsidR="00EA2BA5" w:rsidRDefault="00EA2BA5" w:rsidP="00E943A3">
            <w:pPr>
              <w:pStyle w:val="ListParagraph"/>
              <w:numPr>
                <w:ilvl w:val="0"/>
                <w:numId w:val="82"/>
              </w:numPr>
              <w:spacing w:after="0" w:line="240" w:lineRule="auto"/>
              <w:ind w:left="993"/>
              <w:contextualSpacing w:val="0"/>
            </w:pPr>
            <w:r>
              <w:t>Configure Active Directory integration from SQL server</w:t>
            </w:r>
          </w:p>
          <w:p w:rsidR="00EA2BA5" w:rsidRDefault="00EA2BA5" w:rsidP="00E943A3">
            <w:pPr>
              <w:pStyle w:val="ListParagraph"/>
              <w:numPr>
                <w:ilvl w:val="0"/>
                <w:numId w:val="82"/>
              </w:numPr>
              <w:spacing w:after="0" w:line="240" w:lineRule="auto"/>
              <w:ind w:left="993"/>
              <w:contextualSpacing w:val="0"/>
            </w:pPr>
            <w:r>
              <w:t>Install business Objects Universe and standard reports as per requirement</w:t>
            </w:r>
          </w:p>
          <w:p w:rsidR="00EA2BA5" w:rsidRDefault="00EA2BA5" w:rsidP="00E943A3">
            <w:pPr>
              <w:pStyle w:val="ListParagraph"/>
              <w:numPr>
                <w:ilvl w:val="0"/>
                <w:numId w:val="82"/>
              </w:numPr>
              <w:spacing w:after="0" w:line="240" w:lineRule="auto"/>
              <w:ind w:left="993"/>
              <w:contextualSpacing w:val="0"/>
            </w:pPr>
            <w:r>
              <w:t>Clear down existing environment</w:t>
            </w:r>
          </w:p>
          <w:p w:rsidR="00EA2BA5" w:rsidRDefault="00EA2BA5" w:rsidP="00E943A3">
            <w:pPr>
              <w:pStyle w:val="ListParagraph"/>
              <w:numPr>
                <w:ilvl w:val="0"/>
                <w:numId w:val="82"/>
              </w:numPr>
              <w:spacing w:after="0" w:line="240" w:lineRule="auto"/>
              <w:ind w:left="993"/>
              <w:contextualSpacing w:val="0"/>
            </w:pPr>
            <w:r>
              <w:t>Set up isolated internet server with restricted connection to specific IPS for WSUS and anti-virus update</w:t>
            </w:r>
          </w:p>
          <w:p w:rsidR="00EA2BA5" w:rsidRDefault="00EA2BA5" w:rsidP="00E943A3">
            <w:pPr>
              <w:pStyle w:val="ListParagraph"/>
              <w:numPr>
                <w:ilvl w:val="0"/>
                <w:numId w:val="82"/>
              </w:numPr>
              <w:spacing w:after="0" w:line="240" w:lineRule="auto"/>
              <w:ind w:left="993"/>
              <w:contextualSpacing w:val="0"/>
            </w:pPr>
            <w:r>
              <w:t xml:space="preserve">Download the latest WSUS updates, Nessus updates and anti-virus definitions and export onto secure media </w:t>
            </w:r>
          </w:p>
          <w:p w:rsidR="00EA2BA5" w:rsidRDefault="00EA2BA5" w:rsidP="00E943A3">
            <w:pPr>
              <w:pStyle w:val="ListParagraph"/>
              <w:numPr>
                <w:ilvl w:val="0"/>
                <w:numId w:val="82"/>
              </w:numPr>
              <w:spacing w:after="0" w:line="240" w:lineRule="auto"/>
              <w:ind w:left="993"/>
              <w:contextualSpacing w:val="0"/>
            </w:pPr>
            <w:r>
              <w:t>Import from secure media into air-gapped network and apply latest windows, SQL server, Oracle and Business Object patches by export from internet server. Monitor successful updates across all virtual machines re-booting as required</w:t>
            </w:r>
          </w:p>
          <w:p w:rsidR="00EA2BA5" w:rsidRDefault="00EA2BA5" w:rsidP="00E943A3">
            <w:pPr>
              <w:pStyle w:val="ListParagraph"/>
              <w:numPr>
                <w:ilvl w:val="0"/>
                <w:numId w:val="82"/>
              </w:numPr>
              <w:spacing w:after="0" w:line="240" w:lineRule="auto"/>
              <w:ind w:left="993"/>
              <w:contextualSpacing w:val="0"/>
            </w:pPr>
            <w:r>
              <w:t>Run Nessus scan and resolve any outstanding vulnerabilities</w:t>
            </w:r>
          </w:p>
          <w:p w:rsidR="00EA2BA5" w:rsidRDefault="00EA2BA5" w:rsidP="00E943A3">
            <w:pPr>
              <w:pStyle w:val="ListParagraph"/>
              <w:numPr>
                <w:ilvl w:val="0"/>
                <w:numId w:val="82"/>
              </w:numPr>
              <w:spacing w:after="0" w:line="240" w:lineRule="auto"/>
              <w:ind w:left="993"/>
              <w:contextualSpacing w:val="0"/>
            </w:pPr>
            <w:r>
              <w:t>Import initial data extract into Oracle from November data cut</w:t>
            </w:r>
          </w:p>
          <w:p w:rsidR="00EA2BA5" w:rsidRDefault="00EA2BA5" w:rsidP="00E943A3">
            <w:pPr>
              <w:pStyle w:val="ListParagraph"/>
              <w:numPr>
                <w:ilvl w:val="0"/>
                <w:numId w:val="82"/>
              </w:numPr>
              <w:spacing w:after="0" w:line="240" w:lineRule="auto"/>
              <w:ind w:left="993"/>
              <w:contextualSpacing w:val="0"/>
            </w:pPr>
            <w:r>
              <w:t>Run historical data migration utility to populate the SQL server database</w:t>
            </w:r>
          </w:p>
          <w:p w:rsidR="00EA2BA5" w:rsidRDefault="00EA2BA5" w:rsidP="00E943A3">
            <w:pPr>
              <w:pStyle w:val="ListParagraph"/>
              <w:numPr>
                <w:ilvl w:val="0"/>
                <w:numId w:val="82"/>
              </w:numPr>
              <w:spacing w:after="0" w:line="240" w:lineRule="auto"/>
              <w:ind w:left="993"/>
              <w:contextualSpacing w:val="0"/>
            </w:pPr>
            <w:r>
              <w:t>Prime interface run reporting and verify and verify environment, resolve any issues</w:t>
            </w:r>
          </w:p>
          <w:p w:rsidR="00EA2BA5" w:rsidRDefault="00EA2BA5" w:rsidP="00E943A3">
            <w:pPr>
              <w:pStyle w:val="ListParagraph"/>
              <w:numPr>
                <w:ilvl w:val="0"/>
                <w:numId w:val="82"/>
              </w:numPr>
              <w:spacing w:after="0" w:line="240" w:lineRule="auto"/>
              <w:ind w:left="993"/>
              <w:contextualSpacing w:val="0"/>
            </w:pPr>
          </w:p>
          <w:p w:rsidR="00EA2BA5" w:rsidRPr="00534DAC" w:rsidRDefault="00EA2BA5" w:rsidP="00534DAC">
            <w:r>
              <w:t>On Boarding will be charged at £50,000 payable on commissioning</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2F4326">
        <w:tc>
          <w:tcPr>
            <w:tcW w:w="10490" w:type="dxa"/>
            <w:shd w:val="clear" w:color="auto" w:fill="E6E6E6"/>
          </w:tcPr>
          <w:p w:rsidR="00EA2BA5" w:rsidRPr="00785D74" w:rsidRDefault="00EA2BA5" w:rsidP="00636FA4">
            <w:pPr>
              <w:rPr>
                <w:b/>
              </w:rPr>
            </w:pPr>
            <w:r w:rsidRPr="00785D74">
              <w:rPr>
                <w:b/>
              </w:rPr>
              <w:t xml:space="preserve">5. </w:t>
            </w:r>
            <w:r w:rsidRPr="00785D74">
              <w:rPr>
                <w:b/>
              </w:rPr>
              <w:tab/>
              <w:t>CUSTOMER RESPONSIBILITIES</w:t>
            </w:r>
          </w:p>
        </w:tc>
      </w:tr>
      <w:tr w:rsidR="00EA2BA5" w:rsidRPr="00785D74" w:rsidTr="002F4326">
        <w:tc>
          <w:tcPr>
            <w:tcW w:w="10490" w:type="dxa"/>
          </w:tcPr>
          <w:p w:rsidR="00EA2BA5" w:rsidRPr="00785D74" w:rsidRDefault="00EA2BA5" w:rsidP="00636FA4">
            <w:pPr>
              <w:rPr>
                <w:b/>
              </w:rPr>
            </w:pPr>
            <w:r w:rsidRPr="00785D74">
              <w:rPr>
                <w:b/>
              </w:rPr>
              <w:t xml:space="preserve">5.1 </w:t>
            </w:r>
            <w:r w:rsidRPr="00785D74">
              <w:rPr>
                <w:b/>
              </w:rPr>
              <w:tab/>
              <w:t>Customer’s Responsibilities</w:t>
            </w:r>
          </w:p>
          <w:p w:rsidR="00EA2BA5" w:rsidRPr="00555584" w:rsidRDefault="00EA2BA5" w:rsidP="00534DAC">
            <w:pPr>
              <w:pStyle w:val="ListParagraph"/>
              <w:spacing w:before="120" w:after="0" w:line="240" w:lineRule="auto"/>
              <w:ind w:left="360"/>
              <w:contextualSpacing w:val="0"/>
              <w:jc w:val="both"/>
            </w:pPr>
            <w:r w:rsidRPr="00785D74">
              <w:t xml:space="preserve"> </w:t>
            </w:r>
            <w:r w:rsidRPr="00555584">
              <w:t>Management of third party deliverables and dependency availabilities as follows:</w:t>
            </w:r>
          </w:p>
          <w:p w:rsidR="00EA2BA5" w:rsidRDefault="00EA2BA5" w:rsidP="00763C63">
            <w:pPr>
              <w:pStyle w:val="ListParagraph"/>
              <w:numPr>
                <w:ilvl w:val="0"/>
                <w:numId w:val="78"/>
              </w:numPr>
              <w:spacing w:before="120" w:after="0" w:line="240" w:lineRule="auto"/>
              <w:jc w:val="both"/>
            </w:pPr>
            <w:r>
              <w:t>Data cuts are received from SopraSteria according the agreed timescales</w:t>
            </w:r>
          </w:p>
          <w:p w:rsidR="00EA2BA5" w:rsidRDefault="00EA2BA5" w:rsidP="00763C63">
            <w:pPr>
              <w:pStyle w:val="ListParagraph"/>
              <w:numPr>
                <w:ilvl w:val="0"/>
                <w:numId w:val="78"/>
              </w:numPr>
              <w:spacing w:before="120" w:after="0" w:line="240" w:lineRule="auto"/>
              <w:jc w:val="both"/>
            </w:pPr>
            <w:r>
              <w:t>Data cuts provided by SopraSteria are usable, uncorrupted, complete and accurate</w:t>
            </w:r>
          </w:p>
          <w:p w:rsidR="00EA2BA5" w:rsidRPr="00763C63" w:rsidRDefault="00EA2BA5" w:rsidP="00763C63">
            <w:pPr>
              <w:pStyle w:val="ListParagraph"/>
              <w:numPr>
                <w:ilvl w:val="0"/>
                <w:numId w:val="78"/>
              </w:numPr>
              <w:spacing w:before="120" w:after="0" w:line="240" w:lineRule="auto"/>
              <w:jc w:val="both"/>
            </w:pPr>
            <w:r>
              <w:t>Data in Transit form agreed to cover the end-to-end movement of data for the duration of the solution being in place.</w:t>
            </w:r>
          </w:p>
          <w:p w:rsidR="00EA2BA5" w:rsidRPr="00785D74" w:rsidRDefault="00EA2BA5" w:rsidP="00F814C2">
            <w:pPr>
              <w:rPr>
                <w:b/>
              </w:rPr>
            </w:pPr>
            <w:r w:rsidRPr="00785D74">
              <w:rPr>
                <w:b/>
              </w:rPr>
              <w:t xml:space="preserve">5.2 </w:t>
            </w:r>
            <w:r w:rsidRPr="00785D74">
              <w:rPr>
                <w:b/>
              </w:rPr>
              <w:tab/>
              <w:t>Customer’s equipment</w:t>
            </w:r>
          </w:p>
          <w:p w:rsidR="00EA2BA5" w:rsidRPr="00057FE1" w:rsidRDefault="00EA2BA5" w:rsidP="009F4B0B">
            <w:r>
              <w:t xml:space="preserve"> </w:t>
            </w:r>
            <w:r w:rsidRPr="00555584">
              <w:t>IAPS</w:t>
            </w:r>
            <w:r w:rsidRPr="00EE3C6C">
              <w:rPr>
                <w:shd w:val="clear" w:color="auto" w:fill="FFFFFF"/>
              </w:rPr>
              <w:t xml:space="preserve"> </w:t>
            </w:r>
            <w:r w:rsidRPr="00EE3C6C">
              <w:rPr>
                <w:rStyle w:val="InfillNote"/>
                <w:shd w:val="clear" w:color="auto" w:fill="FFFFFF"/>
              </w:rPr>
              <w:t>Hosting environment (</w:t>
            </w:r>
            <w:r>
              <w:rPr>
                <w:rStyle w:val="InfillNote"/>
                <w:shd w:val="clear" w:color="auto" w:fill="FFFFFF"/>
              </w:rPr>
              <w:t>Sopra</w:t>
            </w:r>
            <w:r w:rsidRPr="00EE3C6C">
              <w:rPr>
                <w:rStyle w:val="InfillNote"/>
                <w:shd w:val="clear" w:color="auto" w:fill="FFFFFF"/>
              </w:rPr>
              <w:t>Steria OMNI environment)</w:t>
            </w:r>
            <w:r>
              <w:rPr>
                <w:rStyle w:val="InfillNote"/>
                <w:shd w:val="clear" w:color="auto" w:fill="FFFFFF"/>
              </w:rPr>
              <w:t xml:space="preserve"> for provision of data-cuts</w:t>
            </w:r>
            <w:r w:rsidRPr="00EE3C6C">
              <w:rPr>
                <w:shd w:val="clear" w:color="auto" w:fill="FFFFFF"/>
              </w:rPr>
              <w:t>.</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F814C2">
        <w:tc>
          <w:tcPr>
            <w:tcW w:w="10490" w:type="dxa"/>
            <w:shd w:val="clear" w:color="auto" w:fill="E6E6E6"/>
          </w:tcPr>
          <w:p w:rsidR="00EA2BA5" w:rsidRPr="00785D74" w:rsidRDefault="00EA2BA5" w:rsidP="00636FA4">
            <w:pPr>
              <w:rPr>
                <w:b/>
              </w:rPr>
            </w:pPr>
            <w:r w:rsidRPr="00785D74">
              <w:rPr>
                <w:b/>
              </w:rPr>
              <w:t xml:space="preserve">6. </w:t>
            </w:r>
            <w:r w:rsidRPr="00785D74">
              <w:rPr>
                <w:b/>
              </w:rPr>
              <w:tab/>
              <w:t>PAYMENT</w:t>
            </w:r>
          </w:p>
        </w:tc>
      </w:tr>
      <w:tr w:rsidR="00EA2BA5" w:rsidRPr="00785D74" w:rsidTr="00F814C2">
        <w:tc>
          <w:tcPr>
            <w:tcW w:w="10490" w:type="dxa"/>
          </w:tcPr>
          <w:p w:rsidR="00EA2BA5" w:rsidRPr="00785D74" w:rsidRDefault="00EA2BA5" w:rsidP="00636FA4">
            <w:pPr>
              <w:rPr>
                <w:b/>
              </w:rPr>
            </w:pPr>
            <w:r w:rsidRPr="00785D74">
              <w:rPr>
                <w:b/>
              </w:rPr>
              <w:t xml:space="preserve">6.1 </w:t>
            </w:r>
            <w:r w:rsidRPr="00785D74">
              <w:rPr>
                <w:b/>
              </w:rPr>
              <w:tab/>
              <w:t>Payment profile and method of payment</w:t>
            </w:r>
          </w:p>
          <w:p w:rsidR="00EA2BA5" w:rsidRPr="00785D74" w:rsidRDefault="00EA2BA5" w:rsidP="00636FA4">
            <w:r w:rsidRPr="00785D74">
              <w:t>Charges payable by the Customer (including any applicable discount but excluding VAT), payment profile and method of payment (e.g. Government Procurement Card (GPC) or BACS</w:t>
            </w:r>
          </w:p>
          <w:p w:rsidR="00EA2BA5" w:rsidRPr="00785D74" w:rsidRDefault="00EA2BA5" w:rsidP="00636FA4">
            <w:pPr>
              <w:rPr>
                <w:b/>
              </w:rPr>
            </w:pPr>
            <w:r w:rsidRPr="00785D74">
              <w:rPr>
                <w:b/>
              </w:rPr>
              <w:t xml:space="preserve">Indicate preferred payment profile: </w:t>
            </w:r>
          </w:p>
          <w:p w:rsidR="00EA2BA5" w:rsidRDefault="00EA2BA5" w:rsidP="00636FA4">
            <w:r w:rsidRPr="003E7EE8">
              <w:t>One-time fixed price payment on completion.</w:t>
            </w:r>
          </w:p>
          <w:p w:rsidR="00EA2BA5" w:rsidRPr="00785D74" w:rsidRDefault="00EA2BA5" w:rsidP="00F814C2">
            <w:pPr>
              <w:rPr>
                <w:b/>
              </w:rPr>
            </w:pPr>
            <w:r w:rsidRPr="00785D74">
              <w:rPr>
                <w:b/>
              </w:rPr>
              <w:t>6.2</w:t>
            </w:r>
            <w:r w:rsidRPr="00785D74">
              <w:rPr>
                <w:b/>
              </w:rPr>
              <w:tab/>
              <w:t xml:space="preserve"> Invoice format</w:t>
            </w:r>
          </w:p>
          <w:p w:rsidR="00EA2BA5" w:rsidRPr="00854EA9" w:rsidRDefault="00EA2BA5" w:rsidP="00854EA9"/>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F814C2">
        <w:tc>
          <w:tcPr>
            <w:tcW w:w="10490" w:type="dxa"/>
            <w:shd w:val="clear" w:color="auto" w:fill="E6E6E6"/>
          </w:tcPr>
          <w:p w:rsidR="00EA2BA5" w:rsidRPr="00785D74" w:rsidRDefault="00EA2BA5" w:rsidP="00636FA4">
            <w:pPr>
              <w:rPr>
                <w:b/>
              </w:rPr>
            </w:pPr>
            <w:r w:rsidRPr="00785D74">
              <w:rPr>
                <w:b/>
              </w:rPr>
              <w:t xml:space="preserve">7. </w:t>
            </w:r>
            <w:r w:rsidRPr="00785D74">
              <w:rPr>
                <w:b/>
              </w:rPr>
              <w:tab/>
              <w:t>DISPUTE RESOLUTION</w:t>
            </w:r>
          </w:p>
        </w:tc>
      </w:tr>
      <w:tr w:rsidR="00EA2BA5" w:rsidRPr="00785D74" w:rsidTr="00F814C2">
        <w:tc>
          <w:tcPr>
            <w:tcW w:w="10490" w:type="dxa"/>
          </w:tcPr>
          <w:p w:rsidR="00EA2BA5" w:rsidRPr="00785D74" w:rsidRDefault="00EA2BA5" w:rsidP="00636FA4">
            <w:pPr>
              <w:rPr>
                <w:b/>
              </w:rPr>
            </w:pPr>
            <w:r w:rsidRPr="00785D74">
              <w:rPr>
                <w:b/>
              </w:rPr>
              <w:t>7.1</w:t>
            </w:r>
            <w:r w:rsidRPr="00785D74">
              <w:rPr>
                <w:b/>
              </w:rPr>
              <w:tab/>
              <w:t>Level of Representative to whom disputes should be escalated to:</w:t>
            </w:r>
          </w:p>
          <w:p w:rsidR="00EA2BA5" w:rsidRPr="00785D74" w:rsidRDefault="00EA2BA5" w:rsidP="00636FA4">
            <w:pPr>
              <w:rPr>
                <w:b/>
              </w:rPr>
            </w:pPr>
            <w:r w:rsidRPr="00785D74">
              <w:t xml:space="preserve"> </w:t>
            </w:r>
          </w:p>
          <w:p w:rsidR="00EA2BA5" w:rsidRPr="00785D74" w:rsidRDefault="00EA2BA5" w:rsidP="00636FA4">
            <w:pPr>
              <w:rPr>
                <w:b/>
              </w:rPr>
            </w:pPr>
            <w:r w:rsidRPr="00785D74">
              <w:rPr>
                <w:b/>
              </w:rPr>
              <w:t xml:space="preserve">7.2 </w:t>
            </w:r>
            <w:r w:rsidRPr="00785D74">
              <w:rPr>
                <w:b/>
              </w:rPr>
              <w:tab/>
              <w:t>Mediation Provider</w:t>
            </w:r>
          </w:p>
          <w:p w:rsidR="00EA2BA5" w:rsidRPr="00785D74" w:rsidRDefault="00EA2BA5" w:rsidP="00636FA4">
            <w:r w:rsidRPr="00785D74">
              <w:t xml:space="preserve"> Centre for Effective Dispute Resolution.</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3737EC">
        <w:tc>
          <w:tcPr>
            <w:tcW w:w="10490" w:type="dxa"/>
            <w:shd w:val="clear" w:color="auto" w:fill="D9D9D9"/>
          </w:tcPr>
          <w:p w:rsidR="00EA2BA5" w:rsidRPr="00785D74" w:rsidRDefault="00EA2BA5" w:rsidP="003737EC">
            <w:pPr>
              <w:rPr>
                <w:b/>
                <w:u w:val="single"/>
              </w:rPr>
            </w:pPr>
            <w:r w:rsidRPr="00785D74">
              <w:rPr>
                <w:b/>
              </w:rPr>
              <w:t>8.</w:t>
            </w:r>
            <w:r w:rsidRPr="00785D74">
              <w:rPr>
                <w:b/>
              </w:rPr>
              <w:tab/>
              <w:t>LIABILITY</w:t>
            </w:r>
          </w:p>
        </w:tc>
      </w:tr>
      <w:tr w:rsidR="00EA2BA5" w:rsidRPr="00785D74" w:rsidTr="003737EC">
        <w:tc>
          <w:tcPr>
            <w:tcW w:w="10490" w:type="dxa"/>
            <w:shd w:val="clear" w:color="auto" w:fill="FFFFFF"/>
          </w:tcPr>
          <w:p w:rsidR="00EA2BA5" w:rsidRPr="00785D74" w:rsidRDefault="00EA2BA5" w:rsidP="00AC7E74">
            <w:pPr>
              <w:rPr>
                <w:b/>
              </w:rPr>
            </w:pPr>
            <w:r w:rsidRPr="00785D74">
              <w:rPr>
                <w:b/>
              </w:rPr>
              <w:t>Subject to the provisions of Clause CO 11 ‘Liability’ of the Call–Off Agreement:</w:t>
            </w:r>
          </w:p>
        </w:tc>
      </w:tr>
      <w:tr w:rsidR="00EA2BA5" w:rsidRPr="00785D74" w:rsidTr="003737EC">
        <w:tc>
          <w:tcPr>
            <w:tcW w:w="10490" w:type="dxa"/>
            <w:shd w:val="clear" w:color="auto" w:fill="FFFFFF"/>
          </w:tcPr>
          <w:p w:rsidR="00EA2BA5" w:rsidRPr="00785D74" w:rsidRDefault="00EA2BA5" w:rsidP="003737EC">
            <w:pPr>
              <w:rPr>
                <w:b/>
              </w:rPr>
            </w:pPr>
            <w:r w:rsidRPr="00785D74">
              <w:t xml:space="preserve">8.1 The annual aggregate liability of either Party for all defaults resulting in direct loss of or damage to the property of the other Party </w:t>
            </w:r>
            <w:r w:rsidRPr="00785D74">
              <w:rPr>
                <w:rFonts w:cs="Arial"/>
              </w:rPr>
              <w:t xml:space="preserve">(including technical infrastructure, assets, equipment or IPR but excluding any loss or damage to the Customer Data or Customer Personal Data) </w:t>
            </w:r>
            <w:r w:rsidRPr="00785D74">
              <w:t>under or in connection with this Call–Off Agre</w:t>
            </w:r>
            <w:r>
              <w:t xml:space="preserve">ement shall in no event exceed </w:t>
            </w:r>
            <w:r w:rsidRPr="003E7EE8">
              <w:rPr>
                <w:rStyle w:val="InfillNote"/>
                <w:shd w:val="clear" w:color="auto" w:fill="auto"/>
              </w:rPr>
              <w:t>£1 million</w:t>
            </w:r>
            <w:r w:rsidRPr="003E7EE8">
              <w:t>.</w:t>
            </w:r>
            <w:r w:rsidRPr="00785D74">
              <w:t xml:space="preserve">  </w:t>
            </w:r>
            <w:r w:rsidRPr="00785D74" w:rsidDel="00953AF4">
              <w:rPr>
                <w:b/>
              </w:rPr>
              <w:t xml:space="preserve"> </w:t>
            </w:r>
          </w:p>
          <w:p w:rsidR="00EA2BA5" w:rsidRPr="008006B7" w:rsidRDefault="00EA2BA5" w:rsidP="003233BC">
            <w:pPr>
              <w:pStyle w:val="CommentText"/>
              <w:jc w:val="both"/>
              <w:rPr>
                <w:lang w:eastAsia="en-US"/>
              </w:rPr>
            </w:pPr>
            <w:r w:rsidRPr="008006B7">
              <w:rPr>
                <w:lang w:eastAsia="en-US"/>
              </w:rPr>
              <w:t xml:space="preserve">8.2 The annual aggregate liability for all defaults resulting in direct loss, </w:t>
            </w:r>
            <w:bookmarkStart w:id="0" w:name="_Ref64698026"/>
            <w:bookmarkStart w:id="1" w:name="_Toc139080435"/>
            <w:bookmarkStart w:id="2" w:name="_Ref308602868"/>
            <w:r w:rsidRPr="008006B7">
              <w:rPr>
                <w:rFonts w:cs="Arial"/>
                <w:lang w:eastAsia="en-US"/>
              </w:rPr>
              <w:t xml:space="preserve">destruction, corruption, degradation or damage to the Customer Data or the Customer Personal Data or any copy of such Customer Data, caused by the Supplier's default </w:t>
            </w:r>
            <w:r w:rsidRPr="008006B7">
              <w:rPr>
                <w:lang w:eastAsia="en-US"/>
              </w:rPr>
              <w:t xml:space="preserve">under or in connection with this Call–Off Agreement shall in no event exceed </w:t>
            </w:r>
            <w:r w:rsidRPr="008006B7">
              <w:rPr>
                <w:rFonts w:cs="Arial"/>
                <w:lang w:eastAsia="en-US"/>
              </w:rPr>
              <w:t xml:space="preserve">fifty percent (50%) </w:t>
            </w:r>
            <w:r w:rsidRPr="008006B7">
              <w:rPr>
                <w:lang w:eastAsia="en-US"/>
              </w:rPr>
              <w:t xml:space="preserve">of the Charges payable by the Customer to the Supplier </w:t>
            </w:r>
            <w:r w:rsidRPr="008006B7">
              <w:rPr>
                <w:rStyle w:val="InfillNote"/>
                <w:shd w:val="clear" w:color="auto" w:fill="auto"/>
                <w:lang w:eastAsia="en-US"/>
              </w:rPr>
              <w:t xml:space="preserve">during the Call–Off </w:t>
            </w:r>
            <w:bookmarkEnd w:id="0"/>
            <w:bookmarkEnd w:id="1"/>
            <w:r w:rsidRPr="008006B7">
              <w:rPr>
                <w:rStyle w:val="InfillNote"/>
                <w:shd w:val="clear" w:color="auto" w:fill="auto"/>
                <w:lang w:eastAsia="en-US"/>
              </w:rPr>
              <w:t>Agreement Period</w:t>
            </w:r>
            <w:r w:rsidRPr="008006B7">
              <w:rPr>
                <w:lang w:eastAsia="en-US"/>
              </w:rPr>
              <w:t>.</w:t>
            </w:r>
          </w:p>
          <w:p w:rsidR="00EA2BA5" w:rsidRPr="008006B7" w:rsidRDefault="00EA2BA5" w:rsidP="006F5645">
            <w:pPr>
              <w:pStyle w:val="CommentText"/>
              <w:jc w:val="both"/>
              <w:rPr>
                <w:highlight w:val="green"/>
                <w:lang w:eastAsia="en-US"/>
              </w:rPr>
            </w:pPr>
            <w:r w:rsidRPr="008006B7">
              <w:rPr>
                <w:rFonts w:cs="Arial"/>
                <w:color w:val="FF0000"/>
                <w:lang w:eastAsia="en-US"/>
              </w:rPr>
              <w:t xml:space="preserve"> </w:t>
            </w:r>
            <w:bookmarkEnd w:id="2"/>
            <w:r w:rsidRPr="008006B7">
              <w:rPr>
                <w:lang w:eastAsia="en-US"/>
              </w:rPr>
              <w:t xml:space="preserve">8.3 The annual aggregate liability under this Call–Off Agreement of either Party for all defaults shall in no event exceed the greater of </w:t>
            </w:r>
            <w:r w:rsidRPr="008006B7">
              <w:rPr>
                <w:rStyle w:val="InfillNote"/>
                <w:shd w:val="clear" w:color="auto" w:fill="auto"/>
                <w:lang w:eastAsia="en-US"/>
              </w:rPr>
              <w:t>£100,000</w:t>
            </w:r>
            <w:r w:rsidRPr="008006B7">
              <w:rPr>
                <w:lang w:eastAsia="en-US"/>
              </w:rPr>
              <w:t xml:space="preserve">  </w:t>
            </w:r>
            <w:r w:rsidRPr="008006B7">
              <w:rPr>
                <w:rStyle w:val="InfillNote"/>
                <w:shd w:val="clear" w:color="auto" w:fill="auto"/>
                <w:lang w:eastAsia="en-US"/>
              </w:rPr>
              <w:t>or one hundred and twenty five per cent (125%)</w:t>
            </w:r>
            <w:r w:rsidRPr="008006B7">
              <w:rPr>
                <w:lang w:eastAsia="en-US"/>
              </w:rPr>
              <w:t xml:space="preserve"> per cent of the Charges payable by the Customer to the Supplier </w:t>
            </w:r>
            <w:r w:rsidRPr="008006B7">
              <w:rPr>
                <w:rStyle w:val="InfillNote"/>
                <w:shd w:val="clear" w:color="auto" w:fill="auto"/>
                <w:lang w:eastAsia="en-US"/>
              </w:rPr>
              <w:t>during the Call–Off Agreement  Period.</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3737EC">
        <w:tc>
          <w:tcPr>
            <w:tcW w:w="10490" w:type="dxa"/>
            <w:shd w:val="clear" w:color="auto" w:fill="E6E6E6"/>
          </w:tcPr>
          <w:p w:rsidR="00EA2BA5" w:rsidRPr="00785D74" w:rsidRDefault="00EA2BA5" w:rsidP="00636FA4">
            <w:pPr>
              <w:rPr>
                <w:b/>
              </w:rPr>
            </w:pPr>
            <w:r w:rsidRPr="00785D74">
              <w:rPr>
                <w:b/>
              </w:rPr>
              <w:t xml:space="preserve">9. </w:t>
            </w:r>
            <w:r w:rsidRPr="00785D74">
              <w:rPr>
                <w:b/>
              </w:rPr>
              <w:tab/>
              <w:t>INSURANCE</w:t>
            </w:r>
          </w:p>
        </w:tc>
      </w:tr>
      <w:tr w:rsidR="00EA2BA5" w:rsidRPr="00785D74" w:rsidTr="003737EC">
        <w:tc>
          <w:tcPr>
            <w:tcW w:w="10490" w:type="dxa"/>
            <w:shd w:val="clear" w:color="auto" w:fill="FFFFFF"/>
          </w:tcPr>
          <w:p w:rsidR="00EA2BA5" w:rsidRPr="00785D74" w:rsidRDefault="00EA2BA5" w:rsidP="00636FA4">
            <w:pPr>
              <w:rPr>
                <w:b/>
              </w:rPr>
            </w:pPr>
            <w:bookmarkStart w:id="3" w:name="_Ref311745480"/>
            <w:r w:rsidRPr="00785D74">
              <w:rPr>
                <w:b/>
              </w:rPr>
              <w:t xml:space="preserve">9.1 </w:t>
            </w:r>
            <w:r w:rsidRPr="00785D74">
              <w:rPr>
                <w:b/>
              </w:rPr>
              <w:tab/>
              <w:t>Minimum Insurance Period</w:t>
            </w:r>
            <w:bookmarkEnd w:id="3"/>
          </w:p>
          <w:p w:rsidR="00EA2BA5" w:rsidRPr="00785D74" w:rsidRDefault="00EA2BA5" w:rsidP="00636FA4">
            <w:r w:rsidRPr="003E7EE8">
              <w:rPr>
                <w:rStyle w:val="InfillNote"/>
                <w:shd w:val="clear" w:color="auto" w:fill="auto"/>
              </w:rPr>
              <w:t>Six (6) Years following the expiration or earlier termination of this Call-Off Agreement</w:t>
            </w:r>
          </w:p>
          <w:p w:rsidR="00EA2BA5" w:rsidRPr="00785D74" w:rsidRDefault="00EA2BA5" w:rsidP="00216F3D">
            <w:pPr>
              <w:rPr>
                <w:b/>
              </w:rPr>
            </w:pPr>
            <w:r w:rsidRPr="00785D74">
              <w:rPr>
                <w:b/>
              </w:rPr>
              <w:t xml:space="preserve">9.2 </w:t>
            </w:r>
            <w:r w:rsidRPr="00785D74">
              <w:rPr>
                <w:b/>
              </w:rPr>
              <w:tab/>
              <w:t>To comply with its obligations under this Call-Off Agreement and as a minimum, where requested by the Customer in writing the Supplier shall ensure that:</w:t>
            </w:r>
          </w:p>
          <w:p w:rsidR="00EA2BA5" w:rsidRPr="00785D74" w:rsidRDefault="00EA2BA5" w:rsidP="0007614D">
            <w:pPr>
              <w:numPr>
                <w:ilvl w:val="0"/>
                <w:numId w:val="28"/>
              </w:numPr>
              <w:jc w:val="both"/>
            </w:pPr>
            <w:r w:rsidRPr="00785D74">
              <w:rPr>
                <w:b/>
              </w:rPr>
              <w:t>professional indemnity insurance</w:t>
            </w:r>
            <w:r w:rsidRPr="00785D74">
              <w:t xml:space="preserve"> is held by the Supplier and by any agent, Sub-Contractor or consultant involved in the supply of the G-Cloud Services and that such professional indemnity insurance has a</w:t>
            </w:r>
            <w:r>
              <w:t xml:space="preserve"> minimum limit of indemnity of </w:t>
            </w:r>
            <w:r w:rsidRPr="003E7EE8">
              <w:rPr>
                <w:rStyle w:val="InfillNote"/>
                <w:shd w:val="clear" w:color="auto" w:fill="auto"/>
              </w:rPr>
              <w:t>one million pounds sterling (£1,000,000)</w:t>
            </w:r>
            <w:r w:rsidRPr="00785D74">
              <w:t xml:space="preserve"> for each individual claim or such higher limit as the Customer may reasonably require (and as required by Law) from time to time;</w:t>
            </w:r>
          </w:p>
          <w:p w:rsidR="00EA2BA5" w:rsidRPr="00711896" w:rsidRDefault="00EA2BA5" w:rsidP="00711896">
            <w:pPr>
              <w:numPr>
                <w:ilvl w:val="0"/>
                <w:numId w:val="28"/>
              </w:numPr>
              <w:jc w:val="both"/>
            </w:pPr>
            <w:r w:rsidRPr="00785D74">
              <w:rPr>
                <w:b/>
              </w:rPr>
              <w:t>employers' liability insurance</w:t>
            </w:r>
            <w:r w:rsidRPr="00785D74">
              <w:t xml:space="preserve"> with a minimum limit of five million pounds sterling (£5,000,000) or such higher minimum limit as required by Law from time to time.</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216F3D">
        <w:tc>
          <w:tcPr>
            <w:tcW w:w="10490" w:type="dxa"/>
            <w:shd w:val="clear" w:color="auto" w:fill="E6E6E6"/>
          </w:tcPr>
          <w:p w:rsidR="00EA2BA5" w:rsidRPr="00785D74" w:rsidRDefault="00EA2BA5" w:rsidP="00636FA4">
            <w:pPr>
              <w:rPr>
                <w:b/>
              </w:rPr>
            </w:pPr>
            <w:r w:rsidRPr="00785D74">
              <w:rPr>
                <w:b/>
              </w:rPr>
              <w:t xml:space="preserve">10. </w:t>
            </w:r>
            <w:r w:rsidRPr="00785D74">
              <w:rPr>
                <w:b/>
              </w:rPr>
              <w:tab/>
              <w:t>TERMINATION</w:t>
            </w:r>
          </w:p>
        </w:tc>
      </w:tr>
      <w:tr w:rsidR="00EA2BA5" w:rsidRPr="00785D74" w:rsidTr="00216F3D">
        <w:trPr>
          <w:trHeight w:val="281"/>
        </w:trPr>
        <w:tc>
          <w:tcPr>
            <w:tcW w:w="10490" w:type="dxa"/>
            <w:shd w:val="clear" w:color="auto" w:fill="FFFFFF"/>
          </w:tcPr>
          <w:p w:rsidR="00EA2BA5" w:rsidRPr="00785D74" w:rsidRDefault="00EA2BA5" w:rsidP="00636FA4">
            <w:pPr>
              <w:rPr>
                <w:b/>
              </w:rPr>
            </w:pPr>
            <w:bookmarkStart w:id="4" w:name="_Ref311745953"/>
            <w:r w:rsidRPr="00785D74">
              <w:rPr>
                <w:b/>
              </w:rPr>
              <w:t xml:space="preserve">10.1 </w:t>
            </w:r>
            <w:r w:rsidRPr="00785D74">
              <w:rPr>
                <w:b/>
              </w:rPr>
              <w:tab/>
              <w:t>Undisputed Sums Time Period</w:t>
            </w:r>
            <w:bookmarkEnd w:id="4"/>
          </w:p>
          <w:p w:rsidR="00EA2BA5" w:rsidRPr="00785D74" w:rsidRDefault="00EA2BA5" w:rsidP="00636FA4">
            <w:pPr>
              <w:rPr>
                <w:b/>
              </w:rPr>
            </w:pPr>
            <w:r w:rsidRPr="00785D74">
              <w:t>At least ninety (90) Working Days of the date of the written notice specified in Clause CO 9.4   of the Call-Off Agreement</w:t>
            </w:r>
            <w:r w:rsidRPr="00785D74">
              <w:rPr>
                <w:b/>
              </w:rPr>
              <w:t>.</w:t>
            </w:r>
          </w:p>
          <w:p w:rsidR="00EA2BA5" w:rsidRPr="00785D74" w:rsidRDefault="00EA2BA5" w:rsidP="00636FA4">
            <w:pPr>
              <w:rPr>
                <w:b/>
              </w:rPr>
            </w:pPr>
            <w:bookmarkStart w:id="5" w:name="_Ref311746290"/>
            <w:r w:rsidRPr="00785D74">
              <w:rPr>
                <w:b/>
              </w:rPr>
              <w:t xml:space="preserve">10.2 </w:t>
            </w:r>
            <w:r w:rsidRPr="00785D74">
              <w:rPr>
                <w:b/>
              </w:rPr>
              <w:tab/>
              <w:t>Termination Without Cause</w:t>
            </w:r>
            <w:bookmarkEnd w:id="5"/>
          </w:p>
          <w:p w:rsidR="00EA2BA5" w:rsidRPr="00785D74" w:rsidRDefault="00EA2BA5" w:rsidP="00AC7E74">
            <w:r w:rsidRPr="00785D74">
              <w:t>At least thirty (30) Working Days in accordance with Clause CO9.2 of the Call-Off Agreement.</w:t>
            </w:r>
          </w:p>
        </w:tc>
      </w:tr>
    </w:tbl>
    <w:p w:rsidR="00EA2BA5" w:rsidRPr="00636FA4" w:rsidRDefault="00EA2BA5"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EA2BA5" w:rsidRPr="00785D74" w:rsidTr="00216F3D">
        <w:tc>
          <w:tcPr>
            <w:tcW w:w="10490" w:type="dxa"/>
            <w:shd w:val="clear" w:color="auto" w:fill="E6E6E6"/>
          </w:tcPr>
          <w:p w:rsidR="00EA2BA5" w:rsidRPr="00785D74" w:rsidRDefault="00EA2BA5" w:rsidP="00636FA4">
            <w:pPr>
              <w:rPr>
                <w:b/>
              </w:rPr>
            </w:pPr>
            <w:r w:rsidRPr="00785D74">
              <w:rPr>
                <w:b/>
              </w:rPr>
              <w:t xml:space="preserve">11. </w:t>
            </w:r>
            <w:r w:rsidRPr="00785D74">
              <w:rPr>
                <w:b/>
              </w:rPr>
              <w:tab/>
              <w:t>AUDIT AND ACCESS</w:t>
            </w:r>
          </w:p>
        </w:tc>
      </w:tr>
      <w:tr w:rsidR="00EA2BA5" w:rsidRPr="00785D74" w:rsidTr="00216F3D">
        <w:tc>
          <w:tcPr>
            <w:tcW w:w="10490" w:type="dxa"/>
            <w:shd w:val="clear" w:color="auto" w:fill="FFFFFF"/>
          </w:tcPr>
          <w:p w:rsidR="00EA2BA5" w:rsidRPr="00785D74" w:rsidRDefault="00EA2BA5" w:rsidP="00636FA4">
            <w:bookmarkStart w:id="6" w:name="_Ref320888519"/>
            <w:r w:rsidRPr="00785D74">
              <w:t>Twelve (12) Months after the expiry of the Call-Off Agreement Period or following termination of this Call-Off Agreement.</w:t>
            </w:r>
            <w:bookmarkEnd w:id="6"/>
          </w:p>
        </w:tc>
      </w:tr>
    </w:tbl>
    <w:p w:rsidR="00EA2BA5" w:rsidRDefault="00EA2BA5"/>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17"/>
        <w:gridCol w:w="5951"/>
        <w:gridCol w:w="1134"/>
        <w:gridCol w:w="1274"/>
        <w:gridCol w:w="1417"/>
      </w:tblGrid>
      <w:tr w:rsidR="00EA2BA5" w:rsidRPr="00785D74" w:rsidTr="007D5456">
        <w:trPr>
          <w:trHeight w:val="601"/>
        </w:trPr>
        <w:tc>
          <w:tcPr>
            <w:tcW w:w="10598" w:type="dxa"/>
            <w:gridSpan w:val="6"/>
            <w:shd w:val="clear" w:color="auto" w:fill="D9D9D9"/>
          </w:tcPr>
          <w:p w:rsidR="00EA2BA5" w:rsidRPr="00785D74" w:rsidRDefault="00EA2BA5" w:rsidP="000802CD">
            <w:pPr>
              <w:rPr>
                <w:rFonts w:cs="Arial"/>
                <w:b/>
              </w:rPr>
            </w:pPr>
            <w:bookmarkStart w:id="7" w:name="_Ref311745135"/>
            <w:r w:rsidRPr="00785D74">
              <w:rPr>
                <w:b/>
              </w:rPr>
              <w:t>12. [PERFORMANCE OF THE SERVICES AND DELIVERABLES</w:t>
            </w:r>
            <w:bookmarkEnd w:id="7"/>
          </w:p>
        </w:tc>
      </w:tr>
      <w:tr w:rsidR="00EA2BA5" w:rsidRPr="00785D74" w:rsidTr="00F33691">
        <w:tc>
          <w:tcPr>
            <w:tcW w:w="10598" w:type="dxa"/>
            <w:gridSpan w:val="6"/>
            <w:shd w:val="clear" w:color="auto" w:fill="FFFFFF"/>
          </w:tcPr>
          <w:p w:rsidR="00EA2BA5" w:rsidRPr="00785D74" w:rsidRDefault="00EA2BA5" w:rsidP="007D5456">
            <w:bookmarkStart w:id="8" w:name="_Ref311745074"/>
            <w:r w:rsidRPr="00785D74">
              <w:rPr>
                <w:b/>
              </w:rPr>
              <w:t>12.1 Implementation Plan and Milestones (including dates for completion)</w:t>
            </w:r>
            <w:bookmarkEnd w:id="8"/>
          </w:p>
        </w:tc>
      </w:tr>
      <w:tr w:rsidR="00EA2BA5" w:rsidRPr="00785D74" w:rsidTr="00763C63">
        <w:tc>
          <w:tcPr>
            <w:tcW w:w="817" w:type="dxa"/>
            <w:gridSpan w:val="2"/>
            <w:shd w:val="clear" w:color="auto" w:fill="D9D9D9"/>
          </w:tcPr>
          <w:p w:rsidR="00EA2BA5" w:rsidRPr="006671CF" w:rsidRDefault="00EA2BA5" w:rsidP="007D1D5C">
            <w:pPr>
              <w:pStyle w:val="MarginText"/>
              <w:overflowPunct w:val="0"/>
              <w:autoSpaceDE w:val="0"/>
              <w:autoSpaceDN w:val="0"/>
              <w:jc w:val="left"/>
              <w:textAlignment w:val="baseline"/>
              <w:rPr>
                <w:rFonts w:cs="Arial"/>
                <w:b/>
              </w:rPr>
            </w:pPr>
            <w:r w:rsidRPr="006671CF">
              <w:rPr>
                <w:rFonts w:cs="Arial"/>
                <w:b/>
              </w:rPr>
              <w:t>No</w:t>
            </w:r>
          </w:p>
        </w:tc>
        <w:tc>
          <w:tcPr>
            <w:tcW w:w="5954" w:type="dxa"/>
            <w:shd w:val="clear" w:color="auto" w:fill="D9D9D9"/>
          </w:tcPr>
          <w:p w:rsidR="00EA2BA5" w:rsidRPr="006671CF" w:rsidRDefault="00EA2BA5" w:rsidP="007D1D5C">
            <w:pPr>
              <w:pStyle w:val="MarginText"/>
              <w:overflowPunct w:val="0"/>
              <w:autoSpaceDE w:val="0"/>
              <w:autoSpaceDN w:val="0"/>
              <w:jc w:val="left"/>
              <w:textAlignment w:val="baseline"/>
              <w:rPr>
                <w:rFonts w:cs="Arial"/>
                <w:b/>
              </w:rPr>
            </w:pPr>
            <w:r w:rsidRPr="006671CF">
              <w:rPr>
                <w:rFonts w:cs="Arial"/>
                <w:b/>
              </w:rPr>
              <w:t>Deliverables</w:t>
            </w:r>
          </w:p>
        </w:tc>
        <w:tc>
          <w:tcPr>
            <w:tcW w:w="1134" w:type="dxa"/>
            <w:shd w:val="clear" w:color="auto" w:fill="D9D9D9"/>
          </w:tcPr>
          <w:p w:rsidR="00EA2BA5" w:rsidRPr="006671CF" w:rsidRDefault="00EA2BA5" w:rsidP="007D1D5C">
            <w:pPr>
              <w:pStyle w:val="MarginText"/>
              <w:overflowPunct w:val="0"/>
              <w:autoSpaceDE w:val="0"/>
              <w:autoSpaceDN w:val="0"/>
              <w:jc w:val="left"/>
              <w:textAlignment w:val="baseline"/>
              <w:rPr>
                <w:rFonts w:cs="Arial"/>
                <w:b/>
              </w:rPr>
            </w:pPr>
            <w:r w:rsidRPr="006671CF">
              <w:rPr>
                <w:rFonts w:cs="Arial"/>
                <w:b/>
              </w:rPr>
              <w:t>Duration</w:t>
            </w:r>
          </w:p>
        </w:tc>
        <w:tc>
          <w:tcPr>
            <w:tcW w:w="1275" w:type="dxa"/>
            <w:shd w:val="clear" w:color="auto" w:fill="D9D9D9"/>
          </w:tcPr>
          <w:p w:rsidR="00EA2BA5" w:rsidRPr="006671CF" w:rsidRDefault="00EA2BA5" w:rsidP="007D1D5C">
            <w:pPr>
              <w:pStyle w:val="MarginText"/>
              <w:overflowPunct w:val="0"/>
              <w:autoSpaceDE w:val="0"/>
              <w:autoSpaceDN w:val="0"/>
              <w:jc w:val="left"/>
              <w:textAlignment w:val="baseline"/>
              <w:rPr>
                <w:rFonts w:cs="Arial"/>
                <w:b/>
              </w:rPr>
            </w:pPr>
            <w:r w:rsidRPr="006671CF">
              <w:rPr>
                <w:rFonts w:cs="Arial"/>
                <w:b/>
              </w:rPr>
              <w:t>Milestone Date</w:t>
            </w:r>
          </w:p>
        </w:tc>
        <w:tc>
          <w:tcPr>
            <w:tcW w:w="1418" w:type="dxa"/>
            <w:shd w:val="clear" w:color="auto" w:fill="D9D9D9"/>
          </w:tcPr>
          <w:p w:rsidR="00EA2BA5" w:rsidRPr="006671CF" w:rsidRDefault="00EA2BA5" w:rsidP="007D1D5C">
            <w:pPr>
              <w:pStyle w:val="MarginText"/>
              <w:overflowPunct w:val="0"/>
              <w:autoSpaceDE w:val="0"/>
              <w:autoSpaceDN w:val="0"/>
              <w:jc w:val="left"/>
              <w:textAlignment w:val="baseline"/>
              <w:rPr>
                <w:rFonts w:cs="Arial"/>
                <w:b/>
              </w:rPr>
            </w:pPr>
            <w:r w:rsidRPr="006671CF">
              <w:rPr>
                <w:rFonts w:cs="Arial"/>
                <w:b/>
              </w:rPr>
              <w:t>Customer Responsibilities</w:t>
            </w:r>
          </w:p>
        </w:tc>
      </w:tr>
      <w:tr w:rsidR="00EA2BA5" w:rsidRPr="007D1D5C" w:rsidTr="00763C63">
        <w:tc>
          <w:tcPr>
            <w:tcW w:w="817" w:type="dxa"/>
            <w:gridSpan w:val="2"/>
            <w:tcBorders>
              <w:top w:val="nil"/>
            </w:tcBorders>
            <w:shd w:val="clear" w:color="auto" w:fill="FFFFFF"/>
          </w:tcPr>
          <w:p w:rsidR="00EA2BA5" w:rsidRPr="006671CF" w:rsidRDefault="00EA2BA5" w:rsidP="007D1D5C">
            <w:pPr>
              <w:pStyle w:val="MarginText"/>
              <w:overflowPunct w:val="0"/>
              <w:autoSpaceDE w:val="0"/>
              <w:autoSpaceDN w:val="0"/>
              <w:spacing w:before="120" w:after="120"/>
              <w:jc w:val="left"/>
              <w:textAlignment w:val="baseline"/>
              <w:rPr>
                <w:rFonts w:cs="Arial"/>
                <w:highlight w:val="green"/>
              </w:rPr>
            </w:pPr>
            <w:r w:rsidRPr="006671CF">
              <w:rPr>
                <w:rFonts w:cs="Arial"/>
              </w:rPr>
              <w:t>1</w:t>
            </w:r>
          </w:p>
        </w:tc>
        <w:tc>
          <w:tcPr>
            <w:tcW w:w="5954" w:type="dxa"/>
            <w:tcBorders>
              <w:top w:val="nil"/>
            </w:tcBorders>
            <w:shd w:val="clear" w:color="auto" w:fill="FFFFFF"/>
          </w:tcPr>
          <w:p w:rsidR="00EA2BA5" w:rsidRDefault="00EA2BA5" w:rsidP="00763C63">
            <w:r w:rsidRPr="00C9459E">
              <w:rPr>
                <w:b/>
              </w:rPr>
              <w:t>On-Boarding:</w:t>
            </w:r>
            <w:r>
              <w:t xml:space="preserve">  On boarding consists of building and commissioning two environments in the air-gapped network; each month there are two data-cuts which are loaded into alternative networks so that one network can hold data for users whilst the other network is processing.</w:t>
            </w:r>
          </w:p>
          <w:p w:rsidR="00EA2BA5" w:rsidRDefault="00EA2BA5" w:rsidP="00763C63">
            <w:pPr>
              <w:pStyle w:val="ListParagraph"/>
              <w:numPr>
                <w:ilvl w:val="0"/>
                <w:numId w:val="79"/>
              </w:numPr>
              <w:spacing w:after="0" w:line="240" w:lineRule="auto"/>
              <w:contextualSpacing w:val="0"/>
            </w:pPr>
            <w:r>
              <w:t>Set up and configure operating systems and build virtual network.</w:t>
            </w:r>
          </w:p>
          <w:p w:rsidR="00EA2BA5" w:rsidRDefault="00EA2BA5" w:rsidP="00763C63">
            <w:pPr>
              <w:pStyle w:val="ListParagraph"/>
              <w:numPr>
                <w:ilvl w:val="0"/>
                <w:numId w:val="79"/>
              </w:numPr>
              <w:spacing w:after="0" w:line="240" w:lineRule="auto"/>
              <w:contextualSpacing w:val="0"/>
            </w:pPr>
            <w:r>
              <w:t>Build infrastructure server for domain controller, backup server, WSUs server, Anti-virus server, Nessus scanning servers, file server</w:t>
            </w:r>
          </w:p>
          <w:p w:rsidR="00EA2BA5" w:rsidRDefault="00EA2BA5" w:rsidP="00763C63">
            <w:pPr>
              <w:pStyle w:val="ListParagraph"/>
              <w:numPr>
                <w:ilvl w:val="0"/>
                <w:numId w:val="79"/>
              </w:numPr>
              <w:spacing w:after="0" w:line="240" w:lineRule="auto"/>
              <w:contextualSpacing w:val="0"/>
            </w:pPr>
            <w:r>
              <w:t>Build application servers: Oracle server configured to Steria build, ETL server representing Steria end of ETL process, SQL server for staging and reporting database, ETL interface server, Business Objects server,</w:t>
            </w:r>
          </w:p>
          <w:p w:rsidR="00EA2BA5" w:rsidRDefault="00EA2BA5" w:rsidP="00763C63">
            <w:pPr>
              <w:pStyle w:val="ListParagraph"/>
              <w:numPr>
                <w:ilvl w:val="0"/>
                <w:numId w:val="79"/>
              </w:numPr>
              <w:spacing w:after="0" w:line="240" w:lineRule="auto"/>
              <w:contextualSpacing w:val="0"/>
            </w:pPr>
            <w:r>
              <w:t>Set up users and group for Active Directory</w:t>
            </w:r>
          </w:p>
          <w:p w:rsidR="00EA2BA5" w:rsidRDefault="00EA2BA5" w:rsidP="00763C63">
            <w:pPr>
              <w:pStyle w:val="ListParagraph"/>
              <w:numPr>
                <w:ilvl w:val="0"/>
                <w:numId w:val="79"/>
              </w:numPr>
              <w:spacing w:after="0" w:line="240" w:lineRule="auto"/>
              <w:contextualSpacing w:val="0"/>
            </w:pPr>
            <w:r>
              <w:t>Configure Active Directory integration from SQL server</w:t>
            </w:r>
          </w:p>
          <w:p w:rsidR="00EA2BA5" w:rsidRDefault="00EA2BA5" w:rsidP="00763C63">
            <w:pPr>
              <w:pStyle w:val="ListParagraph"/>
              <w:numPr>
                <w:ilvl w:val="0"/>
                <w:numId w:val="79"/>
              </w:numPr>
              <w:spacing w:after="0" w:line="240" w:lineRule="auto"/>
              <w:contextualSpacing w:val="0"/>
            </w:pPr>
            <w:r>
              <w:t>Install business Objects Universe and standard reports as per requirement</w:t>
            </w:r>
          </w:p>
          <w:p w:rsidR="00EA2BA5" w:rsidRDefault="00EA2BA5" w:rsidP="00763C63">
            <w:pPr>
              <w:pStyle w:val="ListParagraph"/>
              <w:numPr>
                <w:ilvl w:val="0"/>
                <w:numId w:val="79"/>
              </w:numPr>
              <w:spacing w:after="0" w:line="240" w:lineRule="auto"/>
              <w:contextualSpacing w:val="0"/>
            </w:pPr>
            <w:r>
              <w:t>Clear down existing environment</w:t>
            </w:r>
          </w:p>
          <w:p w:rsidR="00EA2BA5" w:rsidRDefault="00EA2BA5" w:rsidP="00763C63">
            <w:pPr>
              <w:pStyle w:val="ListParagraph"/>
              <w:numPr>
                <w:ilvl w:val="0"/>
                <w:numId w:val="79"/>
              </w:numPr>
              <w:spacing w:after="0" w:line="240" w:lineRule="auto"/>
              <w:contextualSpacing w:val="0"/>
            </w:pPr>
            <w:r>
              <w:t>Set up isolated internet server with restricted connection to specific IPS for WSUS and anti-virus update</w:t>
            </w:r>
          </w:p>
          <w:p w:rsidR="00EA2BA5" w:rsidRDefault="00EA2BA5" w:rsidP="00763C63">
            <w:pPr>
              <w:pStyle w:val="ListParagraph"/>
              <w:numPr>
                <w:ilvl w:val="0"/>
                <w:numId w:val="79"/>
              </w:numPr>
              <w:spacing w:after="0" w:line="240" w:lineRule="auto"/>
              <w:contextualSpacing w:val="0"/>
            </w:pPr>
            <w:r>
              <w:t xml:space="preserve">Download the latest WSUS updates, Nessus updates and anti-virus definitions and export onto secure media </w:t>
            </w:r>
          </w:p>
          <w:p w:rsidR="00EA2BA5" w:rsidRDefault="00EA2BA5" w:rsidP="00763C63">
            <w:pPr>
              <w:pStyle w:val="ListParagraph"/>
              <w:numPr>
                <w:ilvl w:val="0"/>
                <w:numId w:val="79"/>
              </w:numPr>
              <w:spacing w:after="0" w:line="240" w:lineRule="auto"/>
              <w:contextualSpacing w:val="0"/>
            </w:pPr>
            <w:r>
              <w:t>Import from secure media into air-gapped network and apply latest windows, SQL server, Oracle and Business Object patches by export from internet server. Monitor successful updates across all virtual machines re-booting as required</w:t>
            </w:r>
          </w:p>
          <w:p w:rsidR="00EA2BA5" w:rsidRDefault="00EA2BA5" w:rsidP="00763C63">
            <w:pPr>
              <w:pStyle w:val="ListParagraph"/>
              <w:numPr>
                <w:ilvl w:val="0"/>
                <w:numId w:val="79"/>
              </w:numPr>
              <w:spacing w:after="0" w:line="240" w:lineRule="auto"/>
              <w:contextualSpacing w:val="0"/>
            </w:pPr>
            <w:r>
              <w:t>Run Nessus scan and resolve any outstanding vulnerabilities</w:t>
            </w:r>
          </w:p>
          <w:p w:rsidR="00EA2BA5" w:rsidRDefault="00EA2BA5" w:rsidP="00763C63">
            <w:pPr>
              <w:pStyle w:val="ListParagraph"/>
              <w:numPr>
                <w:ilvl w:val="0"/>
                <w:numId w:val="79"/>
              </w:numPr>
              <w:spacing w:after="0" w:line="240" w:lineRule="auto"/>
              <w:contextualSpacing w:val="0"/>
            </w:pPr>
            <w:r>
              <w:t>Import initial data extract into Oracle from November data cut</w:t>
            </w:r>
          </w:p>
          <w:p w:rsidR="00EA2BA5" w:rsidRDefault="00EA2BA5" w:rsidP="00763C63">
            <w:pPr>
              <w:pStyle w:val="ListParagraph"/>
              <w:numPr>
                <w:ilvl w:val="0"/>
                <w:numId w:val="79"/>
              </w:numPr>
              <w:spacing w:after="0" w:line="240" w:lineRule="auto"/>
              <w:contextualSpacing w:val="0"/>
            </w:pPr>
            <w:r>
              <w:t>Run historical data migration utility to populate the SQL server database</w:t>
            </w:r>
          </w:p>
          <w:p w:rsidR="00EA2BA5" w:rsidRDefault="00EA2BA5" w:rsidP="00763C63">
            <w:pPr>
              <w:pStyle w:val="ListParagraph"/>
              <w:numPr>
                <w:ilvl w:val="0"/>
                <w:numId w:val="79"/>
              </w:numPr>
              <w:spacing w:after="0" w:line="240" w:lineRule="auto"/>
              <w:contextualSpacing w:val="0"/>
            </w:pPr>
            <w:r>
              <w:t>Prime interface run reporting and verify and verify environment, resolve any issues</w:t>
            </w:r>
          </w:p>
          <w:p w:rsidR="00EA2BA5" w:rsidRPr="007D1D5C" w:rsidRDefault="00EA2BA5" w:rsidP="00763C63">
            <w:pPr>
              <w:pStyle w:val="ListParagraph"/>
              <w:numPr>
                <w:ilvl w:val="0"/>
                <w:numId w:val="79"/>
              </w:numPr>
              <w:spacing w:after="120" w:line="240" w:lineRule="auto"/>
              <w:contextualSpacing w:val="0"/>
              <w:jc w:val="both"/>
              <w:rPr>
                <w:rFonts w:cs="Arial"/>
              </w:rPr>
            </w:pPr>
          </w:p>
        </w:tc>
        <w:tc>
          <w:tcPr>
            <w:tcW w:w="1134" w:type="dxa"/>
            <w:tcBorders>
              <w:top w:val="nil"/>
            </w:tcBorders>
            <w:shd w:val="clear" w:color="auto" w:fill="FFFFFF"/>
          </w:tcPr>
          <w:p w:rsidR="00EA2BA5" w:rsidRPr="006671CF" w:rsidRDefault="00EA2BA5" w:rsidP="007D1D5C">
            <w:pPr>
              <w:pStyle w:val="MarginText"/>
              <w:overflowPunct w:val="0"/>
              <w:autoSpaceDE w:val="0"/>
              <w:autoSpaceDN w:val="0"/>
              <w:spacing w:before="120" w:after="120"/>
              <w:jc w:val="left"/>
              <w:textAlignment w:val="baseline"/>
              <w:rPr>
                <w:rFonts w:cs="Arial"/>
              </w:rPr>
            </w:pPr>
            <w:r w:rsidRPr="006671CF">
              <w:rPr>
                <w:rFonts w:cs="Arial"/>
              </w:rPr>
              <w:t>10 days</w:t>
            </w:r>
          </w:p>
        </w:tc>
        <w:tc>
          <w:tcPr>
            <w:tcW w:w="1275" w:type="dxa"/>
            <w:tcBorders>
              <w:top w:val="nil"/>
            </w:tcBorders>
            <w:shd w:val="clear" w:color="auto" w:fill="FFFFFF"/>
          </w:tcPr>
          <w:p w:rsidR="00EA2BA5" w:rsidRPr="006671CF" w:rsidRDefault="00EA2BA5" w:rsidP="00E96EE0">
            <w:pPr>
              <w:pStyle w:val="MarginText"/>
              <w:overflowPunct w:val="0"/>
              <w:autoSpaceDE w:val="0"/>
              <w:autoSpaceDN w:val="0"/>
              <w:spacing w:before="120" w:after="120"/>
              <w:jc w:val="left"/>
              <w:textAlignment w:val="baseline"/>
              <w:rPr>
                <w:rFonts w:cs="Arial"/>
              </w:rPr>
            </w:pPr>
            <w:r w:rsidRPr="006671CF">
              <w:rPr>
                <w:rFonts w:cs="Arial"/>
              </w:rPr>
              <w:t>31</w:t>
            </w:r>
            <w:r w:rsidRPr="006671CF">
              <w:rPr>
                <w:rFonts w:cs="Arial"/>
                <w:vertAlign w:val="superscript"/>
              </w:rPr>
              <w:t>st</w:t>
            </w:r>
            <w:r w:rsidRPr="006671CF">
              <w:rPr>
                <w:rFonts w:cs="Arial"/>
              </w:rPr>
              <w:t xml:space="preserve"> January 2015</w:t>
            </w:r>
          </w:p>
        </w:tc>
        <w:tc>
          <w:tcPr>
            <w:tcW w:w="1418" w:type="dxa"/>
            <w:tcBorders>
              <w:top w:val="nil"/>
            </w:tcBorders>
            <w:shd w:val="clear" w:color="auto" w:fill="FFFFFF"/>
          </w:tcPr>
          <w:p w:rsidR="00EA2BA5" w:rsidRPr="006671CF" w:rsidRDefault="00EA2BA5" w:rsidP="007D1D5C">
            <w:pPr>
              <w:pStyle w:val="MarginText"/>
              <w:overflowPunct w:val="0"/>
              <w:autoSpaceDE w:val="0"/>
              <w:autoSpaceDN w:val="0"/>
              <w:spacing w:before="120" w:after="120"/>
              <w:jc w:val="left"/>
              <w:textAlignment w:val="baseline"/>
              <w:rPr>
                <w:rFonts w:cs="Arial"/>
              </w:rPr>
            </w:pPr>
            <w:r w:rsidRPr="006671CF">
              <w:rPr>
                <w:rFonts w:cs="Arial"/>
              </w:rPr>
              <w:t>IA sign off</w:t>
            </w:r>
          </w:p>
          <w:p w:rsidR="00EA2BA5" w:rsidRPr="006671CF" w:rsidRDefault="00EA2BA5" w:rsidP="007D1D5C">
            <w:pPr>
              <w:pStyle w:val="MarginText"/>
              <w:overflowPunct w:val="0"/>
              <w:autoSpaceDE w:val="0"/>
              <w:autoSpaceDN w:val="0"/>
              <w:spacing w:before="120" w:after="120"/>
              <w:jc w:val="left"/>
              <w:textAlignment w:val="baseline"/>
              <w:rPr>
                <w:rFonts w:cs="Arial"/>
              </w:rPr>
            </w:pPr>
            <w:r w:rsidRPr="006671CF">
              <w:rPr>
                <w:rFonts w:cs="Arial"/>
              </w:rPr>
              <w:t>Project sign off</w:t>
            </w:r>
          </w:p>
        </w:tc>
      </w:tr>
      <w:tr w:rsidR="00EA2BA5" w:rsidRPr="007D1D5C" w:rsidTr="00763C63">
        <w:tc>
          <w:tcPr>
            <w:tcW w:w="817" w:type="dxa"/>
            <w:gridSpan w:val="2"/>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highlight w:val="green"/>
              </w:rPr>
            </w:pPr>
            <w:r w:rsidRPr="006671CF">
              <w:rPr>
                <w:rFonts w:cs="Arial"/>
              </w:rPr>
              <w:t>2</w:t>
            </w:r>
          </w:p>
        </w:tc>
        <w:tc>
          <w:tcPr>
            <w:tcW w:w="5954" w:type="dxa"/>
            <w:tcBorders>
              <w:top w:val="nil"/>
            </w:tcBorders>
            <w:shd w:val="clear" w:color="auto" w:fill="FFFFFF"/>
          </w:tcPr>
          <w:p w:rsidR="00EA2BA5" w:rsidRDefault="00EA2BA5" w:rsidP="00763C63">
            <w:r w:rsidRPr="00C9459E">
              <w:rPr>
                <w:b/>
              </w:rPr>
              <w:t>Secure data management</w:t>
            </w:r>
            <w:r>
              <w:rPr>
                <w:b/>
              </w:rPr>
              <w:t xml:space="preserve"> and Production Extracts</w:t>
            </w:r>
            <w:r w:rsidRPr="00C9459E">
              <w:rPr>
                <w:b/>
              </w:rPr>
              <w:t>:</w:t>
            </w:r>
            <w:r>
              <w:rPr>
                <w:b/>
              </w:rPr>
              <w:t xml:space="preserve"> </w:t>
            </w:r>
            <w:r>
              <w:t>Is the process of transferring all IAPS production</w:t>
            </w:r>
            <w:r w:rsidRPr="00C9459E">
              <w:t xml:space="preserve"> </w:t>
            </w:r>
            <w:r>
              <w:t>data, every two weeks, in an approved, secure manner (according to agreed and approved Data-in-Transit (DiT) processes agreed with MOJ and Sopra-Steria) from the Sopra-Steria OMNI environment to the i2N secure Air-Gapped network and securely transferring the output of reports into the OMNI environment. Every two weeks, for each data load:</w:t>
            </w:r>
          </w:p>
          <w:p w:rsidR="00EA2BA5" w:rsidRDefault="00EA2BA5" w:rsidP="00763C63">
            <w:pPr>
              <w:pStyle w:val="ListParagraph"/>
              <w:numPr>
                <w:ilvl w:val="0"/>
                <w:numId w:val="80"/>
              </w:numPr>
              <w:spacing w:before="120" w:after="0" w:line="240" w:lineRule="auto"/>
              <w:contextualSpacing w:val="0"/>
            </w:pPr>
            <w:r>
              <w:t>A SC cleared member of the i2N staff travels to the Sopra-Steria offices at Hemel Hempstead and collects the data on a Kingston Data Traveller and transports to i2N Offices in Wantage in Oxfordshire.</w:t>
            </w:r>
          </w:p>
          <w:p w:rsidR="00EA2BA5" w:rsidRDefault="00EA2BA5" w:rsidP="00763C63">
            <w:pPr>
              <w:pStyle w:val="ListParagraph"/>
              <w:numPr>
                <w:ilvl w:val="0"/>
                <w:numId w:val="80"/>
              </w:numPr>
              <w:spacing w:before="120" w:after="0" w:line="240" w:lineRule="auto"/>
              <w:contextualSpacing w:val="0"/>
            </w:pPr>
            <w:r>
              <w:t>Download sheep-dip and install latest anti-virus and software patches into the air-gapped network and apply to all servers.</w:t>
            </w:r>
          </w:p>
          <w:p w:rsidR="00EA2BA5" w:rsidRDefault="00EA2BA5" w:rsidP="00763C63">
            <w:pPr>
              <w:pStyle w:val="ListParagraph"/>
              <w:numPr>
                <w:ilvl w:val="0"/>
                <w:numId w:val="80"/>
              </w:numPr>
              <w:spacing w:before="120" w:after="0" w:line="240" w:lineRule="auto"/>
              <w:contextualSpacing w:val="0"/>
            </w:pPr>
            <w:r>
              <w:t>Load the latest ant-virus definitions onto i2N stand-alone “sheep-dip” environment.</w:t>
            </w:r>
          </w:p>
          <w:p w:rsidR="00EA2BA5" w:rsidRDefault="00EA2BA5" w:rsidP="00763C63">
            <w:pPr>
              <w:pStyle w:val="ListParagraph"/>
              <w:numPr>
                <w:ilvl w:val="0"/>
                <w:numId w:val="80"/>
              </w:numPr>
              <w:spacing w:before="120" w:after="0" w:line="240" w:lineRule="auto"/>
              <w:contextualSpacing w:val="0"/>
            </w:pPr>
            <w:r>
              <w:t>Scan incoming data in the sheep dip environment and remove any viruses detected</w:t>
            </w:r>
          </w:p>
          <w:p w:rsidR="00EA2BA5" w:rsidRDefault="00EA2BA5" w:rsidP="00763C63">
            <w:pPr>
              <w:pStyle w:val="ListParagraph"/>
              <w:numPr>
                <w:ilvl w:val="0"/>
                <w:numId w:val="80"/>
              </w:numPr>
              <w:spacing w:before="120" w:after="0" w:line="240" w:lineRule="auto"/>
              <w:contextualSpacing w:val="0"/>
            </w:pPr>
            <w:r>
              <w:t>Transfer scanned data into updated Air-gapped environment and import into Oracle</w:t>
            </w:r>
          </w:p>
          <w:p w:rsidR="00EA2BA5" w:rsidRDefault="00EA2BA5" w:rsidP="00763C63">
            <w:pPr>
              <w:pStyle w:val="ListParagraph"/>
              <w:numPr>
                <w:ilvl w:val="0"/>
                <w:numId w:val="80"/>
              </w:numPr>
              <w:spacing w:before="120" w:after="0" w:line="240" w:lineRule="auto"/>
              <w:contextualSpacing w:val="0"/>
            </w:pPr>
            <w:r>
              <w:t>Erase the data on the Kingston Data Traveller using the Data Traveller erase function and store into SEAP cabinet in secure server room.</w:t>
            </w:r>
          </w:p>
          <w:p w:rsidR="00EA2BA5" w:rsidRDefault="00EA2BA5" w:rsidP="00763C63">
            <w:pPr>
              <w:pStyle w:val="ListParagraph"/>
              <w:numPr>
                <w:ilvl w:val="0"/>
                <w:numId w:val="80"/>
              </w:numPr>
              <w:spacing w:before="120" w:after="0" w:line="240" w:lineRule="auto"/>
              <w:contextualSpacing w:val="0"/>
            </w:pPr>
            <w:r>
              <w:t>RE-start ETL process to incrementally update SQL Server from Oracle</w:t>
            </w:r>
          </w:p>
          <w:p w:rsidR="00EA2BA5" w:rsidRDefault="00EA2BA5" w:rsidP="00763C63">
            <w:pPr>
              <w:pStyle w:val="ListParagraph"/>
              <w:numPr>
                <w:ilvl w:val="0"/>
                <w:numId w:val="80"/>
              </w:numPr>
              <w:spacing w:before="120" w:after="0" w:line="240" w:lineRule="auto"/>
              <w:contextualSpacing w:val="0"/>
            </w:pPr>
            <w:r>
              <w:t>Run each of the 9 standard extracts for each of 21 CRCs, &amp; NPS Division and National and transfer the 261 extract files to Kingston Data Traveller and verify successful completion.</w:t>
            </w:r>
          </w:p>
          <w:p w:rsidR="00EA2BA5" w:rsidRDefault="00EA2BA5" w:rsidP="00763C63">
            <w:pPr>
              <w:pStyle w:val="ListParagraph"/>
              <w:numPr>
                <w:ilvl w:val="0"/>
                <w:numId w:val="80"/>
              </w:numPr>
              <w:spacing w:before="120" w:after="0" w:line="240" w:lineRule="auto"/>
              <w:contextualSpacing w:val="0"/>
            </w:pPr>
            <w:r>
              <w:t>Sheep-dip the data traveller and remove any virus</w:t>
            </w:r>
          </w:p>
          <w:p w:rsidR="00EA2BA5" w:rsidRDefault="00EA2BA5" w:rsidP="00763C63">
            <w:pPr>
              <w:pStyle w:val="ListParagraph"/>
              <w:numPr>
                <w:ilvl w:val="0"/>
                <w:numId w:val="80"/>
              </w:numPr>
              <w:spacing w:before="120" w:after="0" w:line="240" w:lineRule="auto"/>
              <w:contextualSpacing w:val="0"/>
            </w:pPr>
            <w:r>
              <w:t xml:space="preserve">Insert the data traveller into the RAS machines, generate emails for each of the 19 users and detach the fields directly from the data traveller and attach to the relevant emails (note that the data does not get stored in the RAS machine) double-checking that each users (CRC &amp; NPS) gets the correct data by independent verification. </w:t>
            </w:r>
          </w:p>
          <w:p w:rsidR="00EA2BA5" w:rsidRDefault="00EA2BA5" w:rsidP="00763C63">
            <w:pPr>
              <w:pStyle w:val="ListParagraph"/>
              <w:numPr>
                <w:ilvl w:val="0"/>
                <w:numId w:val="80"/>
              </w:numPr>
              <w:spacing w:before="120" w:after="0" w:line="240" w:lineRule="auto"/>
              <w:contextualSpacing w:val="0"/>
            </w:pPr>
            <w:r>
              <w:t xml:space="preserve">Send emails via probation mail to the i2N Service Desk for the Service Desk to verify and email to individual service accounts and verify receipt.  </w:t>
            </w:r>
          </w:p>
          <w:p w:rsidR="00EA2BA5" w:rsidRPr="00763C63" w:rsidRDefault="00EA2BA5" w:rsidP="00763C63">
            <w:pPr>
              <w:pStyle w:val="ListParagraph"/>
              <w:numPr>
                <w:ilvl w:val="0"/>
                <w:numId w:val="80"/>
              </w:numPr>
              <w:spacing w:before="120" w:after="0" w:line="240" w:lineRule="auto"/>
              <w:contextualSpacing w:val="0"/>
            </w:pPr>
            <w:r>
              <w:t>Erase the data traveller and store in SEAP cabinet (two data travellers are dedicated to this process)</w:t>
            </w:r>
          </w:p>
        </w:tc>
        <w:tc>
          <w:tcPr>
            <w:tcW w:w="1134" w:type="dxa"/>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rPr>
            </w:pPr>
            <w:r w:rsidRPr="006671CF">
              <w:rPr>
                <w:rFonts w:cs="Arial"/>
              </w:rPr>
              <w:t>15 days</w:t>
            </w:r>
          </w:p>
        </w:tc>
        <w:tc>
          <w:tcPr>
            <w:tcW w:w="1275" w:type="dxa"/>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rPr>
            </w:pPr>
            <w:r w:rsidRPr="006671CF">
              <w:rPr>
                <w:rFonts w:cs="Arial"/>
              </w:rPr>
              <w:t>Twice monthly on dates below</w:t>
            </w:r>
          </w:p>
        </w:tc>
        <w:tc>
          <w:tcPr>
            <w:tcW w:w="1418" w:type="dxa"/>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rPr>
            </w:pPr>
            <w:r w:rsidRPr="006671CF">
              <w:rPr>
                <w:rFonts w:cs="Arial"/>
              </w:rPr>
              <w:t>Timely provision of data-cuts</w:t>
            </w:r>
          </w:p>
        </w:tc>
      </w:tr>
      <w:tr w:rsidR="00EA2BA5" w:rsidRPr="00785D74" w:rsidTr="00763C63">
        <w:tc>
          <w:tcPr>
            <w:tcW w:w="817" w:type="dxa"/>
            <w:gridSpan w:val="2"/>
            <w:tcBorders>
              <w:top w:val="nil"/>
            </w:tcBorders>
            <w:shd w:val="clear" w:color="auto" w:fill="FFFFFF"/>
          </w:tcPr>
          <w:p w:rsidR="00EA2BA5" w:rsidRPr="006671CF" w:rsidRDefault="00EA2BA5" w:rsidP="00263FF1">
            <w:pPr>
              <w:pStyle w:val="MarginText"/>
              <w:overflowPunct w:val="0"/>
              <w:autoSpaceDE w:val="0"/>
              <w:autoSpaceDN w:val="0"/>
              <w:jc w:val="left"/>
              <w:textAlignment w:val="baseline"/>
              <w:rPr>
                <w:rFonts w:cs="Arial"/>
              </w:rPr>
            </w:pPr>
            <w:r w:rsidRPr="006671CF">
              <w:rPr>
                <w:rFonts w:cs="Arial"/>
              </w:rPr>
              <w:t>3</w:t>
            </w:r>
          </w:p>
        </w:tc>
        <w:tc>
          <w:tcPr>
            <w:tcW w:w="5954" w:type="dxa"/>
            <w:tcBorders>
              <w:top w:val="nil"/>
            </w:tcBorders>
            <w:shd w:val="clear" w:color="auto" w:fill="FFFFFF"/>
          </w:tcPr>
          <w:p w:rsidR="00EA2BA5" w:rsidRDefault="00EA2BA5" w:rsidP="00763C63">
            <w:r w:rsidRPr="00A91F76">
              <w:rPr>
                <w:b/>
              </w:rPr>
              <w:t>Support:</w:t>
            </w:r>
            <w:r>
              <w:rPr>
                <w:b/>
              </w:rPr>
              <w:t xml:space="preserve"> </w:t>
            </w:r>
            <w:r>
              <w:t>The i2N Air-gapped environment will be operating as a live service with live data</w:t>
            </w:r>
            <w:r>
              <w:rPr>
                <w:b/>
              </w:rPr>
              <w:t xml:space="preserve"> </w:t>
            </w:r>
            <w:r>
              <w:t>User and support will be provided through the i2N Service Desk using the i2N ITIL Incident Management processes. The Service Desk will provide:</w:t>
            </w:r>
          </w:p>
          <w:p w:rsidR="00EA2BA5" w:rsidRDefault="00EA2BA5" w:rsidP="00763C63">
            <w:pPr>
              <w:pStyle w:val="ListParagraph"/>
              <w:numPr>
                <w:ilvl w:val="0"/>
                <w:numId w:val="80"/>
              </w:numPr>
              <w:spacing w:before="120" w:after="0" w:line="240" w:lineRule="auto"/>
              <w:contextualSpacing w:val="0"/>
            </w:pPr>
            <w:r>
              <w:t>Support to each of the 29 customer organisations for incident management and resolution</w:t>
            </w:r>
          </w:p>
          <w:p w:rsidR="00EA2BA5" w:rsidRDefault="00EA2BA5" w:rsidP="00763C63">
            <w:pPr>
              <w:pStyle w:val="ListParagraph"/>
              <w:numPr>
                <w:ilvl w:val="0"/>
                <w:numId w:val="80"/>
              </w:numPr>
              <w:spacing w:before="120" w:after="0" w:line="240" w:lineRule="auto"/>
              <w:contextualSpacing w:val="0"/>
            </w:pPr>
            <w:r>
              <w:t>The Service Desk will be supported by three application consultants with skills covering Oracle &amp; SQL Servers, Business Objects, C# (ETL) and SOAP interface</w:t>
            </w:r>
          </w:p>
          <w:p w:rsidR="00EA2BA5" w:rsidRDefault="00EA2BA5" w:rsidP="00763C63">
            <w:pPr>
              <w:pStyle w:val="ListParagraph"/>
              <w:numPr>
                <w:ilvl w:val="0"/>
                <w:numId w:val="80"/>
              </w:numPr>
              <w:spacing w:before="120" w:after="0" w:line="240" w:lineRule="auto"/>
              <w:contextualSpacing w:val="0"/>
            </w:pPr>
            <w:r>
              <w:t>The Service desk will also be supported by the i2N Infrastructure support team with skills in windows operating system, networking, virtualisation, Active Directory and database administration</w:t>
            </w:r>
          </w:p>
          <w:p w:rsidR="00EA2BA5" w:rsidRPr="00763C63" w:rsidRDefault="00EA2BA5" w:rsidP="00763C63">
            <w:pPr>
              <w:pStyle w:val="ListParagraph"/>
              <w:numPr>
                <w:ilvl w:val="0"/>
                <w:numId w:val="80"/>
              </w:numPr>
              <w:spacing w:before="120" w:after="0" w:line="240" w:lineRule="auto"/>
              <w:contextualSpacing w:val="0"/>
            </w:pPr>
            <w:r>
              <w:t>The hosting support team is remote from the Wantage Air-gapped network which cannot be accessed from Copdock where support is based so staff members may need to travel to Wantage if required on-site</w:t>
            </w:r>
          </w:p>
        </w:tc>
        <w:tc>
          <w:tcPr>
            <w:tcW w:w="1134" w:type="dxa"/>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rPr>
            </w:pPr>
            <w:r w:rsidRPr="006671CF">
              <w:rPr>
                <w:rFonts w:cs="Arial"/>
              </w:rPr>
              <w:t>Duration of project</w:t>
            </w:r>
          </w:p>
        </w:tc>
        <w:tc>
          <w:tcPr>
            <w:tcW w:w="1275" w:type="dxa"/>
            <w:tcBorders>
              <w:top w:val="nil"/>
            </w:tcBorders>
            <w:shd w:val="clear" w:color="auto" w:fill="FFFFFF"/>
          </w:tcPr>
          <w:p w:rsidR="00EA2BA5" w:rsidRPr="006671CF" w:rsidRDefault="00EA2BA5" w:rsidP="00E96EE0">
            <w:pPr>
              <w:pStyle w:val="MarginText"/>
              <w:overflowPunct w:val="0"/>
              <w:autoSpaceDE w:val="0"/>
              <w:autoSpaceDN w:val="0"/>
              <w:spacing w:before="120" w:after="120"/>
              <w:jc w:val="left"/>
              <w:textAlignment w:val="baseline"/>
              <w:rPr>
                <w:rFonts w:cs="Arial"/>
              </w:rPr>
            </w:pPr>
            <w:r w:rsidRPr="006671CF">
              <w:rPr>
                <w:rFonts w:cs="Arial"/>
              </w:rPr>
              <w:t>1</w:t>
            </w:r>
            <w:r w:rsidRPr="006671CF">
              <w:rPr>
                <w:rFonts w:cs="Arial"/>
                <w:vertAlign w:val="superscript"/>
              </w:rPr>
              <w:t>st</w:t>
            </w:r>
            <w:r w:rsidRPr="006671CF">
              <w:rPr>
                <w:rFonts w:cs="Arial"/>
              </w:rPr>
              <w:t xml:space="preserve"> Feb 2015 to 1</w:t>
            </w:r>
            <w:r w:rsidRPr="006671CF">
              <w:rPr>
                <w:rFonts w:cs="Arial"/>
                <w:vertAlign w:val="superscript"/>
              </w:rPr>
              <w:t>st</w:t>
            </w:r>
            <w:r w:rsidRPr="006671CF">
              <w:rPr>
                <w:rFonts w:cs="Arial"/>
              </w:rPr>
              <w:t xml:space="preserve"> Feb 2016</w:t>
            </w:r>
          </w:p>
        </w:tc>
        <w:tc>
          <w:tcPr>
            <w:tcW w:w="1418" w:type="dxa"/>
            <w:tcBorders>
              <w:top w:val="nil"/>
            </w:tcBorders>
            <w:shd w:val="clear" w:color="auto" w:fill="FFFFFF"/>
          </w:tcPr>
          <w:p w:rsidR="00EA2BA5" w:rsidRPr="006671CF" w:rsidRDefault="00EA2BA5" w:rsidP="00263FF1">
            <w:pPr>
              <w:pStyle w:val="MarginText"/>
              <w:overflowPunct w:val="0"/>
              <w:autoSpaceDE w:val="0"/>
              <w:autoSpaceDN w:val="0"/>
              <w:jc w:val="left"/>
              <w:textAlignment w:val="baseline"/>
              <w:rPr>
                <w:rFonts w:cs="Arial"/>
              </w:rPr>
            </w:pPr>
            <w:r w:rsidRPr="006671CF">
              <w:rPr>
                <w:rFonts w:cs="Arial"/>
              </w:rPr>
              <w:t xml:space="preserve"> </w:t>
            </w:r>
          </w:p>
        </w:tc>
      </w:tr>
      <w:tr w:rsidR="00EA2BA5" w:rsidRPr="00785D74" w:rsidTr="00763C63">
        <w:tc>
          <w:tcPr>
            <w:tcW w:w="817" w:type="dxa"/>
            <w:gridSpan w:val="2"/>
            <w:tcBorders>
              <w:top w:val="nil"/>
            </w:tcBorders>
            <w:shd w:val="clear" w:color="auto" w:fill="FFFFFF"/>
          </w:tcPr>
          <w:p w:rsidR="00EA2BA5" w:rsidRPr="006671CF" w:rsidRDefault="00EA2BA5" w:rsidP="00EE3C6C">
            <w:pPr>
              <w:pStyle w:val="MarginText"/>
              <w:overflowPunct w:val="0"/>
              <w:autoSpaceDE w:val="0"/>
              <w:autoSpaceDN w:val="0"/>
              <w:jc w:val="left"/>
              <w:textAlignment w:val="baseline"/>
              <w:rPr>
                <w:rFonts w:cs="Arial"/>
              </w:rPr>
            </w:pPr>
            <w:r w:rsidRPr="006671CF">
              <w:rPr>
                <w:rFonts w:cs="Arial"/>
              </w:rPr>
              <w:t>4</w:t>
            </w:r>
          </w:p>
        </w:tc>
        <w:tc>
          <w:tcPr>
            <w:tcW w:w="5954" w:type="dxa"/>
            <w:tcBorders>
              <w:top w:val="nil"/>
            </w:tcBorders>
            <w:shd w:val="clear" w:color="auto" w:fill="FFFFFF"/>
          </w:tcPr>
          <w:p w:rsidR="00EA2BA5" w:rsidRDefault="00EA2BA5" w:rsidP="00287BF2">
            <w:r>
              <w:rPr>
                <w:b/>
              </w:rPr>
              <w:t xml:space="preserve">Hosting: </w:t>
            </w:r>
            <w:r>
              <w:t xml:space="preserve"> The i2N Air-Gapped network, already accredited by MOJ for holding Official Enhanced secure data, will be dedicated for the duration, to running the IAPS report MIS system. Hosting costs for each month are based on the costs of providing:</w:t>
            </w:r>
          </w:p>
          <w:p w:rsidR="00EA2BA5" w:rsidRDefault="00EA2BA5" w:rsidP="00287BF2">
            <w:pPr>
              <w:pStyle w:val="ListParagraph"/>
              <w:numPr>
                <w:ilvl w:val="0"/>
                <w:numId w:val="85"/>
              </w:numPr>
              <w:spacing w:before="120" w:after="0" w:line="240" w:lineRule="auto"/>
              <w:contextualSpacing w:val="0"/>
            </w:pPr>
            <w:r>
              <w:t xml:space="preserve">Air-gapped environment containing physical servers (not connected to any other devices) </w:t>
            </w:r>
          </w:p>
          <w:p w:rsidR="00EA2BA5" w:rsidRDefault="00EA2BA5" w:rsidP="00287BF2">
            <w:pPr>
              <w:pStyle w:val="ListParagraph"/>
              <w:numPr>
                <w:ilvl w:val="0"/>
                <w:numId w:val="85"/>
              </w:numPr>
              <w:spacing w:before="120" w:after="0" w:line="240" w:lineRule="auto"/>
              <w:contextualSpacing w:val="0"/>
            </w:pPr>
            <w:r>
              <w:t xml:space="preserve">Secure rack-mounted clients within the SEAP cabinet remotely accessed via KVM extenders </w:t>
            </w:r>
          </w:p>
          <w:p w:rsidR="00EA2BA5" w:rsidRDefault="00EA2BA5" w:rsidP="00287BF2">
            <w:pPr>
              <w:pStyle w:val="ListParagraph"/>
              <w:numPr>
                <w:ilvl w:val="0"/>
                <w:numId w:val="85"/>
              </w:numPr>
              <w:spacing w:before="120" w:after="0" w:line="240" w:lineRule="auto"/>
              <w:contextualSpacing w:val="0"/>
            </w:pPr>
            <w:r>
              <w:t>Usage of physical servers and networks to provide the isolated virtual environment</w:t>
            </w:r>
          </w:p>
          <w:p w:rsidR="00EA2BA5" w:rsidRDefault="00EA2BA5" w:rsidP="00287BF2">
            <w:pPr>
              <w:pStyle w:val="ListParagraph"/>
              <w:numPr>
                <w:ilvl w:val="0"/>
                <w:numId w:val="85"/>
              </w:numPr>
              <w:spacing w:before="120" w:after="0" w:line="240" w:lineRule="auto"/>
              <w:contextualSpacing w:val="0"/>
            </w:pPr>
            <w:r>
              <w:t xml:space="preserve">Power, air-conditioning, UPS </w:t>
            </w:r>
          </w:p>
          <w:p w:rsidR="00EA2BA5" w:rsidRDefault="00EA2BA5" w:rsidP="00287BF2">
            <w:pPr>
              <w:pStyle w:val="ListParagraph"/>
              <w:numPr>
                <w:ilvl w:val="0"/>
                <w:numId w:val="85"/>
              </w:numPr>
              <w:spacing w:before="120" w:after="0" w:line="240" w:lineRule="auto"/>
              <w:contextualSpacing w:val="0"/>
            </w:pPr>
            <w:r>
              <w:t>Secure server-room with restricted magnetic fob controlled double-door air-locked access.</w:t>
            </w:r>
          </w:p>
          <w:p w:rsidR="00EA2BA5" w:rsidRDefault="00EA2BA5" w:rsidP="00287BF2">
            <w:pPr>
              <w:pStyle w:val="ListParagraph"/>
              <w:numPr>
                <w:ilvl w:val="0"/>
                <w:numId w:val="85"/>
              </w:numPr>
              <w:spacing w:before="120" w:after="0" w:line="240" w:lineRule="auto"/>
              <w:contextualSpacing w:val="0"/>
            </w:pPr>
            <w:r>
              <w:t>Approved SEAP cabinet security for all components and network terminations</w:t>
            </w:r>
          </w:p>
          <w:p w:rsidR="00EA2BA5" w:rsidRDefault="00EA2BA5" w:rsidP="00287BF2">
            <w:pPr>
              <w:pStyle w:val="ListParagraph"/>
              <w:numPr>
                <w:ilvl w:val="0"/>
                <w:numId w:val="85"/>
              </w:numPr>
              <w:spacing w:before="120" w:after="0" w:line="240" w:lineRule="auto"/>
              <w:contextualSpacing w:val="0"/>
            </w:pPr>
            <w:r>
              <w:t>Secure premises (inspected and assessed by MOJ)  with secure access</w:t>
            </w:r>
          </w:p>
          <w:p w:rsidR="00EA2BA5" w:rsidRDefault="00EA2BA5" w:rsidP="00287BF2">
            <w:pPr>
              <w:pStyle w:val="ListParagraph"/>
              <w:numPr>
                <w:ilvl w:val="0"/>
                <w:numId w:val="85"/>
              </w:numPr>
              <w:spacing w:before="120" w:after="0" w:line="240" w:lineRule="auto"/>
              <w:contextualSpacing w:val="0"/>
            </w:pPr>
            <w:r>
              <w:t>Remotely monitored camera surveillance of rooms and corridors</w:t>
            </w:r>
          </w:p>
          <w:p w:rsidR="00EA2BA5" w:rsidRDefault="00EA2BA5" w:rsidP="00287BF2">
            <w:pPr>
              <w:pStyle w:val="ListParagraph"/>
              <w:numPr>
                <w:ilvl w:val="0"/>
                <w:numId w:val="85"/>
              </w:numPr>
              <w:spacing w:before="120" w:after="0" w:line="240" w:lineRule="auto"/>
              <w:contextualSpacing w:val="0"/>
            </w:pPr>
            <w:r>
              <w:t>Security Cleared Staff only accessing secure areas</w:t>
            </w:r>
          </w:p>
          <w:p w:rsidR="00EA2BA5" w:rsidRDefault="00EA2BA5" w:rsidP="00287BF2">
            <w:pPr>
              <w:pStyle w:val="ListParagraph"/>
              <w:numPr>
                <w:ilvl w:val="0"/>
                <w:numId w:val="85"/>
              </w:numPr>
              <w:spacing w:before="120" w:after="0" w:line="240" w:lineRule="auto"/>
              <w:contextualSpacing w:val="0"/>
            </w:pPr>
            <w:r>
              <w:t>i2N ISMS processes and procedures which are</w:t>
            </w:r>
            <w:r w:rsidRPr="00895590">
              <w:t xml:space="preserve"> </w:t>
            </w:r>
            <w:r>
              <w:t>ISO 27001 accredited</w:t>
            </w:r>
          </w:p>
          <w:p w:rsidR="00EA2BA5" w:rsidRPr="00A92116" w:rsidRDefault="00EA2BA5" w:rsidP="00287BF2">
            <w:pPr>
              <w:pStyle w:val="ListParagraph"/>
              <w:numPr>
                <w:ilvl w:val="0"/>
                <w:numId w:val="85"/>
              </w:numPr>
              <w:spacing w:after="120" w:line="240" w:lineRule="auto"/>
              <w:jc w:val="both"/>
              <w:rPr>
                <w:rFonts w:cs="Arial"/>
              </w:rPr>
            </w:pPr>
            <w:r>
              <w:t>Facilities for visiting MOJ staff to use, by prior arrangement,  the i2N Wantage office facilities to access the data directly and utilise the MIS system for ad-hoc queries and new report development</w:t>
            </w:r>
          </w:p>
        </w:tc>
        <w:tc>
          <w:tcPr>
            <w:tcW w:w="1134" w:type="dxa"/>
            <w:tcBorders>
              <w:top w:val="nil"/>
            </w:tcBorders>
            <w:shd w:val="clear" w:color="auto" w:fill="FFFFFF"/>
          </w:tcPr>
          <w:p w:rsidR="00EA2BA5" w:rsidRPr="006671CF" w:rsidRDefault="00EA2BA5" w:rsidP="00F26025">
            <w:pPr>
              <w:pStyle w:val="MarginText"/>
              <w:overflowPunct w:val="0"/>
              <w:autoSpaceDE w:val="0"/>
              <w:autoSpaceDN w:val="0"/>
              <w:spacing w:before="120" w:after="120"/>
              <w:jc w:val="left"/>
              <w:textAlignment w:val="baseline"/>
              <w:rPr>
                <w:rFonts w:cs="Arial"/>
              </w:rPr>
            </w:pPr>
            <w:r w:rsidRPr="006671CF">
              <w:rPr>
                <w:rFonts w:cs="Arial"/>
              </w:rPr>
              <w:t>Duration of project</w:t>
            </w:r>
          </w:p>
        </w:tc>
        <w:tc>
          <w:tcPr>
            <w:tcW w:w="1275" w:type="dxa"/>
            <w:tcBorders>
              <w:top w:val="nil"/>
            </w:tcBorders>
            <w:shd w:val="clear" w:color="auto" w:fill="FFFFFF"/>
          </w:tcPr>
          <w:p w:rsidR="00EA2BA5" w:rsidRPr="006671CF" w:rsidRDefault="00EA2BA5" w:rsidP="00EE3C6C">
            <w:pPr>
              <w:pStyle w:val="MarginText"/>
              <w:overflowPunct w:val="0"/>
              <w:autoSpaceDE w:val="0"/>
              <w:autoSpaceDN w:val="0"/>
              <w:spacing w:before="120" w:after="120"/>
              <w:jc w:val="left"/>
              <w:textAlignment w:val="baseline"/>
              <w:rPr>
                <w:rFonts w:cs="Arial"/>
              </w:rPr>
            </w:pPr>
            <w:r w:rsidRPr="006671CF">
              <w:rPr>
                <w:rFonts w:cs="Arial"/>
              </w:rPr>
              <w:t>1</w:t>
            </w:r>
            <w:r w:rsidRPr="006671CF">
              <w:rPr>
                <w:rFonts w:cs="Arial"/>
                <w:vertAlign w:val="superscript"/>
              </w:rPr>
              <w:t>st</w:t>
            </w:r>
            <w:r w:rsidRPr="006671CF">
              <w:rPr>
                <w:rFonts w:cs="Arial"/>
              </w:rPr>
              <w:t xml:space="preserve"> Feb 2015 to 1</w:t>
            </w:r>
            <w:r w:rsidRPr="006671CF">
              <w:rPr>
                <w:rFonts w:cs="Arial"/>
                <w:vertAlign w:val="superscript"/>
              </w:rPr>
              <w:t>st</w:t>
            </w:r>
            <w:r w:rsidRPr="006671CF">
              <w:rPr>
                <w:rFonts w:cs="Arial"/>
              </w:rPr>
              <w:t xml:space="preserve"> Feb 2016</w:t>
            </w:r>
          </w:p>
        </w:tc>
        <w:tc>
          <w:tcPr>
            <w:tcW w:w="1418" w:type="dxa"/>
            <w:tcBorders>
              <w:top w:val="nil"/>
            </w:tcBorders>
            <w:shd w:val="clear" w:color="auto" w:fill="FFFFFF"/>
          </w:tcPr>
          <w:p w:rsidR="00EA2BA5" w:rsidRPr="006671CF" w:rsidRDefault="00EA2BA5" w:rsidP="00EE3C6C">
            <w:pPr>
              <w:pStyle w:val="MarginText"/>
              <w:overflowPunct w:val="0"/>
              <w:autoSpaceDE w:val="0"/>
              <w:autoSpaceDN w:val="0"/>
              <w:jc w:val="left"/>
              <w:textAlignment w:val="baseline"/>
              <w:rPr>
                <w:rFonts w:cs="Arial"/>
              </w:rPr>
            </w:pPr>
          </w:p>
        </w:tc>
      </w:tr>
      <w:tr w:rsidR="00EA2BA5" w:rsidRPr="00785D74" w:rsidTr="00263FF1">
        <w:trPr>
          <w:gridBefore w:val="1"/>
        </w:trPr>
        <w:tc>
          <w:tcPr>
            <w:tcW w:w="10598" w:type="dxa"/>
            <w:gridSpan w:val="5"/>
            <w:tcBorders>
              <w:bottom w:val="nil"/>
            </w:tcBorders>
            <w:shd w:val="clear" w:color="auto" w:fill="FFFFFF"/>
          </w:tcPr>
          <w:p w:rsidR="00EA2BA5" w:rsidRDefault="00EA2BA5" w:rsidP="00287BF2"/>
          <w:p w:rsidR="00EA2BA5" w:rsidRDefault="00EA2BA5" w:rsidP="00287BF2"/>
          <w:p w:rsidR="00EA2BA5" w:rsidRDefault="00EA2BA5" w:rsidP="00287BF2">
            <w:r>
              <w:t>The detailed monthly timetable is shown in the table below. This can be adjusted depending on business needs but is our understanding of how the historical reporting solution was used and so is designed to meet the business needs.</w:t>
            </w:r>
          </w:p>
          <w:p w:rsidR="00EA2BA5" w:rsidRDefault="00EA2BA5" w:rsidP="00287BF2"/>
          <w:tbl>
            <w:tblPr>
              <w:tblW w:w="7528"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2551"/>
              <w:gridCol w:w="2977"/>
            </w:tblGrid>
            <w:tr w:rsidR="00EA2BA5" w:rsidTr="008006B7">
              <w:trPr>
                <w:trHeight w:val="876"/>
                <w:tblHeader/>
              </w:trPr>
              <w:tc>
                <w:tcPr>
                  <w:tcW w:w="2000"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757805">
                  <w:pPr>
                    <w:rPr>
                      <w:b/>
                      <w:bCs/>
                      <w:color w:val="000000"/>
                      <w:sz w:val="22"/>
                      <w:lang w:eastAsia="en-GB"/>
                    </w:rPr>
                  </w:pPr>
                  <w:r w:rsidRPr="008006B7">
                    <w:rPr>
                      <w:b/>
                      <w:bCs/>
                      <w:color w:val="000000"/>
                      <w:lang w:eastAsia="en-GB"/>
                    </w:rPr>
                    <w:t>Data Extraction (overnight)</w:t>
                  </w:r>
                </w:p>
              </w:tc>
              <w:tc>
                <w:tcPr>
                  <w:tcW w:w="2551"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757805">
                  <w:pPr>
                    <w:rPr>
                      <w:b/>
                      <w:bCs/>
                      <w:color w:val="000000"/>
                      <w:sz w:val="22"/>
                      <w:lang w:eastAsia="en-GB"/>
                    </w:rPr>
                  </w:pPr>
                  <w:r w:rsidRPr="008006B7">
                    <w:rPr>
                      <w:b/>
                      <w:bCs/>
                      <w:color w:val="000000"/>
                      <w:lang w:eastAsia="en-GB"/>
                    </w:rPr>
                    <w:t>Transfer data to Secure USB</w:t>
                  </w:r>
                </w:p>
              </w:tc>
              <w:tc>
                <w:tcPr>
                  <w:tcW w:w="2977" w:type="dxa"/>
                  <w:tcBorders>
                    <w:top w:val="single" w:sz="4" w:space="0" w:color="auto"/>
                    <w:left w:val="single" w:sz="4" w:space="0" w:color="auto"/>
                    <w:bottom w:val="single" w:sz="4" w:space="0" w:color="auto"/>
                    <w:right w:val="single" w:sz="4" w:space="0" w:color="auto"/>
                  </w:tcBorders>
                  <w:shd w:val="clear" w:color="auto" w:fill="8DB3E2"/>
                </w:tcPr>
                <w:p w:rsidR="00EA2BA5" w:rsidRPr="008006B7" w:rsidRDefault="00EA2BA5" w:rsidP="00757805">
                  <w:pPr>
                    <w:rPr>
                      <w:b/>
                      <w:bCs/>
                      <w:color w:val="000000"/>
                      <w:sz w:val="22"/>
                      <w:lang w:eastAsia="en-GB"/>
                    </w:rPr>
                  </w:pPr>
                  <w:r w:rsidRPr="008006B7">
                    <w:rPr>
                      <w:b/>
                      <w:bCs/>
                      <w:color w:val="000000"/>
                      <w:lang w:eastAsia="en-GB"/>
                    </w:rPr>
                    <w:t>Collect by i2N</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Sun 1 Feb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2 Feb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3 Feb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Sun 15 Feb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16 Feb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17 Feb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Sun 1 Mar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2 Mar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3 Mar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Sun 15 Mar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16 Mar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17 Mar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1 Apr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Thurs 2 Apr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Fri 3 Apr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15 Apr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Thurs 16 Apr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Fri 17 Apr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 5 May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6 May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Fri 7 May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Sun 17 May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18 May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19 May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1 Jun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2 Jun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3 Jun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Mon 15 Jun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Tues 16 Jun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17 Jun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1 Jul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Thurs 2 Jul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Fri 3 Jul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Wed 15 Jul 15</w:t>
                  </w:r>
                </w:p>
              </w:tc>
              <w:tc>
                <w:tcPr>
                  <w:tcW w:w="2551"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Thurs 16 Jul 15</w:t>
                  </w:r>
                </w:p>
              </w:tc>
              <w:tc>
                <w:tcPr>
                  <w:tcW w:w="2977"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sz w:val="22"/>
                      <w:lang w:eastAsia="en-GB"/>
                    </w:rPr>
                  </w:pPr>
                  <w:r w:rsidRPr="008006B7">
                    <w:rPr>
                      <w:color w:val="000000"/>
                      <w:lang w:eastAsia="en-GB"/>
                    </w:rPr>
                    <w:t>Fri 17 Jul 15</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lang w:eastAsia="en-GB"/>
                    </w:rPr>
                  </w:pPr>
                  <w:r w:rsidRPr="008006B7">
                    <w:rPr>
                      <w:color w:val="000000"/>
                      <w:lang w:eastAsia="en-GB"/>
                    </w:rPr>
                    <w:t>Sun 1 Aug</w:t>
                  </w:r>
                </w:p>
              </w:tc>
              <w:tc>
                <w:tcPr>
                  <w:tcW w:w="2551" w:type="dxa"/>
                  <w:tcBorders>
                    <w:top w:val="single" w:sz="4" w:space="0" w:color="auto"/>
                    <w:left w:val="single" w:sz="4" w:space="0" w:color="auto"/>
                    <w:bottom w:val="single" w:sz="4" w:space="0" w:color="auto"/>
                    <w:right w:val="single" w:sz="4" w:space="0" w:color="auto"/>
                  </w:tcBorders>
                  <w:noWrap/>
                </w:tcPr>
                <w:p w:rsidR="00EA2BA5" w:rsidRPr="00285B81" w:rsidRDefault="00EA2BA5" w:rsidP="00757805">
                  <w:r w:rsidRPr="00285B81">
                    <w:t xml:space="preserve">Sun </w:t>
                  </w:r>
                  <w:r>
                    <w:t>2</w:t>
                  </w:r>
                  <w:r w:rsidRPr="00285B81">
                    <w:t xml:space="preserve"> Aug</w:t>
                  </w:r>
                </w:p>
              </w:tc>
              <w:tc>
                <w:tcPr>
                  <w:tcW w:w="2977" w:type="dxa"/>
                  <w:tcBorders>
                    <w:top w:val="single" w:sz="4" w:space="0" w:color="auto"/>
                    <w:left w:val="single" w:sz="4" w:space="0" w:color="auto"/>
                    <w:bottom w:val="single" w:sz="4" w:space="0" w:color="auto"/>
                    <w:right w:val="single" w:sz="4" w:space="0" w:color="auto"/>
                  </w:tcBorders>
                  <w:noWrap/>
                </w:tcPr>
                <w:p w:rsidR="00EA2BA5" w:rsidRPr="00725E70" w:rsidRDefault="00EA2BA5" w:rsidP="00757805">
                  <w:r w:rsidRPr="00725E70">
                    <w:t xml:space="preserve">Sun </w:t>
                  </w:r>
                  <w:r>
                    <w:t>3</w:t>
                  </w:r>
                  <w:r w:rsidRPr="00725E70">
                    <w:t xml:space="preserve"> Aug</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006B7" w:rsidRDefault="00EA2BA5" w:rsidP="00757805">
                  <w:pPr>
                    <w:rPr>
                      <w:color w:val="000000"/>
                      <w:lang w:eastAsia="en-GB"/>
                    </w:rPr>
                  </w:pPr>
                  <w:r w:rsidRPr="008006B7">
                    <w:rPr>
                      <w:color w:val="000000"/>
                      <w:lang w:eastAsia="en-GB"/>
                    </w:rPr>
                    <w:t>Sun 15 Aug</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285B81">
                    <w:t>Sun 1</w:t>
                  </w:r>
                  <w:r>
                    <w:t>6</w:t>
                  </w:r>
                  <w:r w:rsidRPr="00285B81">
                    <w:t xml:space="preserve"> Aug</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725E70">
                    <w:t>Sun 1</w:t>
                  </w:r>
                  <w:r>
                    <w:t>7</w:t>
                  </w:r>
                  <w:r w:rsidRPr="00725E70">
                    <w:t xml:space="preserve"> Aug</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60154F" w:rsidRDefault="00EA2BA5" w:rsidP="00757805">
                  <w:r w:rsidRPr="0060154F">
                    <w:t xml:space="preserve">Sun 1 </w:t>
                  </w:r>
                  <w:r>
                    <w:t>Sep</w:t>
                  </w:r>
                </w:p>
              </w:tc>
              <w:tc>
                <w:tcPr>
                  <w:tcW w:w="2551" w:type="dxa"/>
                  <w:tcBorders>
                    <w:top w:val="single" w:sz="4" w:space="0" w:color="auto"/>
                    <w:left w:val="single" w:sz="4" w:space="0" w:color="auto"/>
                    <w:bottom w:val="single" w:sz="4" w:space="0" w:color="auto"/>
                    <w:right w:val="single" w:sz="4" w:space="0" w:color="auto"/>
                  </w:tcBorders>
                  <w:noWrap/>
                </w:tcPr>
                <w:p w:rsidR="00EA2BA5" w:rsidRPr="00220F85" w:rsidRDefault="00EA2BA5" w:rsidP="00757805">
                  <w:r w:rsidRPr="00220F85">
                    <w:t xml:space="preserve">Sun </w:t>
                  </w:r>
                  <w:r>
                    <w:t>2</w:t>
                  </w:r>
                  <w:r w:rsidRPr="00220F85">
                    <w:t xml:space="preserve"> Sep</w:t>
                  </w:r>
                </w:p>
              </w:tc>
              <w:tc>
                <w:tcPr>
                  <w:tcW w:w="2977" w:type="dxa"/>
                  <w:tcBorders>
                    <w:top w:val="single" w:sz="4" w:space="0" w:color="auto"/>
                    <w:left w:val="single" w:sz="4" w:space="0" w:color="auto"/>
                    <w:bottom w:val="single" w:sz="4" w:space="0" w:color="auto"/>
                    <w:right w:val="single" w:sz="4" w:space="0" w:color="auto"/>
                  </w:tcBorders>
                  <w:noWrap/>
                </w:tcPr>
                <w:p w:rsidR="00EA2BA5" w:rsidRPr="00DE2CDC" w:rsidRDefault="00EA2BA5" w:rsidP="00757805">
                  <w:r>
                    <w:t>Sun 3</w:t>
                  </w:r>
                  <w:r w:rsidRPr="00DE2CDC">
                    <w:t xml:space="preserve"> Sep</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60154F">
                    <w:t xml:space="preserve">Sun 15 </w:t>
                  </w:r>
                  <w:r>
                    <w:t>Sep</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220F85">
                    <w:t>Sun 1</w:t>
                  </w:r>
                  <w:r>
                    <w:t>6</w:t>
                  </w:r>
                  <w:r w:rsidRPr="00220F85">
                    <w:t xml:space="preserve"> Sep</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DE2CDC">
                    <w:t>Sun 1</w:t>
                  </w:r>
                  <w:r>
                    <w:t>7</w:t>
                  </w:r>
                  <w:r w:rsidRPr="00DE2CDC">
                    <w:t xml:space="preserve"> Sep</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14089" w:rsidRDefault="00EA2BA5" w:rsidP="00757805">
                  <w:r w:rsidRPr="00814089">
                    <w:t xml:space="preserve">Sun 1 </w:t>
                  </w:r>
                  <w:r>
                    <w:t>Oct</w:t>
                  </w:r>
                </w:p>
              </w:tc>
              <w:tc>
                <w:tcPr>
                  <w:tcW w:w="2551" w:type="dxa"/>
                  <w:tcBorders>
                    <w:top w:val="single" w:sz="4" w:space="0" w:color="auto"/>
                    <w:left w:val="single" w:sz="4" w:space="0" w:color="auto"/>
                    <w:bottom w:val="single" w:sz="4" w:space="0" w:color="auto"/>
                    <w:right w:val="single" w:sz="4" w:space="0" w:color="auto"/>
                  </w:tcBorders>
                  <w:noWrap/>
                </w:tcPr>
                <w:p w:rsidR="00EA2BA5" w:rsidRPr="00493633" w:rsidRDefault="00EA2BA5" w:rsidP="00757805">
                  <w:r>
                    <w:t>Sun 2</w:t>
                  </w:r>
                  <w:r w:rsidRPr="00493633">
                    <w:t xml:space="preserve"> Oct</w:t>
                  </w:r>
                </w:p>
              </w:tc>
              <w:tc>
                <w:tcPr>
                  <w:tcW w:w="2977" w:type="dxa"/>
                  <w:tcBorders>
                    <w:top w:val="single" w:sz="4" w:space="0" w:color="auto"/>
                    <w:left w:val="single" w:sz="4" w:space="0" w:color="auto"/>
                    <w:bottom w:val="single" w:sz="4" w:space="0" w:color="auto"/>
                    <w:right w:val="single" w:sz="4" w:space="0" w:color="auto"/>
                  </w:tcBorders>
                  <w:noWrap/>
                </w:tcPr>
                <w:p w:rsidR="00EA2BA5" w:rsidRPr="000219D8" w:rsidRDefault="00EA2BA5" w:rsidP="00757805">
                  <w:r w:rsidRPr="000219D8">
                    <w:t xml:space="preserve">Sun </w:t>
                  </w:r>
                  <w:r>
                    <w:t>3</w:t>
                  </w:r>
                  <w:r w:rsidRPr="000219D8">
                    <w:t xml:space="preserve"> Oct</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814089">
                    <w:t xml:space="preserve">Sun 15 </w:t>
                  </w:r>
                  <w:r>
                    <w:t>Oct</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493633">
                    <w:t>Sun 1</w:t>
                  </w:r>
                  <w:r>
                    <w:t>6</w:t>
                  </w:r>
                  <w:r w:rsidRPr="00493633">
                    <w:t xml:space="preserve"> Oct</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0219D8">
                    <w:t>Sun 1</w:t>
                  </w:r>
                  <w:r>
                    <w:t>7</w:t>
                  </w:r>
                  <w:r w:rsidRPr="000219D8">
                    <w:t xml:space="preserve"> Oct</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BA6DE8" w:rsidRDefault="00EA2BA5" w:rsidP="00757805">
                  <w:r w:rsidRPr="00BA6DE8">
                    <w:t xml:space="preserve">Sun 1 </w:t>
                  </w:r>
                  <w:r>
                    <w:t>Nov</w:t>
                  </w:r>
                </w:p>
              </w:tc>
              <w:tc>
                <w:tcPr>
                  <w:tcW w:w="2551" w:type="dxa"/>
                  <w:tcBorders>
                    <w:top w:val="single" w:sz="4" w:space="0" w:color="auto"/>
                    <w:left w:val="single" w:sz="4" w:space="0" w:color="auto"/>
                    <w:bottom w:val="single" w:sz="4" w:space="0" w:color="auto"/>
                    <w:right w:val="single" w:sz="4" w:space="0" w:color="auto"/>
                  </w:tcBorders>
                  <w:noWrap/>
                </w:tcPr>
                <w:p w:rsidR="00EA2BA5" w:rsidRPr="007B03C3" w:rsidRDefault="00EA2BA5" w:rsidP="00757805">
                  <w:r w:rsidRPr="007B03C3">
                    <w:t xml:space="preserve">Sun </w:t>
                  </w:r>
                  <w:r>
                    <w:t>2</w:t>
                  </w:r>
                  <w:r w:rsidRPr="007B03C3">
                    <w:t xml:space="preserve"> Nov</w:t>
                  </w:r>
                </w:p>
              </w:tc>
              <w:tc>
                <w:tcPr>
                  <w:tcW w:w="2977" w:type="dxa"/>
                  <w:tcBorders>
                    <w:top w:val="single" w:sz="4" w:space="0" w:color="auto"/>
                    <w:left w:val="single" w:sz="4" w:space="0" w:color="auto"/>
                    <w:bottom w:val="single" w:sz="4" w:space="0" w:color="auto"/>
                    <w:right w:val="single" w:sz="4" w:space="0" w:color="auto"/>
                  </w:tcBorders>
                  <w:noWrap/>
                </w:tcPr>
                <w:p w:rsidR="00EA2BA5" w:rsidRPr="00F678BF" w:rsidRDefault="00EA2BA5" w:rsidP="00757805">
                  <w:r w:rsidRPr="00F678BF">
                    <w:t xml:space="preserve">Sun </w:t>
                  </w:r>
                  <w:r>
                    <w:t>3</w:t>
                  </w:r>
                  <w:r w:rsidRPr="00F678BF">
                    <w:t xml:space="preserve"> Nov</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BA6DE8">
                    <w:t xml:space="preserve">Sun 15 </w:t>
                  </w:r>
                  <w:r>
                    <w:t>Nov</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7B03C3">
                    <w:t>Sun 1</w:t>
                  </w:r>
                  <w:r>
                    <w:t>6</w:t>
                  </w:r>
                  <w:r w:rsidRPr="007B03C3">
                    <w:t xml:space="preserve"> Nov</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F678BF">
                    <w:t>Sun 1</w:t>
                  </w:r>
                  <w:r>
                    <w:t>7</w:t>
                  </w:r>
                  <w:r w:rsidRPr="00F678BF">
                    <w:t xml:space="preserve"> Nov</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8B6306" w:rsidRDefault="00EA2BA5" w:rsidP="00757805">
                  <w:r w:rsidRPr="008B6306">
                    <w:t xml:space="preserve">Sun 1 </w:t>
                  </w:r>
                  <w:r>
                    <w:t>Dec</w:t>
                  </w:r>
                </w:p>
              </w:tc>
              <w:tc>
                <w:tcPr>
                  <w:tcW w:w="2551" w:type="dxa"/>
                  <w:tcBorders>
                    <w:top w:val="single" w:sz="4" w:space="0" w:color="auto"/>
                    <w:left w:val="single" w:sz="4" w:space="0" w:color="auto"/>
                    <w:bottom w:val="single" w:sz="4" w:space="0" w:color="auto"/>
                    <w:right w:val="single" w:sz="4" w:space="0" w:color="auto"/>
                  </w:tcBorders>
                  <w:noWrap/>
                </w:tcPr>
                <w:p w:rsidR="00EA2BA5" w:rsidRPr="0035263A" w:rsidRDefault="00EA2BA5" w:rsidP="00757805">
                  <w:r w:rsidRPr="0035263A">
                    <w:t xml:space="preserve">Sun </w:t>
                  </w:r>
                  <w:r>
                    <w:t>2</w:t>
                  </w:r>
                  <w:r w:rsidRPr="0035263A">
                    <w:t xml:space="preserve"> Dec</w:t>
                  </w:r>
                </w:p>
              </w:tc>
              <w:tc>
                <w:tcPr>
                  <w:tcW w:w="2977" w:type="dxa"/>
                  <w:tcBorders>
                    <w:top w:val="single" w:sz="4" w:space="0" w:color="auto"/>
                    <w:left w:val="single" w:sz="4" w:space="0" w:color="auto"/>
                    <w:bottom w:val="single" w:sz="4" w:space="0" w:color="auto"/>
                    <w:right w:val="single" w:sz="4" w:space="0" w:color="auto"/>
                  </w:tcBorders>
                  <w:noWrap/>
                </w:tcPr>
                <w:p w:rsidR="00EA2BA5" w:rsidRPr="005D3AA9" w:rsidRDefault="00EA2BA5" w:rsidP="00757805">
                  <w:r w:rsidRPr="005D3AA9">
                    <w:t xml:space="preserve">Sun </w:t>
                  </w:r>
                  <w:r>
                    <w:t>3</w:t>
                  </w:r>
                  <w:r w:rsidRPr="005D3AA9">
                    <w:t xml:space="preserve"> Dec</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8B6306">
                    <w:t xml:space="preserve">Sun 15 </w:t>
                  </w:r>
                  <w:r>
                    <w:t>Dec</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35263A">
                    <w:t>Sun 15 Dec</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5D3AA9">
                    <w:t>Sun 15 Dec</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Pr="007E32C5" w:rsidRDefault="00EA2BA5" w:rsidP="00757805">
                  <w:r w:rsidRPr="007E32C5">
                    <w:t xml:space="preserve">Sun 1 </w:t>
                  </w:r>
                  <w:r>
                    <w:t>Jan</w:t>
                  </w:r>
                </w:p>
              </w:tc>
              <w:tc>
                <w:tcPr>
                  <w:tcW w:w="2551" w:type="dxa"/>
                  <w:tcBorders>
                    <w:top w:val="single" w:sz="4" w:space="0" w:color="auto"/>
                    <w:left w:val="single" w:sz="4" w:space="0" w:color="auto"/>
                    <w:bottom w:val="single" w:sz="4" w:space="0" w:color="auto"/>
                    <w:right w:val="single" w:sz="4" w:space="0" w:color="auto"/>
                  </w:tcBorders>
                  <w:noWrap/>
                </w:tcPr>
                <w:p w:rsidR="00EA2BA5" w:rsidRPr="00F578CA" w:rsidRDefault="00EA2BA5" w:rsidP="00757805">
                  <w:r w:rsidRPr="00F578CA">
                    <w:t>Sun 1 Jan</w:t>
                  </w:r>
                </w:p>
              </w:tc>
              <w:tc>
                <w:tcPr>
                  <w:tcW w:w="2977" w:type="dxa"/>
                  <w:tcBorders>
                    <w:top w:val="single" w:sz="4" w:space="0" w:color="auto"/>
                    <w:left w:val="single" w:sz="4" w:space="0" w:color="auto"/>
                    <w:bottom w:val="single" w:sz="4" w:space="0" w:color="auto"/>
                    <w:right w:val="single" w:sz="4" w:space="0" w:color="auto"/>
                  </w:tcBorders>
                  <w:noWrap/>
                </w:tcPr>
                <w:p w:rsidR="00EA2BA5" w:rsidRPr="00F578CA" w:rsidRDefault="00EA2BA5" w:rsidP="00757805">
                  <w:r w:rsidRPr="00F578CA">
                    <w:t>Sun 1 Jan</w:t>
                  </w:r>
                </w:p>
              </w:tc>
            </w:tr>
            <w:tr w:rsidR="00EA2BA5" w:rsidTr="008006B7">
              <w:trPr>
                <w:trHeight w:val="288"/>
              </w:trPr>
              <w:tc>
                <w:tcPr>
                  <w:tcW w:w="2000"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7E32C5">
                    <w:t xml:space="preserve">Sun 15 </w:t>
                  </w:r>
                  <w:r>
                    <w:t>Jan</w:t>
                  </w:r>
                </w:p>
              </w:tc>
              <w:tc>
                <w:tcPr>
                  <w:tcW w:w="2551"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F578CA">
                    <w:t>Sun 1</w:t>
                  </w:r>
                  <w:r>
                    <w:t>6</w:t>
                  </w:r>
                  <w:r w:rsidRPr="00F578CA">
                    <w:t xml:space="preserve"> Jan</w:t>
                  </w:r>
                </w:p>
              </w:tc>
              <w:tc>
                <w:tcPr>
                  <w:tcW w:w="2977" w:type="dxa"/>
                  <w:tcBorders>
                    <w:top w:val="single" w:sz="4" w:space="0" w:color="auto"/>
                    <w:left w:val="single" w:sz="4" w:space="0" w:color="auto"/>
                    <w:bottom w:val="single" w:sz="4" w:space="0" w:color="auto"/>
                    <w:right w:val="single" w:sz="4" w:space="0" w:color="auto"/>
                  </w:tcBorders>
                  <w:noWrap/>
                </w:tcPr>
                <w:p w:rsidR="00EA2BA5" w:rsidRDefault="00EA2BA5" w:rsidP="00757805">
                  <w:r w:rsidRPr="00F578CA">
                    <w:t>Sun 1</w:t>
                  </w:r>
                  <w:r>
                    <w:t>7</w:t>
                  </w:r>
                  <w:r w:rsidRPr="00F578CA">
                    <w:t xml:space="preserve"> Jan</w:t>
                  </w:r>
                </w:p>
              </w:tc>
            </w:tr>
          </w:tbl>
          <w:p w:rsidR="00EA2BA5" w:rsidRDefault="00EA2BA5" w:rsidP="00287BF2"/>
          <w:p w:rsidR="00EA2BA5" w:rsidRDefault="00EA2BA5" w:rsidP="00287BF2">
            <w:r>
              <w:t>After collecting the data i2N will need a total of 4 working days to run the data into the reporting system, produce the reports and have them available for distribution. So a set of reports will be available for distribution on each of the following dates:</w:t>
            </w:r>
          </w:p>
          <w:p w:rsidR="00EA2BA5" w:rsidRDefault="00EA2BA5" w:rsidP="00287BF2"/>
          <w:tbl>
            <w:tblPr>
              <w:tblW w:w="26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2631"/>
            </w:tblGrid>
            <w:tr w:rsidR="00EA2BA5" w:rsidTr="00757805">
              <w:trPr>
                <w:trHeight w:val="397"/>
                <w:tblHeader/>
                <w:jc w:val="center"/>
              </w:trPr>
              <w:tc>
                <w:tcPr>
                  <w:tcW w:w="2631"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tcPr>
                <w:p w:rsidR="00EA2BA5" w:rsidRDefault="00EA2BA5" w:rsidP="00757805">
                  <w:pPr>
                    <w:rPr>
                      <w:b/>
                      <w:bCs/>
                      <w:color w:val="000000"/>
                      <w:sz w:val="22"/>
                      <w:lang w:eastAsia="en-GB"/>
                    </w:rPr>
                  </w:pPr>
                  <w:r>
                    <w:rPr>
                      <w:b/>
                      <w:bCs/>
                      <w:color w:val="000000"/>
                      <w:lang w:eastAsia="en-GB"/>
                    </w:rPr>
                    <w:t>Reports Distribution Dates</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Mon 9 Feb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Mon 23 Feb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Mon 9 Mar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Mon 23 Mar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Thu 9 Apr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Thu 23 Apr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Wed 13 May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Mon 25 May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Tue 9 Jun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Tue 23 Jun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Thu 9 Jul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A2BA5" w:rsidRDefault="00EA2BA5" w:rsidP="00757805">
                  <w:pPr>
                    <w:rPr>
                      <w:color w:val="000000"/>
                      <w:sz w:val="22"/>
                      <w:lang w:eastAsia="en-GB"/>
                    </w:rPr>
                  </w:pPr>
                  <w:r>
                    <w:rPr>
                      <w:color w:val="000000"/>
                      <w:lang w:eastAsia="en-GB"/>
                    </w:rPr>
                    <w:t>Thu 23 Jul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9 </w:t>
                  </w:r>
                  <w:r>
                    <w:t>Aug</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23 </w:t>
                  </w:r>
                  <w:r>
                    <w:t>Aug</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9 </w:t>
                  </w:r>
                  <w:r>
                    <w:t>Sept</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23 </w:t>
                  </w:r>
                  <w:r>
                    <w:t>Sept</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Thu 9 </w:t>
                  </w:r>
                  <w:r>
                    <w:t>Oct</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Thu 23 </w:t>
                  </w:r>
                  <w:r>
                    <w:t>Oct</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11 </w:t>
                  </w:r>
                  <w:r>
                    <w:t>Nov</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Mon 25 </w:t>
                  </w:r>
                  <w:r>
                    <w:t>Nov</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Tue 9 </w:t>
                  </w:r>
                  <w:r>
                    <w:t>Dec</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Tue 23 </w:t>
                  </w:r>
                  <w:r>
                    <w:t>Dec</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Pr="00AD6EC6" w:rsidRDefault="00EA2BA5" w:rsidP="00757805">
                  <w:r w:rsidRPr="00AD6EC6">
                    <w:t xml:space="preserve">Thu 9 </w:t>
                  </w:r>
                  <w:r>
                    <w:t>Jan</w:t>
                  </w:r>
                  <w:r w:rsidRPr="00AD6EC6">
                    <w:t xml:space="preserve"> 15</w:t>
                  </w:r>
                </w:p>
              </w:tc>
            </w:tr>
            <w:tr w:rsidR="00EA2BA5" w:rsidTr="00757805">
              <w:trPr>
                <w:trHeight w:val="288"/>
                <w:jc w:val="center"/>
              </w:trPr>
              <w:tc>
                <w:tcPr>
                  <w:tcW w:w="263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EA2BA5" w:rsidRDefault="00EA2BA5" w:rsidP="00757805">
                  <w:r w:rsidRPr="00AD6EC6">
                    <w:t xml:space="preserve">Thu 23 </w:t>
                  </w:r>
                  <w:r>
                    <w:t>Jan</w:t>
                  </w:r>
                  <w:r w:rsidRPr="00AD6EC6">
                    <w:t xml:space="preserve"> 15</w:t>
                  </w:r>
                </w:p>
              </w:tc>
            </w:tr>
          </w:tbl>
          <w:p w:rsidR="00EA2BA5" w:rsidRDefault="00EA2BA5" w:rsidP="00CD59A0">
            <w:pPr>
              <w:ind w:left="284"/>
            </w:pPr>
          </w:p>
          <w:p w:rsidR="00EA2BA5" w:rsidRDefault="00EA2BA5" w:rsidP="00CD59A0">
            <w:pPr>
              <w:ind w:left="284"/>
            </w:pPr>
          </w:p>
          <w:p w:rsidR="00EA2BA5" w:rsidRDefault="00EA2BA5" w:rsidP="00CD59A0">
            <w:pPr>
              <w:ind w:left="284"/>
            </w:pPr>
          </w:p>
          <w:p w:rsidR="00EA2BA5" w:rsidRDefault="00EA2BA5" w:rsidP="00CD59A0">
            <w:pPr>
              <w:ind w:left="284"/>
            </w:pPr>
          </w:p>
          <w:p w:rsidR="00EA2BA5" w:rsidRPr="00785D74" w:rsidRDefault="00EA2BA5" w:rsidP="00CD59A0">
            <w:pPr>
              <w:ind w:left="284"/>
            </w:pPr>
            <w:r w:rsidRPr="00785D74">
              <w:t>12.1.1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Services.</w:t>
            </w:r>
          </w:p>
        </w:tc>
      </w:tr>
      <w:tr w:rsidR="00EA2BA5" w:rsidRPr="00785D74" w:rsidTr="00263FF1">
        <w:trPr>
          <w:gridBefore w:val="1"/>
        </w:trPr>
        <w:tc>
          <w:tcPr>
            <w:tcW w:w="10598" w:type="dxa"/>
            <w:gridSpan w:val="5"/>
            <w:tcBorders>
              <w:top w:val="nil"/>
              <w:bottom w:val="nil"/>
            </w:tcBorders>
            <w:shd w:val="clear" w:color="auto" w:fill="FFFFFF"/>
          </w:tcPr>
          <w:p w:rsidR="00EA2BA5" w:rsidRPr="00785D74" w:rsidRDefault="00EA2BA5" w:rsidP="00CD59A0">
            <w:pPr>
              <w:ind w:left="284"/>
            </w:pPr>
            <w:r w:rsidRPr="00785D74">
              <w:t>12.1.2 The Customer shall have the right to require the Supplier to include any reasonable changes or provisions in each version of the Implementation Plan.</w:t>
            </w:r>
          </w:p>
        </w:tc>
      </w:tr>
      <w:tr w:rsidR="00EA2BA5" w:rsidRPr="00785D74" w:rsidTr="00263FF1">
        <w:trPr>
          <w:gridBefore w:val="1"/>
        </w:trPr>
        <w:tc>
          <w:tcPr>
            <w:tcW w:w="10598" w:type="dxa"/>
            <w:gridSpan w:val="5"/>
            <w:tcBorders>
              <w:top w:val="nil"/>
              <w:bottom w:val="nil"/>
            </w:tcBorders>
            <w:shd w:val="clear" w:color="auto" w:fill="FFFFFF"/>
          </w:tcPr>
          <w:p w:rsidR="00EA2BA5" w:rsidRPr="00785D74" w:rsidRDefault="00EA2BA5" w:rsidP="00CD59A0">
            <w:pPr>
              <w:ind w:left="284"/>
            </w:pPr>
            <w:r w:rsidRPr="00785D74">
              <w:t>12.1.3 The Supplier shall perform its obligations so as to achieve each milestone by the milestone date.</w:t>
            </w:r>
          </w:p>
        </w:tc>
      </w:tr>
      <w:tr w:rsidR="00EA2BA5" w:rsidRPr="00785D74" w:rsidTr="00263FF1">
        <w:trPr>
          <w:gridBefore w:val="1"/>
        </w:trPr>
        <w:tc>
          <w:tcPr>
            <w:tcW w:w="10598" w:type="dxa"/>
            <w:gridSpan w:val="5"/>
            <w:tcBorders>
              <w:top w:val="nil"/>
            </w:tcBorders>
            <w:shd w:val="clear" w:color="auto" w:fill="FFFFFF"/>
          </w:tcPr>
          <w:p w:rsidR="00EA2BA5" w:rsidRPr="00785D74" w:rsidRDefault="00EA2BA5" w:rsidP="00CD59A0">
            <w:pPr>
              <w:ind w:left="284"/>
            </w:pPr>
            <w:r w:rsidRPr="00785D74">
              <w:t>12.1.4 Changes to the milestones shall only be made in accordance with the Change Control Procedure and provided that the Supplier shall not attempt to postpone any of the milestones using the Change Control Procedure or otherwise (except in the event of a Customer default which affects the Supplier's ability to achieve a milestone by the relevant milestone date).]</w:t>
            </w:r>
          </w:p>
        </w:tc>
      </w:tr>
    </w:tbl>
    <w:p w:rsidR="00EA2BA5" w:rsidRDefault="00EA2BA5">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EA2BA5" w:rsidRPr="00785D74" w:rsidTr="00232655">
        <w:tc>
          <w:tcPr>
            <w:tcW w:w="10598" w:type="dxa"/>
            <w:shd w:val="clear" w:color="auto" w:fill="D9D9D9"/>
          </w:tcPr>
          <w:p w:rsidR="00EA2BA5" w:rsidRPr="00785D74" w:rsidRDefault="00EA2BA5" w:rsidP="000802CD">
            <w:pPr>
              <w:rPr>
                <w:rFonts w:cs="Arial"/>
                <w:b/>
              </w:rPr>
            </w:pPr>
            <w:r w:rsidRPr="00785D74">
              <w:rPr>
                <w:b/>
              </w:rPr>
              <w:t>13. [COLLABORATION AGREEMENT</w:t>
            </w:r>
          </w:p>
        </w:tc>
      </w:tr>
      <w:tr w:rsidR="00EA2BA5" w:rsidRPr="00785D74" w:rsidTr="00232655">
        <w:tc>
          <w:tcPr>
            <w:tcW w:w="10598" w:type="dxa"/>
            <w:shd w:val="clear" w:color="auto" w:fill="FFFFFF"/>
          </w:tcPr>
          <w:p w:rsidR="00EA2BA5" w:rsidRPr="0027130A" w:rsidRDefault="00EA2BA5" w:rsidP="003124E3">
            <w:pPr>
              <w:ind w:left="720"/>
              <w:rPr>
                <w:color w:val="000000"/>
              </w:rPr>
            </w:pPr>
            <w:r w:rsidRPr="00785D74">
              <w:t xml:space="preserve">In accordance with Clause CO-21 of this Contract, the Customer </w:t>
            </w:r>
            <w:r w:rsidRPr="003E7EE8">
              <w:t xml:space="preserve">does not require </w:t>
            </w:r>
            <w:r w:rsidRPr="00785D74">
              <w:t xml:space="preserve">the Supplier to enter into a Collaboration Agreement. </w:t>
            </w:r>
          </w:p>
        </w:tc>
      </w:tr>
    </w:tbl>
    <w:p w:rsidR="00EA2BA5" w:rsidRDefault="00EA2BA5">
      <w:pPr>
        <w:widowControl w:val="0"/>
        <w:jc w:val="both"/>
        <w:rPr>
          <w:rFonts w:cs="Arial"/>
          <w:b/>
        </w:rPr>
      </w:pPr>
    </w:p>
    <w:p w:rsidR="00EA2BA5" w:rsidRDefault="00EA2BA5">
      <w:pPr>
        <w:widowControl w:val="0"/>
        <w:jc w:val="both"/>
        <w:rPr>
          <w:rFonts w:cs="Arial"/>
          <w:b/>
        </w:rPr>
      </w:pPr>
      <w:r>
        <w:rPr>
          <w:rFonts w:cs="Arial"/>
          <w:b/>
        </w:rPr>
        <w:br w:type="page"/>
      </w:r>
    </w:p>
    <w:p w:rsidR="00EA2BA5" w:rsidRDefault="00EA2BA5">
      <w:pPr>
        <w:widowControl w:val="0"/>
        <w:jc w:val="both"/>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rsidR="00EA2BA5" w:rsidRPr="002D698F" w:rsidRDefault="00EA2BA5"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6479"/>
      </w:tblGrid>
      <w:tr w:rsidR="00EA2BA5" w:rsidRPr="00785D74" w:rsidTr="00F8548A">
        <w:tc>
          <w:tcPr>
            <w:tcW w:w="8755" w:type="dxa"/>
            <w:gridSpan w:val="2"/>
            <w:tcBorders>
              <w:top w:val="nil"/>
              <w:left w:val="nil"/>
              <w:right w:val="nil"/>
            </w:tcBorders>
          </w:tcPr>
          <w:p w:rsidR="00EA2BA5" w:rsidRPr="00785D74" w:rsidRDefault="00EA2BA5" w:rsidP="00F8548A">
            <w:pPr>
              <w:widowControl w:val="0"/>
              <w:rPr>
                <w:rFonts w:cs="Arial"/>
                <w:b/>
              </w:rPr>
            </w:pPr>
            <w:r w:rsidRPr="00785D74">
              <w:rPr>
                <w:rFonts w:cs="Arial"/>
                <w:b/>
              </w:rPr>
              <w:t>For and on behalf of the Supplier:</w:t>
            </w:r>
          </w:p>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Name and Title</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Position</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Signature</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Date</w:t>
            </w:r>
          </w:p>
        </w:tc>
        <w:tc>
          <w:tcPr>
            <w:tcW w:w="6479" w:type="dxa"/>
          </w:tcPr>
          <w:p w:rsidR="00EA2BA5" w:rsidRPr="00785D74" w:rsidRDefault="00EA2BA5" w:rsidP="00F8548A">
            <w:pPr>
              <w:widowControl w:val="0"/>
              <w:rPr>
                <w:rFonts w:cs="Arial"/>
              </w:rPr>
            </w:pPr>
          </w:p>
        </w:tc>
      </w:tr>
    </w:tbl>
    <w:p w:rsidR="00EA2BA5" w:rsidRPr="002D698F" w:rsidRDefault="00EA2BA5"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6479"/>
      </w:tblGrid>
      <w:tr w:rsidR="00EA2BA5" w:rsidRPr="00785D74" w:rsidTr="00F8548A">
        <w:tc>
          <w:tcPr>
            <w:tcW w:w="8755" w:type="dxa"/>
            <w:gridSpan w:val="2"/>
            <w:tcBorders>
              <w:top w:val="nil"/>
              <w:left w:val="nil"/>
              <w:right w:val="nil"/>
            </w:tcBorders>
          </w:tcPr>
          <w:p w:rsidR="00EA2BA5" w:rsidRPr="00785D74" w:rsidRDefault="00EA2BA5" w:rsidP="00F8548A">
            <w:pPr>
              <w:widowControl w:val="0"/>
              <w:rPr>
                <w:rFonts w:cs="Arial"/>
                <w:b/>
              </w:rPr>
            </w:pPr>
            <w:r w:rsidRPr="00785D74">
              <w:rPr>
                <w:rFonts w:cs="Arial"/>
                <w:b/>
              </w:rPr>
              <w:t>For and on behalf of the Customer:</w:t>
            </w:r>
          </w:p>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Name and Title</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Position</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Signature</w:t>
            </w:r>
          </w:p>
        </w:tc>
        <w:tc>
          <w:tcPr>
            <w:tcW w:w="6479" w:type="dxa"/>
          </w:tcPr>
          <w:p w:rsidR="00EA2BA5" w:rsidRPr="00785D74" w:rsidRDefault="00EA2BA5" w:rsidP="00F8548A">
            <w:pPr>
              <w:widowControl w:val="0"/>
              <w:rPr>
                <w:rFonts w:cs="Arial"/>
              </w:rPr>
            </w:pPr>
          </w:p>
        </w:tc>
      </w:tr>
      <w:tr w:rsidR="00EA2BA5" w:rsidRPr="00785D74" w:rsidTr="00F8548A">
        <w:tc>
          <w:tcPr>
            <w:tcW w:w="2276" w:type="dxa"/>
          </w:tcPr>
          <w:p w:rsidR="00EA2BA5" w:rsidRPr="00785D74" w:rsidRDefault="00EA2BA5" w:rsidP="00F8548A">
            <w:pPr>
              <w:widowControl w:val="0"/>
              <w:rPr>
                <w:rFonts w:cs="Arial"/>
              </w:rPr>
            </w:pPr>
            <w:r w:rsidRPr="00785D74">
              <w:rPr>
                <w:rFonts w:cs="Arial"/>
              </w:rPr>
              <w:t>Date</w:t>
            </w:r>
          </w:p>
        </w:tc>
        <w:tc>
          <w:tcPr>
            <w:tcW w:w="6479" w:type="dxa"/>
          </w:tcPr>
          <w:p w:rsidR="00EA2BA5" w:rsidRPr="00785D74" w:rsidRDefault="00EA2BA5" w:rsidP="00F8548A">
            <w:pPr>
              <w:widowControl w:val="0"/>
              <w:rPr>
                <w:rFonts w:cs="Arial"/>
              </w:rPr>
            </w:pPr>
          </w:p>
        </w:tc>
      </w:tr>
    </w:tbl>
    <w:p w:rsidR="00EA2BA5" w:rsidRPr="002D698F" w:rsidRDefault="00EA2BA5" w:rsidP="009B68A1">
      <w:pPr>
        <w:widowControl w:val="0"/>
        <w:rPr>
          <w:rFonts w:cs="Arial"/>
        </w:rPr>
      </w:pPr>
    </w:p>
    <w:p w:rsidR="00EA2BA5" w:rsidRDefault="00EA2BA5">
      <w:r>
        <w:br w:type="page"/>
      </w:r>
    </w:p>
    <w:p w:rsidR="00EA2BA5" w:rsidRPr="00AE1254" w:rsidRDefault="00EA2BA5" w:rsidP="00AE1254">
      <w:pPr>
        <w:rPr>
          <w:rStyle w:val="ClauseTitle"/>
        </w:rPr>
      </w:pPr>
      <w:r w:rsidRPr="00AE1254">
        <w:rPr>
          <w:rStyle w:val="ClauseTitle"/>
        </w:rPr>
        <w:t>G-CLOUD SERVICES CALL-OFF TERMS</w:t>
      </w:r>
    </w:p>
    <w:p w:rsidR="00EA2BA5" w:rsidRDefault="00EA2BA5" w:rsidP="00AE1254">
      <w:r w:rsidRPr="003E7EE8">
        <w:t>Ministry of Justice (MoJ)</w:t>
      </w:r>
    </w:p>
    <w:p w:rsidR="00EA2BA5" w:rsidRDefault="00EA2BA5" w:rsidP="00AE1254">
      <w:r>
        <w:t>- And -</w:t>
      </w:r>
    </w:p>
    <w:p w:rsidR="00EA2BA5" w:rsidRDefault="00EA2BA5" w:rsidP="00AE1254">
      <w:r w:rsidRPr="003E7EE8">
        <w:t>i2N Ltd.</w:t>
      </w:r>
    </w:p>
    <w:p w:rsidR="00EA2BA5" w:rsidRDefault="00EA2BA5" w:rsidP="00AE1254">
      <w:r>
        <w:t>Relating to the provision of G-Cloud Services.</w:t>
      </w:r>
    </w:p>
    <w:p w:rsidR="00EA2BA5" w:rsidRDefault="00EA2BA5">
      <w:r>
        <w:br w:type="page"/>
      </w:r>
    </w:p>
    <w:p w:rsidR="00EA2BA5" w:rsidRDefault="00EA2BA5" w:rsidP="00AE1254">
      <w:pPr>
        <w:rPr>
          <w:rStyle w:val="ClauseTitle"/>
        </w:rPr>
      </w:pPr>
      <w:r w:rsidRPr="00AE1254">
        <w:rPr>
          <w:rStyle w:val="ClauseTitle"/>
        </w:rPr>
        <w:t>Call-Off Agreement Terms and Conditions</w:t>
      </w:r>
    </w:p>
    <w:p w:rsidR="00EA2BA5" w:rsidRDefault="00EA2BA5" w:rsidP="00ED2519">
      <w:r w:rsidRPr="00ED2519">
        <w:rPr>
          <w:rStyle w:val="ClauseTitle"/>
        </w:rPr>
        <w:t>THIS CONTRACT</w:t>
      </w:r>
      <w:r>
        <w:t xml:space="preserve"> is made on the 20th day of January 2015 </w:t>
      </w:r>
    </w:p>
    <w:p w:rsidR="00EA2BA5" w:rsidRPr="00ED2519" w:rsidRDefault="00EA2BA5" w:rsidP="00ED2519">
      <w:pPr>
        <w:rPr>
          <w:rStyle w:val="ClauseTitle"/>
        </w:rPr>
      </w:pPr>
      <w:r w:rsidRPr="00ED2519">
        <w:rPr>
          <w:rStyle w:val="ClauseTitle"/>
        </w:rPr>
        <w:t xml:space="preserve">BETWEEN </w:t>
      </w:r>
    </w:p>
    <w:p w:rsidR="00EA2BA5" w:rsidRDefault="00EA2BA5" w:rsidP="00ED2519">
      <w:pPr>
        <w:pStyle w:val="Recitals"/>
        <w:numPr>
          <w:ilvl w:val="0"/>
          <w:numId w:val="8"/>
        </w:numPr>
        <w:ind w:left="709" w:hanging="709"/>
      </w:pPr>
      <w:r>
        <w:t xml:space="preserve"> </w:t>
      </w:r>
      <w:r w:rsidRPr="003E7EE8">
        <w:rPr>
          <w:rStyle w:val="InfillNote"/>
          <w:shd w:val="clear" w:color="auto" w:fill="auto"/>
        </w:rPr>
        <w:t xml:space="preserve">Ministry of </w:t>
      </w:r>
      <w:r>
        <w:t>(the “</w:t>
      </w:r>
      <w:r w:rsidRPr="00ED2519">
        <w:rPr>
          <w:rStyle w:val="DefinedTerm"/>
        </w:rPr>
        <w:t>Customer</w:t>
      </w:r>
      <w:r>
        <w:t>”); and</w:t>
      </w:r>
    </w:p>
    <w:p w:rsidR="00EA2BA5" w:rsidRDefault="00EA2BA5" w:rsidP="00ED2519">
      <w:pPr>
        <w:pStyle w:val="Recitals"/>
      </w:pPr>
      <w:r>
        <w:t xml:space="preserve"> </w:t>
      </w:r>
      <w:r w:rsidRPr="003E7EE8">
        <w:rPr>
          <w:rStyle w:val="InfillNote"/>
          <w:shd w:val="clear" w:color="auto" w:fill="auto"/>
        </w:rPr>
        <w:t>i2N Ltd.</w:t>
      </w:r>
      <w:r w:rsidRPr="003E7EE8">
        <w:t>,</w:t>
      </w:r>
      <w:r>
        <w:t xml:space="preserve"> (the “</w:t>
      </w:r>
      <w:r w:rsidRPr="00ED2519">
        <w:rPr>
          <w:rStyle w:val="DefinedTerm"/>
        </w:rPr>
        <w:t>Supplier</w:t>
      </w:r>
      <w:r>
        <w:t>”).</w:t>
      </w:r>
    </w:p>
    <w:p w:rsidR="00EA2BA5" w:rsidRPr="00ED2519" w:rsidRDefault="00EA2BA5" w:rsidP="00ED2519">
      <w:pPr>
        <w:rPr>
          <w:rStyle w:val="ClauseTitle"/>
        </w:rPr>
      </w:pPr>
      <w:r w:rsidRPr="00ED2519">
        <w:rPr>
          <w:rStyle w:val="ClauseTitle"/>
        </w:rPr>
        <w:t>IT IS AGREED AS FOLLOWS:</w:t>
      </w:r>
    </w:p>
    <w:p w:rsidR="00EA2BA5" w:rsidRPr="00ED2519" w:rsidRDefault="00EA2BA5" w:rsidP="00ED2519">
      <w:pPr>
        <w:pStyle w:val="COClauseL1Content"/>
        <w:rPr>
          <w:rStyle w:val="ClauseTitle"/>
        </w:rPr>
      </w:pPr>
      <w:bookmarkStart w:id="9" w:name="_Toc379197354"/>
      <w:r w:rsidRPr="00ED2519">
        <w:rPr>
          <w:rStyle w:val="ClauseTitle"/>
        </w:rPr>
        <w:t>OVERRIDING PROVISIONS</w:t>
      </w:r>
      <w:bookmarkEnd w:id="9"/>
    </w:p>
    <w:p w:rsidR="00EA2BA5" w:rsidRDefault="00EA2BA5" w:rsidP="0007614D">
      <w:pPr>
        <w:pStyle w:val="COClauseL2"/>
        <w:jc w:val="both"/>
      </w:pPr>
      <w:r>
        <w:t xml:space="preserve">The Supplier agrees to supply the G-Cloud Services and any G-Cloud Additional Services in accordance with the Call-Off Terms, including Supplier’s own terms and conditions as identified in Framework Schedule 1 (G-Cloud Services) and incorporated into this Call-Off Agreement. </w:t>
      </w:r>
    </w:p>
    <w:p w:rsidR="00EA2BA5" w:rsidRDefault="00EA2BA5" w:rsidP="00ED2519">
      <w:pPr>
        <w:pStyle w:val="COClauseL2"/>
      </w:pPr>
      <w:r>
        <w:t>In the event of and only to the extent of any conflict or ambiguity between the Clauses of this Call-Off Agreement, the provisions of the Schedules, any document referred to in the Clauses of this Call-Off Agreement (including Supplier’s terms and conditions) and the Framework Agreement, the conflict shall be resolved in accordance with the following order of precedence:</w:t>
      </w:r>
    </w:p>
    <w:p w:rsidR="00EA2BA5" w:rsidRDefault="00EA2BA5" w:rsidP="00ED2519">
      <w:pPr>
        <w:pStyle w:val="COClauseL3"/>
      </w:pPr>
      <w:r>
        <w:t>the Framework Agreement (excluding Framework Schedule 2)</w:t>
      </w:r>
    </w:p>
    <w:p w:rsidR="00EA2BA5" w:rsidRDefault="00EA2BA5" w:rsidP="00ED2519">
      <w:pPr>
        <w:pStyle w:val="COClauseL3"/>
      </w:pPr>
      <w:r>
        <w:t>the Clauses of this Call-Off Agreement (excluding Supplier Terms);</w:t>
      </w:r>
    </w:p>
    <w:p w:rsidR="00EA2BA5" w:rsidRDefault="00EA2BA5" w:rsidP="00784B6E">
      <w:pPr>
        <w:pStyle w:val="COClauseL3"/>
      </w:pPr>
      <w:r>
        <w:t xml:space="preserve">the completed Order Form; </w:t>
      </w:r>
    </w:p>
    <w:p w:rsidR="00EA2BA5" w:rsidRDefault="00EA2BA5" w:rsidP="00784B6E">
      <w:pPr>
        <w:pStyle w:val="COClauseL3"/>
      </w:pPr>
      <w:r>
        <w:t>the Collaboration Agreement (Framework Schedule 7);</w:t>
      </w:r>
    </w:p>
    <w:p w:rsidR="00EA2BA5" w:rsidRDefault="00EA2BA5" w:rsidP="00ED2519">
      <w:pPr>
        <w:pStyle w:val="COClauseL3"/>
      </w:pPr>
      <w:r>
        <w:t>the Supplier’s terms and conditions as set out in the Framework Schedule 1 (G-Cloud Services); and</w:t>
      </w:r>
    </w:p>
    <w:p w:rsidR="00EA2BA5" w:rsidRDefault="00EA2BA5" w:rsidP="00ED2519">
      <w:pPr>
        <w:pStyle w:val="COClauseL3"/>
      </w:pPr>
      <w:r>
        <w:t>any other document referred to in the Clauses of this Call-Off Agreement.</w:t>
      </w:r>
    </w:p>
    <w:p w:rsidR="00EA2BA5" w:rsidRDefault="00EA2BA5" w:rsidP="00ED2519">
      <w:pPr>
        <w:pStyle w:val="COClauseL2"/>
      </w:pPr>
      <w:r>
        <w:t xml:space="preserve">The Supplier acknowledges and accepts that the order of prevailing provisions as set out in Clause CO-1.2 above. </w:t>
      </w:r>
    </w:p>
    <w:p w:rsidR="00EA2BA5" w:rsidRDefault="00EA2BA5" w:rsidP="007F6CF7">
      <w:pPr>
        <w:pStyle w:val="COClauseL1Content"/>
        <w:rPr>
          <w:rStyle w:val="ClauseTitle"/>
        </w:rPr>
      </w:pPr>
      <w:bookmarkStart w:id="10" w:name="_Toc379197355"/>
      <w:r w:rsidRPr="007F6CF7">
        <w:rPr>
          <w:rStyle w:val="ClauseTitle"/>
        </w:rPr>
        <w:t>PREVENTION OF BRIBERY AND CORRUPTION</w:t>
      </w:r>
      <w:bookmarkEnd w:id="10"/>
    </w:p>
    <w:p w:rsidR="00EA2BA5" w:rsidRDefault="00EA2BA5" w:rsidP="001E3188">
      <w:pPr>
        <w:pStyle w:val="COClauseL2"/>
      </w:pPr>
      <w:r>
        <w:t xml:space="preserve">If the Supplier breaches </w:t>
      </w:r>
    </w:p>
    <w:p w:rsidR="00EA2BA5" w:rsidRDefault="00EA2BA5" w:rsidP="001E3188">
      <w:pPr>
        <w:pStyle w:val="COClauseL3"/>
      </w:pPr>
      <w:r>
        <w:t>Clauses FW-22.1 or FW-22.2 of the Framework Agreement; or,</w:t>
      </w:r>
    </w:p>
    <w:p w:rsidR="00EA2BA5" w:rsidRDefault="00EA2BA5" w:rsidP="001E3188">
      <w:pPr>
        <w:pStyle w:val="COClauseL3"/>
      </w:pPr>
      <w:r>
        <w:t xml:space="preserve">the Bribery Act 2010 in relation to the Framework Agreement </w:t>
      </w:r>
    </w:p>
    <w:p w:rsidR="00EA2BA5" w:rsidRDefault="00EA2BA5" w:rsidP="001E3188">
      <w:pPr>
        <w:pStyle w:val="COClauseL2"/>
        <w:numPr>
          <w:ilvl w:val="0"/>
          <w:numId w:val="0"/>
        </w:numPr>
        <w:ind w:left="1560"/>
      </w:pPr>
      <w:r>
        <w:t xml:space="preserve">the Customer may terminate this Call-Off Agreement.  </w:t>
      </w:r>
    </w:p>
    <w:p w:rsidR="00EA2BA5" w:rsidRDefault="00EA2BA5" w:rsidP="001E3188">
      <w:pPr>
        <w:pStyle w:val="COClauseL2"/>
      </w:pPr>
      <w:r>
        <w:t>The Parties agree that the Management Charge payable in accordance with Clause FW-9 does not constitute an offence under section 1 of the Bribery Act 2010.</w:t>
      </w:r>
    </w:p>
    <w:p w:rsidR="00EA2BA5" w:rsidRPr="001E3188" w:rsidRDefault="00EA2BA5" w:rsidP="001E3188">
      <w:pPr>
        <w:pStyle w:val="COClauseL1Content"/>
        <w:rPr>
          <w:rStyle w:val="ClauseTitle"/>
        </w:rPr>
      </w:pPr>
      <w:bookmarkStart w:id="11" w:name="_Toc379197356"/>
      <w:r w:rsidRPr="001E3188">
        <w:rPr>
          <w:rStyle w:val="ClauseTitle"/>
        </w:rPr>
        <w:t>PROTECTION OF INFORMATION</w:t>
      </w:r>
      <w:bookmarkEnd w:id="11"/>
      <w:r w:rsidRPr="001E3188">
        <w:rPr>
          <w:rStyle w:val="ClauseTitle"/>
        </w:rPr>
        <w:t xml:space="preserve"> </w:t>
      </w:r>
    </w:p>
    <w:p w:rsidR="00EA2BA5" w:rsidRDefault="00EA2BA5" w:rsidP="001E3188">
      <w:pPr>
        <w:pStyle w:val="COClauseL2"/>
      </w:pPr>
      <w:r>
        <w:t>The provisions of this Clause CO-3, shall apply during the Call-Off Agreement Period and for such time as the Supplier holds the Customer Personal Data.</w:t>
      </w:r>
    </w:p>
    <w:p w:rsidR="00EA2BA5" w:rsidRDefault="00EA2BA5" w:rsidP="001E3188">
      <w:pPr>
        <w:pStyle w:val="COClauseL2"/>
      </w:pPr>
      <w:r>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rsidR="00EA2BA5" w:rsidRDefault="00EA2BA5" w:rsidP="0007614D">
      <w:pPr>
        <w:pStyle w:val="COClauseL2"/>
        <w:jc w:val="both"/>
      </w:pPr>
      <w:r>
        <w:t xml:space="preserve">To the extent that the Supplier is Processing the Order Personal Data the Supplier shall: </w:t>
      </w:r>
    </w:p>
    <w:p w:rsidR="00EA2BA5" w:rsidRDefault="00EA2BA5"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rsidR="00EA2BA5" w:rsidRDefault="00EA2BA5" w:rsidP="0007614D">
      <w:pPr>
        <w:pStyle w:val="COClauseL3"/>
        <w:jc w:val="both"/>
      </w:pPr>
      <w:r>
        <w:t>provide the Customer with such information as the Customer may reasonably request to satisfy itself that the Supplier is complying with its obligations under the DPA;</w:t>
      </w:r>
    </w:p>
    <w:p w:rsidR="00EA2BA5" w:rsidRDefault="00EA2BA5" w:rsidP="0007614D">
      <w:pPr>
        <w:pStyle w:val="COClauseL3"/>
        <w:jc w:val="both"/>
      </w:pPr>
      <w:r>
        <w:t>promptly notify the Customer of any breach of the security measures to be put in place pursuant to this Clause; and</w:t>
      </w:r>
    </w:p>
    <w:p w:rsidR="00EA2BA5" w:rsidRDefault="00EA2BA5" w:rsidP="0007614D">
      <w:pPr>
        <w:pStyle w:val="COClauseL3"/>
        <w:jc w:val="both"/>
      </w:pPr>
      <w:r>
        <w:t>ensure that it does not knowingly or negligently do or omit to do anything which places the Customer in breach of its obligations under the DPA.</w:t>
      </w:r>
    </w:p>
    <w:p w:rsidR="00EA2BA5" w:rsidRDefault="00EA2BA5" w:rsidP="0007614D">
      <w:pPr>
        <w:pStyle w:val="COClauseL2"/>
        <w:jc w:val="both"/>
      </w:pPr>
      <w:r>
        <w:t>To the extent that the Supplier Processes Service Personal Data the Supplier shall:</w:t>
      </w:r>
    </w:p>
    <w:p w:rsidR="00EA2BA5" w:rsidRDefault="00EA2BA5" w:rsidP="0007614D">
      <w:pPr>
        <w:pStyle w:val="COClauseL3"/>
        <w:jc w:val="both"/>
      </w:pPr>
      <w:r>
        <w:t>Process Service Personal Data only in accordance with written instructions from the Customer as set out in this Call-Off Agreement;</w:t>
      </w:r>
    </w:p>
    <w:p w:rsidR="00EA2BA5" w:rsidRDefault="00EA2BA5" w:rsidP="0007614D">
      <w:pPr>
        <w:pStyle w:val="COClauseL3"/>
        <w:jc w:val="both"/>
      </w:pPr>
      <w:r>
        <w:t>Process the Service Personal Data only to the extent, and in such manner, as is necessary for the provision of the G-Cloud Services or as is required by Law or any Regulatory Body;</w:t>
      </w:r>
    </w:p>
    <w:p w:rsidR="00EA2BA5" w:rsidRDefault="00EA2BA5"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rsidR="00EA2BA5" w:rsidRDefault="00EA2BA5" w:rsidP="0007614D">
      <w:pPr>
        <w:pStyle w:val="COClauseL3"/>
        <w:jc w:val="both"/>
      </w:pPr>
      <w:r>
        <w:t>take reasonable steps to ensure the reliability of any Supplier Staff who have access to  Service Personal Data;</w:t>
      </w:r>
    </w:p>
    <w:p w:rsidR="00EA2BA5" w:rsidRDefault="00EA2BA5" w:rsidP="0007614D">
      <w:pPr>
        <w:pStyle w:val="COClauseL3"/>
        <w:jc w:val="both"/>
      </w:pPr>
      <w:r>
        <w:t>ensure that all Supplier Staff required to access  Service Personal Data are informed of the confidential nature of the Service Personal Data and comply with the obligations set out in this Clause;</w:t>
      </w:r>
    </w:p>
    <w:p w:rsidR="00EA2BA5" w:rsidRDefault="00EA2BA5" w:rsidP="0007614D">
      <w:pPr>
        <w:pStyle w:val="COClauseL3"/>
        <w:jc w:val="both"/>
      </w:pPr>
      <w:r>
        <w:t>ensure that none of the Supplier Staff publish, disclose or divulge Customer’s Personal Data to any third party unless necessary for the provision of the G-Cloud Services under the Call-Off Agreement and/or directed in writing to do so by the Customer;</w:t>
      </w:r>
    </w:p>
    <w:p w:rsidR="00EA2BA5" w:rsidRDefault="00EA2BA5" w:rsidP="0007614D">
      <w:pPr>
        <w:pStyle w:val="COClauseL3"/>
        <w:jc w:val="both"/>
      </w:pPr>
      <w:r>
        <w:t>notify the Customer within five (5) Working Days if it receives:</w:t>
      </w:r>
    </w:p>
    <w:p w:rsidR="00EA2BA5" w:rsidRDefault="00EA2BA5" w:rsidP="0007614D">
      <w:pPr>
        <w:pStyle w:val="COClauseL4"/>
        <w:jc w:val="both"/>
      </w:pPr>
      <w:r>
        <w:t>a request from a Data Subject to have access to Service Personal Data relating to that person; or</w:t>
      </w:r>
    </w:p>
    <w:p w:rsidR="00EA2BA5" w:rsidRDefault="00EA2BA5" w:rsidP="0007614D">
      <w:pPr>
        <w:pStyle w:val="COClauseL4"/>
        <w:jc w:val="both"/>
      </w:pPr>
      <w:r>
        <w:t>a complaint or request relating to the Customer’s obligations under the Data Protection Legislation;</w:t>
      </w:r>
    </w:p>
    <w:p w:rsidR="00EA2BA5" w:rsidRDefault="00EA2BA5" w:rsidP="0007614D">
      <w:pPr>
        <w:pStyle w:val="COClauseL3"/>
        <w:jc w:val="both"/>
      </w:pPr>
      <w:r>
        <w:t>provide the Customer with full cooperation and assistance in relation to any complaint or request made relating to Service Personal Data, including by:</w:t>
      </w:r>
    </w:p>
    <w:p w:rsidR="00EA2BA5" w:rsidRDefault="00EA2BA5" w:rsidP="0007614D">
      <w:pPr>
        <w:pStyle w:val="COClauseL4"/>
        <w:jc w:val="both"/>
      </w:pPr>
      <w:r>
        <w:t>providing the Customer with full details of the complaint or request;</w:t>
      </w:r>
    </w:p>
    <w:p w:rsidR="00EA2BA5" w:rsidRDefault="00EA2BA5" w:rsidP="0007614D">
      <w:pPr>
        <w:pStyle w:val="COClauseL4"/>
        <w:jc w:val="both"/>
      </w:pPr>
      <w:r>
        <w:t>complying with a data access request within the relevant timescales set out in the Data Protection Legislation and in accordance with the Customer’s instructions;</w:t>
      </w:r>
    </w:p>
    <w:p w:rsidR="00EA2BA5" w:rsidRDefault="00EA2BA5" w:rsidP="0007614D">
      <w:pPr>
        <w:pStyle w:val="COClauseL4"/>
        <w:jc w:val="both"/>
      </w:pPr>
      <w:r>
        <w:t>providing the Customer with any Service Personal Data it holds in relation to a Data Subject (within the timescales required by the Customer); and</w:t>
      </w:r>
    </w:p>
    <w:p w:rsidR="00EA2BA5" w:rsidRDefault="00EA2BA5" w:rsidP="0007614D">
      <w:pPr>
        <w:pStyle w:val="COClauseL4"/>
        <w:jc w:val="both"/>
      </w:pPr>
      <w:r>
        <w:t>providing the Customer with any information requested by the Data Subject.</w:t>
      </w:r>
    </w:p>
    <w:p w:rsidR="00EA2BA5" w:rsidRDefault="00EA2BA5" w:rsidP="0007614D">
      <w:pPr>
        <w:pStyle w:val="COClauseL2"/>
        <w:jc w:val="both"/>
      </w:pPr>
      <w:r>
        <w:t>The Supplier shall:</w:t>
      </w:r>
    </w:p>
    <w:p w:rsidR="00EA2BA5" w:rsidRDefault="00EA2BA5" w:rsidP="0007614D">
      <w:pPr>
        <w:pStyle w:val="COClauseL3"/>
        <w:jc w:val="both"/>
      </w:pPr>
      <w:r>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rsidR="00EA2BA5" w:rsidRDefault="00EA2BA5" w:rsidP="0007614D">
      <w:pPr>
        <w:pStyle w:val="COClauseL3"/>
        <w:jc w:val="both"/>
      </w:pPr>
      <w:r>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rsidR="00EA2BA5" w:rsidRDefault="00EA2BA5" w:rsidP="0007614D">
      <w:pPr>
        <w:pStyle w:val="COClauseL2"/>
        <w:jc w:val="both"/>
      </w:pPr>
      <w:r>
        <w:t>The Supplier Shall:</w:t>
      </w:r>
    </w:p>
    <w:p w:rsidR="00EA2BA5" w:rsidRDefault="00EA2BA5"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rsidR="00EA2BA5" w:rsidRDefault="00EA2BA5" w:rsidP="0007614D">
      <w:pPr>
        <w:pStyle w:val="COClauseL3"/>
        <w:jc w:val="both"/>
      </w:pPr>
      <w:r>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rsidR="00EA2BA5" w:rsidRDefault="00EA2BA5"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EA2BA5" w:rsidRDefault="00EA2BA5" w:rsidP="0007614D">
      <w:pPr>
        <w:pStyle w:val="COClauseL4"/>
        <w:jc w:val="both"/>
      </w:pPr>
      <w:r>
        <w:t>comply with any reasonable instructions notified to it by the Customer and either:</w:t>
      </w:r>
    </w:p>
    <w:p w:rsidR="00EA2BA5" w:rsidRDefault="00EA2BA5"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rsidR="00EA2BA5" w:rsidRDefault="00EA2BA5"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rsidR="00EA2BA5" w:rsidRDefault="00EA2BA5" w:rsidP="0007614D">
      <w:pPr>
        <w:pStyle w:val="COClauseL2"/>
        <w:jc w:val="both"/>
      </w:pPr>
      <w:r>
        <w:t>The Supplier acknowledges that, in the event that it breaches (or attempts or threatens to breach) its obligations relating to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EA2BA5" w:rsidRDefault="00EA2BA5" w:rsidP="0007614D">
      <w:pPr>
        <w:pStyle w:val="COClauseL1Content"/>
        <w:jc w:val="both"/>
        <w:rPr>
          <w:rStyle w:val="ClauseTitle"/>
        </w:rPr>
      </w:pPr>
      <w:bookmarkStart w:id="12" w:name="_Toc379197357"/>
      <w:r w:rsidRPr="00FC2A0F">
        <w:rPr>
          <w:rStyle w:val="ClauseTitle"/>
        </w:rPr>
        <w:t>CONFIDENTIALITY</w:t>
      </w:r>
      <w:bookmarkEnd w:id="12"/>
      <w:r w:rsidRPr="00FC2A0F">
        <w:rPr>
          <w:rStyle w:val="ClauseTitle"/>
        </w:rPr>
        <w:t xml:space="preserve"> </w:t>
      </w:r>
    </w:p>
    <w:p w:rsidR="00EA2BA5" w:rsidRDefault="00EA2BA5" w:rsidP="0007614D">
      <w:pPr>
        <w:pStyle w:val="COClauseL2"/>
        <w:jc w:val="both"/>
      </w:pPr>
      <w:r>
        <w:t>Except to the extent set out in this Clause or where disclosure is expressly permitted elsewhere in this Call-Off Agreement, each Party shall:</w:t>
      </w:r>
    </w:p>
    <w:p w:rsidR="00EA2BA5" w:rsidRDefault="00EA2BA5" w:rsidP="0007614D">
      <w:pPr>
        <w:pStyle w:val="COClauseL3"/>
        <w:jc w:val="both"/>
      </w:pPr>
      <w:r>
        <w:t>treat the other Party’s Confidential Information as confidential and safeguard it accordingly; and</w:t>
      </w:r>
    </w:p>
    <w:p w:rsidR="00EA2BA5" w:rsidRDefault="00EA2BA5"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rsidR="00EA2BA5" w:rsidRDefault="00EA2BA5" w:rsidP="0007614D">
      <w:pPr>
        <w:pStyle w:val="COClauseL2"/>
        <w:jc w:val="both"/>
      </w:pPr>
      <w:r>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rsidR="00EA2BA5" w:rsidRDefault="00EA2BA5" w:rsidP="0007614D">
      <w:pPr>
        <w:pStyle w:val="COClauseL2"/>
        <w:jc w:val="both"/>
      </w:pPr>
      <w:r>
        <w:t>The Supplier shall not, and shall procure that the Supplier Staff do not, use any of the Customer's Confidential Information received otherwise than for the purposes of this Call-Off Agreement.</w:t>
      </w:r>
    </w:p>
    <w:p w:rsidR="00EA2BA5" w:rsidRDefault="00EA2BA5" w:rsidP="0007614D">
      <w:pPr>
        <w:pStyle w:val="COClauseL2"/>
        <w:jc w:val="both"/>
      </w:pPr>
      <w:r>
        <w:t>The provisions of Clauses CO-4.1 shall not apply to the extent that:</w:t>
      </w:r>
    </w:p>
    <w:p w:rsidR="00EA2BA5" w:rsidRDefault="00EA2BA5" w:rsidP="0007614D">
      <w:pPr>
        <w:pStyle w:val="COClauseL3"/>
        <w:jc w:val="both"/>
      </w:pPr>
      <w:r>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rsidR="00EA2BA5" w:rsidRDefault="00EA2BA5" w:rsidP="0007614D">
      <w:pPr>
        <w:pStyle w:val="COClauseL3"/>
        <w:jc w:val="both"/>
      </w:pPr>
      <w:r>
        <w:t xml:space="preserve">such information was in the possession of the Party making the disclosure without obligation of confidentiality prior to its disclosure by the information owner; </w:t>
      </w:r>
    </w:p>
    <w:p w:rsidR="00EA2BA5" w:rsidRDefault="00EA2BA5" w:rsidP="0007614D">
      <w:pPr>
        <w:pStyle w:val="COClauseL3"/>
        <w:jc w:val="both"/>
      </w:pPr>
      <w:r>
        <w:t>such information was obtained from a third party without obligation of confidentiality;</w:t>
      </w:r>
    </w:p>
    <w:p w:rsidR="00EA2BA5" w:rsidRDefault="00EA2BA5" w:rsidP="0007614D">
      <w:pPr>
        <w:pStyle w:val="COClauseL3"/>
        <w:jc w:val="both"/>
      </w:pPr>
      <w:r>
        <w:t>such information was already in the public domain at the time of disclosure otherwise than by a breach of this Call-Off Agreement; or</w:t>
      </w:r>
    </w:p>
    <w:p w:rsidR="00EA2BA5" w:rsidRDefault="00EA2BA5" w:rsidP="0007614D">
      <w:pPr>
        <w:pStyle w:val="COClauseL3"/>
        <w:jc w:val="both"/>
      </w:pPr>
      <w:r>
        <w:t>it is independently developed without access to the other Party's Confidential Information.</w:t>
      </w:r>
    </w:p>
    <w:p w:rsidR="00EA2BA5" w:rsidRDefault="00EA2BA5"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rsidR="00EA2BA5" w:rsidRDefault="00EA2BA5" w:rsidP="0007614D">
      <w:pPr>
        <w:pStyle w:val="COClauseL3"/>
        <w:jc w:val="both"/>
      </w:pPr>
      <w:r>
        <w:t xml:space="preserve">for the purpose of the examination and certification of the Customer’s accounts; </w:t>
      </w:r>
    </w:p>
    <w:p w:rsidR="00EA2BA5" w:rsidRDefault="00EA2BA5" w:rsidP="0007614D">
      <w:pPr>
        <w:pStyle w:val="COClauseL3"/>
        <w:jc w:val="both"/>
      </w:pPr>
      <w:r>
        <w:t xml:space="preserve">for any examination pursuant to Section 6(1) of the National Audit Act 1983 of the economy, efficiency and effectiveness with which the Customer has used its resources; </w:t>
      </w:r>
    </w:p>
    <w:p w:rsidR="00EA2BA5" w:rsidRDefault="00EA2BA5"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EA2BA5" w:rsidRDefault="00EA2BA5"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rsidR="00EA2BA5" w:rsidRDefault="00EA2BA5" w:rsidP="004D5681">
      <w:pPr>
        <w:pStyle w:val="COClauseL2"/>
        <w:jc w:val="both"/>
      </w:pPr>
      <w:r>
        <w:t>In the event that the Supplier fails to comply with Clauses CO-4.1 to Clause CO-4.4, the Customer reserves the right to terminate this Call-Off Agreement with immediate effect by notice in writing.</w:t>
      </w:r>
    </w:p>
    <w:p w:rsidR="00EA2BA5" w:rsidRDefault="00EA2BA5" w:rsidP="004D5681">
      <w:pPr>
        <w:pStyle w:val="COClauseL2"/>
        <w:jc w:val="both"/>
      </w:pPr>
      <w:r>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EA2BA5" w:rsidRDefault="00EA2BA5" w:rsidP="004D5681">
      <w:pPr>
        <w:pStyle w:val="COClauseL2"/>
        <w:jc w:val="both"/>
      </w:pPr>
      <w:r>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EA2BA5" w:rsidRDefault="00EA2BA5" w:rsidP="004D5681">
      <w:pPr>
        <w:pStyle w:val="COClauseL2"/>
        <w:jc w:val="both"/>
      </w:pPr>
      <w:r>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rsidR="00EA2BA5" w:rsidRPr="00FC2A0F" w:rsidRDefault="00EA2BA5" w:rsidP="004D5681">
      <w:pPr>
        <w:pStyle w:val="COClauseL1Content"/>
        <w:jc w:val="both"/>
        <w:rPr>
          <w:rStyle w:val="ClauseTitle"/>
        </w:rPr>
      </w:pPr>
      <w:bookmarkStart w:id="13" w:name="_Toc379197358"/>
      <w:r w:rsidRPr="00FC2A0F">
        <w:rPr>
          <w:rStyle w:val="ClauseTitle"/>
        </w:rPr>
        <w:t>CUSTOMER DATA</w:t>
      </w:r>
      <w:bookmarkEnd w:id="13"/>
    </w:p>
    <w:p w:rsidR="00EA2BA5" w:rsidRDefault="00EA2BA5" w:rsidP="004D5681">
      <w:pPr>
        <w:pStyle w:val="COClauseL2"/>
        <w:jc w:val="both"/>
      </w:pPr>
      <w:r>
        <w:t>The Supplier shall not delete or remove any proprietary notices contained within or relating to the Customer Data.</w:t>
      </w:r>
    </w:p>
    <w:p w:rsidR="00EA2BA5" w:rsidRDefault="00EA2BA5"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rsidR="00EA2BA5" w:rsidRDefault="00EA2BA5" w:rsidP="004D5681">
      <w:pPr>
        <w:pStyle w:val="COClauseL2"/>
        <w:jc w:val="both"/>
      </w:pPr>
      <w:r>
        <w:t xml:space="preserve">The Supplier shall ensure that any system on which the Supplier holds any Customer Data, including back-up data, is a secure system that complies with the Supplier security policy. </w:t>
      </w:r>
    </w:p>
    <w:p w:rsidR="00EA2BA5" w:rsidRPr="00FC2A0F" w:rsidRDefault="00EA2BA5" w:rsidP="004D5681">
      <w:pPr>
        <w:jc w:val="both"/>
        <w:rPr>
          <w:rStyle w:val="ClauseTitle"/>
        </w:rPr>
      </w:pPr>
      <w:r w:rsidRPr="00FC2A0F">
        <w:rPr>
          <w:rStyle w:val="ClauseTitle"/>
        </w:rPr>
        <w:t>STATUTORY OBLIGATIONS AND REGULATIONS</w:t>
      </w:r>
    </w:p>
    <w:p w:rsidR="00EA2BA5" w:rsidRPr="00FC2A0F" w:rsidRDefault="00EA2BA5" w:rsidP="004D5681">
      <w:pPr>
        <w:pStyle w:val="COClauseL1Content"/>
        <w:jc w:val="both"/>
        <w:rPr>
          <w:rStyle w:val="ClauseTitle"/>
        </w:rPr>
      </w:pPr>
      <w:bookmarkStart w:id="14" w:name="_Toc379197359"/>
      <w:r w:rsidRPr="00FC2A0F">
        <w:rPr>
          <w:rStyle w:val="ClauseTitle"/>
        </w:rPr>
        <w:t>FREEDOM OF INFORMATION</w:t>
      </w:r>
      <w:bookmarkEnd w:id="14"/>
    </w:p>
    <w:p w:rsidR="00EA2BA5" w:rsidRDefault="00EA2BA5" w:rsidP="004D5681">
      <w:pPr>
        <w:pStyle w:val="COClauseL2"/>
        <w:jc w:val="both"/>
      </w:pPr>
      <w:r>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EA2BA5" w:rsidRDefault="00EA2BA5" w:rsidP="004D5681">
      <w:pPr>
        <w:pStyle w:val="COClauseL2"/>
        <w:jc w:val="both"/>
      </w:pPr>
      <w:r>
        <w:t>The Supplier shall:</w:t>
      </w:r>
    </w:p>
    <w:p w:rsidR="00EA2BA5" w:rsidRDefault="00EA2BA5" w:rsidP="004D5681">
      <w:pPr>
        <w:pStyle w:val="COClauseL3"/>
        <w:jc w:val="both"/>
      </w:pPr>
      <w:r>
        <w:t>transfer to the Customer all Requests for Information that it receives as soon as practicable and in any event within two (2) Working Days of receiving a Request for Information;</w:t>
      </w:r>
    </w:p>
    <w:p w:rsidR="00EA2BA5" w:rsidRDefault="00EA2BA5"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EA2BA5" w:rsidRDefault="00EA2BA5"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EA2BA5" w:rsidRDefault="00EA2BA5" w:rsidP="004D5681">
      <w:pPr>
        <w:pStyle w:val="COClauseL2"/>
        <w:jc w:val="both"/>
      </w:pPr>
      <w:r>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rsidR="00EA2BA5" w:rsidRDefault="00EA2BA5" w:rsidP="004D5681">
      <w:pPr>
        <w:pStyle w:val="COClauseL2"/>
        <w:jc w:val="both"/>
      </w:pPr>
      <w:r>
        <w:t>In no event shall the Supplier respond directly to a Request for Information unless authorised in writing to do so by the Customer.</w:t>
      </w:r>
    </w:p>
    <w:p w:rsidR="00EA2BA5" w:rsidRDefault="00EA2BA5" w:rsidP="004D5681">
      <w:pPr>
        <w:pStyle w:val="COClauseL2"/>
        <w:jc w:val="both"/>
      </w:pPr>
      <w:r>
        <w:t>The Supplier acknowledges that the Customer may, acting in accordance with the Ministry of Justice Code, be obliged under the FOIA, or the Environmental Information Regulations to disclose Information concerning the Supplier or the G-Cloud Services:</w:t>
      </w:r>
    </w:p>
    <w:p w:rsidR="00EA2BA5" w:rsidRDefault="00EA2BA5" w:rsidP="004D5681">
      <w:pPr>
        <w:pStyle w:val="COClauseL3"/>
        <w:jc w:val="both"/>
      </w:pPr>
      <w:r>
        <w:t xml:space="preserve">in certain circumstances without consulting the Supplier; or </w:t>
      </w:r>
    </w:p>
    <w:p w:rsidR="00EA2BA5" w:rsidRDefault="00EA2BA5" w:rsidP="004D5681">
      <w:pPr>
        <w:pStyle w:val="COClauseL3"/>
        <w:jc w:val="both"/>
      </w:pPr>
      <w:r>
        <w:t xml:space="preserve">following consultation with the Supplier and having taken its views into account; </w:t>
      </w:r>
    </w:p>
    <w:p w:rsidR="00EA2BA5" w:rsidRDefault="00EA2BA5" w:rsidP="004D5681">
      <w:pPr>
        <w:pStyle w:val="COClauseL3"/>
        <w:numPr>
          <w:ilvl w:val="0"/>
          <w:numId w:val="0"/>
        </w:numPr>
        <w:ind w:left="2552"/>
        <w:jc w:val="both"/>
      </w:pPr>
      <w:r>
        <w:t>provided always that where Clause CO-6.5.3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rsidR="00EA2BA5" w:rsidRDefault="00EA2BA5"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rsidR="00EA2BA5" w:rsidRPr="00AC30F0" w:rsidRDefault="00EA2BA5" w:rsidP="00AC30F0">
      <w:pPr>
        <w:pStyle w:val="COClauseL1Content"/>
        <w:rPr>
          <w:rStyle w:val="ClauseTitle"/>
        </w:rPr>
      </w:pPr>
      <w:bookmarkStart w:id="15" w:name="_Toc379197360"/>
      <w:r w:rsidRPr="00AC30F0">
        <w:rPr>
          <w:rStyle w:val="ClauseTitle"/>
        </w:rPr>
        <w:t>TRANSPARENCY</w:t>
      </w:r>
      <w:bookmarkEnd w:id="15"/>
    </w:p>
    <w:p w:rsidR="00EA2BA5" w:rsidRDefault="00EA2BA5"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rsidR="00EA2BA5" w:rsidRDefault="00EA2BA5"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rsidR="00EA2BA5" w:rsidRDefault="00EA2BA5" w:rsidP="00AC30F0">
      <w:pPr>
        <w:pStyle w:val="COClauseL2"/>
      </w:pPr>
      <w:r>
        <w:t xml:space="preserve">The Customer may consult with the Supplier to inform its decision regarding any redactions but the Customer shall have the final decision in its absolute discretion.  </w:t>
      </w:r>
    </w:p>
    <w:p w:rsidR="00EA2BA5" w:rsidRDefault="00EA2BA5" w:rsidP="00AC30F0">
      <w:pPr>
        <w:pStyle w:val="COClauseL2"/>
      </w:pPr>
      <w:r>
        <w:t>The Supplier shall assist and cooperate with the Customer to enable the Customer to publish this Call-Off Agreement.</w:t>
      </w:r>
    </w:p>
    <w:p w:rsidR="00EA2BA5" w:rsidRPr="00AC30F0" w:rsidRDefault="00EA2BA5" w:rsidP="00AC30F0">
      <w:pPr>
        <w:pStyle w:val="COClauseL1Content"/>
        <w:rPr>
          <w:rStyle w:val="ClauseTitle"/>
        </w:rPr>
      </w:pPr>
      <w:bookmarkStart w:id="16" w:name="_Toc379197361"/>
      <w:r w:rsidRPr="00AC30F0">
        <w:rPr>
          <w:rStyle w:val="ClauseTitle"/>
        </w:rPr>
        <w:t>OFFICIAL SECRETS ACTS</w:t>
      </w:r>
      <w:bookmarkEnd w:id="16"/>
    </w:p>
    <w:p w:rsidR="00EA2BA5" w:rsidRDefault="00EA2BA5" w:rsidP="0007614D">
      <w:pPr>
        <w:pStyle w:val="COClauseL2"/>
        <w:jc w:val="both"/>
      </w:pPr>
      <w:r>
        <w:t>The Supplier shall comply with and shall ensure that the Supplier Staff comply with, the provisions of:</w:t>
      </w:r>
    </w:p>
    <w:p w:rsidR="00EA2BA5" w:rsidRDefault="00EA2BA5" w:rsidP="0007614D">
      <w:pPr>
        <w:pStyle w:val="COClauseL3"/>
        <w:jc w:val="both"/>
      </w:pPr>
      <w:r>
        <w:t xml:space="preserve">the Official Secrets Act 1911 to 1989; and </w:t>
      </w:r>
    </w:p>
    <w:p w:rsidR="00EA2BA5" w:rsidRDefault="00EA2BA5" w:rsidP="0007614D">
      <w:pPr>
        <w:pStyle w:val="COClauseL3"/>
        <w:jc w:val="both"/>
      </w:pPr>
      <w:r>
        <w:t>Section 182 of the Finance Act 1989.</w:t>
      </w:r>
    </w:p>
    <w:p w:rsidR="00EA2BA5" w:rsidRDefault="00EA2BA5"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rsidR="00EA2BA5" w:rsidRDefault="00EA2BA5" w:rsidP="0007614D">
      <w:pPr>
        <w:pStyle w:val="COClauseL1Content"/>
        <w:jc w:val="both"/>
        <w:rPr>
          <w:rStyle w:val="ClauseTitle"/>
        </w:rPr>
      </w:pPr>
      <w:bookmarkStart w:id="17" w:name="_Toc379197362"/>
      <w:r w:rsidRPr="002B1059">
        <w:rPr>
          <w:rStyle w:val="ClauseTitle"/>
        </w:rPr>
        <w:t>TERM AND TERMINATION</w:t>
      </w:r>
      <w:bookmarkEnd w:id="17"/>
    </w:p>
    <w:p w:rsidR="00EA2BA5" w:rsidRDefault="00EA2BA5" w:rsidP="0007614D">
      <w:pPr>
        <w:pStyle w:val="COClauseL2"/>
        <w:jc w:val="both"/>
      </w:pPr>
      <w:r>
        <w:t>This Call-Off Agreement shall take effect on the Effective Date and shall expire on:</w:t>
      </w:r>
    </w:p>
    <w:p w:rsidR="00EA2BA5" w:rsidRDefault="00EA2BA5" w:rsidP="0007614D">
      <w:pPr>
        <w:pStyle w:val="COClauseL3"/>
        <w:jc w:val="both"/>
      </w:pPr>
      <w:r>
        <w:t xml:space="preserve">the date specified in paragraph 1.2 of the Order Form; or </w:t>
      </w:r>
    </w:p>
    <w:p w:rsidR="00EA2BA5" w:rsidRDefault="00EA2BA5" w:rsidP="0007614D">
      <w:pPr>
        <w:pStyle w:val="COClauseL3"/>
        <w:jc w:val="both"/>
      </w:pPr>
      <w:r>
        <w:t>twenty four (24) Months after the Effective Date, whichever is the earlier, unless terminated earlier pursuant to this Clause CO-9.</w:t>
      </w:r>
    </w:p>
    <w:p w:rsidR="00EA2BA5" w:rsidRDefault="00EA2BA5" w:rsidP="0007614D">
      <w:pPr>
        <w:pStyle w:val="COClauseL2"/>
        <w:jc w:val="both"/>
      </w:pPr>
      <w:r>
        <w:t xml:space="preserve">Termination without Cause </w:t>
      </w:r>
    </w:p>
    <w:p w:rsidR="00EA2BA5" w:rsidRDefault="00EA2BA5" w:rsidP="0007614D">
      <w:pPr>
        <w:pStyle w:val="COClauseL3"/>
        <w:jc w:val="both"/>
      </w:pPr>
      <w:r>
        <w:t>The Customer shall have the right to terminate this Call-Off Agreement at any time by giving the length of written notice to the Supplier as set out in paragraph 10.2 of the Order Form.</w:t>
      </w:r>
    </w:p>
    <w:p w:rsidR="00EA2BA5" w:rsidRDefault="00EA2BA5" w:rsidP="0007614D">
      <w:pPr>
        <w:pStyle w:val="COClauseL2"/>
        <w:jc w:val="both"/>
      </w:pPr>
      <w:r>
        <w:t>Termination on Change of Control</w:t>
      </w:r>
    </w:p>
    <w:p w:rsidR="00EA2BA5" w:rsidRDefault="00EA2BA5"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rsidR="00EA2BA5" w:rsidRDefault="00EA2BA5" w:rsidP="0007614D">
      <w:pPr>
        <w:pStyle w:val="COClauseL4"/>
        <w:jc w:val="both"/>
      </w:pPr>
      <w:r>
        <w:t>being notified in writing that a Change of Control has occurred or is planned or in contemplation; or</w:t>
      </w:r>
    </w:p>
    <w:p w:rsidR="00EA2BA5" w:rsidRDefault="00EA2BA5" w:rsidP="0007614D">
      <w:pPr>
        <w:pStyle w:val="COClauseL4"/>
        <w:jc w:val="both"/>
      </w:pPr>
      <w:r>
        <w:t xml:space="preserve">where no notification has been made, the date that the Customer becomes aware of the Change of Control, </w:t>
      </w:r>
    </w:p>
    <w:p w:rsidR="00EA2BA5" w:rsidRDefault="00EA2BA5" w:rsidP="0007614D">
      <w:pPr>
        <w:pStyle w:val="COClauseL3"/>
        <w:numPr>
          <w:ilvl w:val="0"/>
          <w:numId w:val="0"/>
        </w:numPr>
        <w:ind w:left="2552"/>
        <w:jc w:val="both"/>
      </w:pPr>
      <w:r>
        <w:t xml:space="preserve">but shall not be permitted to terminate where a written approval was granted prior to the Change of Control. </w:t>
      </w:r>
    </w:p>
    <w:p w:rsidR="00EA2BA5" w:rsidRDefault="00EA2BA5"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rsidR="00EA2BA5" w:rsidRDefault="00EA2BA5" w:rsidP="004D5681">
      <w:pPr>
        <w:pStyle w:val="COClauseL2"/>
        <w:jc w:val="both"/>
      </w:pPr>
      <w:r>
        <w:t>Termination by Supplier</w:t>
      </w:r>
    </w:p>
    <w:p w:rsidR="00EA2BA5" w:rsidRDefault="00EA2BA5" w:rsidP="004D5681">
      <w:pPr>
        <w:pStyle w:val="COClauseL3"/>
        <w:numPr>
          <w:ilvl w:val="0"/>
          <w:numId w:val="0"/>
        </w:numPr>
        <w:ind w:left="709"/>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in  paragraph 10.1 of the Order Form. </w:t>
      </w:r>
    </w:p>
    <w:p w:rsidR="00EA2BA5" w:rsidRDefault="00EA2BA5" w:rsidP="004D5681">
      <w:pPr>
        <w:pStyle w:val="COClauseL2"/>
        <w:jc w:val="both"/>
      </w:pPr>
      <w:r>
        <w:t>Termination on Insolvency</w:t>
      </w:r>
    </w:p>
    <w:p w:rsidR="00EA2BA5" w:rsidRDefault="00EA2BA5" w:rsidP="004D5681">
      <w:pPr>
        <w:pStyle w:val="COClauseL3"/>
        <w:jc w:val="both"/>
      </w:pPr>
      <w:r>
        <w:t>The Customer may terminate this Call-Off Agreement with immediate effect by notice in writing where the Supplier:</w:t>
      </w:r>
    </w:p>
    <w:p w:rsidR="00EA2BA5" w:rsidRDefault="00EA2BA5"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rsidR="00EA2BA5" w:rsidRDefault="00EA2BA5"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rsidR="00EA2BA5" w:rsidRDefault="00EA2BA5" w:rsidP="004D5681">
      <w:pPr>
        <w:pStyle w:val="COClauseL4"/>
        <w:jc w:val="both"/>
      </w:pPr>
      <w:r>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rsidR="00EA2BA5" w:rsidRDefault="00EA2BA5" w:rsidP="004D5681">
      <w:pPr>
        <w:pStyle w:val="COClauseL4"/>
        <w:jc w:val="both"/>
      </w:pPr>
      <w:r>
        <w:t>he dies or is adjudged incapable of managing his affairs within the meaning of Part VII of the Mental Health Act 1983; or</w:t>
      </w:r>
    </w:p>
    <w:p w:rsidR="00EA2BA5" w:rsidRDefault="00EA2BA5" w:rsidP="004D5681">
      <w:pPr>
        <w:pStyle w:val="COClauseL4"/>
        <w:jc w:val="both"/>
      </w:pPr>
      <w:r>
        <w:t>the Supplier suspends or ceases, or threatens to suspend or cease, to carry on all or a substantial part of his business.</w:t>
      </w:r>
    </w:p>
    <w:p w:rsidR="00EA2BA5" w:rsidRDefault="00EA2BA5"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rsidR="00EA2BA5" w:rsidRDefault="00EA2BA5" w:rsidP="004D5681">
      <w:pPr>
        <w:pStyle w:val="COClauseL2"/>
        <w:jc w:val="both"/>
      </w:pPr>
      <w:r>
        <w:t>Termination on Material Breach</w:t>
      </w:r>
    </w:p>
    <w:p w:rsidR="00EA2BA5" w:rsidRDefault="00EA2BA5" w:rsidP="004D5681">
      <w:pPr>
        <w:pStyle w:val="COClauseL3"/>
        <w:jc w:val="both"/>
      </w:pPr>
      <w:r>
        <w:t>The Customer may terminate this Call-Off Agreement with immediate effect by giving written notice to the Supplier if the Supplier commits a Material Breach of any obligation under this Call-Off Agreement and if:</w:t>
      </w:r>
    </w:p>
    <w:p w:rsidR="00EA2BA5" w:rsidRDefault="00EA2BA5"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rsidR="00EA2BA5" w:rsidRDefault="00EA2BA5" w:rsidP="0007614D">
      <w:pPr>
        <w:pStyle w:val="COClauseL4"/>
        <w:jc w:val="both"/>
      </w:pPr>
      <w:r>
        <w:t>the Material Breach is not, in the opinion of the Customer capable of remedy.</w:t>
      </w:r>
    </w:p>
    <w:p w:rsidR="00EA2BA5" w:rsidRDefault="00EA2BA5" w:rsidP="0007614D">
      <w:pPr>
        <w:pStyle w:val="COClauseL2"/>
        <w:jc w:val="both"/>
      </w:pPr>
      <w:r>
        <w:t>Termination for repeated Default</w:t>
      </w:r>
    </w:p>
    <w:p w:rsidR="00EA2BA5" w:rsidRDefault="00EA2BA5" w:rsidP="0007614D">
      <w:pPr>
        <w:pStyle w:val="COClauseL3"/>
        <w:jc w:val="both"/>
      </w:pPr>
      <w:r>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rsidR="00EA2BA5" w:rsidRDefault="00EA2BA5" w:rsidP="0007614D">
      <w:pPr>
        <w:pStyle w:val="COClauseL4"/>
        <w:jc w:val="both"/>
      </w:pPr>
      <w:r>
        <w:t>specifying that it is a formal warning notice;</w:t>
      </w:r>
    </w:p>
    <w:p w:rsidR="00EA2BA5" w:rsidRDefault="00EA2BA5" w:rsidP="0007614D">
      <w:pPr>
        <w:pStyle w:val="COClauseL4"/>
        <w:jc w:val="both"/>
      </w:pPr>
      <w:r>
        <w:t>giving reasonable details of the breach; and</w:t>
      </w:r>
    </w:p>
    <w:p w:rsidR="00EA2BA5" w:rsidRDefault="00EA2BA5" w:rsidP="0007614D">
      <w:pPr>
        <w:pStyle w:val="COClauseL4"/>
        <w:jc w:val="both"/>
      </w:pPr>
      <w:r>
        <w:t>stating that such breach is a breach which, if it recurs or continues, may result in a termination of this Call-Off Agreement or that part of the G-Cloud Services affected by such breach.</w:t>
      </w:r>
    </w:p>
    <w:p w:rsidR="00EA2BA5" w:rsidRDefault="00EA2BA5" w:rsidP="0007614D">
      <w:pPr>
        <w:pStyle w:val="COClauseL3"/>
        <w:jc w:val="both"/>
      </w:pPr>
      <w:r>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rsidR="00EA2BA5" w:rsidRDefault="00EA2BA5"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rsidR="00EA2BA5" w:rsidRDefault="00EA2BA5" w:rsidP="0007614D">
      <w:pPr>
        <w:pStyle w:val="COClauseL2"/>
        <w:jc w:val="both"/>
      </w:pPr>
      <w:r>
        <w:t>Save as aforesaid, the Supplier shall not be entitled to any payment from the Customer after the termination (howsoever arising) or expiry of this Call-Off Agreement.</w:t>
      </w:r>
    </w:p>
    <w:p w:rsidR="00EA2BA5" w:rsidRDefault="00EA2BA5" w:rsidP="0007614D">
      <w:pPr>
        <w:pStyle w:val="COClauseL1Content"/>
        <w:jc w:val="both"/>
        <w:rPr>
          <w:rStyle w:val="ClauseTitle"/>
        </w:rPr>
      </w:pPr>
      <w:bookmarkStart w:id="18" w:name="_Toc379197363"/>
      <w:r w:rsidRPr="0014733A">
        <w:rPr>
          <w:rStyle w:val="ClauseTitle"/>
        </w:rPr>
        <w:t>CONSEQUENCES OF SUSPENSION, TERMINATION AND EXPIRY</w:t>
      </w:r>
      <w:bookmarkEnd w:id="18"/>
    </w:p>
    <w:p w:rsidR="00EA2BA5" w:rsidRDefault="00EA2BA5" w:rsidP="0007614D">
      <w:pPr>
        <w:pStyle w:val="COClauseL2"/>
        <w:jc w:val="both"/>
      </w:pPr>
      <w:r>
        <w:t xml:space="preserve">Where a Customer has the right to terminate a Call-Off Agreement, it may elect to suspend this Call-Off Agreement and its performance.  </w:t>
      </w:r>
    </w:p>
    <w:p w:rsidR="00EA2BA5" w:rsidRDefault="00EA2BA5"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EA2BA5" w:rsidRDefault="00EA2BA5" w:rsidP="0007614D">
      <w:pPr>
        <w:pStyle w:val="COClauseL2"/>
        <w:jc w:val="both"/>
      </w:pPr>
      <w:r>
        <w:t>Within ten (10) Working Days of the earlier of the date of expiry or termination (howsoever arising) of this Call-Off Agreement, the Supplier shall return (or make available) to the Customer:</w:t>
      </w:r>
    </w:p>
    <w:p w:rsidR="00EA2BA5" w:rsidRDefault="00EA2BA5"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rsidR="00EA2BA5" w:rsidRDefault="00EA2BA5" w:rsidP="0007614D">
      <w:pPr>
        <w:pStyle w:val="COClauseL3"/>
        <w:jc w:val="both"/>
      </w:pPr>
      <w:r>
        <w:t>any sums prepaid in respect of Ordered G-Cloud Services not provided by the date of expiry or termination (howsoever arising) of this Call-Off Agreement.</w:t>
      </w:r>
    </w:p>
    <w:p w:rsidR="00EA2BA5" w:rsidRDefault="00EA2BA5" w:rsidP="0007614D">
      <w:pPr>
        <w:pStyle w:val="COClauseL2"/>
        <w:jc w:val="both"/>
      </w:pPr>
      <w:r>
        <w:t>The Customer and the Supplier shall comply with the exit and service transfer arrangements as per the Supplier’s terms and conditions identified in Framework Schedule 1 (G-Cloud Services).</w:t>
      </w:r>
    </w:p>
    <w:p w:rsidR="00EA2BA5" w:rsidRDefault="00EA2BA5"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rsidR="00EA2BA5" w:rsidRDefault="00EA2BA5" w:rsidP="0007614D">
      <w:pPr>
        <w:pStyle w:val="COClauseL1Content"/>
        <w:jc w:val="both"/>
        <w:rPr>
          <w:rStyle w:val="ClauseTitle"/>
        </w:rPr>
      </w:pPr>
      <w:bookmarkStart w:id="19" w:name="_Toc379197364"/>
      <w:r w:rsidRPr="0014733A">
        <w:rPr>
          <w:rStyle w:val="ClauseTitle"/>
        </w:rPr>
        <w:t>LIABILITY</w:t>
      </w:r>
      <w:bookmarkEnd w:id="19"/>
    </w:p>
    <w:p w:rsidR="00EA2BA5" w:rsidRDefault="00EA2BA5" w:rsidP="0007614D">
      <w:pPr>
        <w:pStyle w:val="COClauseL2"/>
        <w:jc w:val="both"/>
      </w:pPr>
      <w:r>
        <w:t>Nothing in this Clause CO-11 shall affect a Party’s general duty to mitigate its loss.</w:t>
      </w:r>
    </w:p>
    <w:p w:rsidR="00EA2BA5" w:rsidRDefault="00EA2BA5" w:rsidP="0007614D">
      <w:pPr>
        <w:pStyle w:val="COClauseL2"/>
        <w:jc w:val="both"/>
      </w:pPr>
      <w:r>
        <w:t>Nothing in this Call-Off Agreement shall be construed to limit or exclude either Party's liability for:</w:t>
      </w:r>
    </w:p>
    <w:p w:rsidR="00EA2BA5" w:rsidRDefault="00EA2BA5" w:rsidP="0007614D">
      <w:pPr>
        <w:pStyle w:val="COClauseL3"/>
        <w:jc w:val="both"/>
      </w:pPr>
      <w:r>
        <w:t>death or personal injury caused by its negligence or that of its staff;</w:t>
      </w:r>
    </w:p>
    <w:p w:rsidR="00EA2BA5" w:rsidRDefault="00EA2BA5" w:rsidP="0007614D">
      <w:pPr>
        <w:pStyle w:val="COClauseL3"/>
        <w:jc w:val="both"/>
      </w:pPr>
      <w:r>
        <w:t>bribery, Fraud or fraudulent misrepresentation by it or that of its staff;</w:t>
      </w:r>
    </w:p>
    <w:p w:rsidR="00EA2BA5" w:rsidRDefault="00EA2BA5" w:rsidP="0007614D">
      <w:pPr>
        <w:pStyle w:val="COClauseL3"/>
        <w:jc w:val="both"/>
      </w:pPr>
      <w:r>
        <w:t>any breach of any obligations implied by Section 2 of the Supply of Goods and Services Act 1982; or</w:t>
      </w:r>
    </w:p>
    <w:p w:rsidR="00EA2BA5" w:rsidRDefault="00EA2BA5" w:rsidP="0007614D">
      <w:pPr>
        <w:pStyle w:val="COClauseL3"/>
        <w:jc w:val="both"/>
      </w:pPr>
      <w:r>
        <w:t>any other matter which, by Law, may not be excluded or limited.</w:t>
      </w:r>
    </w:p>
    <w:p w:rsidR="00EA2BA5" w:rsidRDefault="00EA2BA5" w:rsidP="0007614D">
      <w:pPr>
        <w:pStyle w:val="COClauseL2"/>
        <w:jc w:val="both"/>
      </w:pPr>
      <w:r>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rsidR="00EA2BA5" w:rsidRDefault="00EA2BA5" w:rsidP="0007614D">
      <w:pPr>
        <w:pStyle w:val="COClauseL2"/>
        <w:jc w:val="both"/>
      </w:pPr>
      <w:r>
        <w:t>Subject always to Clause CO-11.2, the aggregate liability of either Party under or in connection with each Year of this Call-Off Agreement (whether expressed as an indemnity or otherwise):</w:t>
      </w:r>
    </w:p>
    <w:p w:rsidR="00EA2BA5" w:rsidRDefault="00EA2BA5" w:rsidP="0007614D">
      <w:pPr>
        <w:pStyle w:val="COClauseL3"/>
        <w:jc w:val="both"/>
      </w:pPr>
      <w:r>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rsidR="00EA2BA5" w:rsidRDefault="00EA2BA5" w:rsidP="0007614D">
      <w:pPr>
        <w:pStyle w:val="COClauseL3"/>
        <w:jc w:val="both"/>
      </w:pPr>
      <w:r>
        <w:t>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Form .</w:t>
      </w:r>
    </w:p>
    <w:p w:rsidR="00EA2BA5" w:rsidRDefault="00EA2BA5" w:rsidP="0014733A">
      <w:pPr>
        <w:pStyle w:val="COClauseL2"/>
      </w:pPr>
      <w:r>
        <w:t>Subject always to Clause CO-11.4 the Customer shall have the right to recover as a direct loss:</w:t>
      </w:r>
    </w:p>
    <w:p w:rsidR="00EA2BA5" w:rsidRDefault="00EA2BA5" w:rsidP="0014733A">
      <w:pPr>
        <w:pStyle w:val="COClauseL3"/>
      </w:pPr>
      <w:r>
        <w:t>any additional operational and/or administrative expenses arising from the Supplier's Default;</w:t>
      </w:r>
    </w:p>
    <w:p w:rsidR="00EA2BA5" w:rsidRDefault="00EA2BA5" w:rsidP="0014733A">
      <w:pPr>
        <w:pStyle w:val="COClauseL3"/>
      </w:pPr>
      <w:r>
        <w:t>any wasted expenditure or charges rendered unnecessary and/or incurred by the Customer arising from the Supplier's Default; and</w:t>
      </w:r>
    </w:p>
    <w:p w:rsidR="00EA2BA5" w:rsidRDefault="00EA2BA5"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rsidR="00EA2BA5" w:rsidRDefault="00EA2BA5"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rsidR="00EA2BA5" w:rsidRDefault="00EA2BA5" w:rsidP="0014733A">
      <w:pPr>
        <w:pStyle w:val="COClauseL2"/>
      </w:pPr>
      <w:r>
        <w:t xml:space="preserve">Subject to Clauses CO-11.2 and Clause CO-11.5, in no event shall either Party be liable to the other for any: </w:t>
      </w:r>
    </w:p>
    <w:p w:rsidR="00EA2BA5" w:rsidRDefault="00EA2BA5" w:rsidP="0014733A">
      <w:pPr>
        <w:pStyle w:val="COClauseL3"/>
      </w:pPr>
      <w:r>
        <w:t>loss of profits;</w:t>
      </w:r>
    </w:p>
    <w:p w:rsidR="00EA2BA5" w:rsidRDefault="00EA2BA5" w:rsidP="0014733A">
      <w:pPr>
        <w:pStyle w:val="COClauseL3"/>
      </w:pPr>
      <w:r>
        <w:t xml:space="preserve">loss of business; </w:t>
      </w:r>
    </w:p>
    <w:p w:rsidR="00EA2BA5" w:rsidRDefault="00EA2BA5" w:rsidP="0014733A">
      <w:pPr>
        <w:pStyle w:val="COClauseL3"/>
      </w:pPr>
      <w:r>
        <w:t xml:space="preserve">loss of revenue; </w:t>
      </w:r>
    </w:p>
    <w:p w:rsidR="00EA2BA5" w:rsidRDefault="00EA2BA5" w:rsidP="0014733A">
      <w:pPr>
        <w:pStyle w:val="COClauseL3"/>
      </w:pPr>
      <w:r>
        <w:t>loss of or damage to goodwill;</w:t>
      </w:r>
    </w:p>
    <w:p w:rsidR="00EA2BA5" w:rsidRDefault="00EA2BA5" w:rsidP="0014733A">
      <w:pPr>
        <w:pStyle w:val="COClauseL3"/>
      </w:pPr>
      <w:r>
        <w:t>loss of savings (whether anticipated or otherwise); and/or</w:t>
      </w:r>
    </w:p>
    <w:p w:rsidR="00EA2BA5" w:rsidRDefault="00EA2BA5" w:rsidP="0014733A">
      <w:pPr>
        <w:pStyle w:val="COClauseL3"/>
      </w:pPr>
      <w:r>
        <w:t>any indirect, special or consequential loss or damage.</w:t>
      </w:r>
    </w:p>
    <w:p w:rsidR="00EA2BA5" w:rsidRPr="00B2393B" w:rsidRDefault="00EA2BA5" w:rsidP="00A66BD2">
      <w:pPr>
        <w:pStyle w:val="COClauseL1"/>
        <w:numPr>
          <w:ilvl w:val="0"/>
          <w:numId w:val="0"/>
        </w:numPr>
        <w:ind w:left="1560" w:hanging="840"/>
        <w:jc w:val="both"/>
      </w:pPr>
      <w:r>
        <w:t xml:space="preserve">CO-11.8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rsidR="00EA2BA5" w:rsidRDefault="00EA2BA5" w:rsidP="000D23D3">
      <w:pPr>
        <w:pStyle w:val="COClauseL3"/>
        <w:numPr>
          <w:ilvl w:val="0"/>
          <w:numId w:val="0"/>
        </w:numPr>
        <w:ind w:left="2552"/>
      </w:pPr>
    </w:p>
    <w:p w:rsidR="00EA2BA5" w:rsidRPr="00590E68" w:rsidRDefault="00EA2BA5" w:rsidP="00590E68">
      <w:pPr>
        <w:pStyle w:val="COClauseL1Content"/>
        <w:rPr>
          <w:rStyle w:val="ClauseTitle"/>
        </w:rPr>
      </w:pPr>
      <w:bookmarkStart w:id="20" w:name="_Toc379197365"/>
      <w:r w:rsidRPr="00590E68">
        <w:rPr>
          <w:rStyle w:val="ClauseTitle"/>
        </w:rPr>
        <w:t>INSURANCE</w:t>
      </w:r>
      <w:bookmarkEnd w:id="20"/>
    </w:p>
    <w:p w:rsidR="00EA2BA5" w:rsidRDefault="00EA2BA5"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EA2BA5" w:rsidRDefault="00EA2BA5" w:rsidP="0007614D">
      <w:pPr>
        <w:pStyle w:val="COClauseL2"/>
        <w:jc w:val="both"/>
      </w:pPr>
      <w:r>
        <w:t xml:space="preserve">The provisions of any insurance or the amount of cover shall not relieve the Supplier of any liabilities under this Call-Off Agreement.  </w:t>
      </w:r>
    </w:p>
    <w:p w:rsidR="00EA2BA5" w:rsidRDefault="00EA2BA5" w:rsidP="0007614D">
      <w:pPr>
        <w:pStyle w:val="COClauseL1Content"/>
        <w:jc w:val="both"/>
        <w:rPr>
          <w:rStyle w:val="ClauseTitle"/>
        </w:rPr>
      </w:pPr>
      <w:bookmarkStart w:id="21" w:name="_Toc379197366"/>
      <w:r w:rsidRPr="00590E68">
        <w:rPr>
          <w:rStyle w:val="ClauseTitle"/>
        </w:rPr>
        <w:t>PAYMENT, VAT AND CALL-OFF AGREEMENT CHARGES</w:t>
      </w:r>
      <w:bookmarkEnd w:id="21"/>
    </w:p>
    <w:p w:rsidR="00EA2BA5" w:rsidRDefault="00EA2BA5" w:rsidP="0007614D">
      <w:pPr>
        <w:pStyle w:val="COClauseL2"/>
        <w:jc w:val="both"/>
      </w:pPr>
      <w:r>
        <w:t>In consideration of the Supplier's performance of its obligations under this Call-Off Agreement, the Customer shall pay the Charges in accordance with the Clause CO-13.2 to CO-13.8.</w:t>
      </w:r>
    </w:p>
    <w:p w:rsidR="00EA2BA5" w:rsidRDefault="00EA2BA5" w:rsidP="0007614D">
      <w:pPr>
        <w:pStyle w:val="COClauseL2"/>
        <w:jc w:val="both"/>
      </w:pPr>
      <w:r>
        <w:t xml:space="preserve">The Customer shall pay all sums properly due and payable to the Supplier in cleared funds within the time period specified in paragraph 6 of the Order Form.  </w:t>
      </w:r>
    </w:p>
    <w:p w:rsidR="00EA2BA5" w:rsidRDefault="00EA2BA5"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rsidR="00EA2BA5" w:rsidRDefault="00EA2BA5"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rsidR="00EA2BA5" w:rsidRDefault="00EA2BA5" w:rsidP="0007614D">
      <w:pPr>
        <w:pStyle w:val="COClauseL2"/>
        <w:jc w:val="both"/>
      </w:pPr>
      <w:r>
        <w:t xml:space="preserve">The Supplier shall add VAT to the Charges at the prevailing rate as applicable. </w:t>
      </w:r>
    </w:p>
    <w:p w:rsidR="00EA2BA5" w:rsidRDefault="00EA2BA5" w:rsidP="0007614D">
      <w:pPr>
        <w:pStyle w:val="COClauseL2"/>
        <w:jc w:val="both"/>
      </w:pPr>
      <w:r>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 shall be paid by the Supplier to the Customer not less than five (5) Working Days before the date upon which the tax or other liability is payable by the Customer.  </w:t>
      </w:r>
    </w:p>
    <w:p w:rsidR="00EA2BA5" w:rsidRDefault="00EA2BA5" w:rsidP="0007614D">
      <w:pPr>
        <w:jc w:val="both"/>
      </w:pPr>
      <w:r>
        <w:t xml:space="preserve">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EA2BA5" w:rsidRDefault="00EA2BA5" w:rsidP="004D5681">
      <w:pPr>
        <w:pStyle w:val="COClauseL2"/>
        <w:jc w:val="both"/>
      </w:pPr>
      <w:r w:rsidRPr="00D1211D">
        <w:t>In the event of a disputed invoice, the Customer shall make payment in respect of any undisputed amount in accordanc</w:t>
      </w:r>
      <w:r>
        <w:t xml:space="preserve">e with the provisions of Clause CO-13 </w:t>
      </w:r>
      <w:r w:rsidRPr="00D1211D">
        <w:t xml:space="preserve">of this </w:t>
      </w:r>
      <w:r>
        <w:t>Call-Off Agreement</w:t>
      </w:r>
      <w:r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rsidR="00EA2BA5" w:rsidRPr="00590E68" w:rsidRDefault="00EA2BA5" w:rsidP="004D5681">
      <w:pPr>
        <w:pStyle w:val="COClauseL2"/>
        <w:jc w:val="both"/>
        <w:rPr>
          <w:rStyle w:val="InfillNote"/>
        </w:rPr>
      </w:pPr>
      <w:r>
        <w:t xml:space="preserve"> </w:t>
      </w:r>
      <w:r w:rsidRPr="003E7EE8">
        <w:rPr>
          <w:rStyle w:val="InfillNote"/>
          <w:shd w:val="clear" w:color="auto" w:fill="auto"/>
        </w:rPr>
        <w:t>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EA2BA5" w:rsidRPr="00590E68" w:rsidRDefault="00EA2BA5" w:rsidP="00590E68">
      <w:pPr>
        <w:pStyle w:val="COClauseL1Content"/>
        <w:rPr>
          <w:rStyle w:val="ClauseTitle"/>
        </w:rPr>
      </w:pPr>
      <w:bookmarkStart w:id="22" w:name="_Toc379197367"/>
      <w:r w:rsidRPr="00590E68">
        <w:rPr>
          <w:rStyle w:val="ClauseTitle"/>
        </w:rPr>
        <w:t>GUARANTEE</w:t>
      </w:r>
      <w:bookmarkEnd w:id="22"/>
    </w:p>
    <w:p w:rsidR="00EA2BA5" w:rsidRDefault="00EA2BA5" w:rsidP="0007614D">
      <w:pPr>
        <w:pStyle w:val="COClauseL2"/>
        <w:jc w:val="both"/>
      </w:pPr>
      <w:r>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rsidR="00EA2BA5" w:rsidRDefault="00EA2BA5" w:rsidP="0007614D">
      <w:pPr>
        <w:pStyle w:val="COClauseL1Content"/>
        <w:jc w:val="both"/>
        <w:rPr>
          <w:rStyle w:val="ClauseTitle"/>
        </w:rPr>
      </w:pPr>
      <w:bookmarkStart w:id="23" w:name="_Toc379197368"/>
      <w:r w:rsidRPr="00590E68">
        <w:rPr>
          <w:rStyle w:val="ClauseTitle"/>
        </w:rPr>
        <w:t>FORCE MAJEURE</w:t>
      </w:r>
      <w:bookmarkEnd w:id="23"/>
    </w:p>
    <w:p w:rsidR="00EA2BA5" w:rsidRDefault="00EA2BA5"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rsidR="00EA2BA5" w:rsidRDefault="00EA2BA5"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rsidR="00EA2BA5" w:rsidRDefault="00EA2BA5" w:rsidP="0007614D">
      <w:pPr>
        <w:pStyle w:val="COClauseL1Content"/>
        <w:jc w:val="both"/>
        <w:rPr>
          <w:rStyle w:val="ClauseTitle"/>
        </w:rPr>
      </w:pPr>
      <w:bookmarkStart w:id="24" w:name="_Toc379197369"/>
      <w:r w:rsidRPr="00590E68">
        <w:rPr>
          <w:rStyle w:val="ClauseTitle"/>
        </w:rPr>
        <w:t>TRANSFER AND SUB-CONTRACTING</w:t>
      </w:r>
      <w:bookmarkEnd w:id="24"/>
    </w:p>
    <w:p w:rsidR="00EA2BA5" w:rsidRDefault="00EA2BA5"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rsidR="00EA2BA5" w:rsidRDefault="00EA2BA5" w:rsidP="0007614D">
      <w:pPr>
        <w:pStyle w:val="COClauseL2"/>
        <w:jc w:val="both"/>
      </w:pPr>
      <w:r>
        <w:t>The Supplier shall be responsible for the acts and omissions of its Sub-Contractors as though they are its own.</w:t>
      </w:r>
    </w:p>
    <w:p w:rsidR="00EA2BA5" w:rsidRDefault="00EA2BA5" w:rsidP="0007614D">
      <w:pPr>
        <w:pStyle w:val="COClauseL2"/>
        <w:jc w:val="both"/>
      </w:pPr>
      <w:r>
        <w:t>The Customer may assign, novate or otherwise dispose of its rights and obligations under the Call-Off Agreement or any part thereof to:</w:t>
      </w:r>
    </w:p>
    <w:p w:rsidR="00EA2BA5" w:rsidRDefault="00EA2BA5" w:rsidP="0007614D">
      <w:pPr>
        <w:pStyle w:val="COClauseL3"/>
        <w:jc w:val="both"/>
      </w:pPr>
      <w:r>
        <w:t xml:space="preserve">any other body established by the Crown or under statute in order substantially to perform any of the functions that had previously been performed by the Customer; or </w:t>
      </w:r>
    </w:p>
    <w:p w:rsidR="00EA2BA5" w:rsidRDefault="00EA2BA5" w:rsidP="0007614D">
      <w:pPr>
        <w:pStyle w:val="COClauseL3"/>
        <w:jc w:val="both"/>
      </w:pPr>
      <w:r>
        <w:t xml:space="preserve">any private sector body which substantially performs the functions of the Customer </w:t>
      </w:r>
    </w:p>
    <w:p w:rsidR="00EA2BA5" w:rsidRDefault="00EA2BA5"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rsidR="00EA2BA5" w:rsidRDefault="00EA2BA5" w:rsidP="0007614D">
      <w:pPr>
        <w:pStyle w:val="COClauseL1Content"/>
        <w:jc w:val="both"/>
        <w:rPr>
          <w:rStyle w:val="ClauseTitle"/>
        </w:rPr>
      </w:pPr>
      <w:bookmarkStart w:id="25" w:name="_Toc379197370"/>
      <w:r w:rsidRPr="00590E68">
        <w:rPr>
          <w:rStyle w:val="ClauseTitle"/>
        </w:rPr>
        <w:t>THE CONTRACTS (RIGHTS OF THIRD PARTIES) ACT 1999</w:t>
      </w:r>
      <w:bookmarkEnd w:id="25"/>
    </w:p>
    <w:p w:rsidR="00EA2BA5" w:rsidRDefault="00EA2BA5"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rsidR="00EA2BA5" w:rsidRDefault="00EA2BA5" w:rsidP="0007614D">
      <w:pPr>
        <w:pStyle w:val="COClauseL1Content"/>
        <w:jc w:val="both"/>
        <w:rPr>
          <w:rStyle w:val="ClauseTitle"/>
        </w:rPr>
      </w:pPr>
      <w:bookmarkStart w:id="26" w:name="_Toc379197371"/>
      <w:r w:rsidRPr="00590E68">
        <w:rPr>
          <w:rStyle w:val="ClauseTitle"/>
        </w:rPr>
        <w:t>LAW &amp; JURISDICTION</w:t>
      </w:r>
      <w:bookmarkEnd w:id="26"/>
      <w:r w:rsidRPr="00590E68">
        <w:rPr>
          <w:rStyle w:val="ClauseTitle"/>
        </w:rPr>
        <w:t xml:space="preserve"> </w:t>
      </w:r>
    </w:p>
    <w:p w:rsidR="00EA2BA5" w:rsidRDefault="00EA2BA5"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rsidR="00EA2BA5" w:rsidRDefault="00EA2BA5" w:rsidP="00590E68">
      <w:pPr>
        <w:pStyle w:val="COClauseL1Content"/>
        <w:rPr>
          <w:rStyle w:val="ClauseTitle"/>
        </w:rPr>
      </w:pPr>
      <w:bookmarkStart w:id="27" w:name="_Toc379197372"/>
      <w:r>
        <w:rPr>
          <w:rStyle w:val="ClauseTitle"/>
        </w:rPr>
        <w:t>Additional G-Cloud Services</w:t>
      </w:r>
      <w:bookmarkEnd w:id="27"/>
    </w:p>
    <w:p w:rsidR="00EA2BA5" w:rsidRDefault="00EA2BA5" w:rsidP="00F21389">
      <w:pPr>
        <w:pStyle w:val="COClauseL1"/>
        <w:numPr>
          <w:ilvl w:val="0"/>
          <w:numId w:val="0"/>
        </w:numPr>
        <w:ind w:left="709"/>
        <w:jc w:val="both"/>
      </w:pPr>
      <w:r>
        <w:t xml:space="preserve">CO-19.1 </w:t>
      </w:r>
      <w:bookmarkStart w:id="28" w:name="_Ref339636992"/>
      <w:r>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28"/>
    </w:p>
    <w:p w:rsidR="00EA2BA5" w:rsidRDefault="00EA2BA5" w:rsidP="00263FF1">
      <w:pPr>
        <w:pStyle w:val="FWClauseL2"/>
        <w:numPr>
          <w:ilvl w:val="0"/>
          <w:numId w:val="0"/>
        </w:numPr>
        <w:ind w:left="709"/>
        <w:jc w:val="both"/>
      </w:pPr>
      <w:r>
        <w:t>CO-19.2 The Supplier shall provide Additional G-Cloud Services in accordance with any relevant Implementation Plan(s) and the Supplier shall monitor the performance of such services against the Implementation Plan(s).</w:t>
      </w:r>
    </w:p>
    <w:p w:rsidR="00EA2BA5" w:rsidRPr="008D7709" w:rsidRDefault="00EA2BA5" w:rsidP="008D7709">
      <w:pPr>
        <w:pStyle w:val="COClauseL1Content"/>
        <w:rPr>
          <w:b/>
          <w:caps/>
          <w:u w:val="single"/>
        </w:rPr>
      </w:pPr>
      <w:bookmarkStart w:id="29" w:name="_Toc379197373"/>
      <w:r>
        <w:rPr>
          <w:rFonts w:cs="Arial"/>
          <w:b/>
        </w:rPr>
        <w:t>[</w:t>
      </w:r>
      <w:r w:rsidRPr="002F61B4">
        <w:rPr>
          <w:rFonts w:cs="Arial"/>
          <w:b/>
          <w:u w:val="single"/>
        </w:rPr>
        <w:t>COLLABORATION AGREEMENT</w:t>
      </w:r>
      <w:bookmarkEnd w:id="29"/>
    </w:p>
    <w:p w:rsidR="00EA2BA5" w:rsidRPr="00236378" w:rsidRDefault="00EA2BA5" w:rsidP="00A9527C">
      <w:pPr>
        <w:pStyle w:val="FWClauseL2"/>
        <w:numPr>
          <w:ilvl w:val="0"/>
          <w:numId w:val="0"/>
        </w:numPr>
        <w:ind w:left="709"/>
        <w:jc w:val="both"/>
      </w:pPr>
      <w:bookmarkStart w:id="30" w:name="_Toc139080329"/>
      <w:r w:rsidRPr="00236378">
        <w:t xml:space="preserve">CO-20.1 </w:t>
      </w:r>
      <w:r w:rsidRPr="00236378">
        <w:tab/>
        <w:t xml:space="preserve">Where the Customer has specified in paragraph 13 of the Order Form that the Customer requires the Supplier to enter into a Collaboration Agreement, </w:t>
      </w:r>
      <w:r>
        <w:t>[</w:t>
      </w:r>
      <w:r w:rsidRPr="000E5525">
        <w:t>the Supplier shall deliver to the Customer an executed Collaboration Agreement][a Collaboration Agreement should be executed between the Parties, on or prior to the Commencement Date].</w:t>
      </w:r>
    </w:p>
    <w:p w:rsidR="00EA2BA5" w:rsidRPr="00236378" w:rsidRDefault="00EA2BA5" w:rsidP="00A9527C">
      <w:pPr>
        <w:pStyle w:val="FWClauseL2"/>
        <w:numPr>
          <w:ilvl w:val="0"/>
          <w:numId w:val="0"/>
        </w:numPr>
        <w:ind w:left="709"/>
        <w:jc w:val="both"/>
      </w:pPr>
      <w:r w:rsidRPr="00236378">
        <w:t>CO-20.2 In addition to its obligations under any Collaboration Agreement, the Supplier shall:</w:t>
      </w:r>
      <w:bookmarkEnd w:id="30"/>
    </w:p>
    <w:p w:rsidR="00EA2BA5" w:rsidRPr="00A9527C" w:rsidRDefault="00EA2BA5" w:rsidP="00A9527C">
      <w:pPr>
        <w:pStyle w:val="FWClauseL2"/>
        <w:numPr>
          <w:ilvl w:val="0"/>
          <w:numId w:val="0"/>
        </w:numPr>
        <w:ind w:left="720"/>
        <w:jc w:val="both"/>
      </w:pPr>
      <w:bookmarkStart w:id="31" w:name="_Toc139080332"/>
      <w:r w:rsidRPr="00A9527C">
        <w:tab/>
        <w:t xml:space="preserve">CO-20.2.1 work pro-actively with each of the Customer’s contractors in a spirit of trust and mutual confidence; </w:t>
      </w:r>
      <w:bookmarkEnd w:id="31"/>
    </w:p>
    <w:p w:rsidR="00EA2BA5" w:rsidRPr="00A9527C" w:rsidRDefault="00EA2BA5" w:rsidP="00A9527C">
      <w:pPr>
        <w:pStyle w:val="FWClauseL2"/>
        <w:numPr>
          <w:ilvl w:val="0"/>
          <w:numId w:val="0"/>
        </w:numPr>
        <w:ind w:left="720"/>
        <w:jc w:val="both"/>
      </w:pPr>
      <w:r w:rsidRPr="00A9527C">
        <w:tab/>
        <w:t>CO-20.2.2 in addition to its obligations under the Collaboration Agreement the Supplier shall cooperate with the Customer’s contractors of other services to enable the efficient operation of the ICT services; and</w:t>
      </w:r>
    </w:p>
    <w:p w:rsidR="00EA2BA5" w:rsidRPr="00A9527C" w:rsidRDefault="00EA2BA5" w:rsidP="00A9527C">
      <w:pPr>
        <w:pStyle w:val="FWClauseL2"/>
        <w:numPr>
          <w:ilvl w:val="0"/>
          <w:numId w:val="0"/>
        </w:numPr>
        <w:ind w:left="720"/>
        <w:jc w:val="both"/>
      </w:pPr>
      <w:r w:rsidRPr="00A9527C">
        <w:tab/>
        <w:t>CO-20.2.3 assist in sharing information with the Customer’s contractors for the purposes of facilitating adequate provision of the G-Cloud Services and/or Additional G-Cloud Services.]</w:t>
      </w:r>
    </w:p>
    <w:p w:rsidR="00EA2BA5" w:rsidRPr="002F3F4F" w:rsidRDefault="00EA2BA5" w:rsidP="00CD0F67">
      <w:pPr>
        <w:pStyle w:val="COClauseL1Content"/>
        <w:rPr>
          <w:b/>
          <w:caps/>
          <w:u w:val="single"/>
        </w:rPr>
      </w:pPr>
      <w:bookmarkStart w:id="32" w:name="_Ref364957128"/>
      <w:bookmarkStart w:id="33" w:name="_Toc379197374"/>
      <w:r w:rsidRPr="002F61B4">
        <w:rPr>
          <w:b/>
          <w:u w:val="single"/>
        </w:rPr>
        <w:t>VARIATION PROCEDURE</w:t>
      </w:r>
      <w:bookmarkEnd w:id="32"/>
      <w:bookmarkEnd w:id="33"/>
    </w:p>
    <w:p w:rsidR="00EA2BA5" w:rsidRDefault="00EA2BA5" w:rsidP="00CD0F67">
      <w:pPr>
        <w:pStyle w:val="GPSL3numberedclause"/>
        <w:numPr>
          <w:ilvl w:val="0"/>
          <w:numId w:val="0"/>
        </w:numPr>
        <w:ind w:left="2127" w:hanging="720"/>
      </w:pPr>
      <w:r>
        <w:t>CO-21.1 The Customer may</w:t>
      </w:r>
      <w:r w:rsidRPr="00893741">
        <w:t xml:space="preserve"> request </w:t>
      </w:r>
      <w:r>
        <w:t xml:space="preserve">in writing </w:t>
      </w:r>
      <w:r w:rsidRPr="00893741">
        <w:t xml:space="preserve">a variation to this </w:t>
      </w:r>
      <w:r>
        <w:t xml:space="preserve">Call-Off Agreement </w:t>
      </w:r>
      <w:r w:rsidRPr="00893741">
        <w:t xml:space="preserve">provided that such variation does not amount to a </w:t>
      </w:r>
      <w:r>
        <w:t>material change of the Framework Agreement</w:t>
      </w:r>
      <w:r w:rsidRPr="00893741">
        <w:t xml:space="preserve"> </w:t>
      </w:r>
      <w:r>
        <w:t xml:space="preserve">and is </w:t>
      </w:r>
      <w:r w:rsidRPr="00893741">
        <w:t>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p>
    <w:p w:rsidR="00EA2BA5" w:rsidRDefault="00EA2BA5" w:rsidP="00CD0F67">
      <w:pPr>
        <w:pStyle w:val="GPSL3numberedclause"/>
        <w:numPr>
          <w:ilvl w:val="0"/>
          <w:numId w:val="0"/>
        </w:numPr>
        <w:ind w:left="2127" w:hanging="720"/>
      </w:pPr>
      <w:r>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rsidR="00EA2BA5" w:rsidRPr="00322C42" w:rsidRDefault="00EA2BA5" w:rsidP="00CD0F67">
      <w:pPr>
        <w:pStyle w:val="GPSL3numberedclause"/>
        <w:numPr>
          <w:ilvl w:val="0"/>
          <w:numId w:val="0"/>
        </w:numPr>
        <w:ind w:left="2127" w:hanging="720"/>
      </w:pPr>
      <w:r>
        <w:t xml:space="preserve">CO-21.3 </w:t>
      </w:r>
      <w:r w:rsidRPr="00893741">
        <w:t xml:space="preserve">In </w:t>
      </w:r>
      <w:r w:rsidRPr="00322C42">
        <w:t>the event that</w:t>
      </w:r>
      <w:r>
        <w:t>:</w:t>
      </w:r>
    </w:p>
    <w:p w:rsidR="00EA2BA5" w:rsidRPr="00557184" w:rsidRDefault="00EA2BA5" w:rsidP="00CD0F67">
      <w:pPr>
        <w:pStyle w:val="GPSL4numberedclause"/>
      </w:pPr>
      <w:r>
        <w:t xml:space="preserve">Either Party is unable to </w:t>
      </w:r>
      <w:r w:rsidRPr="00557184">
        <w:t xml:space="preserve">agree (agreement shall not be unreasonably withheld or delayed)  to or provide the Variation; </w:t>
      </w:r>
    </w:p>
    <w:p w:rsidR="00EA2BA5" w:rsidRDefault="00EA2BA5" w:rsidP="00CD0F67">
      <w:pPr>
        <w:pStyle w:val="GPSL4numberedclause"/>
      </w:pPr>
      <w:r>
        <w:t xml:space="preserve">the Customer </w:t>
      </w:r>
      <w:r w:rsidRPr="00893741">
        <w:t>may:</w:t>
      </w:r>
    </w:p>
    <w:p w:rsidR="00EA2BA5" w:rsidRDefault="00EA2BA5" w:rsidP="00CD0F67">
      <w:pPr>
        <w:pStyle w:val="GPSL5numberedclause"/>
      </w:pPr>
      <w:r w:rsidRPr="001827DA">
        <w:t xml:space="preserve">agree to continue to perform its obligations under this </w:t>
      </w:r>
      <w:r>
        <w:t xml:space="preserve">Call-Off </w:t>
      </w:r>
      <w:r w:rsidRPr="001827DA">
        <w:t>Agreement without the Variation; or</w:t>
      </w:r>
    </w:p>
    <w:p w:rsidR="00EA2BA5" w:rsidRDefault="00EA2BA5" w:rsidP="00CD0F67">
      <w:pPr>
        <w:pStyle w:val="GPSL5numberedclause"/>
      </w:pPr>
      <w:bookmarkStart w:id="34" w:name="_Ref376251507"/>
      <w:r>
        <w:t>terminate this Call-Off Agreement by mutual agreement within 30 days with immediate effect.</w:t>
      </w:r>
      <w:bookmarkEnd w:id="34"/>
    </w:p>
    <w:p w:rsidR="00EA2BA5" w:rsidRPr="00CD0F67" w:rsidRDefault="00EA2BA5" w:rsidP="00CD0F67">
      <w:pPr>
        <w:pStyle w:val="COClauseL1"/>
        <w:numPr>
          <w:ilvl w:val="0"/>
          <w:numId w:val="0"/>
        </w:numPr>
        <w:ind w:left="709"/>
      </w:pPr>
    </w:p>
    <w:p w:rsidR="00EA2BA5" w:rsidRPr="00590E68" w:rsidRDefault="00EA2BA5" w:rsidP="00590E68">
      <w:pPr>
        <w:pStyle w:val="COClauseL1Content"/>
        <w:rPr>
          <w:rStyle w:val="ClauseTitle"/>
        </w:rPr>
      </w:pPr>
      <w:bookmarkStart w:id="35" w:name="_Toc379197375"/>
      <w:r w:rsidRPr="00590E68">
        <w:rPr>
          <w:rStyle w:val="ClauseTitle"/>
        </w:rPr>
        <w:t>DISPUTE RESOLUTION</w:t>
      </w:r>
      <w:bookmarkEnd w:id="35"/>
    </w:p>
    <w:p w:rsidR="00EA2BA5" w:rsidRDefault="00EA2BA5" w:rsidP="0007614D">
      <w:pPr>
        <w:pStyle w:val="COClauseL2"/>
        <w:jc w:val="both"/>
      </w:pPr>
      <w:r>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rsidR="00EA2BA5" w:rsidRDefault="00EA2BA5" w:rsidP="0007614D">
      <w:pPr>
        <w:pStyle w:val="COClauseL2"/>
        <w:jc w:val="both"/>
      </w:pPr>
      <w:r>
        <w:t xml:space="preserve">If the dispute cannot be resolved by the Parties pursuant to this Clause, the Parties shall refer it to mediation unless the Customer considers that the dispute is not suitable for resolution by mediation.  </w:t>
      </w:r>
    </w:p>
    <w:p w:rsidR="00EA2BA5" w:rsidRDefault="00EA2BA5" w:rsidP="0007614D">
      <w:pPr>
        <w:pStyle w:val="COClauseL2"/>
        <w:jc w:val="both"/>
      </w:pPr>
      <w:r>
        <w:t xml:space="preserve">If the dispute cannot be resolved by mediation the Parties may refer it to arbitration. </w:t>
      </w:r>
    </w:p>
    <w:p w:rsidR="00EA2BA5" w:rsidRDefault="00EA2BA5" w:rsidP="00CB7C56">
      <w:pPr>
        <w:pStyle w:val="COClauseL2"/>
        <w:sectPr w:rsidR="00EA2BA5" w:rsidSect="00981FAF">
          <w:headerReference w:type="default" r:id="rId7"/>
          <w:pgSz w:w="11906" w:h="16838"/>
          <w:pgMar w:top="963" w:right="720" w:bottom="720" w:left="720" w:header="568" w:footer="708" w:gutter="0"/>
          <w:cols w:space="708"/>
          <w:docGrid w:linePitch="360"/>
        </w:sectPr>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rsidR="00EA2BA5" w:rsidRDefault="00EA2BA5" w:rsidP="0007614D">
      <w:pPr>
        <w:pStyle w:val="ScheduleTitle"/>
        <w:jc w:val="both"/>
      </w:pPr>
      <w:bookmarkStart w:id="36" w:name="_Toc379197376"/>
      <w:r>
        <w:t>Call-Off Ordering Procedure</w:t>
      </w:r>
      <w:bookmarkEnd w:id="36"/>
    </w:p>
    <w:p w:rsidR="00EA2BA5" w:rsidRDefault="00EA2BA5" w:rsidP="0007614D">
      <w:pPr>
        <w:pStyle w:val="SClauseL1Content"/>
        <w:jc w:val="both"/>
        <w:rPr>
          <w:rStyle w:val="ClauseTitle"/>
        </w:rPr>
      </w:pPr>
      <w:bookmarkStart w:id="37" w:name="_Toc379197377"/>
      <w:r w:rsidRPr="00A96EC8">
        <w:rPr>
          <w:rStyle w:val="ClauseTitle"/>
        </w:rPr>
        <w:t>BACKGROUND</w:t>
      </w:r>
      <w:bookmarkEnd w:id="37"/>
    </w:p>
    <w:p w:rsidR="00EA2BA5" w:rsidRDefault="00EA2BA5" w:rsidP="0007614D">
      <w:pPr>
        <w:pStyle w:val="SClauseL2"/>
        <w:jc w:val="both"/>
      </w:pPr>
      <w:r>
        <w:t>All Call-Off Agreements from this Framework Agreement will be conducted using the Cloudstore.</w:t>
      </w:r>
    </w:p>
    <w:p w:rsidR="00EA2BA5" w:rsidRDefault="00EA2BA5" w:rsidP="0007614D">
      <w:pPr>
        <w:pStyle w:val="SClauseL2"/>
        <w:jc w:val="both"/>
      </w:pPr>
      <w:r>
        <w:t>All Call-Off Agreements from this Framework Agreement will apply the award criteria stipulated in this Framework Schedule.</w:t>
      </w:r>
    </w:p>
    <w:p w:rsidR="00EA2BA5" w:rsidRDefault="00EA2BA5" w:rsidP="0007614D">
      <w:pPr>
        <w:pStyle w:val="SClauseL1Content"/>
        <w:jc w:val="both"/>
        <w:rPr>
          <w:rStyle w:val="ClauseTitle"/>
        </w:rPr>
      </w:pPr>
      <w:bookmarkStart w:id="38" w:name="_Toc379197378"/>
      <w:r w:rsidRPr="00A96EC8">
        <w:rPr>
          <w:rStyle w:val="ClauseTitle"/>
        </w:rPr>
        <w:t>CATALOGUE – Lots 1-4</w:t>
      </w:r>
      <w:bookmarkEnd w:id="38"/>
    </w:p>
    <w:p w:rsidR="00EA2BA5" w:rsidRDefault="00EA2BA5" w:rsidP="0007614D">
      <w:pPr>
        <w:pStyle w:val="SClauseL2"/>
        <w:jc w:val="both"/>
      </w:pPr>
      <w:r>
        <w:t>The Catalogue provides the list of products which may be required by Other Contracting Bodies during the Term and any Call-Off Agreements. The products are listed in Schedule 1 (G-Cloud Services) according to the respective G-Cloud Services on offer in Lots 1-4.</w:t>
      </w:r>
    </w:p>
    <w:p w:rsidR="00EA2BA5" w:rsidRDefault="00EA2BA5" w:rsidP="0007614D">
      <w:pPr>
        <w:pStyle w:val="SClauseL2"/>
        <w:jc w:val="both"/>
      </w:pPr>
      <w:r>
        <w:t>The Authority shall create a Catalogue for the G-Cloud Services in each Lot where a Framework Supplier has been awarded a place on the Framework Agreement. The Catalogues shall include each of the individual G-Cloud Services as specified in the Schedule 1 (G-Cloud Services).</w:t>
      </w:r>
    </w:p>
    <w:p w:rsidR="00EA2BA5" w:rsidRDefault="00EA2BA5" w:rsidP="0007614D">
      <w:pPr>
        <w:pStyle w:val="SClauseL2"/>
        <w:jc w:val="both"/>
      </w:pPr>
      <w:r>
        <w:t>The structure of the Catalogue shall comprise of a number of menu and content pages which set out all relevant details of the G-Cloud Services offered within each Lot.</w:t>
      </w:r>
    </w:p>
    <w:p w:rsidR="00EA2BA5" w:rsidRDefault="00EA2BA5" w:rsidP="0007614D">
      <w:pPr>
        <w:pStyle w:val="SClauseL1Content"/>
        <w:jc w:val="both"/>
        <w:rPr>
          <w:rStyle w:val="ClauseTitle"/>
        </w:rPr>
      </w:pPr>
      <w:bookmarkStart w:id="39" w:name="_Toc379197379"/>
      <w:r w:rsidRPr="00A96EC8">
        <w:rPr>
          <w:rStyle w:val="ClauseTitle"/>
        </w:rPr>
        <w:t>PROCESS – Direct Award lowest price</w:t>
      </w:r>
      <w:bookmarkEnd w:id="39"/>
    </w:p>
    <w:p w:rsidR="00EA2BA5" w:rsidRDefault="00EA2BA5" w:rsidP="0007614D">
      <w:pPr>
        <w:pStyle w:val="SClauseL2"/>
        <w:jc w:val="both"/>
      </w:pPr>
      <w:r>
        <w:t>If the Authority or any Contracting Body decides to source the G-Cloud Services through this Framework Agreement then it will award its Call-Off Agreement in accordance with the procedure in this Framework Schedule 3 (Ordering Procedure) and the requirements of the Regulations and the Guidance.</w:t>
      </w:r>
    </w:p>
    <w:p w:rsidR="00EA2BA5" w:rsidRDefault="00EA2BA5" w:rsidP="0007614D">
      <w:pPr>
        <w:pStyle w:val="SClauseL2"/>
        <w:jc w:val="both"/>
      </w:pPr>
      <w:r>
        <w:t>Subject to paragraph S3-3.1,  any Contracting Body ordering the G-Cloud Services under this Framework Agreement shall:</w:t>
      </w:r>
    </w:p>
    <w:p w:rsidR="00EA2BA5" w:rsidRDefault="00EA2BA5" w:rsidP="0007614D">
      <w:pPr>
        <w:pStyle w:val="SClauseL3"/>
        <w:jc w:val="both"/>
      </w:pPr>
      <w:r>
        <w:t xml:space="preserve">Apply Long-Listing  - </w:t>
      </w:r>
    </w:p>
    <w:p w:rsidR="00EA2BA5" w:rsidRDefault="00EA2BA5" w:rsidP="0007614D">
      <w:pPr>
        <w:pStyle w:val="SClauseL3"/>
        <w:numPr>
          <w:ilvl w:val="0"/>
          <w:numId w:val="0"/>
        </w:numPr>
        <w:ind w:left="1560"/>
        <w:jc w:val="both"/>
      </w:pPr>
      <w:r>
        <w:t xml:space="preserve">in the first instance and would have to derive a long-list of service offerings which meet their essential minimum requirements.  </w:t>
      </w:r>
    </w:p>
    <w:p w:rsidR="00EA2BA5" w:rsidRDefault="00EA2BA5" w:rsidP="0007614D">
      <w:pPr>
        <w:pStyle w:val="SClauseL3"/>
        <w:jc w:val="both"/>
      </w:pPr>
      <w:r>
        <w:t xml:space="preserve">Apply Short-Listing - </w:t>
      </w:r>
    </w:p>
    <w:p w:rsidR="00EA2BA5" w:rsidRDefault="00EA2BA5" w:rsidP="0007614D">
      <w:pPr>
        <w:pStyle w:val="SClauseL3"/>
        <w:numPr>
          <w:ilvl w:val="0"/>
          <w:numId w:val="0"/>
        </w:numPr>
        <w:ind w:left="2552"/>
        <w:jc w:val="both"/>
      </w:pPr>
      <w:r>
        <w:t xml:space="preserve">Contracting Bodies will then proceed to reduce this list of service offerings down to a short-list. They will short-list those offerings which provide a suitable service within the available budget of the Contracting Body.  </w:t>
      </w:r>
    </w:p>
    <w:p w:rsidR="00EA2BA5" w:rsidRDefault="00EA2BA5" w:rsidP="0007614D">
      <w:pPr>
        <w:pStyle w:val="SClauseL2"/>
        <w:jc w:val="both"/>
      </w:pPr>
      <w:r>
        <w:t>Contracting Bodies may at this point directly award to the Framework Supplier with the lowest price.</w:t>
      </w:r>
    </w:p>
    <w:p w:rsidR="00EA2BA5" w:rsidRPr="00A96EC8" w:rsidRDefault="00EA2BA5" w:rsidP="00A96EC8">
      <w:pPr>
        <w:pStyle w:val="SClauseL1Content"/>
        <w:rPr>
          <w:rStyle w:val="ClauseTitle"/>
        </w:rPr>
      </w:pPr>
      <w:bookmarkStart w:id="40" w:name="_Toc379197380"/>
      <w:r w:rsidRPr="00A96EC8">
        <w:rPr>
          <w:rStyle w:val="ClauseTitle"/>
        </w:rPr>
        <w:t>PROCESS – Direct Award:  Most Economically Advantageous Tender (MEAT)</w:t>
      </w:r>
      <w:bookmarkEnd w:id="40"/>
    </w:p>
    <w:p w:rsidR="00EA2BA5" w:rsidRDefault="00EA2BA5" w:rsidP="005F0827">
      <w:pPr>
        <w:pStyle w:val="SClauseL2"/>
      </w:pPr>
      <w:r>
        <w:t xml:space="preserve">In the event that Contracting Bodies are unable to identify which service best meets their needs purely on the basis of an evaluation of price then all short-listed offerings will be compared to the Customer’s service requirements.   </w:t>
      </w:r>
    </w:p>
    <w:p w:rsidR="00EA2BA5" w:rsidRDefault="00EA2BA5" w:rsidP="005F0827">
      <w:pPr>
        <w:pStyle w:val="SClauseL2"/>
      </w:pPr>
      <w:r>
        <w:t>The evaluation model must apply the following evaluation criteria albeit Contracting Bodies may apply their own weighting to each of the criteria:</w:t>
      </w:r>
    </w:p>
    <w:p w:rsidR="00EA2BA5" w:rsidRDefault="00EA2BA5">
      <w:r>
        <w:br w:type="page"/>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6569"/>
      </w:tblGrid>
      <w:tr w:rsidR="00EA2BA5" w:rsidRPr="00785D74" w:rsidTr="00207926">
        <w:tc>
          <w:tcPr>
            <w:tcW w:w="2077" w:type="dxa"/>
            <w:shd w:val="clear" w:color="auto" w:fill="E6E6E6"/>
          </w:tcPr>
          <w:p w:rsidR="00EA2BA5" w:rsidRPr="00785D74" w:rsidRDefault="00EA2BA5" w:rsidP="00207926">
            <w:r w:rsidRPr="00785D74">
              <w:t>Criteria Number</w:t>
            </w:r>
          </w:p>
        </w:tc>
        <w:tc>
          <w:tcPr>
            <w:tcW w:w="6569" w:type="dxa"/>
            <w:shd w:val="clear" w:color="auto" w:fill="E6E6E6"/>
          </w:tcPr>
          <w:p w:rsidR="00EA2BA5" w:rsidRPr="00785D74" w:rsidRDefault="00EA2BA5" w:rsidP="00207926">
            <w:r w:rsidRPr="00785D74">
              <w:t xml:space="preserve">Direct Award Criteria </w:t>
            </w:r>
          </w:p>
        </w:tc>
      </w:tr>
      <w:tr w:rsidR="00EA2BA5" w:rsidRPr="00785D74" w:rsidTr="00207926">
        <w:tc>
          <w:tcPr>
            <w:tcW w:w="2077" w:type="dxa"/>
          </w:tcPr>
          <w:p w:rsidR="00EA2BA5" w:rsidRPr="00785D74" w:rsidRDefault="00EA2BA5" w:rsidP="00207926">
            <w:r w:rsidRPr="00785D74">
              <w:t>1</w:t>
            </w:r>
            <w:r w:rsidRPr="00785D74">
              <w:tab/>
            </w:r>
          </w:p>
        </w:tc>
        <w:tc>
          <w:tcPr>
            <w:tcW w:w="6569" w:type="dxa"/>
          </w:tcPr>
          <w:p w:rsidR="00EA2BA5" w:rsidRPr="00785D74" w:rsidRDefault="00EA2BA5" w:rsidP="00207926">
            <w:r w:rsidRPr="00785D74">
              <w:t>Whole life cost: cost effectiveness; price and running costs;</w:t>
            </w:r>
          </w:p>
        </w:tc>
      </w:tr>
      <w:tr w:rsidR="00EA2BA5" w:rsidRPr="00785D74" w:rsidTr="00207926">
        <w:tc>
          <w:tcPr>
            <w:tcW w:w="2077" w:type="dxa"/>
          </w:tcPr>
          <w:p w:rsidR="00EA2BA5" w:rsidRPr="00785D74" w:rsidRDefault="00EA2BA5" w:rsidP="00207926">
            <w:r w:rsidRPr="00785D74">
              <w:t>2</w:t>
            </w:r>
          </w:p>
        </w:tc>
        <w:tc>
          <w:tcPr>
            <w:tcW w:w="6569" w:type="dxa"/>
          </w:tcPr>
          <w:p w:rsidR="00EA2BA5" w:rsidRPr="00785D74" w:rsidRDefault="00EA2BA5" w:rsidP="00207926">
            <w:r w:rsidRPr="00785D74">
              <w:t>Technical merit &amp; functional fit: coverage, network capacity and performance as specified in relevant service levels;</w:t>
            </w:r>
          </w:p>
        </w:tc>
      </w:tr>
      <w:tr w:rsidR="00EA2BA5" w:rsidRPr="00785D74" w:rsidTr="00207926">
        <w:tc>
          <w:tcPr>
            <w:tcW w:w="2077" w:type="dxa"/>
          </w:tcPr>
          <w:p w:rsidR="00EA2BA5" w:rsidRPr="00785D74" w:rsidRDefault="00EA2BA5" w:rsidP="00207926">
            <w:r w:rsidRPr="00785D74">
              <w:t>3</w:t>
            </w:r>
            <w:r w:rsidRPr="00785D74">
              <w:tab/>
            </w:r>
          </w:p>
        </w:tc>
        <w:tc>
          <w:tcPr>
            <w:tcW w:w="6569" w:type="dxa"/>
          </w:tcPr>
          <w:p w:rsidR="00EA2BA5" w:rsidRPr="00785D74" w:rsidRDefault="00EA2BA5" w:rsidP="00207926">
            <w:r w:rsidRPr="00785D74">
              <w:t>After sales service management: help desk, account management function and assurance of supply of a range of services; and</w:t>
            </w:r>
          </w:p>
        </w:tc>
      </w:tr>
      <w:tr w:rsidR="00EA2BA5" w:rsidRPr="00785D74" w:rsidTr="00207926">
        <w:trPr>
          <w:trHeight w:val="263"/>
        </w:trPr>
        <w:tc>
          <w:tcPr>
            <w:tcW w:w="2077" w:type="dxa"/>
          </w:tcPr>
          <w:p w:rsidR="00EA2BA5" w:rsidRPr="00785D74" w:rsidRDefault="00EA2BA5" w:rsidP="00207926">
            <w:r w:rsidRPr="00785D74">
              <w:t>4</w:t>
            </w:r>
          </w:p>
        </w:tc>
        <w:tc>
          <w:tcPr>
            <w:tcW w:w="6569" w:type="dxa"/>
          </w:tcPr>
          <w:p w:rsidR="00EA2BA5" w:rsidRPr="00785D74" w:rsidRDefault="00EA2BA5" w:rsidP="00207926">
            <w:r w:rsidRPr="00785D74">
              <w:t>Non-functional characteristics.</w:t>
            </w:r>
          </w:p>
        </w:tc>
      </w:tr>
    </w:tbl>
    <w:p w:rsidR="00EA2BA5" w:rsidRDefault="00EA2BA5" w:rsidP="00207926"/>
    <w:p w:rsidR="00EA2BA5" w:rsidRDefault="00EA2BA5" w:rsidP="00A83CA2">
      <w:pPr>
        <w:pStyle w:val="SClauseL2"/>
        <w:jc w:val="both"/>
      </w:pPr>
      <w:r w:rsidRPr="005F0827">
        <w:t>Contracting</w:t>
      </w:r>
      <w:r>
        <w:t xml:space="preserve"> Bodies are permitted to conduct such tests and demonstrations or set service definitions or standards as are necessary to enable them to establish which of the short-listed offerings provides the most economically advantageous solution to their needs.  In the first instance, Service Definitions will provide appropriate information. </w:t>
      </w:r>
    </w:p>
    <w:p w:rsidR="00EA2BA5" w:rsidRDefault="00EA2BA5" w:rsidP="00A83CA2">
      <w:pPr>
        <w:pStyle w:val="SClauseL2"/>
        <w:jc w:val="both"/>
      </w:pPr>
      <w:r>
        <w:t xml:space="preserve">All short-listed offerings must be evaluated against the same evaluation model.    </w:t>
      </w:r>
    </w:p>
    <w:p w:rsidR="00EA2BA5" w:rsidRDefault="00EA2BA5" w:rsidP="00A83CA2">
      <w:pPr>
        <w:pStyle w:val="SClauseL2"/>
        <w:jc w:val="both"/>
        <w:sectPr w:rsidR="00EA2BA5" w:rsidSect="00981FAF">
          <w:headerReference w:type="default" r:id="rId8"/>
          <w:pgSz w:w="11906" w:h="16838"/>
          <w:pgMar w:top="963" w:right="720" w:bottom="720" w:left="720" w:header="568" w:footer="708" w:gutter="0"/>
          <w:cols w:space="708"/>
          <w:docGrid w:linePitch="360"/>
        </w:sectPr>
      </w:pPr>
      <w:r>
        <w:t>Where a Call-Off Agreement is awarded following the direct award process outlined in this paragraph S3-4 in this Framework Schedule 3 the Contracting Body shall notify all short-listed Suppliers that did not succeed that they have been considered for award, and inform those how their offering(s) performed on the evaluation.</w:t>
      </w:r>
    </w:p>
    <w:p w:rsidR="00EA2BA5" w:rsidRDefault="00EA2BA5" w:rsidP="00A83CA2">
      <w:pPr>
        <w:pStyle w:val="ScheduleTitle"/>
        <w:jc w:val="both"/>
      </w:pPr>
      <w:bookmarkStart w:id="41" w:name="_Toc379197381"/>
      <w:r>
        <w:t>Management Information Requirements</w:t>
      </w:r>
      <w:bookmarkEnd w:id="41"/>
    </w:p>
    <w:p w:rsidR="00EA2BA5" w:rsidRDefault="00EA2BA5" w:rsidP="00A83CA2">
      <w:pPr>
        <w:pStyle w:val="SClauseL1Content"/>
        <w:jc w:val="both"/>
        <w:rPr>
          <w:rStyle w:val="ClauseTitle"/>
        </w:rPr>
      </w:pPr>
      <w:bookmarkStart w:id="42" w:name="_Toc379197382"/>
      <w:r w:rsidRPr="005F0827">
        <w:rPr>
          <w:rStyle w:val="ClauseTitle"/>
        </w:rPr>
        <w:t>AUTHORITY REPORTING REQUIREMENTS (FRAMEWORK AGREEMENT)</w:t>
      </w:r>
      <w:bookmarkEnd w:id="42"/>
    </w:p>
    <w:p w:rsidR="00EA2BA5" w:rsidRDefault="00EA2BA5" w:rsidP="00A83CA2">
      <w:pPr>
        <w:pStyle w:val="SClauseL2"/>
        <w:jc w:val="both"/>
      </w:pPr>
      <w:r>
        <w:t>The Authority shall provide the Supplier with a template report by email prior to or shortly after by the first Working Day of each Month ("</w:t>
      </w:r>
      <w:r w:rsidRPr="004E5162">
        <w:rPr>
          <w:rStyle w:val="DefinedTerm"/>
        </w:rPr>
        <w:t>Monthly email</w:t>
      </w:r>
      <w:r>
        <w:t xml:space="preserve">"). It is the responsibility of the Authority to provide the Supplier with an up to date template report.  Templates from previous Months should not be used as the date will be incorrect and the Authority’s system will not accept it.  An example of the template report current at the date of this Framework Agreement is available from the e-Sourcing portal. </w:t>
      </w:r>
    </w:p>
    <w:p w:rsidR="00EA2BA5" w:rsidRDefault="00EA2BA5" w:rsidP="00A83CA2">
      <w:pPr>
        <w:pStyle w:val="SClauseL2"/>
        <w:jc w:val="both"/>
      </w:pPr>
      <w:r>
        <w:t>The Authority shall provide guidance notes for completing the template report and shall update them from time to time. The template report should be completed by the Supplier in accordance with the guidance notes. Some fields in the template report are mandatory and these fields will be highlighted in the guidance notes.  Returns will not be accepted unless all mandatory fields have been completed by the Supplier.</w:t>
      </w:r>
    </w:p>
    <w:p w:rsidR="00EA2BA5" w:rsidRDefault="00EA2BA5" w:rsidP="00A83CA2">
      <w:pPr>
        <w:pStyle w:val="SClauseL2"/>
        <w:jc w:val="both"/>
      </w:pPr>
      <w:r>
        <w:t>The Supplier undertakes to provide timely, full, accurate and complete Management Information (“</w:t>
      </w:r>
      <w:r w:rsidRPr="005F0827">
        <w:rPr>
          <w:rStyle w:val="DefinedTerm"/>
        </w:rPr>
        <w:t>MI</w:t>
      </w:r>
      <w:r>
        <w:t>”) reports to the Authority which incorporates the data, in the correct format, required by the MI reporting template.  The initial reporting template is set out in the Annex to this Framework Schedule 4.</w:t>
      </w:r>
    </w:p>
    <w:p w:rsidR="00EA2BA5" w:rsidRDefault="00EA2BA5" w:rsidP="00A83CA2">
      <w:pPr>
        <w:pStyle w:val="SClauseL2"/>
        <w:jc w:val="both"/>
      </w:pPr>
      <w:r>
        <w:t>The Supplier may not make any amendment to the current MI reporting Template without the prior Approval.</w:t>
      </w:r>
    </w:p>
    <w:p w:rsidR="00EA2BA5" w:rsidRDefault="00EA2BA5" w:rsidP="00A83CA2">
      <w:pPr>
        <w:pStyle w:val="SClauseL2"/>
        <w:jc w:val="both"/>
      </w:pPr>
      <w:r>
        <w:t>The Authority shall have the right from time to time (on reasonable written notice) to amend the nature of the Management Information which the Supplier is required to supply to the Authority.</w:t>
      </w:r>
    </w:p>
    <w:p w:rsidR="00EA2BA5" w:rsidRDefault="00EA2BA5" w:rsidP="00A83CA2">
      <w:pPr>
        <w:pStyle w:val="SClauseL2"/>
        <w:jc w:val="both"/>
      </w:pPr>
      <w:r>
        <w:t>The template report should be used to report Orders received, invoices raised  during the Month that is being reporting on, regardless of when the work was actually done (e.g. if the invoice was raised in October but the work that was invoiced was done in September the Supplier should report the invoice in October’s return not September’s). Business should be reported once only as an Order and once again as an invoice, where the Order and the invoice take place in different Months. The Supplier should also inform the Authority of any corrections to previous Months’ Management Information. No amendment should be made to the current template report without the prior notification and the Approval.</w:t>
      </w:r>
    </w:p>
    <w:p w:rsidR="00EA2BA5" w:rsidRDefault="00EA2BA5" w:rsidP="00A83CA2">
      <w:pPr>
        <w:pStyle w:val="SClauseL2"/>
        <w:jc w:val="both"/>
      </w:pPr>
      <w:r>
        <w:t xml:space="preserve">Any errors or omissions may result in the return being rejected and an administration charge being added to the Management Charge invoice. </w:t>
      </w:r>
    </w:p>
    <w:p w:rsidR="00EA2BA5" w:rsidRDefault="00EA2BA5" w:rsidP="00A83CA2">
      <w:pPr>
        <w:pStyle w:val="SClauseL2"/>
        <w:jc w:val="both"/>
      </w:pPr>
      <w:r>
        <w:t>The Supplier must return the template by 7th day of each Month including where there has been no activity in the relevant Month (“nil returns”). Where the 7th day falls on a weekend or public holiday then the nearest Working Day before the 7th day.</w:t>
      </w:r>
    </w:p>
    <w:p w:rsidR="00EA2BA5" w:rsidRDefault="00EA2BA5" w:rsidP="00A83CA2">
      <w:pPr>
        <w:pStyle w:val="SClauseL2"/>
        <w:jc w:val="both"/>
      </w:pPr>
      <w:r>
        <w:t>The completed template should be returned to the sender of the Monthly email or as otherwise communicated to the Supplier from time to time.  In the subject line of the return email the Supplier must insert this Framework number, the Supplier’s name and the Month that the return relates to.</w:t>
      </w:r>
    </w:p>
    <w:p w:rsidR="00EA2BA5" w:rsidRDefault="00EA2BA5" w:rsidP="005F0827">
      <w:pPr>
        <w:pStyle w:val="SClauseL2"/>
      </w:pPr>
      <w:r>
        <w:t>The deadline for the return of the template is the Reporting Date provided for in this Framework Agreement. If a return has not been received by the deadline the Supplier will be contacted by a member of the Authority’s data team and an administration charge may be added to the relevant invoice.</w:t>
      </w:r>
    </w:p>
    <w:p w:rsidR="00EA2BA5" w:rsidRDefault="00EA2BA5" w:rsidP="005F0827">
      <w:pPr>
        <w:pStyle w:val="SClauseL2"/>
      </w:pPr>
      <w:r>
        <w:t>MI Failure is when an MI Report:</w:t>
      </w:r>
    </w:p>
    <w:p w:rsidR="00EA2BA5" w:rsidRDefault="00EA2BA5" w:rsidP="005F0827">
      <w:pPr>
        <w:pStyle w:val="SClauseL3"/>
      </w:pPr>
      <w:r>
        <w:t>contains any material errors or material omissions or a missing mandatory field; or</w:t>
      </w:r>
    </w:p>
    <w:p w:rsidR="00EA2BA5" w:rsidRDefault="00EA2BA5" w:rsidP="005F0827">
      <w:pPr>
        <w:pStyle w:val="SClauseL3"/>
      </w:pPr>
      <w:r>
        <w:t>is submitted using an incorrect MI reporting template; or</w:t>
      </w:r>
    </w:p>
    <w:p w:rsidR="00EA2BA5" w:rsidRDefault="00EA2BA5" w:rsidP="005F0827">
      <w:pPr>
        <w:pStyle w:val="SClauseL3"/>
      </w:pPr>
      <w:r>
        <w:t>is not submitted by the Reporting Date (including where a Nil Return should have been filed); or</w:t>
      </w:r>
    </w:p>
    <w:p w:rsidR="00EA2BA5" w:rsidRDefault="00EA2BA5" w:rsidP="005F0827">
      <w:pPr>
        <w:pStyle w:val="SClauseL3"/>
      </w:pPr>
      <w:r>
        <w:t>then the Authority may deem the failure to submit an MI Report correctly as an “MI Failure”.</w:t>
      </w:r>
    </w:p>
    <w:p w:rsidR="00EA2BA5" w:rsidRDefault="00EA2BA5" w:rsidP="005F0827">
      <w:pPr>
        <w:pStyle w:val="SClauseL2"/>
      </w:pPr>
      <w:r w:rsidRPr="005F0827">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EA2BA5" w:rsidRPr="005F0827" w:rsidRDefault="00EA2BA5" w:rsidP="005F0827">
      <w:pPr>
        <w:pStyle w:val="SClauseL1Content"/>
        <w:rPr>
          <w:rStyle w:val="ClauseTitle"/>
        </w:rPr>
      </w:pPr>
      <w:bookmarkStart w:id="43" w:name="_Toc379197383"/>
      <w:r w:rsidRPr="005F0827">
        <w:rPr>
          <w:rStyle w:val="ClauseTitle"/>
        </w:rPr>
        <w:t>Admin Fees</w:t>
      </w:r>
      <w:bookmarkEnd w:id="43"/>
      <w:r w:rsidRPr="005F0827">
        <w:rPr>
          <w:rStyle w:val="ClauseTitle"/>
        </w:rPr>
        <w:t xml:space="preserve"> </w:t>
      </w:r>
    </w:p>
    <w:p w:rsidR="00EA2BA5" w:rsidRDefault="00EA2BA5" w:rsidP="005F0827">
      <w:pPr>
        <w:pStyle w:val="SClauseL2"/>
      </w:pPr>
      <w:r>
        <w:t>If, in any rolling three (3) Month period, two (2) or more MI Failures occur, the Supplier acknowledges and agrees that the Authority shall have the right to invoice the Supplier Admin Fees and (subject to paragraph S4-1.11) in respect of any MI Failures as they arise in subsequent Months.</w:t>
      </w:r>
    </w:p>
    <w:p w:rsidR="00EA2BA5" w:rsidRDefault="00EA2BA5" w:rsidP="005F0827">
      <w:pPr>
        <w:pStyle w:val="SClauseL2"/>
      </w:pPr>
      <w:r>
        <w:t>If, following activation of the Authority’s right to charge Admin Fee(s) in respect of MI Failures pursuant to paragraph S4-2.1, the Supplier submits the Monthly MI Report for two (2) consecutive Months and no MI Failure occurs then the right to charge the Admin Fee(s) shall lapse.  For the avoidance of doubt the Authority shall not be prevented from exercising such right again during the Term if the conditions in paragraph S4-2.1 are met.</w:t>
      </w:r>
    </w:p>
    <w:p w:rsidR="00EA2BA5" w:rsidRDefault="00EA2BA5" w:rsidP="005F0827">
      <w:pPr>
        <w:pStyle w:val="SClauseL2"/>
      </w:pPr>
      <w:r>
        <w:t>The Supplier acknowledges and agrees that the Admin Fees are a fair reflection of the additional costs incurred by the Authority as a result of the Supplier failing to supply Management Information as required by this Framework Agreement.</w:t>
      </w:r>
    </w:p>
    <w:p w:rsidR="00EA2BA5" w:rsidRDefault="00EA2BA5" w:rsidP="005F0827">
      <w:pPr>
        <w:pStyle w:val="SClauseL2"/>
      </w:pPr>
      <w:r>
        <w:t>Authority shall notify the Supplier if any Admin Fees arise pursuant to paragraph S4-2.1 above and shall be entitled to invoice the Supplier for such Admin Fees which shall be payable in accordance with FW-9 as a supplement to the Management Charge.  Any exercise by the Authority of its rights under this paragraph shall be without prejudice to any other rights that may arise pursuant to the terms of the Framework Agreement.</w:t>
      </w:r>
    </w:p>
    <w:p w:rsidR="00EA2BA5" w:rsidRDefault="00EA2BA5" w:rsidP="005F0827">
      <w:pPr>
        <w:rPr>
          <w:rStyle w:val="ClauseTitle"/>
        </w:rPr>
        <w:sectPr w:rsidR="00EA2BA5" w:rsidSect="00981FAF">
          <w:headerReference w:type="default" r:id="rId9"/>
          <w:pgSz w:w="11906" w:h="16838"/>
          <w:pgMar w:top="963" w:right="720" w:bottom="720" w:left="720" w:header="568" w:footer="708" w:gutter="0"/>
          <w:cols w:space="708"/>
          <w:docGrid w:linePitch="360"/>
        </w:sectPr>
      </w:pPr>
      <w:r>
        <w:rPr>
          <w:rStyle w:val="ClauseTitle"/>
        </w:rPr>
        <w:t xml:space="preserve">Annex A: MI Reporting Template </w:t>
      </w:r>
    </w:p>
    <w:p w:rsidR="00EA2BA5" w:rsidRPr="00947927" w:rsidRDefault="00EA2BA5" w:rsidP="00947927">
      <w:pPr>
        <w:pStyle w:val="ScheduleTitle"/>
      </w:pPr>
      <w:bookmarkStart w:id="44" w:name="_Toc379197384"/>
      <w:r w:rsidRPr="00947927">
        <w:t xml:space="preserve">Records </w:t>
      </w:r>
      <w:r>
        <w:t>a</w:t>
      </w:r>
      <w:r w:rsidRPr="00947927">
        <w:t>nd Audit Access</w:t>
      </w:r>
      <w:bookmarkEnd w:id="44"/>
    </w:p>
    <w:p w:rsidR="00EA2BA5" w:rsidRPr="00947927" w:rsidRDefault="00EA2BA5" w:rsidP="00A83CA2">
      <w:pPr>
        <w:pStyle w:val="SClauseL2"/>
        <w:jc w:val="both"/>
      </w:pPr>
      <w:r w:rsidRPr="00947927">
        <w:t xml:space="preserve">The Supplier (which for the purposes of this </w:t>
      </w:r>
      <w:r>
        <w:t>paragraph</w:t>
      </w:r>
      <w:r w:rsidRPr="00947927">
        <w:t xml:space="preserve"> includes all Sub-Contractors) shall keep and maintain until 12 </w:t>
      </w:r>
      <w:r>
        <w:t>M</w:t>
      </w:r>
      <w:r w:rsidRPr="00947927">
        <w:t>onths after the date of termination or expiry of this Framework Agreement or of the last Call-Off Agreement (whichever is the later) (or such other period as may be agreed between the Parties), full and accurate records and accounts of the operation of this Framework Agreement including the G-Cloud Services provided under it, the Call-Off Agreements entered into with Contracting Bodies and the amounts paid by each Contracting Body.</w:t>
      </w:r>
    </w:p>
    <w:p w:rsidR="00EA2BA5" w:rsidRPr="00947927" w:rsidRDefault="00EA2BA5" w:rsidP="00A83CA2">
      <w:pPr>
        <w:pStyle w:val="SClauseL2"/>
        <w:jc w:val="both"/>
      </w:pPr>
      <w:r w:rsidRPr="00947927">
        <w:t xml:space="preserve">The Supplier shall provide the Authority with a completed Self Audit Certificate at the termination (or expiry) of this Framework Agreement for whatever reason.  The Self Audit Certificate shall be completed  by responsible senior member of the Supplier’s management team  or by the Supplier’s external auditor or company </w:t>
      </w:r>
      <w:r>
        <w:t>m</w:t>
      </w:r>
      <w:r w:rsidRPr="00947927">
        <w:t xml:space="preserve">anaging </w:t>
      </w:r>
      <w:r>
        <w:t>d</w:t>
      </w:r>
      <w:r w:rsidRPr="00947927">
        <w:t>irector and shall be provided to the Authority no later than three (3) Months after termination or expiry of this Framework Agreement.</w:t>
      </w:r>
    </w:p>
    <w:p w:rsidR="00EA2BA5" w:rsidRPr="00947927" w:rsidRDefault="00EA2BA5" w:rsidP="00A83CA2">
      <w:pPr>
        <w:pStyle w:val="SClauseL2"/>
        <w:jc w:val="both"/>
      </w:pPr>
      <w:r w:rsidRPr="00947927">
        <w:t>The Supplier shall afford the Authority, the Authority’s representatives, the National Audit Office and/or auditor appointed by the Audit Commission (“</w:t>
      </w:r>
      <w:r w:rsidRPr="004E5162">
        <w:rPr>
          <w:rStyle w:val="DefinedTerm"/>
        </w:rPr>
        <w:t>Auditors</w:t>
      </w:r>
      <w:r w:rsidRPr="00947927">
        <w:t xml:space="preserve">”) access to the records and accounts referred to, and for the purposes specified, in paragraph S5-1.1 at the Supplier’s premises and/or provide copies of the records and accounts, as may be required and agreed with the Authority (or relevant Other Contracting Body) from time to time, in order that the Authority (or relevant Contracting Body) may carry out an inspection of the records and accounts referred to in paragraph S5-1.1 for the following purposes: </w:t>
      </w:r>
    </w:p>
    <w:p w:rsidR="00EA2BA5" w:rsidRPr="00947927" w:rsidRDefault="00EA2BA5" w:rsidP="00A83CA2">
      <w:pPr>
        <w:pStyle w:val="SClauseL3"/>
        <w:jc w:val="both"/>
      </w:pPr>
      <w:r w:rsidRPr="00947927">
        <w:t>verify the accuracy of Charges (and proposed or actual variations to them in accordance with this Framework Agreement); and</w:t>
      </w:r>
    </w:p>
    <w:p w:rsidR="00EA2BA5" w:rsidRPr="00947927" w:rsidRDefault="00EA2BA5" w:rsidP="00A83CA2">
      <w:pPr>
        <w:pStyle w:val="SClauseL3"/>
        <w:jc w:val="both"/>
      </w:pPr>
      <w:r w:rsidRPr="00947927">
        <w:t>review any books of accounts kept by the Supplier in connection with the provision of the G-Cloud Services for the purposes of auditing the Charges and Management Charges under the Framework and Call-Off Agreement only.</w:t>
      </w:r>
    </w:p>
    <w:p w:rsidR="00EA2BA5" w:rsidRPr="00947927" w:rsidRDefault="00EA2BA5" w:rsidP="00A83CA2">
      <w:pPr>
        <w:pStyle w:val="SClauseL2"/>
        <w:jc w:val="both"/>
      </w:pPr>
      <w:r w:rsidRPr="00947927">
        <w:t xml:space="preserve">The Supplier shall provide such records and accounts (together with copies of the Supplier’s published accounts) on request during the Term and during the Call-Off Agreement Period and for a period of twelve (12) </w:t>
      </w:r>
      <w:r>
        <w:t>M</w:t>
      </w:r>
      <w:r w:rsidRPr="00947927">
        <w:t>onths after termination or expiry of the Term or the last Call Off Agreement (whichever is the later) to the Authority (or relevant Contracting Body or Auditors) and its internal and external auditors.</w:t>
      </w:r>
    </w:p>
    <w:p w:rsidR="00EA2BA5" w:rsidRPr="00947927" w:rsidRDefault="00EA2BA5" w:rsidP="00A83CA2">
      <w:pPr>
        <w:pStyle w:val="SClauseL2"/>
        <w:jc w:val="both"/>
      </w:pPr>
      <w:r w:rsidRPr="00947927">
        <w:t>The Authority shall use reasonable endeavours to ensure that the conduct of each Audit does not unreasonably disrupt the Supplier or delay the provision of the G-Cloud Services pursuant to the Call-Off Agreements, save insofar as the Supplier accepts and acknowledges that control over the conduct of Audits carried out by the Auditors is outside of the control of the Authority.</w:t>
      </w:r>
    </w:p>
    <w:p w:rsidR="00EA2BA5" w:rsidRPr="00947927" w:rsidRDefault="00EA2BA5" w:rsidP="00A83CA2">
      <w:pPr>
        <w:pStyle w:val="SClauseL2"/>
        <w:jc w:val="both"/>
      </w:pPr>
      <w:r w:rsidRPr="00947927">
        <w:t>Subject to the Authority’s obligations of confidentiality, the Supplier shall on demand provide the Auditors with all reasonable co-operation and assistance in relation to each Audit, including by providing:</w:t>
      </w:r>
    </w:p>
    <w:p w:rsidR="00EA2BA5" w:rsidRPr="00947927" w:rsidRDefault="00EA2BA5" w:rsidP="00A83CA2">
      <w:pPr>
        <w:pStyle w:val="SClauseL3"/>
        <w:jc w:val="both"/>
      </w:pPr>
      <w:r w:rsidRPr="00947927">
        <w:t>all information requested by the Auditor within the scope of the Audit; and</w:t>
      </w:r>
    </w:p>
    <w:p w:rsidR="00EA2BA5" w:rsidRPr="00947927" w:rsidRDefault="00EA2BA5" w:rsidP="00A83CA2">
      <w:pPr>
        <w:pStyle w:val="SClauseL3"/>
        <w:jc w:val="both"/>
      </w:pPr>
      <w:r w:rsidRPr="00947927">
        <w:t>access to the Supplier Staff.</w:t>
      </w:r>
    </w:p>
    <w:p w:rsidR="00EA2BA5" w:rsidRPr="00947927" w:rsidRDefault="00EA2BA5" w:rsidP="00A83CA2">
      <w:pPr>
        <w:pStyle w:val="SClauseL2"/>
        <w:jc w:val="both"/>
      </w:pPr>
      <w:r w:rsidRPr="00947927">
        <w:t>If an Audit reveals:</w:t>
      </w:r>
    </w:p>
    <w:p w:rsidR="00EA2BA5" w:rsidRPr="00947927" w:rsidRDefault="00EA2BA5" w:rsidP="00A83CA2">
      <w:pPr>
        <w:pStyle w:val="SClauseL3"/>
        <w:jc w:val="both"/>
      </w:pPr>
      <w:r w:rsidRPr="00947927">
        <w:t>an underpayment by the Supplier to the Authority  in excess of five (5%) per cent of the total Management Charge due in any monthly reporting and accounting period; and/or</w:t>
      </w:r>
    </w:p>
    <w:p w:rsidR="00EA2BA5" w:rsidRPr="00947927" w:rsidRDefault="00EA2BA5" w:rsidP="00A83CA2">
      <w:pPr>
        <w:pStyle w:val="SClauseL3"/>
        <w:jc w:val="both"/>
      </w:pPr>
      <w:r w:rsidRPr="00947927">
        <w:t xml:space="preserve">a Material Breach; </w:t>
      </w:r>
    </w:p>
    <w:p w:rsidR="00EA2BA5" w:rsidRPr="00947927" w:rsidRDefault="00EA2BA5" w:rsidP="00A83CA2">
      <w:pPr>
        <w:pStyle w:val="SClauseL2"/>
        <w:numPr>
          <w:ilvl w:val="0"/>
          <w:numId w:val="0"/>
        </w:numPr>
        <w:ind w:left="1560"/>
        <w:jc w:val="both"/>
      </w:pPr>
      <w:r w:rsidRPr="00947927">
        <w:t>then the Supplier shall reimburse the Authority its reasonable costs incurred in relation to the Audit and the Authority shall be entitled to exercise its rights to terminate this Framework Agreement pursuant to Clause FW-12 (Termination).</w:t>
      </w:r>
    </w:p>
    <w:p w:rsidR="00EA2BA5" w:rsidRPr="00947927" w:rsidRDefault="00EA2BA5" w:rsidP="00A83CA2">
      <w:pPr>
        <w:pStyle w:val="SClauseL2"/>
        <w:jc w:val="both"/>
      </w:pPr>
      <w:r w:rsidRPr="00947927">
        <w:t xml:space="preserve">Each Party shall bear its own costs and expenses incurred in respect of compliance with its obligations under this </w:t>
      </w:r>
      <w:r>
        <w:t xml:space="preserve">Schedule </w:t>
      </w:r>
      <w:r w:rsidRPr="00947927">
        <w:t xml:space="preserve">Clause, save as specified in </w:t>
      </w:r>
      <w:r>
        <w:t>paragraph</w:t>
      </w:r>
      <w:r w:rsidRPr="00947927">
        <w:t xml:space="preserve"> S5-1.7 of this Schedule 5 of the Framework Agreement.</w:t>
      </w:r>
    </w:p>
    <w:p w:rsidR="00EA2BA5" w:rsidRDefault="00EA2BA5" w:rsidP="00A83CA2">
      <w:pPr>
        <w:pStyle w:val="SClauseL2"/>
        <w:jc w:val="both"/>
      </w:pPr>
      <w:r>
        <w:t xml:space="preserve">Subject to </w:t>
      </w:r>
      <w:r w:rsidRPr="00947927">
        <w:t>Clause FW-24.4 of the Framework Agreement</w:t>
      </w:r>
      <w:r>
        <w:t>, t</w:t>
      </w:r>
      <w:r w:rsidRPr="00947927">
        <w:t xml:space="preserve">he Supplier </w:t>
      </w:r>
      <w:r>
        <w:t xml:space="preserve">may agree to an appointment of an independent auditor selected by the Supplier to undertake the activities in Clause </w:t>
      </w:r>
      <w:r w:rsidRPr="00947927">
        <w:t xml:space="preserve">S5-1.3 of this Schedule 5 of the Framework Agreement </w:t>
      </w:r>
      <w:r>
        <w:t>provided such selection is</w:t>
      </w:r>
      <w:r w:rsidRPr="00947927">
        <w:t xml:space="preserve"> </w:t>
      </w:r>
      <w:r>
        <w:t xml:space="preserve">Approved by the </w:t>
      </w:r>
      <w:r w:rsidRPr="00947927">
        <w:t>Authority</w:t>
      </w:r>
      <w:r>
        <w:t xml:space="preserve"> (and such Approval</w:t>
      </w:r>
      <w:r w:rsidRPr="00947927">
        <w:t xml:space="preserve"> shall not be unreasonably withheld</w:t>
      </w:r>
      <w:r>
        <w:t xml:space="preserve"> or delayed)</w:t>
      </w:r>
      <w:r w:rsidRPr="00947927">
        <w:t>.</w:t>
      </w:r>
    </w:p>
    <w:p w:rsidR="00EA2BA5" w:rsidRDefault="00EA2BA5" w:rsidP="00A83CA2">
      <w:pPr>
        <w:pStyle w:val="SClauseL2"/>
        <w:numPr>
          <w:ilvl w:val="0"/>
          <w:numId w:val="0"/>
        </w:numPr>
        <w:ind w:left="1560"/>
        <w:jc w:val="both"/>
      </w:pPr>
    </w:p>
    <w:p w:rsidR="00EA2BA5" w:rsidRDefault="00EA2BA5" w:rsidP="00A83CA2">
      <w:pPr>
        <w:jc w:val="both"/>
      </w:pPr>
      <w:r>
        <w:br w:type="page"/>
      </w:r>
    </w:p>
    <w:p w:rsidR="00EA2BA5" w:rsidRPr="00947927" w:rsidRDefault="00EA2BA5" w:rsidP="00947927">
      <w:pPr>
        <w:rPr>
          <w:rStyle w:val="ClauseTitle"/>
        </w:rPr>
      </w:pPr>
      <w:r w:rsidRPr="00947927">
        <w:rPr>
          <w:rStyle w:val="ClauseTitle"/>
        </w:rPr>
        <w:t>ANNEX A: SELF AUDIT CERTIFICATE</w:t>
      </w:r>
    </w:p>
    <w:p w:rsidR="00EA2BA5" w:rsidRDefault="00EA2BA5" w:rsidP="00947927">
      <w:bookmarkStart w:id="45" w:name="_GoBack"/>
      <w:bookmarkEnd w:id="45"/>
      <w:r>
        <w:t>Dear Sirs,</w:t>
      </w:r>
    </w:p>
    <w:p w:rsidR="00EA2BA5" w:rsidRDefault="00EA2BA5" w:rsidP="00947927">
      <w:r>
        <w:t>In accordance with the Framework Agreement entered into on 20</w:t>
      </w:r>
      <w:r w:rsidRPr="000E5525">
        <w:rPr>
          <w:vertAlign w:val="superscript"/>
        </w:rPr>
        <w:t>th</w:t>
      </w:r>
      <w:r>
        <w:t xml:space="preserve"> January 2015 between </w:t>
      </w:r>
      <w:r w:rsidRPr="000E5525">
        <w:rPr>
          <w:rStyle w:val="InfillNote"/>
          <w:shd w:val="clear" w:color="auto" w:fill="auto"/>
        </w:rPr>
        <w:t>i2N Ltd.</w:t>
      </w:r>
      <w:r w:rsidRPr="000E5525">
        <w:t xml:space="preserve"> </w:t>
      </w:r>
      <w:r>
        <w:t>and the Crown Commercial Service, we confirm the following:</w:t>
      </w:r>
    </w:p>
    <w:p w:rsidR="00EA2BA5" w:rsidRDefault="00EA2BA5" w:rsidP="00947927">
      <w:pPr>
        <w:pStyle w:val="Recitals"/>
        <w:numPr>
          <w:ilvl w:val="0"/>
          <w:numId w:val="10"/>
        </w:numPr>
        <w:ind w:left="709" w:hanging="709"/>
      </w:pPr>
      <w:r>
        <w:t xml:space="preserve">In our opinion </w:t>
      </w:r>
      <w:r w:rsidRPr="000E5525">
        <w:rPr>
          <w:rStyle w:val="InfillNote"/>
          <w:shd w:val="clear" w:color="auto" w:fill="auto"/>
        </w:rPr>
        <w:t>i2N Ltd.</w:t>
      </w:r>
      <w:r>
        <w:t xml:space="preserve"> has in place suitable systems for identifying and recording the transactions taking place under the provisions of the above Framework Agreement.</w:t>
      </w:r>
    </w:p>
    <w:p w:rsidR="00EA2BA5" w:rsidRDefault="00EA2BA5" w:rsidP="00947927">
      <w:pPr>
        <w:pStyle w:val="Recitals"/>
      </w:pPr>
      <w:r>
        <w:t>We have tested the systems for identifying and reporting on framework activity and found them to be operating satisfactorily.</w:t>
      </w:r>
    </w:p>
    <w:p w:rsidR="00EA2BA5" w:rsidRDefault="00EA2BA5" w:rsidP="00947927">
      <w:pPr>
        <w:pStyle w:val="Recitals"/>
      </w:pPr>
      <w:r>
        <w:t>We have tested a sample of orders and invoices during our audit for the financial year ended August 2014 and confirm that they are correct and in accordance with the terms and conditions of the above Framework Agreement.</w:t>
      </w:r>
    </w:p>
    <w:p w:rsidR="00EA2BA5" w:rsidRDefault="00EA2BA5" w:rsidP="00947927"/>
    <w:p w:rsidR="00EA2BA5" w:rsidRDefault="00EA2BA5" w:rsidP="00947927">
      <w:pPr>
        <w:tabs>
          <w:tab w:val="left" w:leader="dot" w:pos="5103"/>
        </w:tabs>
      </w:pPr>
      <w:r>
        <w:t>Signature:</w:t>
      </w:r>
      <w:r>
        <w:tab/>
      </w:r>
    </w:p>
    <w:p w:rsidR="00EA2BA5" w:rsidRDefault="00EA2BA5" w:rsidP="00947927">
      <w:pPr>
        <w:tabs>
          <w:tab w:val="left" w:leader="dot" w:pos="5103"/>
        </w:tabs>
      </w:pPr>
      <w:r>
        <w:t>Name:</w:t>
      </w:r>
      <w:r>
        <w:tab/>
      </w:r>
    </w:p>
    <w:p w:rsidR="00EA2BA5" w:rsidRDefault="00EA2BA5" w:rsidP="00947927">
      <w:pPr>
        <w:tabs>
          <w:tab w:val="left" w:leader="dot" w:pos="5103"/>
        </w:tabs>
      </w:pPr>
      <w:r>
        <w:t>Position:</w:t>
      </w:r>
      <w:r>
        <w:tab/>
      </w:r>
    </w:p>
    <w:p w:rsidR="00EA2BA5" w:rsidRDefault="00EA2BA5" w:rsidP="00947927">
      <w:pPr>
        <w:tabs>
          <w:tab w:val="left" w:leader="dot" w:pos="5103"/>
        </w:tabs>
      </w:pPr>
      <w:r>
        <w:t>Date:</w:t>
      </w:r>
      <w:r>
        <w:tab/>
      </w:r>
    </w:p>
    <w:p w:rsidR="00EA2BA5" w:rsidRDefault="00EA2BA5" w:rsidP="00947927">
      <w:pPr>
        <w:sectPr w:rsidR="00EA2BA5" w:rsidSect="00981FAF">
          <w:headerReference w:type="default" r:id="rId10"/>
          <w:pgSz w:w="11906" w:h="16838"/>
          <w:pgMar w:top="963" w:right="720" w:bottom="720" w:left="720" w:header="568" w:footer="708" w:gutter="0"/>
          <w:cols w:space="708"/>
          <w:docGrid w:linePitch="360"/>
        </w:sectPr>
      </w:pPr>
    </w:p>
    <w:p w:rsidR="00EA2BA5" w:rsidRPr="006E50CA" w:rsidRDefault="00EA2BA5" w:rsidP="006E50CA">
      <w:pPr>
        <w:pStyle w:val="SClauseL1Content"/>
        <w:rPr>
          <w:rStyle w:val="ClauseTitle"/>
        </w:rPr>
      </w:pPr>
      <w:bookmarkStart w:id="46" w:name="_Toc379197386"/>
      <w:r w:rsidRPr="006E50CA">
        <w:rPr>
          <w:rStyle w:val="ClauseTitle"/>
        </w:rPr>
        <w:t>INTERPRETATION</w:t>
      </w:r>
      <w:bookmarkEnd w:id="46"/>
    </w:p>
    <w:p w:rsidR="00EA2BA5" w:rsidRDefault="00EA2BA5" w:rsidP="006E50CA">
      <w:pPr>
        <w:pStyle w:val="SClauseL2"/>
      </w:pPr>
      <w:r>
        <w:t>In this Framework Agreement the following expressions have the following meaning:</w:t>
      </w:r>
    </w:p>
    <w:tbl>
      <w:tblPr>
        <w:tblW w:w="9781" w:type="dxa"/>
        <w:tblInd w:w="8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3" w:type="dxa"/>
          <w:right w:w="113" w:type="dxa"/>
        </w:tblCellMar>
        <w:tblLook w:val="0000"/>
      </w:tblPr>
      <w:tblGrid>
        <w:gridCol w:w="2621"/>
        <w:gridCol w:w="7160"/>
      </w:tblGrid>
      <w:tr w:rsidR="00EA2BA5" w:rsidRPr="00785D74" w:rsidTr="006E50CA">
        <w:tc>
          <w:tcPr>
            <w:tcW w:w="2621" w:type="dxa"/>
            <w:tcBorders>
              <w:top w:val="single" w:sz="4" w:space="0" w:color="auto"/>
            </w:tcBorders>
          </w:tcPr>
          <w:p w:rsidR="00EA2BA5" w:rsidRPr="00785D74" w:rsidRDefault="00EA2BA5" w:rsidP="006E50CA">
            <w:pPr>
              <w:rPr>
                <w:rStyle w:val="DefinedTerm"/>
              </w:rPr>
            </w:pPr>
            <w:r w:rsidRPr="00785D74">
              <w:rPr>
                <w:rStyle w:val="DefinedTerm"/>
              </w:rPr>
              <w:t>Adequate</w:t>
            </w:r>
          </w:p>
        </w:tc>
        <w:tc>
          <w:tcPr>
            <w:tcW w:w="7160" w:type="dxa"/>
            <w:tcBorders>
              <w:top w:val="single" w:sz="4" w:space="0" w:color="auto"/>
            </w:tcBorders>
          </w:tcPr>
          <w:p w:rsidR="00EA2BA5" w:rsidRPr="00785D74" w:rsidRDefault="00EA2BA5" w:rsidP="006E50CA">
            <w:r w:rsidRPr="00785D74">
              <w:t xml:space="preserve">means that the relevant contractual clauses provide sufficient safeguards </w:t>
            </w:r>
            <w:r w:rsidRPr="00785D74">
              <w:rPr>
                <w:bCs/>
              </w:rPr>
              <w:t>with respect to the protection of the privacy and fundamental rights and freedoms of individuals and as regards the exercise of the corresponding rights</w:t>
            </w:r>
            <w:r w:rsidRPr="00785D74">
              <w:t xml:space="preserve"> as required by Article 26 (2) Directive 95/46/EC and the DPA;</w:t>
            </w:r>
          </w:p>
        </w:tc>
      </w:tr>
      <w:tr w:rsidR="00EA2BA5" w:rsidRPr="00785D74" w:rsidTr="006E50CA">
        <w:tc>
          <w:tcPr>
            <w:tcW w:w="2621" w:type="dxa"/>
          </w:tcPr>
          <w:p w:rsidR="00EA2BA5" w:rsidRPr="00785D74" w:rsidRDefault="00EA2BA5" w:rsidP="006E50CA">
            <w:pPr>
              <w:rPr>
                <w:rStyle w:val="DefinedTerm"/>
              </w:rPr>
            </w:pPr>
            <w:r w:rsidRPr="00785D74">
              <w:rPr>
                <w:rStyle w:val="DefinedTerm"/>
              </w:rPr>
              <w:t>Admin Fees</w:t>
            </w:r>
          </w:p>
        </w:tc>
        <w:tc>
          <w:tcPr>
            <w:tcW w:w="7160" w:type="dxa"/>
          </w:tcPr>
          <w:p w:rsidR="00EA2BA5" w:rsidRPr="00785D74" w:rsidRDefault="00EA2BA5" w:rsidP="001A40B7">
            <w:r w:rsidRPr="00785D74">
              <w:t>means those fees defined in Clause S4-2of this Framework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Approval</w:t>
            </w:r>
          </w:p>
        </w:tc>
        <w:tc>
          <w:tcPr>
            <w:tcW w:w="7160" w:type="dxa"/>
          </w:tcPr>
          <w:p w:rsidR="00EA2BA5" w:rsidRPr="00785D74" w:rsidRDefault="00EA2BA5" w:rsidP="0007614D">
            <w:pPr>
              <w:jc w:val="both"/>
            </w:pPr>
            <w:r w:rsidRPr="00785D74">
              <w:t>means the prior written consent of the Authority and "</w:t>
            </w:r>
            <w:r w:rsidRPr="00785D74">
              <w:rPr>
                <w:rStyle w:val="DefinedTerm"/>
              </w:rPr>
              <w:t>Approve</w:t>
            </w:r>
            <w:r w:rsidRPr="00785D74">
              <w:t>" and "</w:t>
            </w:r>
            <w:r w:rsidRPr="00785D74">
              <w:rPr>
                <w:rStyle w:val="DefinedTerm"/>
              </w:rPr>
              <w:t>Approved</w:t>
            </w:r>
            <w:r w:rsidRPr="00785D74">
              <w:t>" shall be construed accordingly;</w:t>
            </w:r>
          </w:p>
        </w:tc>
      </w:tr>
      <w:tr w:rsidR="00EA2BA5" w:rsidRPr="00785D74" w:rsidTr="006E50CA">
        <w:tc>
          <w:tcPr>
            <w:tcW w:w="2621" w:type="dxa"/>
          </w:tcPr>
          <w:p w:rsidR="00EA2BA5" w:rsidRPr="00785D74" w:rsidRDefault="00EA2BA5" w:rsidP="006E50CA">
            <w:pPr>
              <w:rPr>
                <w:rStyle w:val="DefinedTerm"/>
              </w:rPr>
            </w:pPr>
            <w:r w:rsidRPr="00785D74">
              <w:rPr>
                <w:rStyle w:val="DefinedTerm"/>
              </w:rPr>
              <w:t>Assurance and Accreditation Verification</w:t>
            </w:r>
          </w:p>
        </w:tc>
        <w:tc>
          <w:tcPr>
            <w:tcW w:w="7160" w:type="dxa"/>
          </w:tcPr>
          <w:p w:rsidR="00EA2BA5" w:rsidRPr="00785D74" w:rsidRDefault="00EA2BA5" w:rsidP="006E50CA">
            <w:r w:rsidRPr="00785D74">
              <w:t>means the verification process explained in the ITT;</w:t>
            </w:r>
          </w:p>
        </w:tc>
      </w:tr>
      <w:tr w:rsidR="00EA2BA5" w:rsidRPr="00785D74" w:rsidTr="006E50CA">
        <w:tc>
          <w:tcPr>
            <w:tcW w:w="2621" w:type="dxa"/>
          </w:tcPr>
          <w:p w:rsidR="00EA2BA5" w:rsidRPr="00785D74" w:rsidRDefault="00EA2BA5" w:rsidP="006E50CA">
            <w:pPr>
              <w:rPr>
                <w:rStyle w:val="DefinedTerm"/>
              </w:rPr>
            </w:pPr>
            <w:r w:rsidRPr="00785D74">
              <w:rPr>
                <w:rStyle w:val="DefinedTerm"/>
              </w:rPr>
              <w:t>Audit</w:t>
            </w:r>
          </w:p>
        </w:tc>
        <w:tc>
          <w:tcPr>
            <w:tcW w:w="7160" w:type="dxa"/>
          </w:tcPr>
          <w:p w:rsidR="00EA2BA5" w:rsidRPr="00785D74" w:rsidRDefault="00EA2BA5" w:rsidP="006E50CA">
            <w:pPr>
              <w:rPr>
                <w:bCs/>
              </w:rPr>
            </w:pPr>
            <w:r w:rsidRPr="00785D74">
              <w:t>means an audit carried out pursuant to Schedule 5 (Records and Audit Access) of this Framework Agreement;</w:t>
            </w:r>
          </w:p>
        </w:tc>
      </w:tr>
      <w:tr w:rsidR="00EA2BA5" w:rsidRPr="00785D74" w:rsidTr="006E50CA">
        <w:trPr>
          <w:trHeight w:val="760"/>
        </w:trPr>
        <w:tc>
          <w:tcPr>
            <w:tcW w:w="2621" w:type="dxa"/>
          </w:tcPr>
          <w:p w:rsidR="00EA2BA5" w:rsidRPr="00785D74" w:rsidRDefault="00EA2BA5" w:rsidP="006E50CA">
            <w:pPr>
              <w:rPr>
                <w:rStyle w:val="DefinedTerm"/>
              </w:rPr>
            </w:pPr>
            <w:r w:rsidRPr="00785D74">
              <w:rPr>
                <w:rStyle w:val="DefinedTerm"/>
              </w:rPr>
              <w:t>Authority Representative</w:t>
            </w:r>
          </w:p>
        </w:tc>
        <w:tc>
          <w:tcPr>
            <w:tcW w:w="7160" w:type="dxa"/>
          </w:tcPr>
          <w:p w:rsidR="00EA2BA5" w:rsidRPr="00785D74" w:rsidRDefault="00EA2BA5" w:rsidP="0007614D">
            <w:r w:rsidRPr="00785D74">
              <w:t>means the representative appointed by the Authority from time to time in relation to this Framework Agreement;</w:t>
            </w:r>
          </w:p>
        </w:tc>
      </w:tr>
      <w:tr w:rsidR="00EA2BA5" w:rsidRPr="00785D74" w:rsidTr="006E50CA">
        <w:trPr>
          <w:trHeight w:val="2177"/>
        </w:trPr>
        <w:tc>
          <w:tcPr>
            <w:tcW w:w="2621" w:type="dxa"/>
          </w:tcPr>
          <w:p w:rsidR="00EA2BA5" w:rsidRPr="00785D74" w:rsidRDefault="00EA2BA5" w:rsidP="006E50CA">
            <w:pPr>
              <w:rPr>
                <w:rStyle w:val="DefinedTerm"/>
              </w:rPr>
            </w:pPr>
            <w:r w:rsidRPr="00785D74">
              <w:rPr>
                <w:rStyle w:val="DefinedTerm"/>
              </w:rPr>
              <w:t xml:space="preserve">Authority's Confidential Information </w:t>
            </w:r>
          </w:p>
        </w:tc>
        <w:tc>
          <w:tcPr>
            <w:tcW w:w="7160" w:type="dxa"/>
          </w:tcPr>
          <w:p w:rsidR="00EA2BA5" w:rsidRPr="00785D74" w:rsidRDefault="00EA2BA5" w:rsidP="0007614D">
            <w:r w:rsidRPr="00785D74">
              <w:t>means all Authority’s Personal Data and any information, however it is conveyed, that relates to the business, affairs, developments, trade secrets, know-how, personnel, and suppliers of the Authority, including all IPRs, together with all information derived from any of the above, and any other information clearly designated as being confidential  or which ought reasonably be considered to be confidential (whether or not it is marked "confidential");</w:t>
            </w:r>
          </w:p>
        </w:tc>
      </w:tr>
      <w:tr w:rsidR="00EA2BA5" w:rsidRPr="00785D74" w:rsidTr="006E50CA">
        <w:tc>
          <w:tcPr>
            <w:tcW w:w="2621" w:type="dxa"/>
          </w:tcPr>
          <w:p w:rsidR="00EA2BA5" w:rsidRPr="00785D74" w:rsidRDefault="00EA2BA5" w:rsidP="006E50CA">
            <w:pPr>
              <w:rPr>
                <w:rStyle w:val="DefinedTerm"/>
              </w:rPr>
            </w:pPr>
            <w:r w:rsidRPr="00785D74">
              <w:rPr>
                <w:rStyle w:val="DefinedTerm"/>
              </w:rPr>
              <w:t>Authority Personal Data</w:t>
            </w:r>
          </w:p>
          <w:p w:rsidR="00EA2BA5" w:rsidRPr="00785D74" w:rsidRDefault="00EA2BA5" w:rsidP="006E50CA">
            <w:pPr>
              <w:rPr>
                <w:rStyle w:val="DefinedTerm"/>
              </w:rPr>
            </w:pPr>
          </w:p>
        </w:tc>
        <w:tc>
          <w:tcPr>
            <w:tcW w:w="7160" w:type="dxa"/>
          </w:tcPr>
          <w:p w:rsidR="00EA2BA5" w:rsidRPr="00785D74" w:rsidRDefault="00EA2BA5" w:rsidP="0007614D">
            <w:r w:rsidRPr="00785D74">
              <w:t>means the personal data supplied by the Authority to the Supplier and for the purposes of or in connection with this Framework Agreement “</w:t>
            </w:r>
            <w:r w:rsidRPr="00785D74">
              <w:rPr>
                <w:rStyle w:val="DefinedTerm"/>
              </w:rPr>
              <w:t>Personal Data</w:t>
            </w:r>
            <w:r w:rsidRPr="00785D74">
              <w:t>” shall have the same meaning as set out in the Data Protection Act 1998;</w:t>
            </w:r>
          </w:p>
        </w:tc>
      </w:tr>
      <w:tr w:rsidR="00EA2BA5" w:rsidRPr="00785D74" w:rsidTr="006E50CA">
        <w:tc>
          <w:tcPr>
            <w:tcW w:w="2621" w:type="dxa"/>
          </w:tcPr>
          <w:p w:rsidR="00EA2BA5" w:rsidRPr="00785D74" w:rsidRDefault="00EA2BA5" w:rsidP="006E50CA">
            <w:pPr>
              <w:rPr>
                <w:rStyle w:val="DefinedTerm"/>
              </w:rPr>
            </w:pPr>
            <w:r w:rsidRPr="00785D74">
              <w:rPr>
                <w:rStyle w:val="DefinedTerm"/>
              </w:rPr>
              <w:t>Call-Off Agreement</w:t>
            </w:r>
          </w:p>
        </w:tc>
        <w:tc>
          <w:tcPr>
            <w:tcW w:w="7160" w:type="dxa"/>
          </w:tcPr>
          <w:p w:rsidR="00EA2BA5" w:rsidRPr="00785D74" w:rsidRDefault="00EA2BA5" w:rsidP="006E50CA">
            <w:r w:rsidRPr="00785D74">
              <w:t xml:space="preserve">means a legally binding agreement (entered into pursuant to the provisions of this Framework Agreement) for the provision of G-Cloud Services made between a Contracting Body and the Supplier comprising of an Order Form the Call-Off Terms and the </w:t>
            </w:r>
            <w:r w:rsidRPr="00785D74">
              <w:rPr>
                <w:rFonts w:cs="Arial"/>
              </w:rPr>
              <w:t>Collaboration Agreement</w:t>
            </w:r>
            <w:r w:rsidRPr="00785D74">
              <w:t>;</w:t>
            </w:r>
          </w:p>
        </w:tc>
      </w:tr>
      <w:tr w:rsidR="00EA2BA5" w:rsidRPr="00785D74" w:rsidTr="006E50CA">
        <w:tc>
          <w:tcPr>
            <w:tcW w:w="2621" w:type="dxa"/>
          </w:tcPr>
          <w:p w:rsidR="00EA2BA5" w:rsidRPr="00785D74" w:rsidRDefault="00EA2BA5" w:rsidP="006E50CA">
            <w:pPr>
              <w:rPr>
                <w:rStyle w:val="DefinedTerm"/>
              </w:rPr>
            </w:pPr>
            <w:r w:rsidRPr="00785D74">
              <w:rPr>
                <w:rStyle w:val="DefinedTerm"/>
              </w:rPr>
              <w:t>Call-Off Agreement Period</w:t>
            </w:r>
          </w:p>
        </w:tc>
        <w:tc>
          <w:tcPr>
            <w:tcW w:w="7160" w:type="dxa"/>
          </w:tcPr>
          <w:p w:rsidR="00EA2BA5" w:rsidRPr="00785D74" w:rsidRDefault="00EA2BA5" w:rsidP="00573C55">
            <w:r w:rsidRPr="00785D74">
              <w:t>means the period of the Call-Off Agreement as specified in paragraph 1.1 and 1.2 of the Order Form;</w:t>
            </w:r>
          </w:p>
        </w:tc>
      </w:tr>
      <w:tr w:rsidR="00EA2BA5" w:rsidRPr="00785D74" w:rsidTr="006E50CA">
        <w:tc>
          <w:tcPr>
            <w:tcW w:w="2621" w:type="dxa"/>
          </w:tcPr>
          <w:p w:rsidR="00EA2BA5" w:rsidRPr="00785D74" w:rsidRDefault="00EA2BA5" w:rsidP="006E50CA">
            <w:pPr>
              <w:rPr>
                <w:rStyle w:val="DefinedTerm"/>
              </w:rPr>
            </w:pPr>
            <w:r w:rsidRPr="00785D74">
              <w:rPr>
                <w:rStyle w:val="DefinedTerm"/>
              </w:rPr>
              <w:t>Call-Off Terms</w:t>
            </w:r>
          </w:p>
        </w:tc>
        <w:tc>
          <w:tcPr>
            <w:tcW w:w="7160" w:type="dxa"/>
          </w:tcPr>
          <w:p w:rsidR="00EA2BA5" w:rsidRPr="00785D74" w:rsidRDefault="00EA2BA5" w:rsidP="006E50CA">
            <w:r w:rsidRPr="00785D74">
              <w:t>means the terms and conditions (including the Supplier Terms as set out in Schedule 1 (G-Cloud Services) in  Framework Schedule 2 (Call-Off Terms);</w:t>
            </w:r>
          </w:p>
        </w:tc>
      </w:tr>
      <w:tr w:rsidR="00EA2BA5" w:rsidRPr="00785D74" w:rsidTr="006E50CA">
        <w:tc>
          <w:tcPr>
            <w:tcW w:w="2621" w:type="dxa"/>
          </w:tcPr>
          <w:p w:rsidR="00EA2BA5" w:rsidRPr="00785D74" w:rsidRDefault="00EA2BA5" w:rsidP="006E50CA">
            <w:pPr>
              <w:rPr>
                <w:rStyle w:val="DefinedTerm"/>
              </w:rPr>
            </w:pPr>
            <w:r w:rsidRPr="00785D74">
              <w:rPr>
                <w:rStyle w:val="DefinedTerm"/>
              </w:rPr>
              <w:t>Catalogue</w:t>
            </w:r>
          </w:p>
        </w:tc>
        <w:tc>
          <w:tcPr>
            <w:tcW w:w="7160" w:type="dxa"/>
          </w:tcPr>
          <w:p w:rsidR="00EA2BA5" w:rsidRPr="00785D74" w:rsidRDefault="00EA2BA5" w:rsidP="006E50CA">
            <w:r w:rsidRPr="00785D74">
              <w:t>means the CloudStore or such or any subsequent pan-government catalogue or such other medium as the Authority may determine;</w:t>
            </w:r>
          </w:p>
        </w:tc>
      </w:tr>
      <w:tr w:rsidR="00EA2BA5" w:rsidRPr="00785D74" w:rsidTr="006E50CA">
        <w:tc>
          <w:tcPr>
            <w:tcW w:w="2621" w:type="dxa"/>
          </w:tcPr>
          <w:p w:rsidR="00EA2BA5" w:rsidRPr="00785D74" w:rsidRDefault="00EA2BA5" w:rsidP="006E50CA">
            <w:pPr>
              <w:rPr>
                <w:rStyle w:val="DefinedTerm"/>
              </w:rPr>
            </w:pPr>
            <w:r w:rsidRPr="00785D74">
              <w:rPr>
                <w:rStyle w:val="DefinedTerm"/>
              </w:rPr>
              <w:t>Charges</w:t>
            </w:r>
          </w:p>
        </w:tc>
        <w:tc>
          <w:tcPr>
            <w:tcW w:w="7160" w:type="dxa"/>
          </w:tcPr>
          <w:p w:rsidR="00EA2BA5" w:rsidRPr="00785D74" w:rsidRDefault="00EA2BA5" w:rsidP="0007614D">
            <w:pPr>
              <w:jc w:val="both"/>
            </w:pPr>
            <w:r w:rsidRPr="00785D74">
              <w:t>means the prices (exclusive of any applicable VAT), payable to the Supplier by the Customer under the Call-Off Agreement, as set out in paragraph paragraph 6.1 of the Order Form, in consideration of the full and proper performance by the Supplier of its obligations under the Call-Off Agreement;</w:t>
            </w:r>
          </w:p>
        </w:tc>
      </w:tr>
      <w:tr w:rsidR="00EA2BA5" w:rsidRPr="00785D74" w:rsidTr="006E50CA">
        <w:tc>
          <w:tcPr>
            <w:tcW w:w="2621" w:type="dxa"/>
          </w:tcPr>
          <w:p w:rsidR="00EA2BA5" w:rsidRPr="00785D74" w:rsidRDefault="00EA2BA5" w:rsidP="006E50CA">
            <w:pPr>
              <w:rPr>
                <w:rStyle w:val="DefinedTerm"/>
              </w:rPr>
            </w:pPr>
            <w:r w:rsidRPr="00785D74">
              <w:rPr>
                <w:rFonts w:cs="Arial"/>
                <w:b/>
              </w:rPr>
              <w:t>Collaboration Agreement</w:t>
            </w:r>
          </w:p>
        </w:tc>
        <w:tc>
          <w:tcPr>
            <w:tcW w:w="7160" w:type="dxa"/>
          </w:tcPr>
          <w:p w:rsidR="00EA2BA5" w:rsidRPr="00785D74" w:rsidRDefault="00EA2BA5" w:rsidP="0007614D">
            <w:pPr>
              <w:jc w:val="both"/>
            </w:pPr>
            <w:r w:rsidRPr="00785D74">
              <w:rPr>
                <w:rFonts w:cs="Arial"/>
              </w:rPr>
              <w:t>means an agreement between the Customer and any combination of the Supplier and contractors, to ensure collaborative working in their delivery of the Customer’s Services and to ensure that the Customer receives an efficient end-to-end Service; such agreement to be in the form set out in Framework Schedule 7 (Collaboration Agreement);</w:t>
            </w:r>
          </w:p>
        </w:tc>
      </w:tr>
      <w:tr w:rsidR="00EA2BA5" w:rsidRPr="00785D74" w:rsidTr="006E50CA">
        <w:tc>
          <w:tcPr>
            <w:tcW w:w="2621" w:type="dxa"/>
          </w:tcPr>
          <w:p w:rsidR="00EA2BA5" w:rsidRPr="00785D74" w:rsidRDefault="00EA2BA5" w:rsidP="006E50CA">
            <w:pPr>
              <w:rPr>
                <w:rFonts w:cs="Arial"/>
                <w:b/>
              </w:rPr>
            </w:pPr>
            <w:r w:rsidRPr="00785D74">
              <w:rPr>
                <w:rFonts w:cs="Arial"/>
                <w:b/>
                <w:lang w:val="en-US"/>
              </w:rPr>
              <w:t>Collaboration Supplier</w:t>
            </w:r>
          </w:p>
        </w:tc>
        <w:tc>
          <w:tcPr>
            <w:tcW w:w="7160" w:type="dxa"/>
          </w:tcPr>
          <w:p w:rsidR="00EA2BA5" w:rsidRPr="00785D74" w:rsidRDefault="00EA2BA5" w:rsidP="007B7AC2">
            <w:pPr>
              <w:jc w:val="both"/>
              <w:rPr>
                <w:rFonts w:cs="Arial"/>
              </w:rPr>
            </w:pPr>
            <w:r w:rsidRPr="00785D74">
              <w:rPr>
                <w:rFonts w:cs="Arial"/>
              </w:rPr>
              <w:t>means a Framework Supplier or the Customer contractor, that has entered into a Collaboration Agreement as set out in Framework Schedule 7 (Collaboration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Commencement Date</w:t>
            </w:r>
          </w:p>
        </w:tc>
        <w:tc>
          <w:tcPr>
            <w:tcW w:w="7160" w:type="dxa"/>
          </w:tcPr>
          <w:p w:rsidR="00EA2BA5" w:rsidRPr="00785D74" w:rsidRDefault="00EA2BA5" w:rsidP="000C01CB">
            <w:r w:rsidRPr="00785D74">
              <w:t xml:space="preserve">means </w:t>
            </w:r>
          </w:p>
          <w:p w:rsidR="00EA2BA5" w:rsidRPr="00785D74" w:rsidRDefault="00EA2BA5" w:rsidP="000C01CB">
            <w:pPr>
              <w:pStyle w:val="ListParagraph"/>
              <w:numPr>
                <w:ilvl w:val="0"/>
                <w:numId w:val="34"/>
              </w:numPr>
            </w:pPr>
            <w:r w:rsidRPr="00785D74">
              <w:t xml:space="preserve">For the purposes of the Framework Agreement, commencement date shall be </w:t>
            </w:r>
            <w:r>
              <w:t>20</w:t>
            </w:r>
            <w:r w:rsidRPr="000E5525">
              <w:rPr>
                <w:vertAlign w:val="superscript"/>
              </w:rPr>
              <w:t>th</w:t>
            </w:r>
            <w:r>
              <w:t xml:space="preserve"> January 2015</w:t>
            </w:r>
          </w:p>
          <w:p w:rsidR="00EA2BA5" w:rsidRPr="00785D74" w:rsidRDefault="00EA2BA5" w:rsidP="00375858">
            <w:pPr>
              <w:pStyle w:val="ListParagraph"/>
              <w:numPr>
                <w:ilvl w:val="0"/>
                <w:numId w:val="34"/>
              </w:numPr>
            </w:pPr>
            <w:r w:rsidRPr="00785D74">
              <w:t>For the purposes of the Call-Off Agreement, commencement date shall be as set out in paragraph 1.1 of the Order Form.</w:t>
            </w:r>
          </w:p>
        </w:tc>
      </w:tr>
      <w:tr w:rsidR="00EA2BA5" w:rsidRPr="00785D74" w:rsidTr="006E50CA">
        <w:tc>
          <w:tcPr>
            <w:tcW w:w="2621" w:type="dxa"/>
          </w:tcPr>
          <w:p w:rsidR="00EA2BA5" w:rsidRPr="00785D74" w:rsidRDefault="00EA2BA5" w:rsidP="006E50CA">
            <w:pPr>
              <w:rPr>
                <w:rStyle w:val="DefinedTerm"/>
              </w:rPr>
            </w:pPr>
            <w:r w:rsidRPr="00785D74">
              <w:rPr>
                <w:rStyle w:val="DefinedTerm"/>
              </w:rPr>
              <w:t>Commercially Sensitive Information</w:t>
            </w:r>
          </w:p>
        </w:tc>
        <w:tc>
          <w:tcPr>
            <w:tcW w:w="7160" w:type="dxa"/>
          </w:tcPr>
          <w:p w:rsidR="00EA2BA5" w:rsidRPr="00785D74" w:rsidRDefault="00EA2BA5">
            <w:pPr>
              <w:jc w:val="both"/>
              <w:rPr>
                <w:bCs/>
              </w:rPr>
            </w:pPr>
            <w:r w:rsidRPr="00785D74">
              <w:t>means information provided by the Supplier to the Authority or to the Customer which is a trade secret but this definition does not include the material proposed to be published by the Authority under Clause FW-26 of this Framework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Confidential Information</w:t>
            </w:r>
          </w:p>
        </w:tc>
        <w:tc>
          <w:tcPr>
            <w:tcW w:w="7160" w:type="dxa"/>
          </w:tcPr>
          <w:p w:rsidR="00EA2BA5" w:rsidRDefault="00EA2BA5">
            <w:pPr>
              <w:jc w:val="both"/>
              <w:rPr>
                <w:b/>
                <w:bCs/>
                <w:color w:val="4F81BD"/>
              </w:rPr>
            </w:pPr>
            <w:r w:rsidRPr="00785D74">
              <w:t>means the Authority's Confidential Information and/or the Supplier's Confidential Information;</w:t>
            </w:r>
          </w:p>
        </w:tc>
      </w:tr>
      <w:tr w:rsidR="00EA2BA5" w:rsidRPr="00785D74" w:rsidTr="006E50CA">
        <w:tc>
          <w:tcPr>
            <w:tcW w:w="2621" w:type="dxa"/>
          </w:tcPr>
          <w:p w:rsidR="00EA2BA5" w:rsidRPr="00785D74" w:rsidRDefault="00EA2BA5" w:rsidP="006E50CA">
            <w:pPr>
              <w:rPr>
                <w:rStyle w:val="DefinedTerm"/>
              </w:rPr>
            </w:pPr>
            <w:r w:rsidRPr="00785D74">
              <w:rPr>
                <w:rStyle w:val="DefinedTerm"/>
              </w:rPr>
              <w:t>Contracting Bodies</w:t>
            </w:r>
          </w:p>
        </w:tc>
        <w:tc>
          <w:tcPr>
            <w:tcW w:w="7160" w:type="dxa"/>
          </w:tcPr>
          <w:p w:rsidR="00EA2BA5" w:rsidRPr="00785D74" w:rsidRDefault="00EA2BA5" w:rsidP="0007614D">
            <w:pPr>
              <w:jc w:val="both"/>
            </w:pPr>
            <w:r w:rsidRPr="00785D74">
              <w:t xml:space="preserve">means the Authority and any other person as listed in the OJEU Notice or Regulation 3 of the Public Contracts Regulations 2006, as amended from time to time; </w:t>
            </w:r>
          </w:p>
        </w:tc>
      </w:tr>
      <w:tr w:rsidR="00EA2BA5" w:rsidRPr="00785D74" w:rsidTr="006E50CA">
        <w:tc>
          <w:tcPr>
            <w:tcW w:w="2621" w:type="dxa"/>
          </w:tcPr>
          <w:p w:rsidR="00EA2BA5" w:rsidRPr="00785D74" w:rsidRDefault="00EA2BA5" w:rsidP="006E50CA">
            <w:pPr>
              <w:rPr>
                <w:rStyle w:val="DefinedTerm"/>
              </w:rPr>
            </w:pPr>
            <w:r w:rsidRPr="00785D74">
              <w:rPr>
                <w:rStyle w:val="DefinedTerm"/>
              </w:rPr>
              <w:t>Contracting Body Satisfaction Survey</w:t>
            </w:r>
          </w:p>
        </w:tc>
        <w:tc>
          <w:tcPr>
            <w:tcW w:w="7160" w:type="dxa"/>
          </w:tcPr>
          <w:p w:rsidR="00EA2BA5" w:rsidRPr="00785D74" w:rsidRDefault="00EA2BA5" w:rsidP="001A40B7">
            <w:pPr>
              <w:rPr>
                <w:bCs/>
              </w:rPr>
            </w:pPr>
            <w:r w:rsidRPr="00785D74">
              <w:t xml:space="preserve">shall have the meaning set out in Clause FW-10; </w:t>
            </w:r>
          </w:p>
        </w:tc>
      </w:tr>
      <w:tr w:rsidR="00EA2BA5" w:rsidRPr="00785D74" w:rsidTr="006E50CA">
        <w:tc>
          <w:tcPr>
            <w:tcW w:w="2621" w:type="dxa"/>
          </w:tcPr>
          <w:p w:rsidR="00EA2BA5" w:rsidRPr="00785D74" w:rsidRDefault="00EA2BA5" w:rsidP="006E50CA">
            <w:pPr>
              <w:rPr>
                <w:rStyle w:val="DefinedTerm"/>
              </w:rPr>
            </w:pPr>
            <w:r w:rsidRPr="00785D74">
              <w:rPr>
                <w:rStyle w:val="DefinedTerm"/>
              </w:rPr>
              <w:t>Crown</w:t>
            </w:r>
          </w:p>
          <w:p w:rsidR="00EA2BA5" w:rsidRPr="00785D74" w:rsidRDefault="00EA2BA5" w:rsidP="006E50CA">
            <w:pPr>
              <w:rPr>
                <w:rStyle w:val="DefinedTerm"/>
              </w:rPr>
            </w:pPr>
          </w:p>
        </w:tc>
        <w:tc>
          <w:tcPr>
            <w:tcW w:w="7160" w:type="dxa"/>
          </w:tcPr>
          <w:p w:rsidR="00EA2BA5" w:rsidRPr="00785D74" w:rsidRDefault="00EA2BA5" w:rsidP="0007614D">
            <w:pPr>
              <w:jc w:val="both"/>
            </w:pPr>
            <w:r w:rsidRPr="00785D7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EA2BA5" w:rsidRPr="00785D74" w:rsidTr="006E50CA">
        <w:tc>
          <w:tcPr>
            <w:tcW w:w="2621" w:type="dxa"/>
          </w:tcPr>
          <w:p w:rsidR="00EA2BA5" w:rsidRPr="00785D74" w:rsidRDefault="00EA2BA5" w:rsidP="006E50CA">
            <w:pPr>
              <w:rPr>
                <w:rStyle w:val="DefinedTerm"/>
              </w:rPr>
            </w:pPr>
            <w:r w:rsidRPr="00785D74">
              <w:rPr>
                <w:rStyle w:val="DefinedTerm"/>
              </w:rPr>
              <w:t>Customer</w:t>
            </w:r>
          </w:p>
        </w:tc>
        <w:tc>
          <w:tcPr>
            <w:tcW w:w="7160" w:type="dxa"/>
          </w:tcPr>
          <w:p w:rsidR="00EA2BA5" w:rsidRPr="00785D74" w:rsidRDefault="00EA2BA5" w:rsidP="006E50CA">
            <w:r w:rsidRPr="00785D74">
              <w:t>means the customer(s) identified in the Order Form;</w:t>
            </w:r>
          </w:p>
        </w:tc>
      </w:tr>
      <w:tr w:rsidR="00EA2BA5" w:rsidRPr="00785D74" w:rsidTr="006E50CA">
        <w:tc>
          <w:tcPr>
            <w:tcW w:w="2621" w:type="dxa"/>
          </w:tcPr>
          <w:p w:rsidR="00EA2BA5" w:rsidRPr="00785D74" w:rsidRDefault="00EA2BA5" w:rsidP="006E50CA">
            <w:pPr>
              <w:rPr>
                <w:rStyle w:val="DefinedTerm"/>
              </w:rPr>
            </w:pPr>
            <w:r w:rsidRPr="00785D74">
              <w:rPr>
                <w:rStyle w:val="DefinedTerm"/>
              </w:rPr>
              <w:t>Customer's Confidential Information</w:t>
            </w:r>
          </w:p>
        </w:tc>
        <w:tc>
          <w:tcPr>
            <w:tcW w:w="7160" w:type="dxa"/>
          </w:tcPr>
          <w:p w:rsidR="00EA2BA5" w:rsidRPr="00785D74" w:rsidRDefault="00EA2BA5" w:rsidP="0007614D">
            <w:pPr>
              <w:jc w:val="both"/>
            </w:pPr>
            <w:r w:rsidRPr="00785D74">
              <w:t>means all Customer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or which ought reasonably be considered to be confidential (whether or not it is marked "confidential");</w:t>
            </w:r>
          </w:p>
        </w:tc>
      </w:tr>
      <w:tr w:rsidR="00EA2BA5" w:rsidRPr="00785D74" w:rsidTr="006E50CA">
        <w:tc>
          <w:tcPr>
            <w:tcW w:w="2621" w:type="dxa"/>
          </w:tcPr>
          <w:p w:rsidR="00EA2BA5" w:rsidRPr="00785D74" w:rsidRDefault="00EA2BA5" w:rsidP="006E50CA">
            <w:pPr>
              <w:rPr>
                <w:rStyle w:val="DefinedTerm"/>
              </w:rPr>
            </w:pPr>
            <w:r w:rsidRPr="00785D74">
              <w:rPr>
                <w:rStyle w:val="DefinedTerm"/>
              </w:rPr>
              <w:t>Customer Data</w:t>
            </w:r>
          </w:p>
        </w:tc>
        <w:tc>
          <w:tcPr>
            <w:tcW w:w="7160" w:type="dxa"/>
          </w:tcPr>
          <w:p w:rsidR="00EA2BA5" w:rsidRPr="00785D74" w:rsidRDefault="00EA2BA5" w:rsidP="006E50CA">
            <w:r w:rsidRPr="00785D74">
              <w:t>means data that is owned or managed by the Customer;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Customer Personal Data</w:t>
            </w:r>
          </w:p>
        </w:tc>
        <w:tc>
          <w:tcPr>
            <w:tcW w:w="7160" w:type="dxa"/>
          </w:tcPr>
          <w:p w:rsidR="00EA2BA5" w:rsidRPr="00785D74" w:rsidRDefault="00EA2BA5" w:rsidP="006E50CA">
            <w:r w:rsidRPr="00785D74">
              <w:t>means the Order Personal Data and / or Service Personal Data;</w:t>
            </w:r>
          </w:p>
        </w:tc>
      </w:tr>
      <w:tr w:rsidR="00EA2BA5" w:rsidRPr="00785D74" w:rsidTr="006E50CA">
        <w:tc>
          <w:tcPr>
            <w:tcW w:w="2621" w:type="dxa"/>
          </w:tcPr>
          <w:p w:rsidR="00EA2BA5" w:rsidRPr="00785D74" w:rsidRDefault="00EA2BA5" w:rsidP="006E50CA">
            <w:pPr>
              <w:rPr>
                <w:rStyle w:val="DefinedTerm"/>
              </w:rPr>
            </w:pPr>
            <w:r w:rsidRPr="00785D74">
              <w:rPr>
                <w:rStyle w:val="DefinedTerm"/>
              </w:rPr>
              <w:t>Customer Representative</w:t>
            </w:r>
          </w:p>
        </w:tc>
        <w:tc>
          <w:tcPr>
            <w:tcW w:w="7160" w:type="dxa"/>
          </w:tcPr>
          <w:p w:rsidR="00EA2BA5" w:rsidRPr="00785D74" w:rsidRDefault="00EA2BA5" w:rsidP="0007614D">
            <w:pPr>
              <w:jc w:val="both"/>
            </w:pPr>
            <w:r w:rsidRPr="00785D74">
              <w:t>means the representative appointed by the Customer from time to time in relation to this Call-Off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Data Controller</w:t>
            </w:r>
          </w:p>
        </w:tc>
        <w:tc>
          <w:tcPr>
            <w:tcW w:w="7160" w:type="dxa"/>
          </w:tcPr>
          <w:p w:rsidR="00EA2BA5" w:rsidRPr="00785D74" w:rsidRDefault="00EA2BA5" w:rsidP="0007614D">
            <w:pPr>
              <w:jc w:val="both"/>
            </w:pPr>
            <w:r w:rsidRPr="00785D74">
              <w:t>shall have the same meaning as set out in the Data Protection Act 1998, as amended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Data Processor</w:t>
            </w:r>
          </w:p>
        </w:tc>
        <w:tc>
          <w:tcPr>
            <w:tcW w:w="7160" w:type="dxa"/>
          </w:tcPr>
          <w:p w:rsidR="00EA2BA5" w:rsidRPr="00785D74" w:rsidRDefault="00EA2BA5" w:rsidP="0007614D">
            <w:pPr>
              <w:jc w:val="both"/>
            </w:pPr>
            <w:r w:rsidRPr="00785D74">
              <w:t>shall have the same meaning as set out in the Data Protection Act 1998, as amended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Data Protection Legislation or DPA</w:t>
            </w:r>
          </w:p>
        </w:tc>
        <w:tc>
          <w:tcPr>
            <w:tcW w:w="7160" w:type="dxa"/>
          </w:tcPr>
          <w:p w:rsidR="00EA2BA5" w:rsidRPr="00785D74" w:rsidRDefault="00EA2BA5" w:rsidP="0007614D">
            <w:pPr>
              <w:jc w:val="both"/>
            </w:pPr>
            <w:r w:rsidRPr="00785D74">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legally binding guidance and codes of practice issued by the Information Commissioner;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Data Subject</w:t>
            </w:r>
          </w:p>
        </w:tc>
        <w:tc>
          <w:tcPr>
            <w:tcW w:w="7160" w:type="dxa"/>
          </w:tcPr>
          <w:p w:rsidR="00EA2BA5" w:rsidRPr="00785D74" w:rsidRDefault="00EA2BA5" w:rsidP="0007614D">
            <w:pPr>
              <w:jc w:val="both"/>
            </w:pPr>
            <w:r w:rsidRPr="00785D74">
              <w:t>shall have the same meaning as set out in the Data Protection Act 1998, as amended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Default</w:t>
            </w:r>
          </w:p>
        </w:tc>
        <w:tc>
          <w:tcPr>
            <w:tcW w:w="7160" w:type="dxa"/>
          </w:tcPr>
          <w:p w:rsidR="00EA2BA5" w:rsidRPr="00785D74" w:rsidRDefault="00EA2BA5" w:rsidP="0007614D">
            <w:pPr>
              <w:jc w:val="both"/>
            </w:pPr>
            <w:r w:rsidRPr="00785D74">
              <w:t>means any breach of the obligations of the Supplier (including any fundamental breach or breach of a fundamental term) or any other default, act, omission, negligence or negligent statement of the Supplier in connection with or in relation to this Framework Agreement or the Call-off Agreement and in respect of which the Supplier is liable to the Authority and in relation to the Call-Off Agreement, the Supplier is liable to the Customer;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Direct Award Criteria</w:t>
            </w:r>
          </w:p>
        </w:tc>
        <w:tc>
          <w:tcPr>
            <w:tcW w:w="7160" w:type="dxa"/>
          </w:tcPr>
          <w:p w:rsidR="00EA2BA5" w:rsidRPr="00785D74" w:rsidRDefault="00EA2BA5" w:rsidP="0007614D">
            <w:pPr>
              <w:jc w:val="both"/>
            </w:pPr>
            <w:r w:rsidRPr="00785D74">
              <w:t>means the award criteria to be applied for the award of Call-Off Agreements for G-Cloud Services set out in Framework Schedule 3 (Call-Off Ordering Procedure including Award Criteria);</w:t>
            </w:r>
          </w:p>
        </w:tc>
      </w:tr>
      <w:tr w:rsidR="00EA2BA5" w:rsidRPr="00785D74" w:rsidTr="006E50CA">
        <w:tc>
          <w:tcPr>
            <w:tcW w:w="2621" w:type="dxa"/>
          </w:tcPr>
          <w:p w:rsidR="00EA2BA5" w:rsidRPr="00785D74" w:rsidRDefault="00EA2BA5" w:rsidP="006E50CA">
            <w:pPr>
              <w:rPr>
                <w:rStyle w:val="DefinedTerm"/>
              </w:rPr>
            </w:pPr>
            <w:r w:rsidRPr="00785D74">
              <w:rPr>
                <w:rStyle w:val="DefinedTerm"/>
              </w:rPr>
              <w:t>Direct Ordering Procedure</w:t>
            </w:r>
          </w:p>
        </w:tc>
        <w:tc>
          <w:tcPr>
            <w:tcW w:w="7160" w:type="dxa"/>
          </w:tcPr>
          <w:p w:rsidR="00EA2BA5" w:rsidRPr="00785D74" w:rsidRDefault="00EA2BA5" w:rsidP="0007614D">
            <w:pPr>
              <w:jc w:val="both"/>
            </w:pPr>
            <w:r w:rsidRPr="00785D74">
              <w:t>means the ordering procedure set out in  Framework Schedule 3 (Call-Off Ordering Procedure including Award Criteria);</w:t>
            </w:r>
          </w:p>
        </w:tc>
      </w:tr>
      <w:tr w:rsidR="00EA2BA5" w:rsidRPr="00785D74" w:rsidTr="006E50CA">
        <w:tc>
          <w:tcPr>
            <w:tcW w:w="2621" w:type="dxa"/>
          </w:tcPr>
          <w:p w:rsidR="00EA2BA5" w:rsidRPr="00785D74" w:rsidRDefault="00EA2BA5" w:rsidP="006E50CA">
            <w:pPr>
              <w:rPr>
                <w:rStyle w:val="DefinedTerm"/>
              </w:rPr>
            </w:pPr>
            <w:r w:rsidRPr="00785D74">
              <w:rPr>
                <w:rStyle w:val="DefinedTerm"/>
              </w:rPr>
              <w:t xml:space="preserve">Effective Date </w:t>
            </w:r>
          </w:p>
        </w:tc>
        <w:tc>
          <w:tcPr>
            <w:tcW w:w="7160" w:type="dxa"/>
          </w:tcPr>
          <w:p w:rsidR="00EA2BA5" w:rsidRPr="00785D74" w:rsidRDefault="00EA2BA5" w:rsidP="00375858">
            <w:pPr>
              <w:jc w:val="both"/>
            </w:pPr>
            <w:r w:rsidRPr="00785D74">
              <w:t>means the date on which the Call-Off Agreement is signed and as set out in paragraph 1.1 of the Order Form;</w:t>
            </w:r>
          </w:p>
        </w:tc>
      </w:tr>
      <w:tr w:rsidR="00EA2BA5" w:rsidRPr="00785D74" w:rsidTr="006E50CA">
        <w:tc>
          <w:tcPr>
            <w:tcW w:w="2621" w:type="dxa"/>
          </w:tcPr>
          <w:p w:rsidR="00EA2BA5" w:rsidRPr="00785D74" w:rsidRDefault="00EA2BA5" w:rsidP="006E50CA">
            <w:pPr>
              <w:rPr>
                <w:rStyle w:val="DefinedTerm"/>
              </w:rPr>
            </w:pPr>
            <w:r w:rsidRPr="00785D74">
              <w:rPr>
                <w:rStyle w:val="DefinedTerm"/>
              </w:rPr>
              <w:t>Electronic Marketplace</w:t>
            </w:r>
          </w:p>
        </w:tc>
        <w:tc>
          <w:tcPr>
            <w:tcW w:w="7160" w:type="dxa"/>
          </w:tcPr>
          <w:p w:rsidR="00EA2BA5" w:rsidRPr="00785D74" w:rsidRDefault="00EA2BA5" w:rsidP="00375858">
            <w:pPr>
              <w:jc w:val="both"/>
            </w:pPr>
            <w:r w:rsidRPr="00785D74">
              <w:t xml:space="preserve">means a web based application which facilitates electronic trade between one or more buying organisations and many suppliers; </w:t>
            </w:r>
          </w:p>
        </w:tc>
      </w:tr>
      <w:tr w:rsidR="00EA2BA5" w:rsidRPr="00785D74" w:rsidTr="006E50CA">
        <w:tc>
          <w:tcPr>
            <w:tcW w:w="2621" w:type="dxa"/>
          </w:tcPr>
          <w:p w:rsidR="00EA2BA5" w:rsidRPr="00785D74" w:rsidRDefault="00EA2BA5" w:rsidP="006E50CA">
            <w:pPr>
              <w:rPr>
                <w:rStyle w:val="DefinedTerm"/>
              </w:rPr>
            </w:pPr>
            <w:r w:rsidRPr="00785D74">
              <w:rPr>
                <w:rStyle w:val="DefinedTerm"/>
              </w:rPr>
              <w:t>Environmental Information Regulations</w:t>
            </w:r>
          </w:p>
        </w:tc>
        <w:tc>
          <w:tcPr>
            <w:tcW w:w="7160" w:type="dxa"/>
          </w:tcPr>
          <w:p w:rsidR="00EA2BA5" w:rsidRPr="00785D74" w:rsidRDefault="00EA2BA5" w:rsidP="00375858">
            <w:pPr>
              <w:jc w:val="both"/>
            </w:pPr>
            <w:r w:rsidRPr="00785D74">
              <w:t>mean the Environmental Information Regulations 2004 together with any guidance and/or codes of practice issued by the Information Commissioner or relevant Government department in relation to such regulations;</w:t>
            </w:r>
          </w:p>
        </w:tc>
      </w:tr>
      <w:tr w:rsidR="00EA2BA5" w:rsidRPr="00785D74" w:rsidTr="006E50CA">
        <w:tc>
          <w:tcPr>
            <w:tcW w:w="2621" w:type="dxa"/>
          </w:tcPr>
          <w:p w:rsidR="00EA2BA5" w:rsidRPr="00785D74" w:rsidRDefault="00EA2BA5" w:rsidP="006E50CA">
            <w:pPr>
              <w:rPr>
                <w:rStyle w:val="DefinedTerm"/>
              </w:rPr>
            </w:pPr>
            <w:r w:rsidRPr="00785D74">
              <w:rPr>
                <w:rStyle w:val="DefinedTerm"/>
              </w:rPr>
              <w:t>ERG</w:t>
            </w:r>
          </w:p>
        </w:tc>
        <w:tc>
          <w:tcPr>
            <w:tcW w:w="7160" w:type="dxa"/>
          </w:tcPr>
          <w:p w:rsidR="00EA2BA5" w:rsidRPr="00785D74" w:rsidRDefault="00EA2BA5" w:rsidP="00375858">
            <w:pPr>
              <w:jc w:val="both"/>
            </w:pPr>
            <w:r w:rsidRPr="00785D74">
              <w:t>means the Efficiency and Reform Group of the Cabinet Office;</w:t>
            </w:r>
          </w:p>
        </w:tc>
      </w:tr>
      <w:tr w:rsidR="00EA2BA5" w:rsidRPr="00785D74" w:rsidTr="006E50CA">
        <w:tc>
          <w:tcPr>
            <w:tcW w:w="2621" w:type="dxa"/>
          </w:tcPr>
          <w:p w:rsidR="00EA2BA5" w:rsidRPr="00785D74" w:rsidRDefault="00EA2BA5" w:rsidP="006E50CA">
            <w:pPr>
              <w:rPr>
                <w:rStyle w:val="DefinedTerm"/>
              </w:rPr>
            </w:pPr>
            <w:r w:rsidRPr="00785D74">
              <w:rPr>
                <w:rStyle w:val="DefinedTerm"/>
              </w:rPr>
              <w:t>FOIA</w:t>
            </w:r>
          </w:p>
        </w:tc>
        <w:tc>
          <w:tcPr>
            <w:tcW w:w="7160" w:type="dxa"/>
          </w:tcPr>
          <w:p w:rsidR="00EA2BA5" w:rsidRPr="00785D74" w:rsidRDefault="00EA2BA5" w:rsidP="00375858">
            <w:pPr>
              <w:jc w:val="both"/>
            </w:pPr>
            <w:r w:rsidRPr="00785D74">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EA2BA5" w:rsidRPr="00785D74" w:rsidTr="006E50CA">
        <w:tc>
          <w:tcPr>
            <w:tcW w:w="2621" w:type="dxa"/>
          </w:tcPr>
          <w:p w:rsidR="00EA2BA5" w:rsidRPr="00785D74" w:rsidRDefault="00EA2BA5" w:rsidP="006E50CA">
            <w:pPr>
              <w:rPr>
                <w:rStyle w:val="DefinedTerm"/>
              </w:rPr>
            </w:pPr>
            <w:r w:rsidRPr="00785D74">
              <w:rPr>
                <w:rStyle w:val="DefinedTerm"/>
              </w:rPr>
              <w:t>Force Majeure</w:t>
            </w:r>
          </w:p>
        </w:tc>
        <w:tc>
          <w:tcPr>
            <w:tcW w:w="7160" w:type="dxa"/>
          </w:tcPr>
          <w:p w:rsidR="00EA2BA5" w:rsidRPr="00785D74" w:rsidRDefault="00EA2BA5" w:rsidP="00375858">
            <w:pPr>
              <w:jc w:val="both"/>
            </w:pPr>
            <w:r w:rsidRPr="00785D74">
              <w:t xml:space="preserve">means any event, occurrence or cause affecting the performance by either the Customer or the Supplier of its obligations arising from: </w:t>
            </w:r>
          </w:p>
          <w:p w:rsidR="00EA2BA5" w:rsidRPr="00785D74" w:rsidRDefault="00EA2BA5" w:rsidP="00375858">
            <w:pPr>
              <w:pStyle w:val="ListParagraph"/>
              <w:numPr>
                <w:ilvl w:val="0"/>
                <w:numId w:val="15"/>
              </w:numPr>
              <w:jc w:val="both"/>
            </w:pPr>
            <w:r w:rsidRPr="00785D74">
              <w:t>acts, events, omissions, happenings or non-happenings beyond the reasonable control of the affected party;</w:t>
            </w:r>
          </w:p>
          <w:p w:rsidR="00EA2BA5" w:rsidRPr="00785D74" w:rsidRDefault="00EA2BA5" w:rsidP="00375858">
            <w:pPr>
              <w:pStyle w:val="ListParagraph"/>
              <w:numPr>
                <w:ilvl w:val="0"/>
                <w:numId w:val="15"/>
              </w:numPr>
              <w:jc w:val="both"/>
            </w:pPr>
            <w:r w:rsidRPr="00785D74">
              <w:t>riots, war or armed conflict, acts of terrorism, nuclear, biological or chemical warfare;</w:t>
            </w:r>
          </w:p>
          <w:p w:rsidR="00EA2BA5" w:rsidRPr="00785D74" w:rsidRDefault="00EA2BA5" w:rsidP="00375858">
            <w:pPr>
              <w:pStyle w:val="ListParagraph"/>
              <w:numPr>
                <w:ilvl w:val="0"/>
                <w:numId w:val="15"/>
              </w:numPr>
              <w:jc w:val="both"/>
            </w:pPr>
            <w:r w:rsidRPr="00785D74">
              <w:t>acts of government, local government or Regulatory Bodies;</w:t>
            </w:r>
          </w:p>
          <w:p w:rsidR="00EA2BA5" w:rsidRPr="00785D74" w:rsidRDefault="00EA2BA5" w:rsidP="00375858">
            <w:pPr>
              <w:pStyle w:val="ListParagraph"/>
              <w:numPr>
                <w:ilvl w:val="0"/>
                <w:numId w:val="15"/>
              </w:numPr>
              <w:jc w:val="both"/>
            </w:pPr>
            <w:r w:rsidRPr="00785D74">
              <w:t>fire, flood, any disaster and any failure or shortage of power or fuel;</w:t>
            </w:r>
          </w:p>
          <w:p w:rsidR="00EA2BA5" w:rsidRPr="00785D74" w:rsidRDefault="00EA2BA5" w:rsidP="00375858">
            <w:pPr>
              <w:pStyle w:val="ListParagraph"/>
              <w:numPr>
                <w:ilvl w:val="0"/>
                <w:numId w:val="15"/>
              </w:numPr>
              <w:jc w:val="both"/>
            </w:pPr>
            <w:r w:rsidRPr="00785D74">
              <w:t>an industrial dispute affecting a third party for which a substitute third party is not reasonably available;</w:t>
            </w:r>
          </w:p>
          <w:p w:rsidR="00EA2BA5" w:rsidRPr="00785D74" w:rsidRDefault="00EA2BA5" w:rsidP="00375858">
            <w:pPr>
              <w:jc w:val="both"/>
            </w:pPr>
            <w:r w:rsidRPr="00785D74">
              <w:t>provide always that:</w:t>
            </w:r>
          </w:p>
          <w:p w:rsidR="00EA2BA5" w:rsidRPr="00785D74" w:rsidRDefault="00EA2BA5" w:rsidP="00375858">
            <w:pPr>
              <w:pStyle w:val="ListParagraph"/>
              <w:numPr>
                <w:ilvl w:val="0"/>
                <w:numId w:val="16"/>
              </w:numPr>
              <w:jc w:val="both"/>
            </w:pPr>
            <w:r w:rsidRPr="00785D74">
              <w:t>any industrial dispute relating to the Supplier, the Supplier Staff or any other failure in the Supplier or the Sub-Contractor's supply chain; and</w:t>
            </w:r>
          </w:p>
          <w:p w:rsidR="00EA2BA5" w:rsidRPr="00785D74" w:rsidRDefault="00EA2BA5" w:rsidP="00375858">
            <w:pPr>
              <w:pStyle w:val="ListParagraph"/>
              <w:numPr>
                <w:ilvl w:val="0"/>
                <w:numId w:val="16"/>
              </w:numPr>
              <w:jc w:val="both"/>
            </w:pPr>
            <w:r w:rsidRPr="00785D74">
              <w:t>any event or occurrence which is attributable to the wilful act, neglect or failure to take reasonable precautions against the event or occurrence by the Party concerned;</w:t>
            </w:r>
          </w:p>
          <w:p w:rsidR="00EA2BA5" w:rsidRPr="00785D74" w:rsidRDefault="00EA2BA5" w:rsidP="00375858">
            <w:pPr>
              <w:jc w:val="both"/>
            </w:pPr>
            <w:r w:rsidRPr="00785D74">
              <w:t>shall not constitute a Force Majeure;</w:t>
            </w:r>
          </w:p>
        </w:tc>
      </w:tr>
      <w:tr w:rsidR="00EA2BA5" w:rsidRPr="00785D74" w:rsidTr="006E50CA">
        <w:tc>
          <w:tcPr>
            <w:tcW w:w="2621" w:type="dxa"/>
          </w:tcPr>
          <w:p w:rsidR="00EA2BA5" w:rsidRPr="00785D74" w:rsidRDefault="00EA2BA5" w:rsidP="006E50CA">
            <w:pPr>
              <w:rPr>
                <w:rStyle w:val="DefinedTerm"/>
              </w:rPr>
            </w:pPr>
            <w:r w:rsidRPr="00785D74">
              <w:rPr>
                <w:rStyle w:val="DefinedTerm"/>
              </w:rPr>
              <w:t>Framework</w:t>
            </w:r>
          </w:p>
        </w:tc>
        <w:tc>
          <w:tcPr>
            <w:tcW w:w="7160" w:type="dxa"/>
          </w:tcPr>
          <w:p w:rsidR="00EA2BA5" w:rsidRPr="00785D74" w:rsidRDefault="00EA2BA5" w:rsidP="00375858">
            <w:pPr>
              <w:jc w:val="both"/>
            </w:pPr>
            <w:r w:rsidRPr="00785D74">
              <w:t>means the framework arrangements established by the Authority for the provision of G-Cloud Services to Contracting Bodies by Framework Suppliers;</w:t>
            </w:r>
          </w:p>
        </w:tc>
      </w:tr>
      <w:tr w:rsidR="00EA2BA5" w:rsidRPr="00785D74" w:rsidTr="006E50CA">
        <w:tc>
          <w:tcPr>
            <w:tcW w:w="2621" w:type="dxa"/>
          </w:tcPr>
          <w:p w:rsidR="00EA2BA5" w:rsidRPr="00785D74" w:rsidRDefault="00EA2BA5" w:rsidP="006E50CA">
            <w:pPr>
              <w:rPr>
                <w:rStyle w:val="DefinedTerm"/>
              </w:rPr>
            </w:pPr>
            <w:r w:rsidRPr="00785D74">
              <w:rPr>
                <w:rStyle w:val="DefinedTerm"/>
              </w:rPr>
              <w:t>Framework Agreement</w:t>
            </w:r>
          </w:p>
        </w:tc>
        <w:tc>
          <w:tcPr>
            <w:tcW w:w="7160" w:type="dxa"/>
          </w:tcPr>
          <w:p w:rsidR="00EA2BA5" w:rsidRPr="00785D74" w:rsidRDefault="00EA2BA5" w:rsidP="00375858">
            <w:pPr>
              <w:jc w:val="both"/>
            </w:pPr>
            <w:r w:rsidRPr="00785D74">
              <w:t>means the Clauses of this Framework Agreement together with the Framework Schedules and annexes to it;</w:t>
            </w:r>
          </w:p>
        </w:tc>
      </w:tr>
      <w:tr w:rsidR="00EA2BA5" w:rsidRPr="00785D74" w:rsidTr="006E50CA">
        <w:tc>
          <w:tcPr>
            <w:tcW w:w="2621" w:type="dxa"/>
          </w:tcPr>
          <w:p w:rsidR="00EA2BA5" w:rsidRPr="00785D74" w:rsidRDefault="00EA2BA5" w:rsidP="006E50CA">
            <w:pPr>
              <w:rPr>
                <w:rStyle w:val="DefinedTerm"/>
              </w:rPr>
            </w:pPr>
            <w:r w:rsidRPr="00785D74">
              <w:rPr>
                <w:rStyle w:val="DefinedTerm"/>
              </w:rPr>
              <w:t>Framework Suppliers</w:t>
            </w:r>
          </w:p>
        </w:tc>
        <w:tc>
          <w:tcPr>
            <w:tcW w:w="7160" w:type="dxa"/>
          </w:tcPr>
          <w:p w:rsidR="00EA2BA5" w:rsidRPr="00785D74" w:rsidRDefault="00EA2BA5" w:rsidP="00375858">
            <w:pPr>
              <w:jc w:val="both"/>
            </w:pPr>
            <w:r w:rsidRPr="00785D74">
              <w:t xml:space="preserve">means the suppliers (including the Supplier) appointed under this Framework Agreement; </w:t>
            </w:r>
          </w:p>
        </w:tc>
      </w:tr>
      <w:tr w:rsidR="00EA2BA5" w:rsidRPr="00785D74" w:rsidTr="006E50CA">
        <w:tc>
          <w:tcPr>
            <w:tcW w:w="2621" w:type="dxa"/>
          </w:tcPr>
          <w:p w:rsidR="00EA2BA5" w:rsidRPr="00785D74" w:rsidRDefault="00EA2BA5" w:rsidP="006E50CA">
            <w:pPr>
              <w:rPr>
                <w:rStyle w:val="DefinedTerm"/>
              </w:rPr>
            </w:pPr>
            <w:r w:rsidRPr="00785D74">
              <w:rPr>
                <w:rStyle w:val="DefinedTerm"/>
              </w:rPr>
              <w:t>Fraud</w:t>
            </w:r>
          </w:p>
        </w:tc>
        <w:tc>
          <w:tcPr>
            <w:tcW w:w="7160" w:type="dxa"/>
          </w:tcPr>
          <w:p w:rsidR="00EA2BA5" w:rsidRPr="00785D74" w:rsidRDefault="00EA2BA5" w:rsidP="0007614D">
            <w:pPr>
              <w:jc w:val="both"/>
            </w:pPr>
            <w:r w:rsidRPr="00785D74">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EA2BA5" w:rsidRPr="00785D74" w:rsidTr="006E50CA">
        <w:tc>
          <w:tcPr>
            <w:tcW w:w="2621" w:type="dxa"/>
          </w:tcPr>
          <w:p w:rsidR="00EA2BA5" w:rsidRPr="00785D74" w:rsidRDefault="00EA2BA5" w:rsidP="006E50CA">
            <w:pPr>
              <w:rPr>
                <w:rStyle w:val="DefinedTerm"/>
              </w:rPr>
            </w:pPr>
            <w:r w:rsidRPr="00785D74">
              <w:rPr>
                <w:rStyle w:val="DefinedTerm"/>
              </w:rPr>
              <w:t>G-Cloud Services</w:t>
            </w:r>
          </w:p>
        </w:tc>
        <w:tc>
          <w:tcPr>
            <w:tcW w:w="7160" w:type="dxa"/>
          </w:tcPr>
          <w:p w:rsidR="00EA2BA5" w:rsidRPr="00785D74" w:rsidRDefault="00EA2BA5" w:rsidP="0007614D">
            <w:pPr>
              <w:jc w:val="both"/>
            </w:pPr>
            <w:r w:rsidRPr="00785D74">
              <w:t xml:space="preserve">means the cloud services described in Framework Schedule 1 (G-Cloud Services) as defined by the Service Definition, the Supplier Terms and any related Tender documentation, which the Supplier shall make available to the Authority and Other Contracting Bodies </w:t>
            </w:r>
            <w:r w:rsidRPr="00785D74">
              <w:rPr>
                <w:rFonts w:cs="Arial"/>
              </w:rPr>
              <w:t>and those services which are deliverable by the Supplier under the Collaboration Agreement</w:t>
            </w:r>
            <w:r w:rsidRPr="00785D74">
              <w:t>;</w:t>
            </w:r>
          </w:p>
        </w:tc>
      </w:tr>
      <w:tr w:rsidR="00EA2BA5" w:rsidRPr="00785D74" w:rsidTr="006E50CA">
        <w:tc>
          <w:tcPr>
            <w:tcW w:w="2621" w:type="dxa"/>
          </w:tcPr>
          <w:p w:rsidR="00EA2BA5" w:rsidRPr="00785D74" w:rsidRDefault="00EA2BA5" w:rsidP="006E50CA">
            <w:pPr>
              <w:rPr>
                <w:rStyle w:val="DefinedTerm"/>
              </w:rPr>
            </w:pPr>
            <w:r w:rsidRPr="00785D74">
              <w:rPr>
                <w:rStyle w:val="DefinedTerm"/>
              </w:rPr>
              <w:t>G-Cloud Additional Services</w:t>
            </w:r>
          </w:p>
        </w:tc>
        <w:tc>
          <w:tcPr>
            <w:tcW w:w="7160" w:type="dxa"/>
          </w:tcPr>
          <w:p w:rsidR="00EA2BA5" w:rsidRPr="00785D74" w:rsidRDefault="00EA2BA5" w:rsidP="005D5AA9">
            <w:pPr>
              <w:jc w:val="both"/>
            </w:pPr>
            <w:r w:rsidRPr="00785D74">
              <w:rPr>
                <w:rFonts w:cs="Arial"/>
                <w:bCs/>
                <w:color w:val="000000"/>
              </w:rPr>
              <w:t>means services ancillary to the G-Cloud Services which are within the scope of the Framework Agreement Schedule 1 (G-Cloud Services) which the Customer may request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Good Industry Practice</w:t>
            </w:r>
          </w:p>
        </w:tc>
        <w:tc>
          <w:tcPr>
            <w:tcW w:w="7160" w:type="dxa"/>
          </w:tcPr>
          <w:p w:rsidR="00EA2BA5" w:rsidRPr="00785D74" w:rsidRDefault="00EA2BA5" w:rsidP="0007614D">
            <w:pPr>
              <w:jc w:val="both"/>
            </w:pPr>
            <w:r w:rsidRPr="00785D74">
              <w:t>means standards, practices, methods and procedures conforming to the Law and the exercise of that degree of skill and care, diligence, prudence and foresight which would reasonable and ordinarily be expected from a skilled and experienced person or body engaged in a similar type of undertaking under the same or similar circumstances;</w:t>
            </w:r>
          </w:p>
        </w:tc>
      </w:tr>
      <w:tr w:rsidR="00EA2BA5" w:rsidRPr="00785D74" w:rsidTr="006E50CA">
        <w:tc>
          <w:tcPr>
            <w:tcW w:w="2621" w:type="dxa"/>
          </w:tcPr>
          <w:p w:rsidR="00EA2BA5" w:rsidRPr="00785D74" w:rsidRDefault="00EA2BA5" w:rsidP="006E50CA">
            <w:pPr>
              <w:rPr>
                <w:rStyle w:val="DefinedTerm"/>
              </w:rPr>
            </w:pPr>
            <w:r w:rsidRPr="00785D74">
              <w:rPr>
                <w:rStyle w:val="DefinedTerm"/>
              </w:rPr>
              <w:t>Guarantee</w:t>
            </w:r>
          </w:p>
        </w:tc>
        <w:tc>
          <w:tcPr>
            <w:tcW w:w="7160" w:type="dxa"/>
          </w:tcPr>
          <w:p w:rsidR="00EA2BA5" w:rsidRPr="00785D74" w:rsidRDefault="00EA2BA5" w:rsidP="0007614D">
            <w:pPr>
              <w:jc w:val="both"/>
            </w:pPr>
            <w:r w:rsidRPr="00785D74">
              <w:t>means the deed of guarantee described in the Order Form (Parent Company Guarantee);</w:t>
            </w:r>
          </w:p>
        </w:tc>
      </w:tr>
      <w:tr w:rsidR="00EA2BA5" w:rsidRPr="00785D74" w:rsidTr="006E50CA">
        <w:tc>
          <w:tcPr>
            <w:tcW w:w="2621" w:type="dxa"/>
          </w:tcPr>
          <w:p w:rsidR="00EA2BA5" w:rsidRPr="00785D74" w:rsidRDefault="00EA2BA5" w:rsidP="006E50CA">
            <w:pPr>
              <w:rPr>
                <w:rStyle w:val="DefinedTerm"/>
              </w:rPr>
            </w:pPr>
            <w:r w:rsidRPr="00785D74">
              <w:rPr>
                <w:rStyle w:val="DefinedTerm"/>
              </w:rPr>
              <w:t>Guidance</w:t>
            </w:r>
          </w:p>
        </w:tc>
        <w:tc>
          <w:tcPr>
            <w:tcW w:w="7160" w:type="dxa"/>
          </w:tcPr>
          <w:p w:rsidR="00EA2BA5" w:rsidRPr="00785D74" w:rsidRDefault="00EA2BA5" w:rsidP="002C3033">
            <w:pPr>
              <w:jc w:val="both"/>
              <w:rPr>
                <w:b/>
                <w:i/>
              </w:rPr>
            </w:pPr>
            <w:r w:rsidRPr="00785D74">
              <w:t>means any current UK Government Guidance on the Public Contracts Regulations.  In the event of a conflict between any current UK Government Guidance and the Crown Commercial Service</w:t>
            </w:r>
            <w:r w:rsidRPr="00785D74" w:rsidDel="00B34355">
              <w:t xml:space="preserve"> </w:t>
            </w:r>
            <w:r w:rsidRPr="00785D74">
              <w:t>Guidance, current UK Government Guidance shall take precedence;</w:t>
            </w:r>
          </w:p>
        </w:tc>
      </w:tr>
      <w:tr w:rsidR="00EA2BA5" w:rsidRPr="00785D74" w:rsidTr="006E50CA">
        <w:tc>
          <w:tcPr>
            <w:tcW w:w="2621" w:type="dxa"/>
          </w:tcPr>
          <w:p w:rsidR="00EA2BA5" w:rsidRPr="00785D74" w:rsidRDefault="00EA2BA5" w:rsidP="006E50CA">
            <w:pPr>
              <w:rPr>
                <w:rStyle w:val="DefinedTerm"/>
              </w:rPr>
            </w:pPr>
            <w:r w:rsidRPr="00785D74">
              <w:rPr>
                <w:rStyle w:val="DefinedTerm"/>
              </w:rPr>
              <w:t>Holding Company</w:t>
            </w:r>
          </w:p>
        </w:tc>
        <w:tc>
          <w:tcPr>
            <w:tcW w:w="7160" w:type="dxa"/>
          </w:tcPr>
          <w:p w:rsidR="00EA2BA5" w:rsidRPr="00785D74" w:rsidRDefault="00EA2BA5" w:rsidP="0007614D">
            <w:pPr>
              <w:jc w:val="both"/>
            </w:pPr>
            <w:r w:rsidRPr="00785D74">
              <w:t>shall have the meaning given to it in section 1159 and Schedule 6 of the Companies Act 2006;</w:t>
            </w:r>
          </w:p>
        </w:tc>
      </w:tr>
      <w:tr w:rsidR="00EA2BA5" w:rsidRPr="00785D74" w:rsidTr="006E50CA">
        <w:tc>
          <w:tcPr>
            <w:tcW w:w="2621" w:type="dxa"/>
          </w:tcPr>
          <w:p w:rsidR="00EA2BA5" w:rsidRPr="00785D74" w:rsidRDefault="00EA2BA5" w:rsidP="006E50CA">
            <w:pPr>
              <w:rPr>
                <w:rStyle w:val="DefinedTerm"/>
              </w:rPr>
            </w:pPr>
            <w:r w:rsidRPr="00785D74">
              <w:rPr>
                <w:rFonts w:cs="Arial"/>
                <w:b/>
              </w:rPr>
              <w:t>Implementation Plan</w:t>
            </w:r>
          </w:p>
        </w:tc>
        <w:tc>
          <w:tcPr>
            <w:tcW w:w="7160" w:type="dxa"/>
          </w:tcPr>
          <w:p w:rsidR="00EA2BA5" w:rsidRPr="00785D74" w:rsidRDefault="00EA2BA5" w:rsidP="00CB7C56">
            <w:pPr>
              <w:jc w:val="both"/>
            </w:pPr>
            <w:r w:rsidRPr="00785D74">
              <w:rPr>
                <w:rFonts w:cs="Arial"/>
              </w:rPr>
              <w:t>means the plan set out in paragraph 12</w:t>
            </w:r>
            <w:r w:rsidRPr="00785D74">
              <w:t>.1</w:t>
            </w:r>
            <w:r w:rsidRPr="00785D74">
              <w:rPr>
                <w:rFonts w:cs="Arial"/>
              </w:rPr>
              <w:t xml:space="preserve"> of the Order Form;  </w:t>
            </w:r>
          </w:p>
        </w:tc>
      </w:tr>
      <w:tr w:rsidR="00EA2BA5" w:rsidRPr="00785D74" w:rsidTr="006E50CA">
        <w:trPr>
          <w:trHeight w:val="832"/>
        </w:trPr>
        <w:tc>
          <w:tcPr>
            <w:tcW w:w="2621" w:type="dxa"/>
          </w:tcPr>
          <w:p w:rsidR="00EA2BA5" w:rsidRPr="00785D74" w:rsidRDefault="00EA2BA5" w:rsidP="006E50CA">
            <w:pPr>
              <w:rPr>
                <w:rStyle w:val="DefinedTerm"/>
              </w:rPr>
            </w:pPr>
            <w:r w:rsidRPr="00785D74">
              <w:rPr>
                <w:rStyle w:val="DefinedTerm"/>
              </w:rPr>
              <w:t>Information</w:t>
            </w:r>
          </w:p>
        </w:tc>
        <w:tc>
          <w:tcPr>
            <w:tcW w:w="7160" w:type="dxa"/>
          </w:tcPr>
          <w:p w:rsidR="00EA2BA5" w:rsidRPr="00785D74" w:rsidRDefault="00EA2BA5" w:rsidP="00375858">
            <w:pPr>
              <w:jc w:val="both"/>
            </w:pPr>
            <w:r w:rsidRPr="00785D74">
              <w:t>has the meaning given under section 84 of the Freedom of Information Act 2000, as amended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Intellectual Property Rights or IPR</w:t>
            </w:r>
          </w:p>
        </w:tc>
        <w:tc>
          <w:tcPr>
            <w:tcW w:w="7160" w:type="dxa"/>
          </w:tcPr>
          <w:p w:rsidR="00EA2BA5" w:rsidRPr="00785D74" w:rsidRDefault="00EA2BA5" w:rsidP="00375858">
            <w:pPr>
              <w:jc w:val="both"/>
            </w:pPr>
            <w:r w:rsidRPr="00785D74">
              <w:t>means:</w:t>
            </w:r>
          </w:p>
          <w:p w:rsidR="00EA2BA5" w:rsidRPr="00785D74" w:rsidRDefault="00EA2BA5" w:rsidP="00375858">
            <w:pPr>
              <w:pStyle w:val="ListParagraph"/>
              <w:numPr>
                <w:ilvl w:val="0"/>
                <w:numId w:val="18"/>
              </w:numPr>
              <w:jc w:val="both"/>
            </w:pPr>
            <w:r w:rsidRPr="00785D74">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EA2BA5" w:rsidRPr="00785D74" w:rsidRDefault="00EA2BA5" w:rsidP="00375858">
            <w:pPr>
              <w:pStyle w:val="ListParagraph"/>
              <w:numPr>
                <w:ilvl w:val="0"/>
                <w:numId w:val="18"/>
              </w:numPr>
              <w:jc w:val="both"/>
            </w:pPr>
            <w:r w:rsidRPr="00785D74">
              <w:t>applications for registration, and the right to apply for registration, for any of the rights listed at (a) that are capable of being registered in any country or jurisdiction; and</w:t>
            </w:r>
          </w:p>
          <w:p w:rsidR="00EA2BA5" w:rsidRPr="00785D74" w:rsidRDefault="00EA2BA5" w:rsidP="00375858">
            <w:pPr>
              <w:jc w:val="both"/>
            </w:pPr>
            <w:r w:rsidRPr="00785D74">
              <w:t>all other rights having equivalent or similar effect in any country or jurisdiction;</w:t>
            </w:r>
          </w:p>
        </w:tc>
      </w:tr>
      <w:tr w:rsidR="00EA2BA5" w:rsidRPr="00785D74" w:rsidTr="006E50CA">
        <w:tc>
          <w:tcPr>
            <w:tcW w:w="2621" w:type="dxa"/>
          </w:tcPr>
          <w:p w:rsidR="00EA2BA5" w:rsidRPr="00785D74" w:rsidRDefault="00EA2BA5" w:rsidP="006E50CA">
            <w:pPr>
              <w:rPr>
                <w:rStyle w:val="DefinedTerm"/>
              </w:rPr>
            </w:pPr>
            <w:r w:rsidRPr="00785D74">
              <w:rPr>
                <w:rStyle w:val="DefinedTerm"/>
              </w:rPr>
              <w:t>Invitation to Tender or ITT</w:t>
            </w:r>
          </w:p>
        </w:tc>
        <w:tc>
          <w:tcPr>
            <w:tcW w:w="7160" w:type="dxa"/>
          </w:tcPr>
          <w:p w:rsidR="00EA2BA5" w:rsidRPr="00785D74" w:rsidRDefault="00EA2BA5" w:rsidP="006D7182">
            <w:pPr>
              <w:jc w:val="both"/>
            </w:pPr>
            <w:r w:rsidRPr="00785D74">
              <w:t>means the invitation to tender for this Framework issued on 25</w:t>
            </w:r>
            <w:r w:rsidRPr="00785D74">
              <w:rPr>
                <w:vertAlign w:val="superscript"/>
              </w:rPr>
              <w:t>th</w:t>
            </w:r>
            <w:r w:rsidRPr="00785D74">
              <w:t xml:space="preserve"> February 2014</w:t>
            </w:r>
          </w:p>
        </w:tc>
      </w:tr>
      <w:tr w:rsidR="00EA2BA5" w:rsidRPr="00785D74" w:rsidTr="006E50CA">
        <w:tc>
          <w:tcPr>
            <w:tcW w:w="2621" w:type="dxa"/>
          </w:tcPr>
          <w:p w:rsidR="00EA2BA5" w:rsidRPr="00785D74" w:rsidRDefault="00EA2BA5" w:rsidP="006E50CA">
            <w:pPr>
              <w:rPr>
                <w:rStyle w:val="DefinedTerm"/>
              </w:rPr>
            </w:pPr>
            <w:r w:rsidRPr="00785D74">
              <w:rPr>
                <w:rStyle w:val="DefinedTerm"/>
              </w:rPr>
              <w:t>Know-How</w:t>
            </w:r>
          </w:p>
        </w:tc>
        <w:tc>
          <w:tcPr>
            <w:tcW w:w="7160" w:type="dxa"/>
          </w:tcPr>
          <w:p w:rsidR="00EA2BA5" w:rsidRPr="00785D74" w:rsidRDefault="00EA2BA5" w:rsidP="00375858">
            <w:pPr>
              <w:jc w:val="both"/>
            </w:pPr>
            <w:r w:rsidRPr="00785D74">
              <w:t>means all ideas, concepts, schemes, information, knowledge, techniques, methodology, and anything else in the nature of know-how relating to the G-Cloud Services but excluding know-how already in the Supplier's or the Authority's possession before the Commencement Date;</w:t>
            </w:r>
          </w:p>
        </w:tc>
      </w:tr>
      <w:tr w:rsidR="00EA2BA5" w:rsidRPr="00785D74" w:rsidTr="006E50CA">
        <w:tc>
          <w:tcPr>
            <w:tcW w:w="2621" w:type="dxa"/>
          </w:tcPr>
          <w:p w:rsidR="00EA2BA5" w:rsidRPr="00785D74" w:rsidRDefault="00EA2BA5" w:rsidP="006E50CA">
            <w:pPr>
              <w:rPr>
                <w:rStyle w:val="DefinedTerm"/>
              </w:rPr>
            </w:pPr>
            <w:r w:rsidRPr="00785D74">
              <w:rPr>
                <w:rStyle w:val="DefinedTerm"/>
              </w:rPr>
              <w:t>Law</w:t>
            </w:r>
          </w:p>
        </w:tc>
        <w:tc>
          <w:tcPr>
            <w:tcW w:w="7160" w:type="dxa"/>
          </w:tcPr>
          <w:p w:rsidR="00EA2BA5" w:rsidRPr="00785D74" w:rsidRDefault="00EA2BA5" w:rsidP="00375858">
            <w:pPr>
              <w:jc w:val="both"/>
            </w:pPr>
            <w:r w:rsidRPr="00785D74">
              <w:t>means 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EA2BA5" w:rsidRPr="00785D74" w:rsidTr="006E50CA">
        <w:tc>
          <w:tcPr>
            <w:tcW w:w="2621" w:type="dxa"/>
          </w:tcPr>
          <w:p w:rsidR="00EA2BA5" w:rsidRPr="00785D74" w:rsidRDefault="00EA2BA5" w:rsidP="006E50CA">
            <w:pPr>
              <w:rPr>
                <w:rStyle w:val="DefinedTerm"/>
              </w:rPr>
            </w:pPr>
            <w:r w:rsidRPr="00785D74">
              <w:rPr>
                <w:rStyle w:val="DefinedTerm"/>
              </w:rPr>
              <w:t>Lot</w:t>
            </w:r>
          </w:p>
        </w:tc>
        <w:tc>
          <w:tcPr>
            <w:tcW w:w="7160" w:type="dxa"/>
          </w:tcPr>
          <w:p w:rsidR="00EA2BA5" w:rsidRPr="00785D74" w:rsidRDefault="00EA2BA5" w:rsidP="00375858">
            <w:pPr>
              <w:jc w:val="both"/>
            </w:pPr>
            <w:r w:rsidRPr="00785D74">
              <w:t>means any of the 4 lots specified in the ITT and "Lots" shall be construed accordingly;</w:t>
            </w:r>
          </w:p>
        </w:tc>
      </w:tr>
      <w:tr w:rsidR="00EA2BA5" w:rsidRPr="00785D74" w:rsidTr="006E50CA">
        <w:tc>
          <w:tcPr>
            <w:tcW w:w="2621" w:type="dxa"/>
          </w:tcPr>
          <w:p w:rsidR="00EA2BA5" w:rsidRPr="00785D74" w:rsidRDefault="00EA2BA5" w:rsidP="006E50CA">
            <w:pPr>
              <w:rPr>
                <w:rStyle w:val="DefinedTerm"/>
              </w:rPr>
            </w:pPr>
            <w:r w:rsidRPr="00785D74">
              <w:rPr>
                <w:rStyle w:val="DefinedTerm"/>
              </w:rPr>
              <w:t>Management Charge</w:t>
            </w:r>
          </w:p>
        </w:tc>
        <w:tc>
          <w:tcPr>
            <w:tcW w:w="7160" w:type="dxa"/>
          </w:tcPr>
          <w:p w:rsidR="00EA2BA5" w:rsidRPr="00785D74" w:rsidRDefault="00EA2BA5" w:rsidP="00375858">
            <w:pPr>
              <w:jc w:val="both"/>
            </w:pPr>
            <w:r w:rsidRPr="00785D74">
              <w:t>means the sum paid by the Supplier to the Authority being an amount of 0.5% of all Charges for the G-Cloud Services invoiced to Other Contracting Bodies (net of VAT) in each Month throughout the Term and thereafter until the expiry or earlier termination of any Call-Off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Management Information</w:t>
            </w:r>
          </w:p>
        </w:tc>
        <w:tc>
          <w:tcPr>
            <w:tcW w:w="7160" w:type="dxa"/>
          </w:tcPr>
          <w:p w:rsidR="00EA2BA5" w:rsidRPr="00785D74" w:rsidRDefault="00EA2BA5" w:rsidP="00375858">
            <w:pPr>
              <w:jc w:val="both"/>
            </w:pPr>
            <w:r w:rsidRPr="00785D74">
              <w:t>means the management information specified in Framework Schedule 4 (Management Information Requirements);</w:t>
            </w:r>
          </w:p>
        </w:tc>
      </w:tr>
      <w:tr w:rsidR="00EA2BA5" w:rsidRPr="00785D74" w:rsidTr="006E50CA">
        <w:tc>
          <w:tcPr>
            <w:tcW w:w="2621" w:type="dxa"/>
          </w:tcPr>
          <w:p w:rsidR="00EA2BA5" w:rsidRPr="00785D74" w:rsidRDefault="00EA2BA5" w:rsidP="006E50CA">
            <w:pPr>
              <w:rPr>
                <w:rStyle w:val="DefinedTerm"/>
              </w:rPr>
            </w:pPr>
            <w:r w:rsidRPr="00785D74">
              <w:rPr>
                <w:rStyle w:val="DefinedTerm"/>
              </w:rPr>
              <w:t xml:space="preserve">Material Breach </w:t>
            </w:r>
          </w:p>
        </w:tc>
        <w:tc>
          <w:tcPr>
            <w:tcW w:w="7160" w:type="dxa"/>
          </w:tcPr>
          <w:p w:rsidR="00EA2BA5" w:rsidRPr="00785D74" w:rsidRDefault="00EA2BA5" w:rsidP="00375858">
            <w:pPr>
              <w:jc w:val="both"/>
            </w:pPr>
            <w:r w:rsidRPr="00785D74">
              <w:t>means:</w:t>
            </w:r>
          </w:p>
          <w:p w:rsidR="00EA2BA5" w:rsidRPr="00785D74" w:rsidRDefault="00EA2BA5" w:rsidP="00375858">
            <w:pPr>
              <w:pStyle w:val="ListParagraph"/>
              <w:numPr>
                <w:ilvl w:val="0"/>
                <w:numId w:val="21"/>
              </w:numPr>
              <w:jc w:val="both"/>
            </w:pPr>
            <w:r w:rsidRPr="00785D74">
              <w:t>a material breach of the Framework Agreement Clause FW-19 and/or breach by the Supplier of the following Clauses in the Framework Agreement: Clause FW-7  (Warranties and Representations), Clause FW-8 (Provision of Management Information), Clause Fw-9 (Management Charge), Clause FW-22 (Prevention of Bribery &amp; Corruption), Clause FW-23 (Safeguarding against Fraud), Clause FW-24 (Data Protection &amp; Disclosure), Clause FW-28 (Official Secrets Acts), Schedule 5 (Records and Audits Access); and/or</w:t>
            </w:r>
          </w:p>
          <w:p w:rsidR="00EA2BA5" w:rsidRPr="00785D74" w:rsidRDefault="00EA2BA5" w:rsidP="001A40B7">
            <w:pPr>
              <w:pStyle w:val="FWClauseL2"/>
              <w:numPr>
                <w:ilvl w:val="0"/>
                <w:numId w:val="21"/>
              </w:numPr>
              <w:jc w:val="both"/>
            </w:pPr>
            <w:r w:rsidRPr="00785D74">
              <w:t>a material breach of the Call-Off Agreement and/or breach by the Supplier of any of the following Clauses in the Call-Off Agreement: Clause CO-3 (Protection of Information), C0-4 (Confidentiality), Clause CO-5 (Customer Data), Clause CO-8 (Official Secrets Acts 1911 to 1989);</w:t>
            </w:r>
          </w:p>
        </w:tc>
      </w:tr>
      <w:tr w:rsidR="00EA2BA5" w:rsidRPr="00785D74" w:rsidTr="006E50CA">
        <w:tc>
          <w:tcPr>
            <w:tcW w:w="2621" w:type="dxa"/>
          </w:tcPr>
          <w:p w:rsidR="00EA2BA5" w:rsidRPr="00785D74" w:rsidRDefault="00EA2BA5" w:rsidP="006E50CA">
            <w:pPr>
              <w:rPr>
                <w:rStyle w:val="DefinedTerm"/>
              </w:rPr>
            </w:pPr>
            <w:r w:rsidRPr="00785D74">
              <w:rPr>
                <w:rStyle w:val="DefinedTerm"/>
              </w:rPr>
              <w:t>Ministry of Justice Code</w:t>
            </w:r>
          </w:p>
        </w:tc>
        <w:tc>
          <w:tcPr>
            <w:tcW w:w="7160" w:type="dxa"/>
          </w:tcPr>
          <w:p w:rsidR="00EA2BA5" w:rsidRPr="00785D74" w:rsidRDefault="00EA2BA5" w:rsidP="00516092">
            <w:pPr>
              <w:jc w:val="both"/>
            </w:pPr>
            <w:r w:rsidRPr="00785D74">
              <w:rPr>
                <w:rFonts w:cs="Arial"/>
              </w:rPr>
              <w:t>means the Ministry of Justice's Code of Practice on the Discharge of the Functions of Public Authorities under Part 1 of the Freedom of Information Act 2000;</w:t>
            </w:r>
          </w:p>
        </w:tc>
      </w:tr>
      <w:tr w:rsidR="00EA2BA5" w:rsidRPr="00785D74" w:rsidTr="006E50CA">
        <w:tc>
          <w:tcPr>
            <w:tcW w:w="2621" w:type="dxa"/>
          </w:tcPr>
          <w:p w:rsidR="00EA2BA5" w:rsidRPr="00785D74" w:rsidRDefault="00EA2BA5" w:rsidP="006E50CA">
            <w:pPr>
              <w:rPr>
                <w:rStyle w:val="DefinedTerm"/>
              </w:rPr>
            </w:pPr>
            <w:r w:rsidRPr="00785D74">
              <w:rPr>
                <w:rStyle w:val="DefinedTerm"/>
              </w:rPr>
              <w:t>Month</w:t>
            </w:r>
          </w:p>
        </w:tc>
        <w:tc>
          <w:tcPr>
            <w:tcW w:w="7160" w:type="dxa"/>
          </w:tcPr>
          <w:p w:rsidR="00EA2BA5" w:rsidRPr="00785D74" w:rsidRDefault="00EA2BA5" w:rsidP="00516092">
            <w:pPr>
              <w:jc w:val="both"/>
            </w:pPr>
            <w:r w:rsidRPr="00785D74">
              <w:t>means a calendar month and "</w:t>
            </w:r>
            <w:r w:rsidRPr="00785D74">
              <w:rPr>
                <w:rStyle w:val="DefinedTerm"/>
              </w:rPr>
              <w:t>Monthly</w:t>
            </w:r>
            <w:r w:rsidRPr="00785D74">
              <w:t>" shall be interpreted accordingly;</w:t>
            </w:r>
          </w:p>
        </w:tc>
      </w:tr>
      <w:tr w:rsidR="00EA2BA5" w:rsidRPr="00785D74" w:rsidTr="006E50CA">
        <w:tc>
          <w:tcPr>
            <w:tcW w:w="2621" w:type="dxa"/>
          </w:tcPr>
          <w:p w:rsidR="00EA2BA5" w:rsidRPr="00785D74" w:rsidRDefault="00EA2BA5" w:rsidP="006E50CA">
            <w:pPr>
              <w:rPr>
                <w:rStyle w:val="DefinedTerm"/>
              </w:rPr>
            </w:pPr>
            <w:r w:rsidRPr="00785D74">
              <w:rPr>
                <w:rStyle w:val="DefinedTerm"/>
              </w:rPr>
              <w:t>OJEU Notice</w:t>
            </w:r>
          </w:p>
        </w:tc>
        <w:tc>
          <w:tcPr>
            <w:tcW w:w="7160" w:type="dxa"/>
          </w:tcPr>
          <w:p w:rsidR="00EA2BA5" w:rsidRPr="00785D74" w:rsidRDefault="00EA2BA5" w:rsidP="00516092">
            <w:pPr>
              <w:jc w:val="both"/>
            </w:pPr>
            <w:r w:rsidRPr="00785D74">
              <w:t>means a contract notice in the Official Journal of the European Union, seeking expressions of interest from potential providers of G-Cloud Services;</w:t>
            </w:r>
          </w:p>
        </w:tc>
      </w:tr>
      <w:tr w:rsidR="00EA2BA5" w:rsidRPr="00785D74" w:rsidTr="006E50CA">
        <w:tc>
          <w:tcPr>
            <w:tcW w:w="2621" w:type="dxa"/>
          </w:tcPr>
          <w:p w:rsidR="00EA2BA5" w:rsidRPr="00785D74" w:rsidRDefault="00EA2BA5" w:rsidP="006E50CA">
            <w:pPr>
              <w:rPr>
                <w:rStyle w:val="DefinedTerm"/>
              </w:rPr>
            </w:pPr>
            <w:r w:rsidRPr="00785D74">
              <w:rPr>
                <w:rStyle w:val="DefinedTerm"/>
              </w:rPr>
              <w:t>Order</w:t>
            </w:r>
          </w:p>
        </w:tc>
        <w:tc>
          <w:tcPr>
            <w:tcW w:w="7160" w:type="dxa"/>
          </w:tcPr>
          <w:p w:rsidR="00EA2BA5" w:rsidRPr="00785D74" w:rsidRDefault="00EA2BA5" w:rsidP="00516092">
            <w:pPr>
              <w:jc w:val="both"/>
            </w:pPr>
            <w:r w:rsidRPr="00785D74">
              <w:t>means an order for G-Cloud Services placed by a Contracting Body with the Supplier in accordance with the Ordering Procedures;</w:t>
            </w:r>
          </w:p>
        </w:tc>
      </w:tr>
      <w:tr w:rsidR="00EA2BA5" w:rsidRPr="00785D74" w:rsidTr="006E50CA">
        <w:tc>
          <w:tcPr>
            <w:tcW w:w="2621" w:type="dxa"/>
          </w:tcPr>
          <w:p w:rsidR="00EA2BA5" w:rsidRPr="00785D74" w:rsidRDefault="00EA2BA5" w:rsidP="006E50CA">
            <w:pPr>
              <w:rPr>
                <w:rStyle w:val="DefinedTerm"/>
              </w:rPr>
            </w:pPr>
            <w:r w:rsidRPr="00785D74">
              <w:rPr>
                <w:rStyle w:val="DefinedTerm"/>
              </w:rPr>
              <w:t>Order Form</w:t>
            </w:r>
          </w:p>
        </w:tc>
        <w:tc>
          <w:tcPr>
            <w:tcW w:w="7160" w:type="dxa"/>
          </w:tcPr>
          <w:p w:rsidR="00EA2BA5" w:rsidRPr="00785D74" w:rsidRDefault="00EA2BA5" w:rsidP="00516092">
            <w:pPr>
              <w:jc w:val="both"/>
            </w:pPr>
            <w:r w:rsidRPr="00785D74">
              <w:t>means the form set out in part 1 of Framework Schedule 2 (Call-Off Terms) to be used by a Contracting Body to order G-Cloud Services;</w:t>
            </w:r>
          </w:p>
        </w:tc>
      </w:tr>
      <w:tr w:rsidR="00EA2BA5" w:rsidRPr="00785D74" w:rsidTr="006E50CA">
        <w:tc>
          <w:tcPr>
            <w:tcW w:w="2621" w:type="dxa"/>
          </w:tcPr>
          <w:p w:rsidR="00EA2BA5" w:rsidRPr="00785D74" w:rsidRDefault="00EA2BA5" w:rsidP="006E50CA">
            <w:pPr>
              <w:rPr>
                <w:rStyle w:val="DefinedTerm"/>
              </w:rPr>
            </w:pPr>
            <w:r w:rsidRPr="00785D74">
              <w:rPr>
                <w:rStyle w:val="DefinedTerm"/>
              </w:rPr>
              <w:t>Ordered  G-Cloud Services</w:t>
            </w:r>
          </w:p>
        </w:tc>
        <w:tc>
          <w:tcPr>
            <w:tcW w:w="7160" w:type="dxa"/>
          </w:tcPr>
          <w:p w:rsidR="00EA2BA5" w:rsidRPr="00785D74" w:rsidRDefault="00EA2BA5" w:rsidP="00516092">
            <w:pPr>
              <w:jc w:val="both"/>
            </w:pPr>
            <w:r w:rsidRPr="00785D74">
              <w:t>means G-Cloud Services which are the subject of an Order by a Contracting Body;</w:t>
            </w:r>
          </w:p>
        </w:tc>
      </w:tr>
      <w:tr w:rsidR="00EA2BA5" w:rsidRPr="00785D74" w:rsidTr="006E50CA">
        <w:tc>
          <w:tcPr>
            <w:tcW w:w="2621" w:type="dxa"/>
          </w:tcPr>
          <w:p w:rsidR="00EA2BA5" w:rsidRPr="00785D74" w:rsidRDefault="00EA2BA5" w:rsidP="006E50CA">
            <w:pPr>
              <w:rPr>
                <w:rStyle w:val="DefinedTerm"/>
              </w:rPr>
            </w:pPr>
            <w:r w:rsidRPr="00785D74">
              <w:rPr>
                <w:rStyle w:val="DefinedTerm"/>
              </w:rPr>
              <w:t>Order Personal Data</w:t>
            </w:r>
          </w:p>
          <w:p w:rsidR="00EA2BA5" w:rsidRPr="00785D74" w:rsidRDefault="00EA2BA5" w:rsidP="006E50CA">
            <w:pPr>
              <w:rPr>
                <w:rStyle w:val="DefinedTerm"/>
              </w:rPr>
            </w:pPr>
          </w:p>
        </w:tc>
        <w:tc>
          <w:tcPr>
            <w:tcW w:w="7160" w:type="dxa"/>
          </w:tcPr>
          <w:p w:rsidR="00EA2BA5" w:rsidRPr="00785D74" w:rsidRDefault="00EA2BA5" w:rsidP="00516092">
            <w:pPr>
              <w:jc w:val="both"/>
            </w:pPr>
            <w:r w:rsidRPr="00785D74">
              <w:t>means the personal data supplied by the Customer to the Supplier in the course of Ordering  the G-Cloud Services for purposes of or in connection with this Call-Off Agreement. “</w:t>
            </w:r>
            <w:r w:rsidRPr="00785D74">
              <w:rPr>
                <w:rStyle w:val="DefinedTerm"/>
              </w:rPr>
              <w:t>Personal Data</w:t>
            </w:r>
            <w:r w:rsidRPr="00785D74">
              <w:t>” shall have the same meaning as set out in the Data Protection Act 1998;</w:t>
            </w:r>
          </w:p>
        </w:tc>
      </w:tr>
      <w:tr w:rsidR="00EA2BA5" w:rsidRPr="00785D74" w:rsidTr="006E50CA">
        <w:tc>
          <w:tcPr>
            <w:tcW w:w="2621" w:type="dxa"/>
          </w:tcPr>
          <w:p w:rsidR="00EA2BA5" w:rsidRPr="00785D74" w:rsidRDefault="00EA2BA5" w:rsidP="006E50CA">
            <w:pPr>
              <w:rPr>
                <w:rStyle w:val="DefinedTerm"/>
              </w:rPr>
            </w:pPr>
            <w:r w:rsidRPr="00785D74">
              <w:rPr>
                <w:rStyle w:val="DefinedTerm"/>
              </w:rPr>
              <w:t>Ordering Procedures</w:t>
            </w:r>
          </w:p>
        </w:tc>
        <w:tc>
          <w:tcPr>
            <w:tcW w:w="7160" w:type="dxa"/>
          </w:tcPr>
          <w:p w:rsidR="00EA2BA5" w:rsidRPr="00785D74" w:rsidRDefault="00EA2BA5" w:rsidP="00516092">
            <w:pPr>
              <w:jc w:val="both"/>
            </w:pPr>
            <w:r w:rsidRPr="00785D74">
              <w:t>means the ordering and award procedures specified in Framework Schedule 3 (Call-Off Ordering Procedure including Award Criteria);</w:t>
            </w:r>
          </w:p>
        </w:tc>
      </w:tr>
      <w:tr w:rsidR="00EA2BA5" w:rsidRPr="00785D74" w:rsidTr="006E50CA">
        <w:tc>
          <w:tcPr>
            <w:tcW w:w="2621" w:type="dxa"/>
          </w:tcPr>
          <w:p w:rsidR="00EA2BA5" w:rsidRPr="00785D74" w:rsidRDefault="00EA2BA5" w:rsidP="006E50CA">
            <w:pPr>
              <w:rPr>
                <w:rStyle w:val="DefinedTerm"/>
              </w:rPr>
            </w:pPr>
            <w:r w:rsidRPr="00785D74">
              <w:rPr>
                <w:rStyle w:val="DefinedTerm"/>
              </w:rPr>
              <w:t>Other Contracting Bodies</w:t>
            </w:r>
          </w:p>
        </w:tc>
        <w:tc>
          <w:tcPr>
            <w:tcW w:w="7160" w:type="dxa"/>
          </w:tcPr>
          <w:p w:rsidR="00EA2BA5" w:rsidRPr="00785D74" w:rsidRDefault="00EA2BA5" w:rsidP="00516092">
            <w:pPr>
              <w:jc w:val="both"/>
            </w:pPr>
            <w:r w:rsidRPr="00785D74">
              <w:t>means all Contracting Bodies except the Authority;</w:t>
            </w:r>
          </w:p>
        </w:tc>
      </w:tr>
      <w:tr w:rsidR="00EA2BA5" w:rsidRPr="00785D74" w:rsidTr="006E50CA">
        <w:tc>
          <w:tcPr>
            <w:tcW w:w="2621" w:type="dxa"/>
          </w:tcPr>
          <w:p w:rsidR="00EA2BA5" w:rsidRPr="00785D74" w:rsidRDefault="00EA2BA5" w:rsidP="006E50CA">
            <w:pPr>
              <w:rPr>
                <w:rStyle w:val="DefinedTerm"/>
              </w:rPr>
            </w:pPr>
            <w:r w:rsidRPr="00785D74">
              <w:rPr>
                <w:rStyle w:val="DefinedTerm"/>
              </w:rPr>
              <w:t>Parent Company</w:t>
            </w:r>
          </w:p>
        </w:tc>
        <w:tc>
          <w:tcPr>
            <w:tcW w:w="7160" w:type="dxa"/>
          </w:tcPr>
          <w:p w:rsidR="00EA2BA5" w:rsidRPr="00785D74" w:rsidRDefault="00EA2BA5" w:rsidP="00516092">
            <w:pPr>
              <w:jc w:val="both"/>
            </w:pPr>
            <w:r w:rsidRPr="00785D74">
              <w:t>means any company which is the ultimate Holding Company of the Supplier;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Party</w:t>
            </w:r>
          </w:p>
        </w:tc>
        <w:tc>
          <w:tcPr>
            <w:tcW w:w="7160" w:type="dxa"/>
          </w:tcPr>
          <w:p w:rsidR="00EA2BA5" w:rsidRPr="00785D74" w:rsidRDefault="00EA2BA5" w:rsidP="00516092">
            <w:pPr>
              <w:jc w:val="both"/>
            </w:pPr>
            <w:r w:rsidRPr="00785D74">
              <w:t>means:</w:t>
            </w:r>
          </w:p>
          <w:p w:rsidR="00EA2BA5" w:rsidRPr="00785D74" w:rsidRDefault="00EA2BA5" w:rsidP="00516092">
            <w:pPr>
              <w:pStyle w:val="ListParagraph"/>
              <w:numPr>
                <w:ilvl w:val="0"/>
                <w:numId w:val="22"/>
              </w:numPr>
              <w:jc w:val="both"/>
            </w:pPr>
            <w:r w:rsidRPr="00785D74">
              <w:t xml:space="preserve">for the purposes of the Framework Agreement, the Authority  or the Supplier; </w:t>
            </w:r>
          </w:p>
          <w:p w:rsidR="00EA2BA5" w:rsidRPr="00785D74" w:rsidRDefault="00EA2BA5" w:rsidP="00516092">
            <w:pPr>
              <w:pStyle w:val="ListParagraph"/>
              <w:numPr>
                <w:ilvl w:val="0"/>
                <w:numId w:val="22"/>
              </w:numPr>
              <w:jc w:val="both"/>
            </w:pPr>
            <w:r w:rsidRPr="00785D74">
              <w:t>for the purposes of the Call-Off Agreement, the Supplier or the Customer; and</w:t>
            </w:r>
          </w:p>
          <w:p w:rsidR="00EA2BA5" w:rsidRPr="00785D74" w:rsidRDefault="00EA2BA5" w:rsidP="00516092">
            <w:pPr>
              <w:jc w:val="both"/>
            </w:pPr>
            <w:r w:rsidRPr="00785D74">
              <w:t>"</w:t>
            </w:r>
            <w:r w:rsidRPr="00785D74">
              <w:rPr>
                <w:rStyle w:val="DefinedTerm"/>
              </w:rPr>
              <w:t>Parties</w:t>
            </w:r>
            <w:r w:rsidRPr="00785D74">
              <w:t>"  shall be interpreted accordingly;</w:t>
            </w:r>
          </w:p>
        </w:tc>
      </w:tr>
      <w:tr w:rsidR="00EA2BA5" w:rsidRPr="00785D74" w:rsidTr="006E50CA">
        <w:tc>
          <w:tcPr>
            <w:tcW w:w="2621" w:type="dxa"/>
          </w:tcPr>
          <w:p w:rsidR="00EA2BA5" w:rsidRPr="00785D74" w:rsidRDefault="00EA2BA5" w:rsidP="006E50CA">
            <w:pPr>
              <w:rPr>
                <w:rStyle w:val="DefinedTerm"/>
              </w:rPr>
            </w:pPr>
            <w:r w:rsidRPr="00785D74">
              <w:rPr>
                <w:rStyle w:val="DefinedTerm"/>
              </w:rPr>
              <w:t>Personal Data</w:t>
            </w:r>
          </w:p>
        </w:tc>
        <w:tc>
          <w:tcPr>
            <w:tcW w:w="7160" w:type="dxa"/>
          </w:tcPr>
          <w:p w:rsidR="00EA2BA5" w:rsidRPr="00785D74" w:rsidRDefault="00EA2BA5" w:rsidP="00516092">
            <w:pPr>
              <w:jc w:val="both"/>
            </w:pPr>
            <w:r w:rsidRPr="00785D74">
              <w:t>shall have the same meaning as set out in the Data Protection Act 1998;</w:t>
            </w:r>
          </w:p>
        </w:tc>
      </w:tr>
      <w:tr w:rsidR="00EA2BA5" w:rsidRPr="00785D74" w:rsidTr="006E50CA">
        <w:tc>
          <w:tcPr>
            <w:tcW w:w="2621" w:type="dxa"/>
          </w:tcPr>
          <w:p w:rsidR="00EA2BA5" w:rsidRPr="00785D74" w:rsidRDefault="00EA2BA5" w:rsidP="006E50CA">
            <w:pPr>
              <w:rPr>
                <w:rStyle w:val="DefinedTerm"/>
              </w:rPr>
            </w:pPr>
            <w:r w:rsidRPr="00785D74">
              <w:rPr>
                <w:rStyle w:val="DefinedTerm"/>
              </w:rPr>
              <w:t>Processing</w:t>
            </w:r>
          </w:p>
        </w:tc>
        <w:tc>
          <w:tcPr>
            <w:tcW w:w="7160" w:type="dxa"/>
          </w:tcPr>
          <w:p w:rsidR="00EA2BA5" w:rsidRPr="00785D74" w:rsidRDefault="00EA2BA5" w:rsidP="00516092">
            <w:pPr>
              <w:jc w:val="both"/>
            </w:pPr>
            <w:r w:rsidRPr="00785D74">
              <w:t xml:space="preserve">has the meaning given to it under the Data Protection Legislation but, for the purposes of this Framework Agreement and Call-Off Agreement, it shall include both manual and automatic processing. </w:t>
            </w:r>
            <w:r w:rsidRPr="00785D74">
              <w:rPr>
                <w:iCs/>
              </w:rPr>
              <w:t>"</w:t>
            </w:r>
            <w:r w:rsidRPr="00785D74">
              <w:rPr>
                <w:rStyle w:val="DefinedTerm"/>
              </w:rPr>
              <w:t>Process</w:t>
            </w:r>
            <w:r w:rsidRPr="00785D74">
              <w:rPr>
                <w:iCs/>
              </w:rPr>
              <w:t>" and "</w:t>
            </w:r>
            <w:r w:rsidRPr="00785D74">
              <w:rPr>
                <w:rStyle w:val="DefinedTerm"/>
              </w:rPr>
              <w:t>Processed</w:t>
            </w:r>
            <w:r w:rsidRPr="00785D74">
              <w:rPr>
                <w:iCs/>
              </w:rPr>
              <w:t>" shall be interpreted accordingly</w:t>
            </w:r>
            <w:r w:rsidRPr="00785D74">
              <w:t>;</w:t>
            </w:r>
          </w:p>
        </w:tc>
      </w:tr>
      <w:tr w:rsidR="00EA2BA5" w:rsidRPr="00785D74" w:rsidTr="006E50CA">
        <w:tc>
          <w:tcPr>
            <w:tcW w:w="2621" w:type="dxa"/>
          </w:tcPr>
          <w:p w:rsidR="00EA2BA5" w:rsidRPr="00785D74" w:rsidRDefault="00EA2BA5" w:rsidP="006E50CA">
            <w:pPr>
              <w:rPr>
                <w:rStyle w:val="DefinedTerm"/>
              </w:rPr>
            </w:pPr>
            <w:r w:rsidRPr="00785D74">
              <w:rPr>
                <w:rStyle w:val="DefinedTerm"/>
              </w:rPr>
              <w:t>Regulations</w:t>
            </w:r>
          </w:p>
        </w:tc>
        <w:tc>
          <w:tcPr>
            <w:tcW w:w="7160" w:type="dxa"/>
          </w:tcPr>
          <w:p w:rsidR="00EA2BA5" w:rsidRPr="00785D74" w:rsidRDefault="00EA2BA5" w:rsidP="00516092">
            <w:pPr>
              <w:jc w:val="both"/>
            </w:pPr>
            <w:r w:rsidRPr="00785D74">
              <w:t>means the Public Contracts Regulations 2006, as amended from time to time;</w:t>
            </w:r>
          </w:p>
        </w:tc>
      </w:tr>
      <w:tr w:rsidR="00EA2BA5" w:rsidRPr="00785D74" w:rsidTr="006E50CA">
        <w:tc>
          <w:tcPr>
            <w:tcW w:w="2621" w:type="dxa"/>
          </w:tcPr>
          <w:p w:rsidR="00EA2BA5" w:rsidRPr="00785D74" w:rsidRDefault="00EA2BA5" w:rsidP="006E50CA">
            <w:pPr>
              <w:rPr>
                <w:rStyle w:val="DefinedTerm"/>
              </w:rPr>
            </w:pPr>
            <w:r w:rsidRPr="00785D74">
              <w:rPr>
                <w:rStyle w:val="DefinedTerm"/>
              </w:rPr>
              <w:t>Regulatory Bodies</w:t>
            </w:r>
          </w:p>
        </w:tc>
        <w:tc>
          <w:tcPr>
            <w:tcW w:w="7160" w:type="dxa"/>
          </w:tcPr>
          <w:p w:rsidR="00EA2BA5" w:rsidRPr="00785D74" w:rsidRDefault="00EA2BA5" w:rsidP="00516092">
            <w:pPr>
              <w:jc w:val="both"/>
            </w:pPr>
            <w:r w:rsidRPr="00785D74">
              <w:t>means those government departments and regulatory, statutory and other entities, committees, ombudsmen and bodies which, whether under statute, rules, regulations, codes of practice or otherwise, are entitled to regulate, investigate, or influence the matters dealt with in this Framework Agreement or any other affairs of the Authority or Other Contracting Body or the Supplier or its Parent Company;</w:t>
            </w:r>
          </w:p>
        </w:tc>
      </w:tr>
      <w:tr w:rsidR="00EA2BA5" w:rsidRPr="00785D74" w:rsidTr="006E50CA">
        <w:tc>
          <w:tcPr>
            <w:tcW w:w="2621" w:type="dxa"/>
          </w:tcPr>
          <w:p w:rsidR="00EA2BA5" w:rsidRPr="00785D74" w:rsidRDefault="00EA2BA5" w:rsidP="006E50CA">
            <w:pPr>
              <w:rPr>
                <w:rStyle w:val="DefinedTerm"/>
              </w:rPr>
            </w:pPr>
            <w:r w:rsidRPr="00785D74">
              <w:rPr>
                <w:rStyle w:val="DefinedTerm"/>
              </w:rPr>
              <w:t>Relevant Person</w:t>
            </w:r>
          </w:p>
        </w:tc>
        <w:tc>
          <w:tcPr>
            <w:tcW w:w="7160" w:type="dxa"/>
          </w:tcPr>
          <w:p w:rsidR="00EA2BA5" w:rsidRPr="00785D74" w:rsidRDefault="00EA2BA5" w:rsidP="00516092">
            <w:pPr>
              <w:jc w:val="both"/>
            </w:pPr>
            <w:r w:rsidRPr="00785D74">
              <w:t>means any employee, agent, servant, or representative of the Authority, any other public body or person employed by or on behalf of the Authority, or any other public body;</w:t>
            </w:r>
          </w:p>
        </w:tc>
      </w:tr>
      <w:tr w:rsidR="00EA2BA5" w:rsidRPr="00785D74" w:rsidTr="006E50CA">
        <w:tc>
          <w:tcPr>
            <w:tcW w:w="2621" w:type="dxa"/>
          </w:tcPr>
          <w:p w:rsidR="00EA2BA5" w:rsidRPr="00785D74" w:rsidRDefault="00EA2BA5" w:rsidP="006E50CA">
            <w:pPr>
              <w:rPr>
                <w:rStyle w:val="DefinedTerm"/>
              </w:rPr>
            </w:pPr>
            <w:r w:rsidRPr="00785D74">
              <w:rPr>
                <w:rStyle w:val="DefinedTerm"/>
              </w:rPr>
              <w:t>Reporting Date</w:t>
            </w:r>
          </w:p>
        </w:tc>
        <w:tc>
          <w:tcPr>
            <w:tcW w:w="7160" w:type="dxa"/>
          </w:tcPr>
          <w:p w:rsidR="00EA2BA5" w:rsidRPr="00785D74" w:rsidRDefault="00EA2BA5" w:rsidP="00516092">
            <w:pPr>
              <w:jc w:val="both"/>
            </w:pPr>
            <w:r w:rsidRPr="00785D74">
              <w:t>means the 7</w:t>
            </w:r>
            <w:r w:rsidRPr="00785D74">
              <w:rPr>
                <w:vertAlign w:val="superscript"/>
              </w:rPr>
              <w:t>th</w:t>
            </w:r>
            <w:r w:rsidRPr="00785D74">
              <w:t xml:space="preserve"> day of each Month following the Month to which the relevant Management Information relates, or such other date as may be agreed between the Parties;</w:t>
            </w:r>
          </w:p>
        </w:tc>
      </w:tr>
      <w:tr w:rsidR="00EA2BA5" w:rsidRPr="00785D74" w:rsidTr="006E50CA">
        <w:tc>
          <w:tcPr>
            <w:tcW w:w="2621" w:type="dxa"/>
          </w:tcPr>
          <w:p w:rsidR="00EA2BA5" w:rsidRPr="00785D74" w:rsidRDefault="00EA2BA5" w:rsidP="006E50CA">
            <w:pPr>
              <w:rPr>
                <w:rStyle w:val="DefinedTerm"/>
              </w:rPr>
            </w:pPr>
            <w:r w:rsidRPr="00785D74">
              <w:rPr>
                <w:rStyle w:val="DefinedTerm"/>
              </w:rPr>
              <w:t>Requests for Information</w:t>
            </w:r>
          </w:p>
        </w:tc>
        <w:tc>
          <w:tcPr>
            <w:tcW w:w="7160" w:type="dxa"/>
          </w:tcPr>
          <w:p w:rsidR="00EA2BA5" w:rsidRPr="00785D74" w:rsidRDefault="00EA2BA5" w:rsidP="00516092">
            <w:pPr>
              <w:jc w:val="both"/>
            </w:pPr>
            <w:r w:rsidRPr="00785D74">
              <w:t>means a request for information or an apparent request under the Code of Practice on Access to Government Information, FOIA or the Environmental Information Regulations;</w:t>
            </w:r>
          </w:p>
        </w:tc>
      </w:tr>
      <w:tr w:rsidR="00EA2BA5" w:rsidRPr="00785D74" w:rsidTr="006E50CA">
        <w:tc>
          <w:tcPr>
            <w:tcW w:w="2621" w:type="dxa"/>
          </w:tcPr>
          <w:p w:rsidR="00EA2BA5" w:rsidRPr="00785D74" w:rsidRDefault="00EA2BA5" w:rsidP="006E50CA">
            <w:pPr>
              <w:rPr>
                <w:rStyle w:val="DefinedTerm"/>
              </w:rPr>
            </w:pPr>
            <w:r w:rsidRPr="00785D74">
              <w:rPr>
                <w:rStyle w:val="DefinedTerm"/>
              </w:rPr>
              <w:t>Self Audit Certificate</w:t>
            </w:r>
          </w:p>
        </w:tc>
        <w:tc>
          <w:tcPr>
            <w:tcW w:w="7160" w:type="dxa"/>
          </w:tcPr>
          <w:p w:rsidR="00EA2BA5" w:rsidRPr="00785D74" w:rsidRDefault="00EA2BA5" w:rsidP="001A40B7">
            <w:pPr>
              <w:jc w:val="both"/>
            </w:pPr>
            <w:r w:rsidRPr="00785D74">
              <w:t>means the certificate in the form as set out in Annex to the Framework Schedule 5 (Self Audit Certificate) to be provided to the Authority in accordance with Clause S5-1.2;</w:t>
            </w:r>
          </w:p>
        </w:tc>
      </w:tr>
      <w:tr w:rsidR="00EA2BA5" w:rsidRPr="00785D74" w:rsidTr="006E50CA">
        <w:tc>
          <w:tcPr>
            <w:tcW w:w="2621" w:type="dxa"/>
          </w:tcPr>
          <w:p w:rsidR="00EA2BA5" w:rsidRPr="00785D74" w:rsidRDefault="00EA2BA5" w:rsidP="006E50CA">
            <w:pPr>
              <w:rPr>
                <w:rStyle w:val="DefinedTerm"/>
              </w:rPr>
            </w:pPr>
            <w:r w:rsidRPr="00785D74">
              <w:rPr>
                <w:rStyle w:val="DefinedTerm"/>
              </w:rPr>
              <w:t>Service Definition(s)</w:t>
            </w:r>
          </w:p>
        </w:tc>
        <w:tc>
          <w:tcPr>
            <w:tcW w:w="7160" w:type="dxa"/>
          </w:tcPr>
          <w:p w:rsidR="00EA2BA5" w:rsidRPr="00785D74" w:rsidRDefault="00EA2BA5" w:rsidP="00516092">
            <w:pPr>
              <w:jc w:val="both"/>
            </w:pPr>
            <w:r w:rsidRPr="00785D74">
              <w:t>means the definition of the Supplier's G-Cloud Services  provided as part of their Tender that includes, but is not limited to, those items listed Schedule 1 paragraph 1.1 of this Framework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Service Descriptions</w:t>
            </w:r>
          </w:p>
        </w:tc>
        <w:tc>
          <w:tcPr>
            <w:tcW w:w="7160" w:type="dxa"/>
          </w:tcPr>
          <w:p w:rsidR="00EA2BA5" w:rsidRPr="00785D74" w:rsidRDefault="00EA2BA5" w:rsidP="00516092">
            <w:pPr>
              <w:jc w:val="both"/>
            </w:pPr>
            <w:r w:rsidRPr="00785D74">
              <w:t>means the description of the Supplier service offering as published on the Catalogue;</w:t>
            </w:r>
          </w:p>
        </w:tc>
      </w:tr>
      <w:tr w:rsidR="00EA2BA5" w:rsidRPr="00785D74" w:rsidTr="006E50CA">
        <w:tc>
          <w:tcPr>
            <w:tcW w:w="2621" w:type="dxa"/>
          </w:tcPr>
          <w:p w:rsidR="00EA2BA5" w:rsidRPr="00785D74" w:rsidRDefault="00EA2BA5" w:rsidP="006E50CA">
            <w:pPr>
              <w:rPr>
                <w:rStyle w:val="DefinedTerm"/>
              </w:rPr>
            </w:pPr>
            <w:r w:rsidRPr="00785D74">
              <w:rPr>
                <w:rStyle w:val="DefinedTerm"/>
              </w:rPr>
              <w:t>Service Personal Data</w:t>
            </w:r>
          </w:p>
        </w:tc>
        <w:tc>
          <w:tcPr>
            <w:tcW w:w="7160" w:type="dxa"/>
          </w:tcPr>
          <w:p w:rsidR="00EA2BA5" w:rsidRPr="00785D74" w:rsidRDefault="00EA2BA5" w:rsidP="00516092">
            <w:pPr>
              <w:jc w:val="both"/>
            </w:pPr>
            <w:r w:rsidRPr="00785D74">
              <w:t>means the personal data supplied by the Customer to the Supplier in the course of the use of the G-Cloud Services for purposes of or in connection with this Call-Off Agreement. “</w:t>
            </w:r>
            <w:r w:rsidRPr="00785D74">
              <w:rPr>
                <w:rStyle w:val="DefinedTerm"/>
              </w:rPr>
              <w:t>Personal Data</w:t>
            </w:r>
            <w:r w:rsidRPr="00785D74">
              <w:t>” shall have the same meaning as set out in the Data Protection Act 1998;</w:t>
            </w:r>
          </w:p>
        </w:tc>
      </w:tr>
      <w:tr w:rsidR="00EA2BA5" w:rsidRPr="00785D74" w:rsidTr="006E50CA">
        <w:tc>
          <w:tcPr>
            <w:tcW w:w="2621" w:type="dxa"/>
          </w:tcPr>
          <w:p w:rsidR="00EA2BA5" w:rsidRPr="00785D74" w:rsidRDefault="00EA2BA5" w:rsidP="006E50CA">
            <w:pPr>
              <w:rPr>
                <w:rStyle w:val="DefinedTerm"/>
              </w:rPr>
            </w:pPr>
            <w:r w:rsidRPr="00785D74">
              <w:rPr>
                <w:rStyle w:val="DefinedTerm"/>
              </w:rPr>
              <w:t>Special Terms</w:t>
            </w:r>
          </w:p>
        </w:tc>
        <w:tc>
          <w:tcPr>
            <w:tcW w:w="7160" w:type="dxa"/>
          </w:tcPr>
          <w:p w:rsidR="00EA2BA5" w:rsidRPr="00785D74" w:rsidRDefault="00EA2BA5" w:rsidP="00516092">
            <w:pPr>
              <w:jc w:val="both"/>
            </w:pPr>
            <w:r w:rsidRPr="00785D74">
              <w:t>means any terms which are additional to the terms set out in the Call-Off Agreement which are agreed between a Contracting Body and the Supplier and are specified in the Order;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Sub-Contract</w:t>
            </w:r>
          </w:p>
        </w:tc>
        <w:tc>
          <w:tcPr>
            <w:tcW w:w="7160" w:type="dxa"/>
          </w:tcPr>
          <w:p w:rsidR="00EA2BA5" w:rsidRPr="00785D74" w:rsidRDefault="00EA2BA5" w:rsidP="00516092">
            <w:pPr>
              <w:jc w:val="both"/>
            </w:pPr>
            <w:r w:rsidRPr="00785D74">
              <w:t>means any contract or agreement or proposed agreement between the Supplier and the Sub-Contractor in which Sub-Contractor agrees to provide to the Supplier the G-Cloud Services or any part thereof or facilities or goods and services necessary for the provision of the G-Cloud Services or any part thereof;</w:t>
            </w:r>
          </w:p>
        </w:tc>
      </w:tr>
      <w:tr w:rsidR="00EA2BA5" w:rsidRPr="00785D74" w:rsidTr="006E50CA">
        <w:tc>
          <w:tcPr>
            <w:tcW w:w="2621" w:type="dxa"/>
          </w:tcPr>
          <w:p w:rsidR="00EA2BA5" w:rsidRPr="00785D74" w:rsidRDefault="00EA2BA5" w:rsidP="006E50CA">
            <w:pPr>
              <w:rPr>
                <w:rStyle w:val="DefinedTerm"/>
              </w:rPr>
            </w:pPr>
            <w:r w:rsidRPr="00785D74">
              <w:rPr>
                <w:rStyle w:val="DefinedTerm"/>
              </w:rPr>
              <w:t>Sub-Contractor</w:t>
            </w:r>
          </w:p>
        </w:tc>
        <w:tc>
          <w:tcPr>
            <w:tcW w:w="7160" w:type="dxa"/>
          </w:tcPr>
          <w:p w:rsidR="00EA2BA5" w:rsidRPr="00785D74" w:rsidRDefault="00EA2BA5" w:rsidP="008A265A">
            <w:pPr>
              <w:pStyle w:val="ListParagraph"/>
              <w:jc w:val="both"/>
              <w:rPr>
                <w:rFonts w:cs="Arial"/>
              </w:rPr>
            </w:pPr>
            <w:r w:rsidRPr="00785D74">
              <w:rPr>
                <w:rFonts w:cs="Arial"/>
              </w:rPr>
              <w:t>means any third party engaged by the Supplier from time to time under a Sub-Contract permitted pursuant to the Framework Agreement and the Call-Off Agreement its servants or agents in connection with the provision of the G-Cloud Services  from time to time;</w:t>
            </w:r>
          </w:p>
          <w:p w:rsidR="00EA2BA5" w:rsidRPr="00785D74" w:rsidRDefault="00EA2BA5" w:rsidP="008A265A">
            <w:pPr>
              <w:pStyle w:val="ListParagraph"/>
              <w:jc w:val="both"/>
            </w:pPr>
          </w:p>
        </w:tc>
      </w:tr>
      <w:tr w:rsidR="00EA2BA5" w:rsidRPr="00785D74" w:rsidTr="006E50CA">
        <w:tc>
          <w:tcPr>
            <w:tcW w:w="2621" w:type="dxa"/>
          </w:tcPr>
          <w:p w:rsidR="00EA2BA5" w:rsidRPr="00785D74" w:rsidRDefault="00EA2BA5" w:rsidP="006E50CA">
            <w:pPr>
              <w:rPr>
                <w:rStyle w:val="DefinedTerm"/>
              </w:rPr>
            </w:pPr>
            <w:r w:rsidRPr="00785D74">
              <w:rPr>
                <w:rStyle w:val="DefinedTerm"/>
              </w:rPr>
              <w:t>Subsidiary</w:t>
            </w:r>
          </w:p>
        </w:tc>
        <w:tc>
          <w:tcPr>
            <w:tcW w:w="7160" w:type="dxa"/>
          </w:tcPr>
          <w:p w:rsidR="00EA2BA5" w:rsidRPr="00785D74" w:rsidRDefault="00EA2BA5" w:rsidP="00516092">
            <w:pPr>
              <w:jc w:val="both"/>
            </w:pPr>
            <w:r w:rsidRPr="00785D74">
              <w:t>has the meaning given to it in section 1159 of the Companies Act 2006;</w:t>
            </w:r>
          </w:p>
        </w:tc>
      </w:tr>
      <w:tr w:rsidR="00EA2BA5" w:rsidRPr="00785D74" w:rsidTr="006E50CA">
        <w:tc>
          <w:tcPr>
            <w:tcW w:w="2621" w:type="dxa"/>
          </w:tcPr>
          <w:p w:rsidR="00EA2BA5" w:rsidRPr="00785D74" w:rsidRDefault="00EA2BA5" w:rsidP="006E50CA">
            <w:pPr>
              <w:rPr>
                <w:rStyle w:val="DefinedTerm"/>
              </w:rPr>
            </w:pPr>
            <w:r w:rsidRPr="00785D74">
              <w:rPr>
                <w:rStyle w:val="DefinedTerm"/>
              </w:rPr>
              <w:t>Supplier's Confidential Information</w:t>
            </w:r>
          </w:p>
        </w:tc>
        <w:tc>
          <w:tcPr>
            <w:tcW w:w="7160" w:type="dxa"/>
          </w:tcPr>
          <w:p w:rsidR="00EA2BA5" w:rsidRPr="00785D74" w:rsidRDefault="00EA2BA5" w:rsidP="00516092">
            <w:pPr>
              <w:jc w:val="both"/>
            </w:pPr>
            <w:r w:rsidRPr="00785D74">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or which ought reasonably to be considered to be confidential, including the Commercially Sensitive Information (whether or not it is marked as "confidential");</w:t>
            </w:r>
          </w:p>
        </w:tc>
      </w:tr>
      <w:tr w:rsidR="00EA2BA5" w:rsidRPr="00785D74" w:rsidTr="006E50CA">
        <w:tc>
          <w:tcPr>
            <w:tcW w:w="2621" w:type="dxa"/>
          </w:tcPr>
          <w:p w:rsidR="00EA2BA5" w:rsidRPr="00785D74" w:rsidRDefault="00EA2BA5" w:rsidP="006E50CA">
            <w:pPr>
              <w:rPr>
                <w:rStyle w:val="DefinedTerm"/>
              </w:rPr>
            </w:pPr>
            <w:r w:rsidRPr="00785D74">
              <w:rPr>
                <w:rStyle w:val="DefinedTerm"/>
              </w:rPr>
              <w:t>Supplier Representative</w:t>
            </w:r>
          </w:p>
        </w:tc>
        <w:tc>
          <w:tcPr>
            <w:tcW w:w="7160" w:type="dxa"/>
          </w:tcPr>
          <w:p w:rsidR="00EA2BA5" w:rsidRPr="00785D74" w:rsidRDefault="00EA2BA5" w:rsidP="00516092">
            <w:pPr>
              <w:jc w:val="both"/>
            </w:pPr>
            <w:r w:rsidRPr="00785D74">
              <w:t>means the representative appointed by the Supplier from time to time in relation to this Framework Agreement;</w:t>
            </w:r>
          </w:p>
        </w:tc>
      </w:tr>
      <w:tr w:rsidR="00EA2BA5" w:rsidRPr="00785D74" w:rsidTr="00970698">
        <w:trPr>
          <w:trHeight w:val="523"/>
        </w:trPr>
        <w:tc>
          <w:tcPr>
            <w:tcW w:w="2621" w:type="dxa"/>
          </w:tcPr>
          <w:p w:rsidR="00EA2BA5" w:rsidRPr="00785D74" w:rsidRDefault="00EA2BA5" w:rsidP="006E50CA">
            <w:pPr>
              <w:rPr>
                <w:rStyle w:val="DefinedTerm"/>
              </w:rPr>
            </w:pPr>
            <w:r w:rsidRPr="00785D74">
              <w:rPr>
                <w:rStyle w:val="DefinedTerm"/>
              </w:rPr>
              <w:t>Supplier Terms</w:t>
            </w:r>
          </w:p>
        </w:tc>
        <w:tc>
          <w:tcPr>
            <w:tcW w:w="7160" w:type="dxa"/>
          </w:tcPr>
          <w:p w:rsidR="00EA2BA5" w:rsidRPr="00785D74" w:rsidRDefault="00EA2BA5" w:rsidP="00516092">
            <w:pPr>
              <w:jc w:val="both"/>
            </w:pPr>
            <w:r w:rsidRPr="00785D74">
              <w:t>means the terms and conditions set in the form supplied as part of the Supplier’s Tender;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Supplier Staff</w:t>
            </w:r>
          </w:p>
        </w:tc>
        <w:tc>
          <w:tcPr>
            <w:tcW w:w="7160" w:type="dxa"/>
          </w:tcPr>
          <w:p w:rsidR="00EA2BA5" w:rsidRPr="00785D74" w:rsidRDefault="00EA2BA5" w:rsidP="00516092">
            <w:pPr>
              <w:jc w:val="both"/>
              <w:rPr>
                <w:b/>
                <w:i/>
              </w:rPr>
            </w:pPr>
            <w:r w:rsidRPr="00785D74">
              <w:t xml:space="preserve">means all persons employed by the Supplier together with the Supplier's servants, agents, suppliers and Sub-Contractors used in the performance of its obligations under this Framework Agreement or any Call-Off Agreements; </w:t>
            </w:r>
          </w:p>
        </w:tc>
      </w:tr>
      <w:tr w:rsidR="00EA2BA5" w:rsidRPr="00785D74" w:rsidTr="006E50CA">
        <w:tc>
          <w:tcPr>
            <w:tcW w:w="2621" w:type="dxa"/>
          </w:tcPr>
          <w:p w:rsidR="00EA2BA5" w:rsidRPr="00785D74" w:rsidRDefault="00EA2BA5" w:rsidP="006E50CA">
            <w:pPr>
              <w:rPr>
                <w:rStyle w:val="DefinedTerm"/>
              </w:rPr>
            </w:pPr>
            <w:r w:rsidRPr="00785D74">
              <w:rPr>
                <w:rStyle w:val="DefinedTerm"/>
              </w:rPr>
              <w:t>Tender</w:t>
            </w:r>
          </w:p>
        </w:tc>
        <w:tc>
          <w:tcPr>
            <w:tcW w:w="7160" w:type="dxa"/>
          </w:tcPr>
          <w:p w:rsidR="00EA2BA5" w:rsidRPr="00785D74" w:rsidRDefault="00EA2BA5" w:rsidP="00516092">
            <w:pPr>
              <w:jc w:val="both"/>
            </w:pPr>
            <w:r w:rsidRPr="00785D74">
              <w:t>means the response submitted by the Supplier to the Invitation to Tender;</w:t>
            </w:r>
          </w:p>
        </w:tc>
      </w:tr>
      <w:tr w:rsidR="00EA2BA5" w:rsidRPr="00785D74" w:rsidTr="006E50CA">
        <w:tc>
          <w:tcPr>
            <w:tcW w:w="2621" w:type="dxa"/>
          </w:tcPr>
          <w:p w:rsidR="00EA2BA5" w:rsidRPr="00785D74" w:rsidRDefault="00EA2BA5" w:rsidP="006E50CA">
            <w:pPr>
              <w:rPr>
                <w:rStyle w:val="DefinedTerm"/>
              </w:rPr>
            </w:pPr>
            <w:r w:rsidRPr="00785D74">
              <w:rPr>
                <w:rStyle w:val="DefinedTerm"/>
              </w:rPr>
              <w:t>Term</w:t>
            </w:r>
          </w:p>
        </w:tc>
        <w:tc>
          <w:tcPr>
            <w:tcW w:w="7160" w:type="dxa"/>
          </w:tcPr>
          <w:p w:rsidR="00EA2BA5" w:rsidRPr="00785D74" w:rsidRDefault="00EA2BA5" w:rsidP="001A40B7">
            <w:pPr>
              <w:jc w:val="both"/>
            </w:pPr>
            <w:r w:rsidRPr="00785D74">
              <w:t>means the term of this Framework Agreement as specified in FW-3  (Term of Framework Agreement);</w:t>
            </w:r>
          </w:p>
        </w:tc>
      </w:tr>
      <w:tr w:rsidR="00EA2BA5" w:rsidRPr="00785D74" w:rsidTr="006E50CA">
        <w:tc>
          <w:tcPr>
            <w:tcW w:w="2621" w:type="dxa"/>
          </w:tcPr>
          <w:p w:rsidR="00EA2BA5" w:rsidRPr="00785D74" w:rsidRDefault="00EA2BA5" w:rsidP="006E50CA">
            <w:pPr>
              <w:rPr>
                <w:rStyle w:val="DefinedTerm"/>
              </w:rPr>
            </w:pPr>
            <w:r w:rsidRPr="00785D74">
              <w:rPr>
                <w:rStyle w:val="DefinedTerm"/>
              </w:rPr>
              <w:t>Working Days</w:t>
            </w:r>
          </w:p>
        </w:tc>
        <w:tc>
          <w:tcPr>
            <w:tcW w:w="7160" w:type="dxa"/>
          </w:tcPr>
          <w:p w:rsidR="00EA2BA5" w:rsidRPr="00785D74" w:rsidRDefault="00EA2BA5" w:rsidP="00516092">
            <w:pPr>
              <w:jc w:val="both"/>
            </w:pPr>
            <w:r w:rsidRPr="00785D74">
              <w:t>means any day other than a Saturday, Sunday or public holiday in England and Wales; and</w:t>
            </w:r>
          </w:p>
        </w:tc>
      </w:tr>
      <w:tr w:rsidR="00EA2BA5" w:rsidRPr="00785D74" w:rsidTr="006E50CA">
        <w:tc>
          <w:tcPr>
            <w:tcW w:w="2621" w:type="dxa"/>
            <w:tcBorders>
              <w:bottom w:val="single" w:sz="4" w:space="0" w:color="auto"/>
            </w:tcBorders>
          </w:tcPr>
          <w:p w:rsidR="00EA2BA5" w:rsidRPr="00785D74" w:rsidRDefault="00EA2BA5" w:rsidP="006E50CA">
            <w:pPr>
              <w:rPr>
                <w:rStyle w:val="DefinedTerm"/>
              </w:rPr>
            </w:pPr>
            <w:r w:rsidRPr="00785D74">
              <w:rPr>
                <w:rStyle w:val="DefinedTerm"/>
              </w:rPr>
              <w:t>Year</w:t>
            </w:r>
          </w:p>
        </w:tc>
        <w:tc>
          <w:tcPr>
            <w:tcW w:w="7160" w:type="dxa"/>
            <w:tcBorders>
              <w:bottom w:val="single" w:sz="4" w:space="0" w:color="auto"/>
            </w:tcBorders>
          </w:tcPr>
          <w:p w:rsidR="00EA2BA5" w:rsidRPr="00785D74" w:rsidRDefault="00EA2BA5" w:rsidP="00516092">
            <w:pPr>
              <w:jc w:val="both"/>
            </w:pPr>
            <w:r w:rsidRPr="00785D74">
              <w:t>means a contract  year.</w:t>
            </w:r>
          </w:p>
        </w:tc>
      </w:tr>
    </w:tbl>
    <w:p w:rsidR="00EA2BA5" w:rsidRDefault="00EA2BA5" w:rsidP="00AF2633"/>
    <w:p w:rsidR="00EA2BA5" w:rsidRDefault="00EA2BA5" w:rsidP="0007614D">
      <w:pPr>
        <w:pStyle w:val="SClauseL2"/>
        <w:jc w:val="both"/>
      </w:pPr>
      <w:r>
        <w:t>The interpretation and construction of this Framework Agreement shall all be subject to the following provisions:</w:t>
      </w:r>
    </w:p>
    <w:p w:rsidR="00EA2BA5" w:rsidRDefault="00EA2BA5" w:rsidP="0007614D">
      <w:pPr>
        <w:pStyle w:val="SClauseL3"/>
        <w:jc w:val="both"/>
      </w:pPr>
      <w:r>
        <w:t>words importing the singular meaning include where the context so admits the plural meaning and vice versa;</w:t>
      </w:r>
    </w:p>
    <w:p w:rsidR="00EA2BA5" w:rsidRDefault="00EA2BA5" w:rsidP="0007614D">
      <w:pPr>
        <w:pStyle w:val="SClauseL3"/>
        <w:jc w:val="both"/>
      </w:pPr>
      <w:r>
        <w:t>words importing the masculine include the feminine and the neuter and vice versa;</w:t>
      </w:r>
    </w:p>
    <w:p w:rsidR="00EA2BA5" w:rsidRDefault="00EA2BA5" w:rsidP="0007614D">
      <w:pPr>
        <w:pStyle w:val="SClauseL3"/>
        <w:jc w:val="both"/>
      </w:pPr>
      <w:r>
        <w:t>the words "include", "includes" "including" "for example" and "in particular" and words of similar effect shall not limit the general effect of the words which precede them;</w:t>
      </w:r>
    </w:p>
    <w:p w:rsidR="00EA2BA5" w:rsidRDefault="00EA2BA5" w:rsidP="0007614D">
      <w:pPr>
        <w:pStyle w:val="SClauseL3"/>
        <w:jc w:val="both"/>
      </w:pPr>
      <w:r>
        <w:t>references to any person shall include natural persons and partnerships, firms and other incorporated bodies and all other legal persons of whatever kind and however constituted and their successors and permitted assigns or transferees;</w:t>
      </w:r>
    </w:p>
    <w:p w:rsidR="00EA2BA5" w:rsidRDefault="00EA2BA5" w:rsidP="0007614D">
      <w:pPr>
        <w:pStyle w:val="SClauseL3"/>
        <w:jc w:val="both"/>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EA2BA5" w:rsidRDefault="00EA2BA5" w:rsidP="0007614D">
      <w:pPr>
        <w:pStyle w:val="SClauseL3"/>
        <w:jc w:val="both"/>
      </w:pPr>
      <w:r>
        <w:t>headings are included in this Framework Agreement for ease of reference only and shall not affect the interpretation or construction of this Framework Agreement;</w:t>
      </w:r>
    </w:p>
    <w:p w:rsidR="00EA2BA5" w:rsidRDefault="00EA2BA5" w:rsidP="0007614D">
      <w:pPr>
        <w:pStyle w:val="SClauseL3"/>
        <w:jc w:val="both"/>
      </w:pPr>
      <w:r>
        <w:t>references in this Framework Agreement to any Clause or Framework Schedule without further designation shall be construed as a reference to the Clause or sub-Clause or Schedule to this Framework Agreement so numbered;</w:t>
      </w:r>
    </w:p>
    <w:p w:rsidR="00EA2BA5" w:rsidRDefault="00EA2BA5" w:rsidP="0007614D">
      <w:pPr>
        <w:pStyle w:val="SClauseL3"/>
        <w:jc w:val="both"/>
      </w:pPr>
      <w:r>
        <w:t>references in this Framework Agreement to any Paragraph or Sub-Paragraph without further designation shall be construed as a reference to the Paragraph or sub-Paragraph of the relevant Framework Schedule to this Framework Agreement so numbered;</w:t>
      </w:r>
    </w:p>
    <w:p w:rsidR="00EA2BA5" w:rsidRDefault="00EA2BA5" w:rsidP="0007614D">
      <w:pPr>
        <w:pStyle w:val="SClauseL3"/>
        <w:jc w:val="both"/>
      </w:pPr>
      <w:r>
        <w:t>reference to a Clause is a reference to the whole of that Clause unless stated otherwise;</w:t>
      </w:r>
    </w:p>
    <w:p w:rsidR="00EA2BA5" w:rsidRDefault="00EA2BA5" w:rsidP="0007614D">
      <w:pPr>
        <w:pStyle w:val="SClauseL3"/>
        <w:jc w:val="both"/>
      </w:pPr>
      <w:r>
        <w:t>where definitions or interpretations are expressly set out in Collaboration Agreement Schedule 7 (Collaboration Agreement), then the definitions and interpretations specified therein shall apply only in the context of the Collaboration Agreement; and</w:t>
      </w:r>
    </w:p>
    <w:p w:rsidR="00EA2BA5" w:rsidRDefault="00EA2BA5" w:rsidP="0007614D">
      <w:pPr>
        <w:pStyle w:val="SClauseL3"/>
        <w:jc w:val="both"/>
      </w:pPr>
      <w:r>
        <w:t xml:space="preserve">without prejudice to the Overriding Provisions at the start of Framework Schedule 2 (Call-Off Terms) in the event and to the extent only of any conflict between the Clauses and the remainder of the Framework Schedules, the Clauses shall prevail over the remainder </w:t>
      </w:r>
    </w:p>
    <w:p w:rsidR="00EA2BA5" w:rsidRDefault="00EA2BA5" w:rsidP="00BE2219">
      <w:pPr>
        <w:pStyle w:val="SClauseL3"/>
        <w:numPr>
          <w:ilvl w:val="0"/>
          <w:numId w:val="0"/>
        </w:numPr>
        <w:ind w:left="1560"/>
        <w:jc w:val="both"/>
      </w:pPr>
    </w:p>
    <w:p w:rsidR="00EA2BA5" w:rsidRDefault="00EA2BA5" w:rsidP="00BE2219">
      <w:pPr>
        <w:sectPr w:rsidR="00EA2BA5" w:rsidSect="00981FAF">
          <w:headerReference w:type="default" r:id="rId11"/>
          <w:pgSz w:w="11906" w:h="16838"/>
          <w:pgMar w:top="963" w:right="720" w:bottom="720" w:left="720" w:header="568" w:footer="708" w:gutter="0"/>
          <w:cols w:space="708"/>
          <w:docGrid w:linePitch="360"/>
        </w:sectPr>
      </w:pPr>
    </w:p>
    <w:p w:rsidR="00EA2BA5" w:rsidRDefault="00EA2BA5" w:rsidP="00571398">
      <w:pPr>
        <w:pStyle w:val="ScheduleTitle"/>
      </w:pPr>
      <w:bookmarkStart w:id="47" w:name="_Toc379197387"/>
      <w:r>
        <w:t>[Collaboration Agreement]</w:t>
      </w:r>
      <w:bookmarkEnd w:id="47"/>
    </w:p>
    <w:p w:rsidR="00EA2BA5" w:rsidRPr="005D5AA9" w:rsidRDefault="00EA2BA5" w:rsidP="005D5AA9">
      <w:r>
        <w:t>Attached separately</w:t>
      </w:r>
    </w:p>
    <w:p w:rsidR="00EA2BA5" w:rsidRDefault="00EA2BA5" w:rsidP="0007614D">
      <w:pPr>
        <w:sectPr w:rsidR="00EA2BA5" w:rsidSect="00981FAF">
          <w:headerReference w:type="default" r:id="rId12"/>
          <w:pgSz w:w="11906" w:h="16838"/>
          <w:pgMar w:top="963" w:right="720" w:bottom="720" w:left="720" w:header="568" w:footer="708" w:gutter="0"/>
          <w:cols w:space="708"/>
          <w:docGrid w:linePitch="360"/>
        </w:sectPr>
      </w:pPr>
    </w:p>
    <w:p w:rsidR="00EA2BA5" w:rsidRDefault="00EA2BA5" w:rsidP="00A94925">
      <w:pPr>
        <w:pStyle w:val="ScheduleTitle"/>
      </w:pPr>
      <w:bookmarkStart w:id="48" w:name="_Toc379197388"/>
      <w:r>
        <w:t>[Implementation Plan]</w:t>
      </w:r>
      <w:bookmarkEnd w:id="48"/>
    </w:p>
    <w:p w:rsidR="00EA2BA5" w:rsidRDefault="00EA2BA5" w:rsidP="0007614D"/>
    <w:p w:rsidR="00EA2BA5" w:rsidRDefault="00EA2BA5" w:rsidP="0007614D">
      <w:pPr>
        <w:sectPr w:rsidR="00EA2BA5" w:rsidSect="00981FAF">
          <w:headerReference w:type="default" r:id="rId13"/>
          <w:pgSz w:w="11906" w:h="16838"/>
          <w:pgMar w:top="963" w:right="720" w:bottom="720" w:left="720" w:header="568" w:footer="708" w:gutter="0"/>
          <w:cols w:space="708"/>
          <w:docGrid w:linePitch="360"/>
        </w:sectPr>
      </w:pPr>
    </w:p>
    <w:p w:rsidR="00EA2BA5" w:rsidRDefault="00EA2BA5" w:rsidP="00A94925">
      <w:pPr>
        <w:pStyle w:val="ScheduleTitle"/>
      </w:pPr>
      <w:bookmarkStart w:id="49" w:name="_Toc379197389"/>
      <w:r>
        <w:t>[PSN Compliance]</w:t>
      </w:r>
      <w:bookmarkEnd w:id="49"/>
    </w:p>
    <w:p w:rsidR="00EA2BA5" w:rsidRDefault="00EA2BA5" w:rsidP="0007614D"/>
    <w:p w:rsidR="00EA2BA5" w:rsidRPr="00D03934" w:rsidRDefault="00EA2BA5" w:rsidP="00302945">
      <w:pPr>
        <w:pStyle w:val="Body"/>
        <w:tabs>
          <w:tab w:val="left" w:pos="1134"/>
        </w:tabs>
        <w:ind w:left="1276" w:right="95"/>
      </w:pPr>
      <w:r w:rsidRPr="00D03934">
        <w:rPr>
          <w:highlight w:val="green"/>
        </w:rPr>
        <w:t xml:space="preserve">[Guidance Note: This Schedule </w:t>
      </w:r>
      <w:r>
        <w:rPr>
          <w:highlight w:val="green"/>
        </w:rPr>
        <w:t>will be needed if the required services are to be delivered to customers over PSN.  Whether or not this is the case should be indicated clearly in the Technical Standards section 3.2 of the Order Form</w:t>
      </w:r>
      <w:r w:rsidRPr="00D03934">
        <w:rPr>
          <w:highlight w:val="green"/>
        </w:rPr>
        <w:t>]</w:t>
      </w:r>
      <w:r w:rsidRPr="00D03934">
        <w:t xml:space="preserve"> </w:t>
      </w:r>
    </w:p>
    <w:p w:rsidR="00EA2BA5" w:rsidRPr="002F61B4" w:rsidRDefault="00EA2BA5" w:rsidP="002F61B4">
      <w:pPr>
        <w:pStyle w:val="SClauseL1Content"/>
        <w:jc w:val="both"/>
        <w:rPr>
          <w:rStyle w:val="ClauseTitle"/>
        </w:rPr>
      </w:pPr>
      <w:bookmarkStart w:id="50" w:name="_Toc379197390"/>
      <w:r w:rsidRPr="002F61B4">
        <w:rPr>
          <w:rStyle w:val="ClauseTitle"/>
        </w:rPr>
        <w:t>DELIVERY OF SERVICES</w:t>
      </w:r>
      <w:bookmarkEnd w:id="50"/>
    </w:p>
    <w:p w:rsidR="00EA2BA5" w:rsidRDefault="00EA2BA5" w:rsidP="002F61B4">
      <w:pPr>
        <w:pStyle w:val="SClauseL2"/>
        <w:ind w:left="1560" w:hanging="862"/>
        <w:jc w:val="both"/>
      </w:pPr>
      <w:r w:rsidRPr="00302945">
        <w:t xml:space="preserve">The Supplier shall ensure that the </w:t>
      </w:r>
      <w:r>
        <w:t>G-C</w:t>
      </w:r>
      <w:r w:rsidRPr="00302945">
        <w:t xml:space="preserve">loud Services are PSN </w:t>
      </w:r>
      <w:r>
        <w:t xml:space="preserve">Compliant </w:t>
      </w:r>
      <w:r w:rsidRPr="00302945">
        <w:t>Services if so specified by the Contracting Body on the Order Form;</w:t>
      </w:r>
    </w:p>
    <w:p w:rsidR="00EA2BA5" w:rsidRDefault="00EA2BA5" w:rsidP="002F61B4">
      <w:pPr>
        <w:pStyle w:val="SClauseL2"/>
        <w:ind w:left="1560" w:hanging="862"/>
        <w:jc w:val="both"/>
      </w:pPr>
      <w:r w:rsidRPr="002F61B4">
        <w:t>The Supplier shall ensure, at its cost and expense, that any PSN Services that it supplies, or are supplied by others, pursuant to this Call-Off Agreement:</w:t>
      </w:r>
    </w:p>
    <w:p w:rsidR="00EA2BA5" w:rsidRDefault="00EA2BA5" w:rsidP="002F61B4">
      <w:pPr>
        <w:ind w:left="698" w:firstLine="22"/>
      </w:pPr>
      <w:r>
        <w:t xml:space="preserve">S9-1.2.1  </w:t>
      </w:r>
      <w:r w:rsidRPr="005E09A5">
        <w:t>shall have been awarded and retain at all tim</w:t>
      </w:r>
      <w:r>
        <w:t>es a PSN Compliance Certificate;</w:t>
      </w:r>
    </w:p>
    <w:p w:rsidR="00EA2BA5" w:rsidRDefault="00EA2BA5" w:rsidP="002F61B4">
      <w:pPr>
        <w:ind w:left="720"/>
      </w:pPr>
      <w:r>
        <w:t xml:space="preserve">S9-1.2.2 </w:t>
      </w:r>
      <w:r w:rsidRPr="003E00EC">
        <w:t xml:space="preserve">are, and remain throughout the </w:t>
      </w:r>
      <w:r w:rsidRPr="00D03934">
        <w:t xml:space="preserve">Call Off </w:t>
      </w:r>
      <w:r>
        <w:t xml:space="preserve">Agreement </w:t>
      </w:r>
      <w:r w:rsidRPr="00D03934">
        <w:t>Period</w:t>
      </w:r>
      <w:r w:rsidRPr="003E00EC">
        <w:t>, PSN Compliant;</w:t>
      </w:r>
    </w:p>
    <w:p w:rsidR="00EA2BA5" w:rsidRDefault="00EA2BA5" w:rsidP="002F61B4">
      <w:pPr>
        <w:ind w:left="720"/>
      </w:pPr>
      <w:r>
        <w:t xml:space="preserve">S9-1.2.3 </w:t>
      </w:r>
      <w:r w:rsidRPr="00DD2DD7">
        <w:t>are delivered in accordance with the applicable Code</w:t>
      </w:r>
      <w:r>
        <w:t xml:space="preserve"> of Practice.</w:t>
      </w:r>
    </w:p>
    <w:p w:rsidR="00EA2BA5" w:rsidRPr="003E00EC" w:rsidRDefault="00EA2BA5" w:rsidP="00302945">
      <w:pPr>
        <w:pStyle w:val="GPSL3numberedclause"/>
        <w:numPr>
          <w:ilvl w:val="0"/>
          <w:numId w:val="0"/>
        </w:numPr>
        <w:tabs>
          <w:tab w:val="clear" w:pos="2127"/>
          <w:tab w:val="left" w:pos="1134"/>
        </w:tabs>
        <w:spacing w:before="0" w:line="276" w:lineRule="auto"/>
        <w:ind w:left="1985"/>
        <w:jc w:val="left"/>
      </w:pPr>
    </w:p>
    <w:p w:rsidR="00EA2BA5" w:rsidRPr="002F61B4" w:rsidRDefault="00EA2BA5" w:rsidP="002F61B4">
      <w:pPr>
        <w:pStyle w:val="SClauseL1Content"/>
        <w:ind w:left="709" w:hanging="709"/>
        <w:jc w:val="both"/>
        <w:rPr>
          <w:rStyle w:val="ClauseTitle"/>
        </w:rPr>
      </w:pPr>
      <w:r w:rsidRPr="002F61B4">
        <w:rPr>
          <w:rStyle w:val="ClauseTitle"/>
        </w:rPr>
        <w:tab/>
      </w:r>
      <w:bookmarkStart w:id="51" w:name="_Toc367892819"/>
      <w:bookmarkStart w:id="52" w:name="_Toc367893082"/>
      <w:bookmarkStart w:id="53" w:name="_Toc367948797"/>
      <w:bookmarkStart w:id="54" w:name="_Toc367959229"/>
      <w:bookmarkStart w:id="55" w:name="_Toc379197391"/>
      <w:r w:rsidRPr="002F61B4">
        <w:rPr>
          <w:rStyle w:val="ClauseTitle"/>
        </w:rPr>
        <w:t>ROLE OF THE PSN AUTHORITY</w:t>
      </w:r>
      <w:bookmarkEnd w:id="51"/>
      <w:bookmarkEnd w:id="52"/>
      <w:bookmarkEnd w:id="53"/>
      <w:bookmarkEnd w:id="54"/>
      <w:bookmarkEnd w:id="55"/>
    </w:p>
    <w:p w:rsidR="00EA2BA5" w:rsidRDefault="00EA2BA5" w:rsidP="002F61B4">
      <w:pPr>
        <w:pStyle w:val="SClauseL2"/>
        <w:ind w:left="1560" w:hanging="862"/>
        <w:jc w:val="both"/>
      </w:pPr>
      <w:r w:rsidRPr="00D611C1">
        <w:t>The Supplier warrants and undertakes that it shall, where specifically requested in writing by the PSN Authority acting on advice from the Infrastructure SIRO, immediately disconnect its G-</w:t>
      </w:r>
      <w:r>
        <w:t>C</w:t>
      </w:r>
      <w:r w:rsidRPr="00D611C1">
        <w:t>loud Services from the PSN in such a way as the PSN Authority instructs where there is an event affecting national security, or the security of the PSN.</w:t>
      </w:r>
    </w:p>
    <w:p w:rsidR="00EA2BA5" w:rsidRDefault="00EA2BA5" w:rsidP="002F61B4">
      <w:pPr>
        <w:pStyle w:val="SClauseL2"/>
        <w:ind w:left="1560" w:hanging="862"/>
        <w:jc w:val="both"/>
      </w:pPr>
      <w:r w:rsidRPr="00D611C1">
        <w:t>The Supplier acknowledges and agrees that the PSN Authority shall not be liable to it or any other party for any claims, proceedings, actions, damages, costs, expenses and any other liabilities of any kind which may arise out of, or in consequence of any notification pursuant to paragraph 2.1 above.</w:t>
      </w:r>
    </w:p>
    <w:p w:rsidR="00EA2BA5" w:rsidRDefault="00EA2BA5" w:rsidP="002F61B4">
      <w:pPr>
        <w:pStyle w:val="SClauseL2"/>
        <w:ind w:left="1560" w:hanging="862"/>
        <w:jc w:val="both"/>
      </w:pPr>
      <w:r w:rsidRPr="00D611C1">
        <w:t>The Supplier acknowledges and agree that the terms of this Schedule are for the benefit of and may be enforced by the PSN Authority, notwithstanding the fact that the PSN Authority is not a party to this agreement, pursuant to the Contracts (Rights of Third Parties) Act 1999.</w:t>
      </w:r>
    </w:p>
    <w:p w:rsidR="00EA2BA5" w:rsidRDefault="00EA2BA5" w:rsidP="00302945">
      <w:pPr>
        <w:pStyle w:val="GPSL2numberedclause"/>
        <w:tabs>
          <w:tab w:val="clear" w:pos="360"/>
          <w:tab w:val="left" w:pos="1985"/>
        </w:tabs>
        <w:spacing w:before="0" w:line="276" w:lineRule="auto"/>
        <w:ind w:left="0" w:firstLine="0"/>
        <w:jc w:val="left"/>
      </w:pPr>
    </w:p>
    <w:tbl>
      <w:tblPr>
        <w:tblW w:w="8647" w:type="dxa"/>
        <w:jc w:val="center"/>
        <w:tblLook w:val="0000"/>
      </w:tblPr>
      <w:tblGrid>
        <w:gridCol w:w="2127"/>
        <w:gridCol w:w="6520"/>
      </w:tblGrid>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Code of Practice</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the obligations and requirements for Service Providers wanting to participate in the PSN together with all documents annexed to it and referenced within it, as set out in the Code Template;</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Code Template</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a template which sets out the governance, technical, security  and other conditions against which PSN Compliance is verified, as published from time to time by the PSN Authority;</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Infrastructure SIRO</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The person who is accountable to the Cabinet Office for Information Assurance and risk management of the Public Services Network;</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 Compliance Certificate</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the certificate awarded to the individual customer environments,  communications components and PSN Services that make up the PSN;</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 Compliant</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a state describing ongoing adherence to the rules, conditions, and obligations identified in a signed Code of Practice;</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 Operating Model</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 xml:space="preserve">the document produced and maintained by the PSN Authority which contains information relating to the PSN including the PSN Compliance Conditions, the PSN Environment and the PSN Security Model, and which shall be subject to change from time to time by the PSN Authority. </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 Service Provider</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 xml:space="preserve">an organisation that is supplying or is approved to supply PSN Services in accordance with a Code of Practice; </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 Service</w:t>
            </w:r>
            <w:r w:rsidRPr="00785D74">
              <w:rPr>
                <w:szCs w:val="20"/>
              </w:rPr>
              <w:t>” or “</w:t>
            </w:r>
            <w:r w:rsidRPr="00785D74">
              <w:rPr>
                <w:b/>
                <w:szCs w:val="20"/>
              </w:rPr>
              <w:t>PSN Services</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a service which is offered by a PSN Service Provider and for which a PSN Compliance Certificate has been awarded by the PSN Authority;</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w:t>
            </w:r>
            <w:r w:rsidRPr="00785D74">
              <w:rPr>
                <w:b/>
                <w:szCs w:val="20"/>
              </w:rPr>
              <w:t>PSN</w:t>
            </w:r>
            <w:r w:rsidRPr="00785D74">
              <w:rPr>
                <w:szCs w:val="20"/>
              </w:rPr>
              <w:t>” or “</w:t>
            </w:r>
            <w:r w:rsidRPr="00785D74">
              <w:rPr>
                <w:b/>
                <w:szCs w:val="20"/>
              </w:rPr>
              <w:t>Public Services Network</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the network of networks delivered through multiple service providers, as further detailed in the PSN Operating Model;</w:t>
            </w:r>
          </w:p>
        </w:tc>
      </w:tr>
      <w:tr w:rsidR="00EA2BA5" w:rsidRPr="00785D74" w:rsidTr="00E94993">
        <w:trPr>
          <w:jc w:val="center"/>
        </w:trPr>
        <w:tc>
          <w:tcPr>
            <w:tcW w:w="2127"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 xml:space="preserve"> “</w:t>
            </w:r>
            <w:r w:rsidRPr="00785D74">
              <w:rPr>
                <w:b/>
                <w:szCs w:val="20"/>
              </w:rPr>
              <w:t>PSN Authority</w:t>
            </w:r>
            <w:r w:rsidRPr="00785D74">
              <w:rPr>
                <w:szCs w:val="20"/>
              </w:rPr>
              <w:t>”</w:t>
            </w:r>
          </w:p>
        </w:tc>
        <w:tc>
          <w:tcPr>
            <w:tcW w:w="6520" w:type="dxa"/>
            <w:tcBorders>
              <w:top w:val="single" w:sz="4" w:space="0" w:color="auto"/>
              <w:left w:val="single" w:sz="4" w:space="0" w:color="auto"/>
              <w:bottom w:val="single" w:sz="4" w:space="0" w:color="auto"/>
              <w:right w:val="single" w:sz="4" w:space="0" w:color="auto"/>
            </w:tcBorders>
          </w:tcPr>
          <w:p w:rsidR="00EA2BA5" w:rsidRPr="00785D74" w:rsidRDefault="00EA2BA5" w:rsidP="00302945">
            <w:pPr>
              <w:ind w:left="34"/>
              <w:rPr>
                <w:szCs w:val="20"/>
              </w:rPr>
            </w:pPr>
            <w:r w:rsidRPr="00785D74">
              <w:rPr>
                <w:szCs w:val="20"/>
              </w:rPr>
              <w:t>the Government body which administers the PSN;</w:t>
            </w:r>
          </w:p>
        </w:tc>
      </w:tr>
    </w:tbl>
    <w:p w:rsidR="00EA2BA5" w:rsidRDefault="00EA2BA5" w:rsidP="0007614D">
      <w:pPr>
        <w:sectPr w:rsidR="00EA2BA5" w:rsidSect="00981FAF">
          <w:headerReference w:type="default" r:id="rId14"/>
          <w:pgSz w:w="11906" w:h="16838"/>
          <w:pgMar w:top="963" w:right="720" w:bottom="720" w:left="720" w:header="568" w:footer="708" w:gutter="0"/>
          <w:cols w:space="708"/>
          <w:docGrid w:linePitch="360"/>
        </w:sectPr>
      </w:pPr>
    </w:p>
    <w:p w:rsidR="00EA2BA5" w:rsidRDefault="00EA2BA5" w:rsidP="00037BDE">
      <w:pPr>
        <w:pStyle w:val="ScheduleTitle"/>
      </w:pPr>
      <w:bookmarkStart w:id="56" w:name="_Toc379197392"/>
      <w:r>
        <w:t>Alternative Clauses</w:t>
      </w:r>
      <w:bookmarkEnd w:id="56"/>
    </w:p>
    <w:p w:rsidR="00EA2BA5" w:rsidRDefault="00EA2BA5" w:rsidP="0007614D"/>
    <w:p w:rsidR="00EA2BA5" w:rsidRDefault="00EA2BA5" w:rsidP="002F61B4">
      <w:pPr>
        <w:pStyle w:val="SClauseL1Content"/>
        <w:jc w:val="both"/>
      </w:pPr>
      <w:r w:rsidRPr="002F61B4">
        <w:rPr>
          <w:rStyle w:val="ClauseTitle"/>
        </w:rPr>
        <w:t>INTRODUCTION</w:t>
      </w:r>
    </w:p>
    <w:p w:rsidR="00EA2BA5" w:rsidRDefault="00EA2BA5" w:rsidP="002F61B4">
      <w:pPr>
        <w:pStyle w:val="SClauseL2"/>
        <w:ind w:left="1560" w:hanging="862"/>
        <w:jc w:val="both"/>
      </w:pPr>
      <w:r>
        <w:t>This Schedule specifies the alternative Clauses applying to Scottish Contracting Bodies that may be requested in the Order Form and, if requested in the Order Form, shall apply to this Call-Off Agreement.</w:t>
      </w:r>
    </w:p>
    <w:p w:rsidR="00EA2BA5" w:rsidRPr="002F61B4" w:rsidRDefault="00EA2BA5" w:rsidP="002F61B4">
      <w:pPr>
        <w:pStyle w:val="SClauseL1Content"/>
        <w:jc w:val="both"/>
        <w:rPr>
          <w:rStyle w:val="ClauseTitle"/>
        </w:rPr>
      </w:pPr>
      <w:r w:rsidRPr="002F61B4">
        <w:rPr>
          <w:rStyle w:val="ClauseTitle"/>
        </w:rPr>
        <w:t>CLAUSES SELECTED</w:t>
      </w:r>
    </w:p>
    <w:p w:rsidR="00EA2BA5" w:rsidRDefault="00EA2BA5" w:rsidP="002F61B4">
      <w:pPr>
        <w:pStyle w:val="SClauseL2"/>
        <w:ind w:left="1560" w:hanging="862"/>
        <w:jc w:val="both"/>
      </w:pPr>
      <w:bookmarkStart w:id="57" w:name="_Ref349213618"/>
      <w:r>
        <w:t>The Customer may, in the Order Form, request the following alternative Clauses:</w:t>
      </w:r>
      <w:bookmarkEnd w:id="57"/>
    </w:p>
    <w:p w:rsidR="00EA2BA5" w:rsidRDefault="00EA2BA5" w:rsidP="002F61B4">
      <w:pPr>
        <w:pStyle w:val="SClauseL3"/>
        <w:ind w:firstLine="554"/>
        <w:jc w:val="both"/>
      </w:pPr>
      <w:r>
        <w:t>Scots Law (see paragraph S10-2.1.2 of this Schedule);</w:t>
      </w:r>
    </w:p>
    <w:p w:rsidR="00EA2BA5" w:rsidRDefault="00EA2BA5" w:rsidP="002F61B4">
      <w:pPr>
        <w:pStyle w:val="SClauseL3"/>
        <w:ind w:firstLine="554"/>
        <w:jc w:val="both"/>
      </w:pPr>
      <w:bookmarkStart w:id="58" w:name="_Ref349213545"/>
      <w:r w:rsidRPr="002F61B4">
        <w:t>SCOTS LAW</w:t>
      </w:r>
      <w:bookmarkEnd w:id="58"/>
    </w:p>
    <w:p w:rsidR="00EA2BA5" w:rsidRDefault="00EA2BA5" w:rsidP="002F61B4">
      <w:pPr>
        <w:pStyle w:val="SClauseL3"/>
        <w:numPr>
          <w:ilvl w:val="0"/>
          <w:numId w:val="0"/>
        </w:numPr>
        <w:ind w:left="2552" w:hanging="4"/>
        <w:jc w:val="both"/>
      </w:pPr>
      <w:bookmarkStart w:id="59" w:name="_Ref346018464"/>
      <w:r>
        <w:t>Law and Jurisdiction (Clause CO-18.1)</w:t>
      </w:r>
      <w:bookmarkEnd w:id="59"/>
    </w:p>
    <w:p w:rsidR="00EA2BA5" w:rsidRDefault="00EA2BA5" w:rsidP="002F61B4">
      <w:pPr>
        <w:pStyle w:val="SClauseL3"/>
        <w:numPr>
          <w:ilvl w:val="0"/>
          <w:numId w:val="0"/>
        </w:numPr>
        <w:ind w:left="2552" w:hanging="4"/>
        <w:jc w:val="both"/>
      </w:pPr>
      <w:r>
        <w:t xml:space="preserve">References to England and Wales in the original Clause CO-18.1 of this Call-Off Agreement (Law and Jurisdiction) shall be replaced with Scotland. </w:t>
      </w:r>
    </w:p>
    <w:p w:rsidR="00EA2BA5" w:rsidRDefault="00EA2BA5" w:rsidP="002F61B4">
      <w:pPr>
        <w:pStyle w:val="SClauseL3"/>
        <w:numPr>
          <w:ilvl w:val="0"/>
          <w:numId w:val="0"/>
        </w:numPr>
        <w:ind w:left="2552" w:hanging="4"/>
        <w:jc w:val="both"/>
      </w:pPr>
      <w:r>
        <w:t>Reference to England and Wales in Working Days definition within Schedule 6 shall be replaced with Scotland.</w:t>
      </w:r>
    </w:p>
    <w:p w:rsidR="00EA2BA5" w:rsidRDefault="00EA2BA5" w:rsidP="002F61B4">
      <w:pPr>
        <w:pStyle w:val="SClauseL3"/>
        <w:numPr>
          <w:ilvl w:val="0"/>
          <w:numId w:val="0"/>
        </w:numPr>
        <w:ind w:left="2552" w:hanging="4"/>
        <w:jc w:val="both"/>
      </w:pPr>
      <w:r>
        <w:t>References to the Contracts (Rights of Third Parties) Act 1999 shall be removed in Clause CO-17.1.</w:t>
      </w:r>
    </w:p>
    <w:p w:rsidR="00EA2BA5" w:rsidRDefault="00EA2BA5" w:rsidP="002F61B4">
      <w:pPr>
        <w:pStyle w:val="SClauseL3"/>
        <w:numPr>
          <w:ilvl w:val="0"/>
          <w:numId w:val="0"/>
        </w:numPr>
        <w:ind w:left="2552" w:hanging="4"/>
        <w:jc w:val="both"/>
      </w:pPr>
      <w:r>
        <w:t>Reference to the Freedom of Information Act 2000 within definition for FOIA in Schedule 6 – Definitions to be replaced with Freedom of Information (Scotland) Act 2002.</w:t>
      </w:r>
    </w:p>
    <w:p w:rsidR="00EA2BA5" w:rsidRDefault="00EA2BA5" w:rsidP="002F61B4">
      <w:pPr>
        <w:pStyle w:val="SClauseL3"/>
        <w:numPr>
          <w:ilvl w:val="0"/>
          <w:numId w:val="0"/>
        </w:numPr>
        <w:ind w:left="2552" w:hanging="4"/>
        <w:jc w:val="both"/>
      </w:pPr>
      <w:r>
        <w:t>Reference to the Supply of Goods and Services Act 1982 shall be removed in Clause CO-11.2.3.</w:t>
      </w:r>
    </w:p>
    <w:p w:rsidR="00EA2BA5" w:rsidRDefault="00EA2BA5" w:rsidP="002F61B4">
      <w:pPr>
        <w:pStyle w:val="SClauseL3"/>
        <w:numPr>
          <w:ilvl w:val="0"/>
          <w:numId w:val="0"/>
        </w:numPr>
        <w:ind w:left="2552" w:hanging="4"/>
        <w:jc w:val="both"/>
      </w:pPr>
      <w:r>
        <w:t>References to “tort” shall be replaced with “delict” throughout.</w:t>
      </w:r>
    </w:p>
    <w:p w:rsidR="00EA2BA5" w:rsidRDefault="00EA2BA5" w:rsidP="006D7182">
      <w:pPr>
        <w:pStyle w:val="SClauseL2"/>
        <w:ind w:left="1560" w:hanging="862"/>
        <w:jc w:val="both"/>
      </w:pPr>
      <w:r>
        <w:t xml:space="preserve"> The Customer may, in the Order Form, request the following alternative Clauses:</w:t>
      </w:r>
    </w:p>
    <w:p w:rsidR="00EA2BA5" w:rsidRDefault="00EA2BA5" w:rsidP="006D7182">
      <w:pPr>
        <w:pStyle w:val="SClauseL3"/>
      </w:pPr>
      <w:r>
        <w:fldChar w:fldCharType="begin"/>
      </w:r>
      <w:r>
        <w:instrText xml:space="preserve"> HYPERLINK "" \l "GotoD3" </w:instrText>
      </w:r>
      <w:r>
        <w:fldChar w:fldCharType="separate"/>
      </w:r>
      <w:r>
        <w:t>Northern Ireland Law (see paragraph S10-2.4, 2.5, 2.6, 2.7 and 2.8 of this Schedule);</w:t>
      </w:r>
    </w:p>
    <w:p w:rsidR="00EA2BA5" w:rsidRDefault="00EA2BA5">
      <w:pPr>
        <w:pStyle w:val="SClauseL2"/>
        <w:ind w:firstLine="698"/>
      </w:pPr>
      <w:r>
        <w:fldChar w:fldCharType="end"/>
      </w:r>
      <w:r>
        <w:t xml:space="preserve"> Discrimination.</w:t>
      </w:r>
    </w:p>
    <w:p w:rsidR="00EA2BA5" w:rsidRDefault="00EA2BA5" w:rsidP="000C41DE">
      <w:pPr>
        <w:pStyle w:val="SClauseL3"/>
        <w:ind w:left="2574" w:hanging="1134"/>
      </w:pPr>
      <w:r>
        <w:t>The Supplier shall comply with all applicable fair employment, equality of treatment and anti-discrimination legislation, including, in particular, the Employment (Northern Ireland) Order 2002, the Fair Employment and Treatment  (Northern Ireland) ) Order 1998, the Sex Discrimination (Northern Ireland) Order 1976 and 1988, the Employment Equality (Sexual Orientation) Regulations (Northern Ireland) 2003, the Equal Pay Act ( Northern Ireland ) 1970, the Disability Discrimination Act 1995, the Race Relations (Northern Ireland) Order 1997, the Employment Relations (Northern Ireland) Order 1999 and Employment Rights (Northern Ireland )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 The Equality Act (Sexual Orientation) Regulations (Northern Ireland) 2006, The Employment Relations (Northern Ireland) Order 2004 and The Work and Families (Northern Ireland) Order 2006; and shall use his best endeavours to ensure that in his employment policies and practices and in the delivery of the services required of the Supplier under this Call Off Agreement he has due regard to the need to promote equality of treatment and opportunity between:</w:t>
      </w:r>
    </w:p>
    <w:p w:rsidR="00EA2BA5" w:rsidRDefault="00EA2BA5" w:rsidP="000C41DE">
      <w:pPr>
        <w:ind w:left="3708" w:hanging="1134"/>
        <w:jc w:val="both"/>
        <w:rPr>
          <w:rFonts w:cs="Arial"/>
        </w:rPr>
      </w:pPr>
      <w:r>
        <w:rPr>
          <w:rFonts w:cs="Arial"/>
        </w:rPr>
        <w:t>a.         persons of different religious beliefs or political opinions;</w:t>
      </w:r>
    </w:p>
    <w:p w:rsidR="00EA2BA5" w:rsidRDefault="00EA2BA5" w:rsidP="000C41DE">
      <w:pPr>
        <w:ind w:left="3708" w:hanging="1134"/>
        <w:jc w:val="both"/>
        <w:rPr>
          <w:rFonts w:cs="Arial"/>
        </w:rPr>
      </w:pPr>
      <w:r>
        <w:rPr>
          <w:rFonts w:cs="Arial"/>
        </w:rPr>
        <w:t>b.         men and women or married and unmarried persons;</w:t>
      </w:r>
    </w:p>
    <w:p w:rsidR="00EA2BA5" w:rsidRDefault="00EA2BA5" w:rsidP="000C41DE">
      <w:pPr>
        <w:ind w:left="3708" w:hanging="1134"/>
        <w:jc w:val="both"/>
        <w:rPr>
          <w:rFonts w:cs="Arial"/>
        </w:rPr>
      </w:pPr>
      <w:r>
        <w:rPr>
          <w:rFonts w:cs="Arial"/>
        </w:rPr>
        <w:t>c.         persons with and without dependants (including women who are pregnant or on maternity leave and men on paternity leave)</w:t>
      </w:r>
    </w:p>
    <w:p w:rsidR="00EA2BA5" w:rsidRDefault="00EA2BA5" w:rsidP="000C41DE">
      <w:pPr>
        <w:ind w:left="3708" w:hanging="1134"/>
        <w:jc w:val="both"/>
        <w:rPr>
          <w:rFonts w:cs="Arial"/>
        </w:rPr>
      </w:pPr>
      <w:r>
        <w:rPr>
          <w:rFonts w:cs="Arial"/>
        </w:rPr>
        <w:t>d.         persons of different racial groups (within the meaning of the Race Relations (Northern Ireland) Order 1997);</w:t>
      </w:r>
    </w:p>
    <w:p w:rsidR="00EA2BA5" w:rsidRDefault="00EA2BA5" w:rsidP="000C41DE">
      <w:pPr>
        <w:ind w:left="3708" w:hanging="1134"/>
        <w:jc w:val="both"/>
        <w:rPr>
          <w:rFonts w:cs="Arial"/>
        </w:rPr>
      </w:pPr>
      <w:r>
        <w:rPr>
          <w:rFonts w:cs="Arial"/>
        </w:rPr>
        <w:t>e.         persons with and without a disability (within the meaning of the Disability Discrimination Act 1995);</w:t>
      </w:r>
    </w:p>
    <w:p w:rsidR="00EA2BA5" w:rsidRDefault="00EA2BA5" w:rsidP="000C41DE">
      <w:pPr>
        <w:ind w:left="3708" w:hanging="1134"/>
        <w:jc w:val="both"/>
        <w:rPr>
          <w:rFonts w:cs="Arial"/>
        </w:rPr>
      </w:pPr>
      <w:r>
        <w:rPr>
          <w:rFonts w:cs="Arial"/>
        </w:rPr>
        <w:t>f.          persons of different ages; and</w:t>
      </w:r>
    </w:p>
    <w:p w:rsidR="00EA2BA5" w:rsidRDefault="00EA2BA5" w:rsidP="000C41DE">
      <w:pPr>
        <w:ind w:left="3708" w:hanging="1134"/>
        <w:jc w:val="both"/>
        <w:rPr>
          <w:rFonts w:cs="Arial"/>
        </w:rPr>
      </w:pPr>
      <w:r>
        <w:rPr>
          <w:rFonts w:cs="Arial"/>
        </w:rPr>
        <w:t>g.         persons of differing sexual orientation</w:t>
      </w:r>
    </w:p>
    <w:p w:rsidR="00EA2BA5" w:rsidRDefault="00EA2BA5">
      <w:pPr>
        <w:pStyle w:val="SClauseL3"/>
        <w:ind w:left="2574" w:hanging="1134"/>
        <w:rPr>
          <w:rFonts w:cs="Arial"/>
        </w:rPr>
      </w:pPr>
      <w:r>
        <w:rPr>
          <w:rFonts w:cs="Arial"/>
        </w:rPr>
        <w:t xml:space="preserve"> </w:t>
      </w:r>
      <w:r w:rsidRPr="000C41DE">
        <w:t>The</w:t>
      </w:r>
      <w:r>
        <w:rPr>
          <w:rFonts w:cs="Arial"/>
        </w:rPr>
        <w:t xml:space="preserve"> Supplier shall take all reasonable steps to secure the observance of   Clause S10-2.3.1by all Staff. </w:t>
      </w:r>
    </w:p>
    <w:p w:rsidR="00EA2BA5" w:rsidRDefault="00EA2BA5">
      <w:pPr>
        <w:pStyle w:val="SClauseL2"/>
        <w:ind w:hanging="11"/>
      </w:pPr>
      <w:r>
        <w:t xml:space="preserve"> Equality Policies and Practices</w:t>
      </w:r>
    </w:p>
    <w:p w:rsidR="00EA2BA5" w:rsidRDefault="00EA2BA5">
      <w:pPr>
        <w:pStyle w:val="SClauseL3"/>
        <w:ind w:left="2552" w:hanging="1134"/>
        <w:rPr>
          <w:rFonts w:cs="Arial"/>
        </w:rPr>
      </w:pPr>
      <w:r>
        <w:rPr>
          <w:rFonts w:cs="Arial"/>
        </w:rPr>
        <w:t>The Supplier shall introduce and shall procure that any Sub-Contractor shall also introduce and implement an equal opportunities policy in accordance with guidance from and to the satisfaction of the Equality Commission.  The Supplier shall review such policies on a regular basis (and shall procure that its Sub-Contractors do likewise) and the Customer shall be entitled to receive upon request by it a copy of any such policy.</w:t>
      </w:r>
    </w:p>
    <w:p w:rsidR="00EA2BA5" w:rsidRDefault="00EA2BA5">
      <w:pPr>
        <w:pStyle w:val="SClauseL3"/>
        <w:ind w:left="2552" w:hanging="1134"/>
        <w:rPr>
          <w:rFonts w:cs="Arial"/>
        </w:rPr>
      </w:pPr>
      <w:r>
        <w:rPr>
          <w:rFonts w:cs="Arial"/>
        </w:rPr>
        <w:t>The Supplier shall take all reasonable steps to ensure that all of its staff comply with its equal opportunities policies (referred to in clause [S10-2.3] above).  These steps shall include:</w:t>
      </w:r>
    </w:p>
    <w:p w:rsidR="00EA2BA5" w:rsidRDefault="00EA2BA5" w:rsidP="00133211">
      <w:pPr>
        <w:ind w:left="2552" w:firstLine="554"/>
        <w:jc w:val="both"/>
        <w:rPr>
          <w:rFonts w:cs="Arial"/>
        </w:rPr>
      </w:pPr>
      <w:r>
        <w:rPr>
          <w:rFonts w:cs="Arial"/>
        </w:rPr>
        <w:t>(a) the issue of written instructions to staff and other relevant persons;</w:t>
      </w:r>
    </w:p>
    <w:p w:rsidR="00EA2BA5" w:rsidRDefault="00EA2BA5" w:rsidP="00133211">
      <w:pPr>
        <w:ind w:left="2552" w:firstLine="554"/>
        <w:jc w:val="both"/>
        <w:rPr>
          <w:rFonts w:cs="Arial"/>
        </w:rPr>
      </w:pPr>
      <w:r>
        <w:rPr>
          <w:rFonts w:cs="Arial"/>
        </w:rPr>
        <w:t>(b) the appointment or designation of a senior manager with responsibility for equal opportunities;</w:t>
      </w:r>
    </w:p>
    <w:p w:rsidR="00EA2BA5" w:rsidRDefault="00EA2BA5" w:rsidP="00133211">
      <w:pPr>
        <w:ind w:left="2552" w:firstLine="554"/>
        <w:jc w:val="both"/>
        <w:rPr>
          <w:rFonts w:cs="Arial"/>
        </w:rPr>
      </w:pPr>
      <w:r>
        <w:rPr>
          <w:rFonts w:cs="Arial"/>
        </w:rPr>
        <w:t>(c) training of all staff and other relevant persons in equal opportunities and harassment matters; and</w:t>
      </w:r>
    </w:p>
    <w:p w:rsidR="00EA2BA5" w:rsidRDefault="00EA2BA5" w:rsidP="00133211">
      <w:pPr>
        <w:ind w:left="2552" w:firstLine="554"/>
        <w:jc w:val="both"/>
        <w:rPr>
          <w:rFonts w:cs="Arial"/>
        </w:rPr>
      </w:pPr>
      <w:r>
        <w:rPr>
          <w:rFonts w:cs="Arial"/>
        </w:rPr>
        <w:t>(d)the inclusion of the topic of equality as an agenda item at team, management  and staff meetings,</w:t>
      </w:r>
    </w:p>
    <w:p w:rsidR="00EA2BA5" w:rsidRDefault="00EA2BA5" w:rsidP="00133211">
      <w:pPr>
        <w:ind w:left="2552" w:firstLine="554"/>
        <w:jc w:val="both"/>
        <w:rPr>
          <w:rFonts w:cs="Arial"/>
        </w:rPr>
      </w:pPr>
      <w:r>
        <w:rPr>
          <w:rFonts w:cs="Arial"/>
        </w:rPr>
        <w:t>and the Supplier shall procure that its Sub-Contractors do likewise (in relation to their equal opportunities policies).</w:t>
      </w:r>
    </w:p>
    <w:p w:rsidR="00EA2BA5" w:rsidRDefault="00EA2BA5">
      <w:pPr>
        <w:pStyle w:val="SClauseL3"/>
        <w:ind w:firstLine="554"/>
        <w:rPr>
          <w:rFonts w:cs="Arial"/>
        </w:rPr>
      </w:pPr>
      <w:r>
        <w:rPr>
          <w:rFonts w:cs="Arial"/>
        </w:rPr>
        <w:t>In the event of:</w:t>
      </w:r>
    </w:p>
    <w:p w:rsidR="00EA2BA5" w:rsidRDefault="00EA2BA5" w:rsidP="00133211">
      <w:pPr>
        <w:ind w:left="2835" w:firstLine="45"/>
        <w:jc w:val="both"/>
        <w:rPr>
          <w:rFonts w:cs="Arial"/>
        </w:rPr>
      </w:pPr>
      <w:r>
        <w:rPr>
          <w:rFonts w:cs="Arial"/>
        </w:rPr>
        <w:t>(a) the Equality Commission notifying the Supplier of an alleged breach by it or any Sub-Contractor (or any of their shareholders and/or directors) of the Fair Employment and Treatment (Northern Ireland) Order 1998; and/or</w:t>
      </w:r>
    </w:p>
    <w:p w:rsidR="00EA2BA5" w:rsidRDefault="00EA2BA5" w:rsidP="00133211">
      <w:pPr>
        <w:ind w:left="2880"/>
        <w:jc w:val="both"/>
        <w:rPr>
          <w:rFonts w:cs="Arial"/>
        </w:rPr>
      </w:pPr>
      <w:r>
        <w:rPr>
          <w:rFonts w:cs="Arial"/>
        </w:rPr>
        <w:t xml:space="preserve">(b) any finding of unlawful discrimination (or any offence under the Legislation mentioned in clause S10-2.3 above) being made against the Supplier or its Sub-Contractors during the Term by any Industrial or Fair Employment Tribunal or Court, </w:t>
      </w:r>
    </w:p>
    <w:p w:rsidR="00EA2BA5" w:rsidRDefault="00EA2BA5" w:rsidP="00133211">
      <w:pPr>
        <w:ind w:left="2880"/>
        <w:jc w:val="both"/>
        <w:rPr>
          <w:rFonts w:cs="Arial"/>
        </w:rPr>
      </w:pPr>
      <w:r>
        <w:rPr>
          <w:rFonts w:cs="Arial"/>
        </w:rPr>
        <w:t>the Supplier shall inform the Customer as soon as reasonably practicable and shall take such steps (including the dismissal or replacement of any relevant staff or Sub-Contractor(s)) as the Customer directs and shall seek the advice of the Equality Commission in order to prevent any such offence or repetition of the unlawful discrimination as the case may be.</w:t>
      </w:r>
    </w:p>
    <w:p w:rsidR="00EA2BA5" w:rsidRDefault="00EA2BA5" w:rsidP="004E6706">
      <w:pPr>
        <w:ind w:left="720" w:firstLine="554"/>
        <w:jc w:val="both"/>
        <w:rPr>
          <w:rFonts w:cs="Arial"/>
        </w:rPr>
      </w:pPr>
    </w:p>
    <w:p w:rsidR="00EA2BA5" w:rsidRDefault="00EA2BA5" w:rsidP="00133211">
      <w:pPr>
        <w:pStyle w:val="SClauseL3"/>
        <w:ind w:left="2552" w:hanging="1134"/>
        <w:rPr>
          <w:rFonts w:cs="Arial"/>
        </w:rPr>
      </w:pPr>
      <w:r>
        <w:rPr>
          <w:rFonts w:cs="Arial"/>
        </w:rPr>
        <w:t xml:space="preserve">The Supplier shall monitor (in accordance with guidance issued by the Equality Commission) the composition of its workforce and applicants for employment and shall provide an annual report on the composition of such workforce and applicants to the Customer.  If such monitoring reveals under-representation or lack of fair participation of particular groups, the Supplier shall review the operation of its relevant policies and take affirmative/positive action where appropriate.  The Supplier shall impose on its Sub-Contractors obligations similar to those undertaken by it in this clause S10-2.4 and shall procure that those Sub-Contractors comply with such obligations. </w:t>
      </w:r>
    </w:p>
    <w:p w:rsidR="00EA2BA5" w:rsidRDefault="00EA2BA5" w:rsidP="00133211">
      <w:pPr>
        <w:pStyle w:val="SClauseL3"/>
        <w:ind w:left="2552" w:hanging="1134"/>
        <w:rPr>
          <w:rFonts w:cs="Arial"/>
        </w:rPr>
      </w:pPr>
      <w:r>
        <w:rPr>
          <w:rFonts w:cs="Arial"/>
        </w:rPr>
        <w:t>The Supplier shall provide such information as the Customer may from time to time request (including information requested to be provided by any Sub-Contractors) for the purpose of assessing the Supplier’s compliance with its obligations under clauses S10-2.4.1 to S10-2.4.5 of this Contract.</w:t>
      </w:r>
    </w:p>
    <w:p w:rsidR="00EA2BA5" w:rsidRDefault="00EA2BA5" w:rsidP="00133211">
      <w:pPr>
        <w:pStyle w:val="SClauseL2"/>
        <w:ind w:firstLine="131"/>
      </w:pPr>
      <w:r>
        <w:t xml:space="preserve">Equality </w:t>
      </w:r>
    </w:p>
    <w:p w:rsidR="00EA2BA5" w:rsidRDefault="00EA2BA5" w:rsidP="00133211">
      <w:pPr>
        <w:pStyle w:val="SClauseL3"/>
        <w:ind w:left="2552" w:hanging="1134"/>
        <w:rPr>
          <w:rFonts w:cs="Arial"/>
        </w:rPr>
      </w:pPr>
      <w:r>
        <w:rPr>
          <w:rFonts w:cs="Arial"/>
        </w:rPr>
        <w:t>The Supplier shall, and shall procure that each  Sub-contractor shall, in performing its/their obligations under this Contract (and other relevant agreements), comply with the provisions of Section 75 of the Northern Ireland Act 1998, as if they were a public authority within the meaning of that section</w:t>
      </w:r>
    </w:p>
    <w:p w:rsidR="00EA2BA5" w:rsidRDefault="00EA2BA5" w:rsidP="00133211">
      <w:pPr>
        <w:pStyle w:val="SClauseL3"/>
        <w:ind w:left="2552" w:hanging="1134"/>
        <w:rPr>
          <w:rFonts w:cs="Arial"/>
        </w:rPr>
      </w:pPr>
      <w:r>
        <w:rPr>
          <w:rFonts w:cs="Arial"/>
        </w:rPr>
        <w:t>The Supplier further acknowledges that the Customer must, in carrying out its functions, have due regard to the need to promote equality of opportunity as contemplated by the Northern Ireland Act 1998 and the Supplier shall use all reasonable endeavours to assist (and to ensure that relevant Sub-contractor assists) the Customer in relation to same.</w:t>
      </w:r>
    </w:p>
    <w:bookmarkStart w:id="60" w:name="_Toc247078870"/>
    <w:bookmarkStart w:id="61" w:name="BacktoD6"/>
    <w:p w:rsidR="00EA2BA5" w:rsidRPr="00133211" w:rsidRDefault="00EA2BA5" w:rsidP="00133211">
      <w:pPr>
        <w:pStyle w:val="SClauseL2"/>
        <w:ind w:firstLine="131"/>
      </w:pPr>
      <w:r>
        <w:fldChar w:fldCharType="begin"/>
      </w:r>
      <w:r>
        <w:instrText xml:space="preserve"> HYPERLINK "" \l "GotoD6" </w:instrText>
      </w:r>
      <w:r>
        <w:fldChar w:fldCharType="separate"/>
      </w:r>
      <w:r w:rsidRPr="00133211">
        <w:t>Health and Safety</w:t>
      </w:r>
      <w:bookmarkEnd w:id="60"/>
      <w:r>
        <w:fldChar w:fldCharType="end"/>
      </w:r>
    </w:p>
    <w:bookmarkEnd w:id="61"/>
    <w:p w:rsidR="00EA2BA5" w:rsidRDefault="00EA2BA5" w:rsidP="00133211">
      <w:pPr>
        <w:pStyle w:val="SClauseL3"/>
        <w:ind w:left="2552" w:hanging="1134"/>
      </w:pPr>
      <w:r w:rsidRPr="000C41DE">
        <w:t xml:space="preserve">The </w:t>
      </w:r>
      <w:r>
        <w:t>Supplier</w:t>
      </w:r>
      <w:r w:rsidRPr="000C41DE">
        <w:t xml:space="preserve"> shall promptly notify the </w:t>
      </w:r>
      <w:r>
        <w:t>Customer</w:t>
      </w:r>
      <w:r w:rsidRPr="000C41DE">
        <w:t xml:space="preserve"> of any health and safety hazards which may arise in connection with the performance of its obligations under the C</w:t>
      </w:r>
      <w:r>
        <w:t>all Off Agreement</w:t>
      </w:r>
      <w:r w:rsidRPr="000C41DE">
        <w:t>.</w:t>
      </w:r>
      <w:r>
        <w:t xml:space="preserve">  The Customer shall promptly notify the Supplier of any health and safety hazards which may exist or arise at the Customer premises and which may affect the Supplier in the performance of its obligations under the Call Off Agreement.</w:t>
      </w:r>
    </w:p>
    <w:p w:rsidR="00EA2BA5" w:rsidRDefault="00EA2BA5" w:rsidP="00133211">
      <w:pPr>
        <w:pStyle w:val="SClauseL3"/>
        <w:ind w:left="2552" w:hanging="1134"/>
      </w:pPr>
      <w:r>
        <w:t>While on the Customer premises, the Supplier shall comply with any health and safety measures implemented by the Customer in respect of Staff and other persons working there.</w:t>
      </w:r>
    </w:p>
    <w:p w:rsidR="00EA2BA5" w:rsidRDefault="00EA2BA5" w:rsidP="00133211">
      <w:pPr>
        <w:pStyle w:val="SClauseL3"/>
        <w:ind w:left="2552" w:hanging="1134"/>
      </w:pPr>
      <w:r>
        <w:t>The Supplier shall notify the Customer immediately in the event of any incident occurring in the performance of its obligations under the Call Off Agreement on the Customer premises where that incident causes any personal injury or damage to property which could give rise to personal injury.</w:t>
      </w:r>
    </w:p>
    <w:p w:rsidR="00EA2BA5" w:rsidRDefault="00EA2BA5" w:rsidP="00133211">
      <w:pPr>
        <w:pStyle w:val="SClauseL3"/>
        <w:ind w:left="2552" w:hanging="1134"/>
      </w:pPr>
      <w:r>
        <w:t>The Supplier shall comply with the requirements of the Health and Safety at Work (Northern Ireland) Order 1978 and any other acts, orders, regulations and codes of practice relating to health and safety, which may apply to Staff and other persons working on the Customer premises in the performance of its obligations under the Call Off Contract.</w:t>
      </w:r>
    </w:p>
    <w:p w:rsidR="00EA2BA5" w:rsidRDefault="00EA2BA5" w:rsidP="00133211">
      <w:pPr>
        <w:pStyle w:val="SClauseL3"/>
        <w:ind w:left="2552" w:hanging="1134"/>
      </w:pPr>
      <w:r>
        <w:t>The Supplier shall ensure that its health and safety policy statement (as required by the Health and Safety at Work (Northern Ireland) Order 1978) is made available to the Customer on request.</w:t>
      </w:r>
    </w:p>
    <w:p w:rsidR="00EA2BA5" w:rsidRPr="000C41DE" w:rsidRDefault="00EA2BA5" w:rsidP="00133211">
      <w:pPr>
        <w:pStyle w:val="SClauseL2"/>
        <w:ind w:firstLine="131"/>
      </w:pPr>
      <w:r>
        <w:t xml:space="preserve"> </w:t>
      </w:r>
      <w:r w:rsidRPr="000C41DE">
        <w:t xml:space="preserve">Criminal Damage </w:t>
      </w:r>
    </w:p>
    <w:p w:rsidR="00EA2BA5" w:rsidRDefault="00EA2BA5" w:rsidP="00133211">
      <w:pPr>
        <w:pStyle w:val="SClauseL3"/>
        <w:ind w:left="2552" w:hanging="1134"/>
      </w:pPr>
      <w:r>
        <w:t>The Supplier shall maintain such standards of vigilance and will take all such precautions as are advised by the Criminal Damage (Compensation) (Northern Ireland) Order 1977 ("Compensation Order") or as may from time to time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EA2BA5" w:rsidRDefault="00EA2BA5" w:rsidP="00133211">
      <w:pPr>
        <w:pStyle w:val="SClauseL3"/>
        <w:ind w:left="2552" w:hanging="1134"/>
      </w:pPr>
      <w:r>
        <w:t>If during the Term any Assets (or any part thereof) is or are damaged or destroyed by any circumstance giving rise to a claim for compensation pursuant to the provisions of the Compensation Order ("CDO Event") the following provisions of this clause S10-2.7 shall apply.</w:t>
      </w:r>
    </w:p>
    <w:p w:rsidR="00EA2BA5" w:rsidRDefault="00EA2BA5" w:rsidP="00133211">
      <w:pPr>
        <w:pStyle w:val="SClauseL3"/>
        <w:ind w:left="2552" w:hanging="1134"/>
      </w:pPr>
      <w:r>
        <w:t>The Supplier shall make (or shall procure that the appropriate organisation make) all appropriate claims under the Compensation Order as soon as practicable after the CDO Event and shall pursue any such claim diligently and at its cost.  If appropriate, the Customer shall also make and pursue a claim diligently under the Compensation Order.  Any appeal against a refusal to meet any claim or against the amount of the award will be at the cost of the Customer and the Supplier shall (at no additional cost to the Customer) provide such assistance as the Customer reasonably requires with such appeal.</w:t>
      </w:r>
    </w:p>
    <w:p w:rsidR="00EA2BA5" w:rsidRDefault="00EA2BA5" w:rsidP="00133211">
      <w:pPr>
        <w:pStyle w:val="SClauseL3"/>
        <w:ind w:left="2552" w:hanging="1134"/>
      </w:pPr>
      <w:r>
        <w:t>The Supplier will apply any compensation paid under the Compensation Order in respect of damage to the relevant Assets towards the repair, reinstatement or replacement of the Assets affected.</w:t>
      </w:r>
    </w:p>
    <w:p w:rsidR="00EA2BA5" w:rsidRDefault="00EA2BA5">
      <w:pPr>
        <w:pStyle w:val="SClauseL3"/>
        <w:numPr>
          <w:ilvl w:val="0"/>
          <w:numId w:val="0"/>
        </w:numPr>
        <w:ind w:left="864"/>
      </w:pPr>
    </w:p>
    <w:p w:rsidR="00EA2BA5" w:rsidRDefault="00EA2BA5" w:rsidP="000C41DE">
      <w:pPr>
        <w:pStyle w:val="SClauseL3"/>
        <w:numPr>
          <w:ilvl w:val="0"/>
          <w:numId w:val="0"/>
        </w:numPr>
        <w:ind w:left="864"/>
      </w:pPr>
    </w:p>
    <w:sectPr w:rsidR="00EA2BA5" w:rsidSect="00981FAF">
      <w:headerReference w:type="default" r:id="rId15"/>
      <w:pgSz w:w="11906" w:h="16838"/>
      <w:pgMar w:top="963" w:right="720" w:bottom="720" w:left="72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A5" w:rsidRDefault="00EA2BA5" w:rsidP="00E47E04">
      <w:pPr>
        <w:spacing w:after="0" w:line="240" w:lineRule="auto"/>
      </w:pPr>
      <w:r>
        <w:separator/>
      </w:r>
    </w:p>
  </w:endnote>
  <w:endnote w:type="continuationSeparator" w:id="0">
    <w:p w:rsidR="00EA2BA5" w:rsidRDefault="00EA2BA5" w:rsidP="00E47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Zhongsong">
    <w:altName w:val="MS Mincho"/>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A5" w:rsidRDefault="00EA2BA5" w:rsidP="00E47E04">
      <w:pPr>
        <w:spacing w:after="0" w:line="240" w:lineRule="auto"/>
      </w:pPr>
      <w:r>
        <w:separator/>
      </w:r>
    </w:p>
  </w:footnote>
  <w:footnote w:type="continuationSeparator" w:id="0">
    <w:p w:rsidR="00EA2BA5" w:rsidRDefault="00EA2BA5" w:rsidP="00E47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ab/>
    </w:r>
    <w:r>
      <w:tab/>
      <w:t>G-Cloud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3</w:t>
    </w:r>
    <w:r>
      <w:tab/>
    </w:r>
    <w:r>
      <w:tab/>
      <w:t>G-Cloud iv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4</w:t>
    </w:r>
    <w:r>
      <w:tab/>
    </w:r>
    <w:r>
      <w:tab/>
      <w:t>G-Cloud iv</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5</w:t>
    </w:r>
    <w:r>
      <w:tab/>
    </w:r>
    <w:r>
      <w:tab/>
      <w:t>G-Cloud iv</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6</w:t>
    </w:r>
    <w:r>
      <w:tab/>
    </w:r>
    <w:r>
      <w:tab/>
      <w:t>G-Cloud 5</w:t>
    </w:r>
  </w:p>
  <w:p w:rsidR="00EA2BA5" w:rsidRDefault="00EA2BA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7</w:t>
    </w:r>
    <w:r>
      <w:tab/>
    </w:r>
    <w:r>
      <w:tab/>
      <w:t>G-Cloud 5</w:t>
    </w:r>
  </w:p>
  <w:p w:rsidR="00EA2BA5" w:rsidRDefault="00EA2BA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8</w:t>
    </w:r>
    <w:r>
      <w:tab/>
    </w:r>
    <w:r>
      <w:tab/>
      <w:t>G-Cloud 5</w:t>
    </w:r>
  </w:p>
  <w:p w:rsidR="00EA2BA5" w:rsidRDefault="00EA2BA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9</w:t>
    </w:r>
    <w:r>
      <w:tab/>
    </w:r>
    <w:r>
      <w:tab/>
      <w:t>G-Cloud 5</w:t>
    </w:r>
  </w:p>
  <w:p w:rsidR="00EA2BA5" w:rsidRDefault="00EA2BA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A5" w:rsidRDefault="00EA2BA5" w:rsidP="00785D74">
    <w:pPr>
      <w:pStyle w:val="Header"/>
      <w:pBdr>
        <w:bottom w:val="single" w:sz="4" w:space="1" w:color="auto"/>
      </w:pBdr>
      <w:tabs>
        <w:tab w:val="clear" w:pos="4513"/>
        <w:tab w:val="clear" w:pos="9026"/>
        <w:tab w:val="center" w:pos="5233"/>
        <w:tab w:val="right" w:pos="10466"/>
      </w:tabs>
    </w:pPr>
    <w:r>
      <w:t>FRAMEWORK AGREEMENT: Schedule 10</w:t>
    </w:r>
    <w:r>
      <w:tab/>
    </w:r>
    <w:r>
      <w:tab/>
      <w:t>G-Cloud 5</w:t>
    </w:r>
  </w:p>
  <w:p w:rsidR="00EA2BA5" w:rsidRDefault="00EA2B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1FECD04"/>
    <w:lvl w:ilvl="0">
      <w:start w:val="1"/>
      <w:numFmt w:val="decimal"/>
      <w:lvlRestart w:val="0"/>
      <w:lvlText w:val="%1."/>
      <w:lvlJc w:val="left"/>
      <w:pPr>
        <w:tabs>
          <w:tab w:val="num" w:pos="0"/>
        </w:tabs>
        <w:ind w:left="720" w:hanging="720"/>
      </w:pPr>
      <w:rPr>
        <w:rFonts w:cs="Times New Roman" w:hint="default"/>
        <w:effect w:val="none"/>
      </w:rPr>
    </w:lvl>
    <w:lvl w:ilvl="1">
      <w:start w:val="1"/>
      <w:numFmt w:val="decimal"/>
      <w:lvlText w:val="%1.%2"/>
      <w:lvlJc w:val="left"/>
      <w:pPr>
        <w:tabs>
          <w:tab w:val="num" w:pos="0"/>
        </w:tabs>
        <w:ind w:left="1440" w:hanging="720"/>
      </w:pPr>
      <w:rPr>
        <w:rFonts w:cs="Times New Roman" w:hint="default"/>
        <w:effect w:val="none"/>
      </w:rPr>
    </w:lvl>
    <w:lvl w:ilvl="2">
      <w:start w:val="1"/>
      <w:numFmt w:val="decimal"/>
      <w:lvlText w:val="%1.%2.%3"/>
      <w:lvlJc w:val="left"/>
      <w:pPr>
        <w:tabs>
          <w:tab w:val="num" w:pos="-589"/>
        </w:tabs>
        <w:ind w:left="1571" w:hanging="720"/>
      </w:pPr>
      <w:rPr>
        <w:rFonts w:cs="Times New Roman" w:hint="default"/>
        <w:effect w:val="none"/>
      </w:rPr>
    </w:lvl>
    <w:lvl w:ilvl="3">
      <w:start w:val="1"/>
      <w:numFmt w:val="decimal"/>
      <w:lvlText w:val="%1.%2.%3.%4"/>
      <w:lvlJc w:val="left"/>
      <w:pPr>
        <w:tabs>
          <w:tab w:val="num" w:pos="0"/>
        </w:tabs>
        <w:ind w:left="2880" w:hanging="720"/>
      </w:pPr>
      <w:rPr>
        <w:rFonts w:cs="Times New Roman" w:hint="default"/>
        <w:effect w:val="none"/>
      </w:rPr>
    </w:lvl>
    <w:lvl w:ilvl="4">
      <w:start w:val="1"/>
      <w:numFmt w:val="lowerLetter"/>
      <w:lvlText w:val="(%5)"/>
      <w:lvlJc w:val="left"/>
      <w:pPr>
        <w:tabs>
          <w:tab w:val="num" w:pos="0"/>
        </w:tabs>
        <w:ind w:left="3600" w:hanging="720"/>
      </w:pPr>
      <w:rPr>
        <w:rFonts w:cs="Times New Roman" w:hint="default"/>
        <w:effect w:val="none"/>
      </w:rPr>
    </w:lvl>
    <w:lvl w:ilvl="5">
      <w:start w:val="1"/>
      <w:numFmt w:val="lowerRoman"/>
      <w:lvlText w:val="(%6)"/>
      <w:lvlJc w:val="left"/>
      <w:pPr>
        <w:tabs>
          <w:tab w:val="num" w:pos="0"/>
        </w:tabs>
        <w:ind w:left="4320" w:hanging="720"/>
      </w:pPr>
      <w:rPr>
        <w:rFonts w:cs="Times New Roman" w:hint="default"/>
        <w:effect w:val="none"/>
      </w:rPr>
    </w:lvl>
    <w:lvl w:ilvl="6">
      <w:start w:val="1"/>
      <w:numFmt w:val="decimal"/>
      <w:lvlText w:val="(%7)"/>
      <w:lvlJc w:val="left"/>
      <w:pPr>
        <w:tabs>
          <w:tab w:val="num" w:pos="0"/>
        </w:tabs>
        <w:ind w:left="5040" w:hanging="720"/>
      </w:pPr>
      <w:rPr>
        <w:rFonts w:cs="Times New Roman" w:hint="default"/>
        <w:effect w:val="none"/>
      </w:rPr>
    </w:lvl>
    <w:lvl w:ilvl="7">
      <w:start w:val="1"/>
      <w:numFmt w:val="none"/>
      <w:lvlText w:val=""/>
      <w:lvlJc w:val="left"/>
      <w:pPr>
        <w:tabs>
          <w:tab w:val="num" w:pos="0"/>
        </w:tabs>
        <w:ind w:left="5760" w:hanging="5760"/>
      </w:pPr>
      <w:rPr>
        <w:rFonts w:cs="Times New Roman" w:hint="default"/>
        <w:effect w:val="none"/>
      </w:rPr>
    </w:lvl>
    <w:lvl w:ilvl="8">
      <w:start w:val="1"/>
      <w:numFmt w:val="none"/>
      <w:lvlText w:val=""/>
      <w:lvlJc w:val="left"/>
      <w:pPr>
        <w:tabs>
          <w:tab w:val="num" w:pos="0"/>
        </w:tabs>
        <w:ind w:left="6480" w:hanging="6480"/>
      </w:pPr>
      <w:rPr>
        <w:rFonts w:cs="Times New Roman" w:hint="default"/>
        <w:effect w:val="none"/>
      </w:rPr>
    </w:lvl>
  </w:abstractNum>
  <w:abstractNum w:abstractNumId="1">
    <w:nsid w:val="020E1342"/>
    <w:multiLevelType w:val="multilevel"/>
    <w:tmpl w:val="B3DA650C"/>
    <w:lvl w:ilvl="0">
      <w:start w:val="1"/>
      <w:numFmt w:val="decimal"/>
      <w:pStyle w:val="COClauseL1"/>
      <w:lvlText w:val="CO-%1"/>
      <w:lvlJc w:val="left"/>
      <w:pPr>
        <w:ind w:left="360" w:hanging="360"/>
      </w:pPr>
      <w:rPr>
        <w:rFonts w:cs="Times New Roman" w:hint="default"/>
      </w:rPr>
    </w:lvl>
    <w:lvl w:ilvl="1">
      <w:start w:val="1"/>
      <w:numFmt w:val="decimal"/>
      <w:pStyle w:val="COClauseL2"/>
      <w:lvlText w:val="CO-%1.%2"/>
      <w:lvlJc w:val="left"/>
      <w:pPr>
        <w:ind w:left="357"/>
      </w:pPr>
      <w:rPr>
        <w:rFonts w:cs="Times New Roman" w:hint="default"/>
      </w:rPr>
    </w:lvl>
    <w:lvl w:ilvl="2">
      <w:start w:val="1"/>
      <w:numFmt w:val="decimal"/>
      <w:pStyle w:val="COClauseL3"/>
      <w:lvlText w:val="CO-%1.%2.%3"/>
      <w:lvlJc w:val="left"/>
      <w:pPr>
        <w:ind w:left="2160" w:hanging="180"/>
      </w:pPr>
      <w:rPr>
        <w:rFonts w:cs="Times New Roman" w:hint="default"/>
      </w:rPr>
    </w:lvl>
    <w:lvl w:ilvl="3">
      <w:start w:val="1"/>
      <w:numFmt w:val="decimal"/>
      <w:pStyle w:val="COClauseL4"/>
      <w:lvlText w:val="CO-%1.%2.%3.%4"/>
      <w:lvlJc w:val="left"/>
      <w:pPr>
        <w:ind w:left="2880" w:hanging="360"/>
      </w:pPr>
      <w:rPr>
        <w:rFonts w:cs="Times New Roman" w:hint="default"/>
      </w:rPr>
    </w:lvl>
    <w:lvl w:ilvl="4">
      <w:start w:val="1"/>
      <w:numFmt w:val="decimal"/>
      <w:lvlText w:val="CO-%1.%2.%3.%4.%5"/>
      <w:lvlJc w:val="left"/>
      <w:pPr>
        <w:ind w:left="3600" w:hanging="360"/>
      </w:pPr>
      <w:rPr>
        <w:rFonts w:cs="Times New Roman" w:hint="default"/>
      </w:rPr>
    </w:lvl>
    <w:lvl w:ilvl="5">
      <w:start w:val="1"/>
      <w:numFmt w:val="decimal"/>
      <w:lvlText w:val="CO- %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2">
    <w:nsid w:val="025F1651"/>
    <w:multiLevelType w:val="hybridMultilevel"/>
    <w:tmpl w:val="ABA2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23183"/>
    <w:multiLevelType w:val="hybridMultilevel"/>
    <w:tmpl w:val="E65E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65EE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82470EF"/>
    <w:multiLevelType w:val="hybridMultilevel"/>
    <w:tmpl w:val="FE0CC5AA"/>
    <w:lvl w:ilvl="0" w:tplc="AD60BE68">
      <w:start w:val="1"/>
      <w:numFmt w:val="decimal"/>
      <w:pStyle w:val="Recitals"/>
      <w:lvlText w:val="(%1)"/>
      <w:lvlJc w:val="left"/>
      <w:pPr>
        <w:ind w:left="109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7">
    <w:nsid w:val="13DD33BC"/>
    <w:multiLevelType w:val="hybridMultilevel"/>
    <w:tmpl w:val="89E6E376"/>
    <w:lvl w:ilvl="0" w:tplc="12406816">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1EA6"/>
    <w:multiLevelType w:val="hybridMultilevel"/>
    <w:tmpl w:val="F2EE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F8462C"/>
    <w:multiLevelType w:val="hybridMultilevel"/>
    <w:tmpl w:val="10143804"/>
    <w:lvl w:ilvl="0" w:tplc="1DF82502">
      <w:start w:val="1"/>
      <w:numFmt w:val="lowerLetter"/>
      <w:lvlText w:val="%1)"/>
      <w:lvlJc w:val="left"/>
      <w:pPr>
        <w:ind w:left="420" w:hanging="360"/>
      </w:pPr>
      <w:rPr>
        <w:rFonts w:cs="Times New Roman" w:hint="default"/>
      </w:rPr>
    </w:lvl>
    <w:lvl w:ilvl="1" w:tplc="2D020A5A" w:tentative="1">
      <w:start w:val="1"/>
      <w:numFmt w:val="lowerLetter"/>
      <w:lvlText w:val="%2."/>
      <w:lvlJc w:val="left"/>
      <w:pPr>
        <w:ind w:left="1140" w:hanging="360"/>
      </w:pPr>
      <w:rPr>
        <w:rFonts w:cs="Times New Roman"/>
      </w:rPr>
    </w:lvl>
    <w:lvl w:ilvl="2" w:tplc="5EE2A086" w:tentative="1">
      <w:start w:val="1"/>
      <w:numFmt w:val="lowerRoman"/>
      <w:lvlText w:val="%3."/>
      <w:lvlJc w:val="right"/>
      <w:pPr>
        <w:ind w:left="1860" w:hanging="180"/>
      </w:pPr>
      <w:rPr>
        <w:rFonts w:cs="Times New Roman"/>
      </w:rPr>
    </w:lvl>
    <w:lvl w:ilvl="3" w:tplc="B1D27A48" w:tentative="1">
      <w:start w:val="1"/>
      <w:numFmt w:val="decimal"/>
      <w:lvlText w:val="%4."/>
      <w:lvlJc w:val="left"/>
      <w:pPr>
        <w:ind w:left="2580" w:hanging="360"/>
      </w:pPr>
      <w:rPr>
        <w:rFonts w:cs="Times New Roman"/>
      </w:rPr>
    </w:lvl>
    <w:lvl w:ilvl="4" w:tplc="97E82FEA" w:tentative="1">
      <w:start w:val="1"/>
      <w:numFmt w:val="lowerLetter"/>
      <w:lvlText w:val="%5."/>
      <w:lvlJc w:val="left"/>
      <w:pPr>
        <w:ind w:left="3300" w:hanging="360"/>
      </w:pPr>
      <w:rPr>
        <w:rFonts w:cs="Times New Roman"/>
      </w:rPr>
    </w:lvl>
    <w:lvl w:ilvl="5" w:tplc="900A5782" w:tentative="1">
      <w:start w:val="1"/>
      <w:numFmt w:val="lowerRoman"/>
      <w:lvlText w:val="%6."/>
      <w:lvlJc w:val="right"/>
      <w:pPr>
        <w:ind w:left="4020" w:hanging="180"/>
      </w:pPr>
      <w:rPr>
        <w:rFonts w:cs="Times New Roman"/>
      </w:rPr>
    </w:lvl>
    <w:lvl w:ilvl="6" w:tplc="676064BE" w:tentative="1">
      <w:start w:val="1"/>
      <w:numFmt w:val="decimal"/>
      <w:lvlText w:val="%7."/>
      <w:lvlJc w:val="left"/>
      <w:pPr>
        <w:ind w:left="4740" w:hanging="360"/>
      </w:pPr>
      <w:rPr>
        <w:rFonts w:cs="Times New Roman"/>
      </w:rPr>
    </w:lvl>
    <w:lvl w:ilvl="7" w:tplc="4956DFF6" w:tentative="1">
      <w:start w:val="1"/>
      <w:numFmt w:val="lowerLetter"/>
      <w:lvlText w:val="%8."/>
      <w:lvlJc w:val="left"/>
      <w:pPr>
        <w:ind w:left="5460" w:hanging="360"/>
      </w:pPr>
      <w:rPr>
        <w:rFonts w:cs="Times New Roman"/>
      </w:rPr>
    </w:lvl>
    <w:lvl w:ilvl="8" w:tplc="75BC104A" w:tentative="1">
      <w:start w:val="1"/>
      <w:numFmt w:val="lowerRoman"/>
      <w:lvlText w:val="%9."/>
      <w:lvlJc w:val="right"/>
      <w:pPr>
        <w:ind w:left="6180" w:hanging="180"/>
      </w:pPr>
      <w:rPr>
        <w:rFonts w:cs="Times New Roman"/>
      </w:rPr>
    </w:lvl>
  </w:abstractNum>
  <w:abstractNum w:abstractNumId="10">
    <w:nsid w:val="1DC37F6B"/>
    <w:multiLevelType w:val="hybridMultilevel"/>
    <w:tmpl w:val="F552DDE6"/>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F4D0584"/>
    <w:multiLevelType w:val="hybridMultilevel"/>
    <w:tmpl w:val="7A64E8E4"/>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1D80FA3"/>
    <w:multiLevelType w:val="hybridMultilevel"/>
    <w:tmpl w:val="08866730"/>
    <w:lvl w:ilvl="0" w:tplc="FEB4EB90">
      <w:start w:val="7"/>
      <w:numFmt w:val="bullet"/>
      <w:lvlText w:val="-"/>
      <w:lvlJc w:val="left"/>
      <w:pPr>
        <w:ind w:left="720" w:hanging="360"/>
      </w:pPr>
      <w:rPr>
        <w:rFonts w:ascii="Arial" w:eastAsia="Times New Roman" w:hAnsi="Arial" w:hint="default"/>
      </w:rPr>
    </w:lvl>
    <w:lvl w:ilvl="1" w:tplc="78E097B6" w:tentative="1">
      <w:start w:val="1"/>
      <w:numFmt w:val="bullet"/>
      <w:lvlText w:val="o"/>
      <w:lvlJc w:val="left"/>
      <w:pPr>
        <w:ind w:left="1440" w:hanging="360"/>
      </w:pPr>
      <w:rPr>
        <w:rFonts w:ascii="Courier New" w:hAnsi="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3">
    <w:nsid w:val="21FC7BB8"/>
    <w:multiLevelType w:val="hybridMultilevel"/>
    <w:tmpl w:val="20D25CA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3E1204E"/>
    <w:multiLevelType w:val="hybridMultilevel"/>
    <w:tmpl w:val="EBE0AC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83F4447"/>
    <w:multiLevelType w:val="hybridMultilevel"/>
    <w:tmpl w:val="DBBEBBE6"/>
    <w:lvl w:ilvl="0" w:tplc="3AD8BEBC">
      <w:numFmt w:val="bullet"/>
      <w:lvlText w:val="•"/>
      <w:lvlJc w:val="left"/>
      <w:pPr>
        <w:ind w:left="469" w:hanging="435"/>
      </w:pPr>
      <w:rPr>
        <w:rFonts w:ascii="Arial" w:eastAsia="Times New Roman" w:hAnsi="Aria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nsid w:val="2AA960C8"/>
    <w:multiLevelType w:val="multilevel"/>
    <w:tmpl w:val="2BFE0220"/>
    <w:lvl w:ilvl="0">
      <w:start w:val="1"/>
      <w:numFmt w:val="decimal"/>
      <w:lvlRestart w:val="0"/>
      <w:pStyle w:val="ScheduleL1"/>
      <w:lvlText w:val="%1."/>
      <w:lvlJc w:val="left"/>
      <w:pPr>
        <w:tabs>
          <w:tab w:val="num" w:pos="720"/>
        </w:tabs>
        <w:ind w:left="720" w:hanging="720"/>
      </w:pPr>
      <w:rPr>
        <w:rFonts w:cs="Times New Roman" w:hint="default"/>
        <w:b w:val="0"/>
        <w:caps w:val="0"/>
        <w:effect w:val="none"/>
      </w:rPr>
    </w:lvl>
    <w:lvl w:ilvl="1">
      <w:start w:val="1"/>
      <w:numFmt w:val="decimal"/>
      <w:lvlText w:val="%1.%2"/>
      <w:lvlJc w:val="left"/>
      <w:pPr>
        <w:tabs>
          <w:tab w:val="num" w:pos="1287"/>
        </w:tabs>
        <w:ind w:left="1287" w:hanging="720"/>
      </w:pPr>
      <w:rPr>
        <w:rFonts w:cs="Times New Roman" w:hint="default"/>
        <w:b w:val="0"/>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3"/>
      <w:lvlText w:val="%1.%2.%3.%4"/>
      <w:lvlJc w:val="left"/>
      <w:pPr>
        <w:tabs>
          <w:tab w:val="num" w:pos="2880"/>
        </w:tabs>
        <w:ind w:left="2880" w:hanging="1080"/>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nsid w:val="2D7D46B2"/>
    <w:multiLevelType w:val="multilevel"/>
    <w:tmpl w:val="DF5692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2B15CA7"/>
    <w:multiLevelType w:val="hybridMultilevel"/>
    <w:tmpl w:val="8788EF0E"/>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4514D93"/>
    <w:multiLevelType w:val="multilevel"/>
    <w:tmpl w:val="CD5E07C8"/>
    <w:lvl w:ilvl="0">
      <w:start w:val="1"/>
      <w:numFmt w:val="decimal"/>
      <w:pStyle w:val="FWClauseL1"/>
      <w:lvlText w:val="FW-%1"/>
      <w:lvlJc w:val="left"/>
      <w:pPr>
        <w:ind w:left="360" w:hanging="360"/>
      </w:pPr>
      <w:rPr>
        <w:rFonts w:cs="Times New Roman" w:hint="default"/>
      </w:rPr>
    </w:lvl>
    <w:lvl w:ilvl="1">
      <w:start w:val="1"/>
      <w:numFmt w:val="decimal"/>
      <w:pStyle w:val="FWClauseL2"/>
      <w:lvlText w:val="FW-%1.%2"/>
      <w:lvlJc w:val="left"/>
      <w:pPr>
        <w:ind w:left="1775"/>
      </w:pPr>
      <w:rPr>
        <w:rFonts w:cs="Times New Roman" w:hint="default"/>
      </w:rPr>
    </w:lvl>
    <w:lvl w:ilvl="2">
      <w:start w:val="1"/>
      <w:numFmt w:val="decimal"/>
      <w:pStyle w:val="FWClauseL3"/>
      <w:lvlText w:val="FW-%1.%2.%3"/>
      <w:lvlJc w:val="left"/>
      <w:pPr>
        <w:ind w:left="3578" w:hanging="180"/>
      </w:pPr>
      <w:rPr>
        <w:rFonts w:cs="Times New Roman" w:hint="default"/>
      </w:rPr>
    </w:lvl>
    <w:lvl w:ilvl="3">
      <w:start w:val="1"/>
      <w:numFmt w:val="decimal"/>
      <w:pStyle w:val="FWClauseL4"/>
      <w:lvlText w:val="FW-%1.%2.%3.%4"/>
      <w:lvlJc w:val="left"/>
      <w:pPr>
        <w:ind w:left="4298" w:hanging="360"/>
      </w:pPr>
      <w:rPr>
        <w:rFonts w:cs="Times New Roman"/>
        <w:b w:val="0"/>
        <w:bCs w:val="0"/>
        <w:i w:val="0"/>
        <w:iCs w:val="0"/>
        <w:caps w:val="0"/>
        <w:smallCaps w:val="0"/>
        <w:strike w:val="0"/>
        <w:dstrike w:val="0"/>
        <w:vanish w:val="0"/>
        <w:spacing w:val="0"/>
        <w:kern w:val="0"/>
        <w:position w:val="0"/>
        <w:u w:val="none"/>
        <w:vertAlign w:val="baseline"/>
      </w:rPr>
    </w:lvl>
    <w:lvl w:ilvl="4">
      <w:start w:val="1"/>
      <w:numFmt w:val="decimal"/>
      <w:lvlText w:val="FW-%1.%2.%3.%4.%5"/>
      <w:lvlJc w:val="left"/>
      <w:pPr>
        <w:ind w:left="5018" w:hanging="360"/>
      </w:pPr>
      <w:rPr>
        <w:rFonts w:cs="Times New Roman" w:hint="default"/>
      </w:rPr>
    </w:lvl>
    <w:lvl w:ilvl="5">
      <w:start w:val="1"/>
      <w:numFmt w:val="decimal"/>
      <w:lvlText w:val="FW- %1.%2.%3.%4.%5.%6"/>
      <w:lvlJc w:val="left"/>
      <w:pPr>
        <w:ind w:left="5738" w:hanging="180"/>
      </w:pPr>
      <w:rPr>
        <w:rFonts w:cs="Times New Roman" w:hint="default"/>
      </w:rPr>
    </w:lvl>
    <w:lvl w:ilvl="6">
      <w:start w:val="1"/>
      <w:numFmt w:val="lowerLetter"/>
      <w:lvlText w:val="%7."/>
      <w:lvlJc w:val="left"/>
      <w:pPr>
        <w:ind w:left="6458" w:hanging="360"/>
      </w:pPr>
      <w:rPr>
        <w:rFonts w:cs="Times New Roman" w:hint="default"/>
      </w:rPr>
    </w:lvl>
    <w:lvl w:ilvl="7">
      <w:start w:val="1"/>
      <w:numFmt w:val="lowerRoman"/>
      <w:lvlText w:val="%8."/>
      <w:lvlJc w:val="left"/>
      <w:pPr>
        <w:ind w:left="7178" w:hanging="360"/>
      </w:pPr>
      <w:rPr>
        <w:rFonts w:cs="Times New Roman" w:hint="default"/>
      </w:rPr>
    </w:lvl>
    <w:lvl w:ilvl="8">
      <w:start w:val="1"/>
      <w:numFmt w:val="lowerRoman"/>
      <w:lvlText w:val="%9."/>
      <w:lvlJc w:val="left"/>
      <w:pPr>
        <w:ind w:left="7898" w:hanging="180"/>
      </w:pPr>
      <w:rPr>
        <w:rFonts w:cs="Times New Roman" w:hint="default"/>
      </w:rPr>
    </w:lvl>
  </w:abstractNum>
  <w:abstractNum w:abstractNumId="20">
    <w:nsid w:val="3454495E"/>
    <w:multiLevelType w:val="hybridMultilevel"/>
    <w:tmpl w:val="B546C5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nsid w:val="346E1AE5"/>
    <w:multiLevelType w:val="multilevel"/>
    <w:tmpl w:val="1026CD88"/>
    <w:lvl w:ilvl="0">
      <w:start w:val="9"/>
      <w:numFmt w:val="decimal"/>
      <w:lvlText w:val="%1"/>
      <w:lvlJc w:val="left"/>
      <w:pPr>
        <w:ind w:left="435" w:hanging="435"/>
      </w:pPr>
      <w:rPr>
        <w:rFonts w:cs="Times New Roman" w:hint="default"/>
      </w:rPr>
    </w:lvl>
    <w:lvl w:ilvl="1">
      <w:start w:val="4"/>
      <w:numFmt w:val="decimal"/>
      <w:lvlText w:val="%1.%2"/>
      <w:lvlJc w:val="left"/>
      <w:pPr>
        <w:ind w:left="1515" w:hanging="43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nsid w:val="389862B6"/>
    <w:multiLevelType w:val="hybridMultilevel"/>
    <w:tmpl w:val="5E66FEB4"/>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A765EE"/>
    <w:multiLevelType w:val="hybridMultilevel"/>
    <w:tmpl w:val="5398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BE3229"/>
    <w:multiLevelType w:val="hybridMultilevel"/>
    <w:tmpl w:val="2506CFE0"/>
    <w:lvl w:ilvl="0" w:tplc="CF98A7BC">
      <w:start w:val="1"/>
      <w:numFmt w:val="decimal"/>
      <w:lvlText w:val="Schedule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AD2133"/>
    <w:multiLevelType w:val="multilevel"/>
    <w:tmpl w:val="261C7FDA"/>
    <w:lvl w:ilvl="0">
      <w:start w:val="1"/>
      <w:numFmt w:val="decimal"/>
      <w:pStyle w:val="ScheduleTitle"/>
      <w:lvlText w:val=" Schedule %1:"/>
      <w:lvlJc w:val="left"/>
      <w:pPr>
        <w:ind w:left="432" w:hanging="432"/>
      </w:pPr>
      <w:rPr>
        <w:rFonts w:cs="Times New Roman" w:hint="default"/>
      </w:rPr>
    </w:lvl>
    <w:lvl w:ilvl="1">
      <w:start w:val="1"/>
      <w:numFmt w:val="decimal"/>
      <w:pStyle w:val="SClauseL1"/>
      <w:lvlText w:val="S%1-%2"/>
      <w:lvlJc w:val="left"/>
      <w:pPr>
        <w:ind w:left="576" w:hanging="576"/>
      </w:pPr>
      <w:rPr>
        <w:rFonts w:cs="Times New Roman" w:hint="default"/>
      </w:rPr>
    </w:lvl>
    <w:lvl w:ilvl="2">
      <w:start w:val="1"/>
      <w:numFmt w:val="decimal"/>
      <w:pStyle w:val="SClauseL2"/>
      <w:lvlText w:val="S%1-%2.%3"/>
      <w:lvlJc w:val="left"/>
      <w:pPr>
        <w:ind w:left="720" w:hanging="720"/>
      </w:pPr>
      <w:rPr>
        <w:rFonts w:cs="Times New Roman" w:hint="default"/>
      </w:rPr>
    </w:lvl>
    <w:lvl w:ilvl="3">
      <w:start w:val="1"/>
      <w:numFmt w:val="decimal"/>
      <w:pStyle w:val="SClauseL3"/>
      <w:lvlText w:val="S%1-%2.%3.%4"/>
      <w:lvlJc w:val="left"/>
      <w:pPr>
        <w:ind w:left="864" w:hanging="864"/>
      </w:pPr>
      <w:rPr>
        <w:rFonts w:cs="Times New Roman" w:hint="default"/>
      </w:rPr>
    </w:lvl>
    <w:lvl w:ilvl="4">
      <w:start w:val="1"/>
      <w:numFmt w:val="decimal"/>
      <w:pStyle w:val="SClauseL4"/>
      <w:lvlText w:val="S%1-%2.%3.%4.%5"/>
      <w:lvlJc w:val="left"/>
      <w:pPr>
        <w:ind w:left="1008" w:hanging="1008"/>
      </w:pPr>
      <w:rPr>
        <w:rFonts w:cs="Times New Roman" w:hint="default"/>
      </w:rPr>
    </w:lvl>
    <w:lvl w:ilvl="5">
      <w:start w:val="1"/>
      <w:numFmt w:val="decimal"/>
      <w:lvlText w:val="S%1-%2.%3.%4.%5.%6"/>
      <w:lvlJc w:val="left"/>
      <w:pPr>
        <w:ind w:left="1152" w:hanging="1152"/>
      </w:pPr>
      <w:rPr>
        <w:rFonts w:cs="Times New Roman" w:hint="default"/>
      </w:rPr>
    </w:lvl>
    <w:lvl w:ilvl="6">
      <w:start w:val="1"/>
      <w:numFmt w:val="lowerLetter"/>
      <w:lvlText w:val="%7."/>
      <w:lvlJc w:val="left"/>
      <w:pPr>
        <w:ind w:left="1296" w:hanging="1296"/>
      </w:pPr>
      <w:rPr>
        <w:rFonts w:cs="Times New Roman" w:hint="default"/>
      </w:rPr>
    </w:lvl>
    <w:lvl w:ilvl="7">
      <w:start w:val="1"/>
      <w:numFmt w:val="lowerRoman"/>
      <w:lvlText w:val="%8."/>
      <w:lvlJc w:val="left"/>
      <w:pPr>
        <w:ind w:left="1440" w:hanging="1440"/>
      </w:pPr>
      <w:rPr>
        <w:rFonts w:cs="Times New Roman" w:hint="default"/>
      </w:rPr>
    </w:lvl>
    <w:lvl w:ilvl="8">
      <w:start w:val="1"/>
      <w:numFmt w:val="lowerRoman"/>
      <w:lvlText w:val="%9."/>
      <w:lvlJc w:val="left"/>
      <w:pPr>
        <w:ind w:left="1584" w:hanging="1584"/>
      </w:pPr>
      <w:rPr>
        <w:rFonts w:cs="Times New Roman" w:hint="default"/>
      </w:rPr>
    </w:lvl>
  </w:abstractNum>
  <w:abstractNum w:abstractNumId="26">
    <w:nsid w:val="43C10AE7"/>
    <w:multiLevelType w:val="multilevel"/>
    <w:tmpl w:val="0220D056"/>
    <w:lvl w:ilvl="0">
      <w:start w:val="12"/>
      <w:numFmt w:val="decimal"/>
      <w:lvlText w:val="%1."/>
      <w:lvlJc w:val="left"/>
      <w:pPr>
        <w:ind w:left="360" w:hanging="360"/>
      </w:pPr>
      <w:rPr>
        <w:rFonts w:cs="Times New Roman" w:hint="default"/>
      </w:rPr>
    </w:lvl>
    <w:lvl w:ilvl="1">
      <w:start w:val="1"/>
      <w:numFmt w:val="decimal"/>
      <w:pStyle w:val="ScheduleL2"/>
      <w:isLgl/>
      <w:lvlText w:val="%1.%2"/>
      <w:lvlJc w:val="left"/>
      <w:pPr>
        <w:ind w:left="1812" w:hanging="375"/>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isLgl/>
      <w:lvlText w:val="%1.%2.%3"/>
      <w:lvlJc w:val="left"/>
      <w:pPr>
        <w:ind w:left="3594" w:hanging="720"/>
      </w:pPr>
      <w:rPr>
        <w:rFonts w:cs="Times New Roman" w:hint="default"/>
      </w:rPr>
    </w:lvl>
    <w:lvl w:ilvl="3">
      <w:start w:val="1"/>
      <w:numFmt w:val="decimal"/>
      <w:isLgl/>
      <w:lvlText w:val="%1.%2.%3.%4"/>
      <w:lvlJc w:val="left"/>
      <w:pPr>
        <w:ind w:left="5031" w:hanging="720"/>
      </w:pPr>
      <w:rPr>
        <w:rFonts w:cs="Times New Roman" w:hint="default"/>
      </w:rPr>
    </w:lvl>
    <w:lvl w:ilvl="4">
      <w:start w:val="1"/>
      <w:numFmt w:val="decimal"/>
      <w:isLgl/>
      <w:lvlText w:val="%1.%2.%3.%4.%5"/>
      <w:lvlJc w:val="left"/>
      <w:pPr>
        <w:ind w:left="6828" w:hanging="1080"/>
      </w:pPr>
      <w:rPr>
        <w:rFonts w:cs="Times New Roman" w:hint="default"/>
      </w:rPr>
    </w:lvl>
    <w:lvl w:ilvl="5">
      <w:start w:val="1"/>
      <w:numFmt w:val="decimal"/>
      <w:isLgl/>
      <w:lvlText w:val="%1.%2.%3.%4.%5.%6"/>
      <w:lvlJc w:val="left"/>
      <w:pPr>
        <w:ind w:left="8265" w:hanging="1080"/>
      </w:pPr>
      <w:rPr>
        <w:rFonts w:cs="Times New Roman" w:hint="default"/>
      </w:rPr>
    </w:lvl>
    <w:lvl w:ilvl="6">
      <w:start w:val="1"/>
      <w:numFmt w:val="decimal"/>
      <w:isLgl/>
      <w:lvlText w:val="%1.%2.%3.%4.%5.%6.%7"/>
      <w:lvlJc w:val="left"/>
      <w:pPr>
        <w:ind w:left="10062" w:hanging="1440"/>
      </w:pPr>
      <w:rPr>
        <w:rFonts w:cs="Times New Roman" w:hint="default"/>
      </w:rPr>
    </w:lvl>
    <w:lvl w:ilvl="7">
      <w:start w:val="1"/>
      <w:numFmt w:val="decimal"/>
      <w:isLgl/>
      <w:lvlText w:val="%1.%2.%3.%4.%5.%6.%7.%8"/>
      <w:lvlJc w:val="left"/>
      <w:pPr>
        <w:ind w:left="11499" w:hanging="1440"/>
      </w:pPr>
      <w:rPr>
        <w:rFonts w:cs="Times New Roman" w:hint="default"/>
      </w:rPr>
    </w:lvl>
    <w:lvl w:ilvl="8">
      <w:start w:val="1"/>
      <w:numFmt w:val="decimal"/>
      <w:isLgl/>
      <w:lvlText w:val="%1.%2.%3.%4.%5.%6.%7.%8.%9"/>
      <w:lvlJc w:val="left"/>
      <w:pPr>
        <w:ind w:left="13296" w:hanging="1800"/>
      </w:pPr>
      <w:rPr>
        <w:rFonts w:cs="Times New Roman" w:hint="default"/>
      </w:rPr>
    </w:lvl>
  </w:abstractNum>
  <w:abstractNum w:abstractNumId="27">
    <w:nsid w:val="47A41DEC"/>
    <w:multiLevelType w:val="multilevel"/>
    <w:tmpl w:val="4008E552"/>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432" w:hanging="432"/>
      </w:pPr>
      <w:rPr>
        <w:rFonts w:cs="Times New Roman" w:hint="default"/>
        <w:b w:val="0"/>
      </w:rPr>
    </w:lvl>
    <w:lvl w:ilvl="2">
      <w:start w:val="1"/>
      <w:numFmt w:val="decimal"/>
      <w:pStyle w:val="TERMSHEADING3"/>
      <w:lvlText w:val="%1.%2.%3."/>
      <w:lvlJc w:val="left"/>
      <w:pPr>
        <w:ind w:left="1072" w:hanging="504"/>
      </w:pPr>
      <w:rPr>
        <w:rFonts w:cs="Times New Roman"/>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9366AF2"/>
    <w:multiLevelType w:val="multilevel"/>
    <w:tmpl w:val="A2308158"/>
    <w:lvl w:ilvl="0">
      <w:start w:val="1"/>
      <w:numFmt w:val="decimal"/>
      <w:lvlText w:val="Schedule %1:"/>
      <w:lvlJc w:val="center"/>
      <w:pPr>
        <w:ind w:left="360" w:hanging="72"/>
      </w:pPr>
      <w:rPr>
        <w:rFonts w:cs="Times New Roman" w:hint="default"/>
      </w:rPr>
    </w:lvl>
    <w:lvl w:ilvl="1">
      <w:start w:val="1"/>
      <w:numFmt w:val="decimal"/>
      <w:lvlText w:val="S%1-%2"/>
      <w:lvlJc w:val="left"/>
      <w:pPr>
        <w:ind w:left="357"/>
      </w:pPr>
      <w:rPr>
        <w:rFonts w:cs="Times New Roman" w:hint="default"/>
      </w:rPr>
    </w:lvl>
    <w:lvl w:ilvl="2">
      <w:start w:val="1"/>
      <w:numFmt w:val="decimal"/>
      <w:lvlText w:val="S%1-%2.%3"/>
      <w:lvlJc w:val="left"/>
      <w:pPr>
        <w:ind w:left="2160" w:hanging="180"/>
      </w:pPr>
      <w:rPr>
        <w:rFonts w:cs="Times New Roman" w:hint="default"/>
      </w:rPr>
    </w:lvl>
    <w:lvl w:ilvl="3">
      <w:start w:val="1"/>
      <w:numFmt w:val="decimal"/>
      <w:lvlText w:val="S%1-%2.%3.%4"/>
      <w:lvlJc w:val="left"/>
      <w:pPr>
        <w:ind w:left="2880" w:hanging="360"/>
      </w:pPr>
      <w:rPr>
        <w:rFonts w:cs="Times New Roman" w:hint="default"/>
      </w:rPr>
    </w:lvl>
    <w:lvl w:ilvl="4">
      <w:start w:val="1"/>
      <w:numFmt w:val="decimal"/>
      <w:lvlText w:val="S%1-%2.%3.%4.%5"/>
      <w:lvlJc w:val="left"/>
      <w:pPr>
        <w:ind w:left="3600" w:hanging="360"/>
      </w:pPr>
      <w:rPr>
        <w:rFonts w:cs="Times New Roman" w:hint="default"/>
      </w:rPr>
    </w:lvl>
    <w:lvl w:ilvl="5">
      <w:start w:val="1"/>
      <w:numFmt w:val="decimal"/>
      <w:lvlText w:val="S%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29">
    <w:nsid w:val="4D39490A"/>
    <w:multiLevelType w:val="hybridMultilevel"/>
    <w:tmpl w:val="2ACAEE9C"/>
    <w:lvl w:ilvl="0" w:tplc="5630E5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1200365"/>
    <w:multiLevelType w:val="multilevel"/>
    <w:tmpl w:val="67F21D8C"/>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decimal"/>
      <w:lvlText w:val="%1.%2.%3"/>
      <w:lvlJc w:val="left"/>
      <w:pPr>
        <w:tabs>
          <w:tab w:val="num" w:pos="1800"/>
        </w:tabs>
        <w:ind w:left="1800" w:hanging="1080"/>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nsid w:val="52DB678D"/>
    <w:multiLevelType w:val="hybridMultilevel"/>
    <w:tmpl w:val="B4FCB8CA"/>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81F5588"/>
    <w:multiLevelType w:val="hybridMultilevel"/>
    <w:tmpl w:val="5B809410"/>
    <w:lvl w:ilvl="0" w:tplc="08090001">
      <w:start w:val="1"/>
      <w:numFmt w:val="lowerLetter"/>
      <w:lvlText w:val="%1)"/>
      <w:lvlJc w:val="left"/>
      <w:pPr>
        <w:ind w:left="3240" w:hanging="360"/>
      </w:pPr>
      <w:rPr>
        <w:rFonts w:cs="Times New Roman" w:hint="default"/>
      </w:rPr>
    </w:lvl>
    <w:lvl w:ilvl="1" w:tplc="08090003">
      <w:start w:val="1"/>
      <w:numFmt w:val="lowerLetter"/>
      <w:lvlText w:val="%2."/>
      <w:lvlJc w:val="left"/>
      <w:pPr>
        <w:ind w:left="3960" w:hanging="360"/>
      </w:pPr>
      <w:rPr>
        <w:rFonts w:cs="Times New Roman"/>
      </w:rPr>
    </w:lvl>
    <w:lvl w:ilvl="2" w:tplc="08090005">
      <w:start w:val="1"/>
      <w:numFmt w:val="lowerRoman"/>
      <w:lvlText w:val="%3."/>
      <w:lvlJc w:val="right"/>
      <w:pPr>
        <w:ind w:left="4680" w:hanging="180"/>
      </w:pPr>
      <w:rPr>
        <w:rFonts w:cs="Times New Roman"/>
      </w:rPr>
    </w:lvl>
    <w:lvl w:ilvl="3" w:tplc="08090001">
      <w:start w:val="1"/>
      <w:numFmt w:val="decimal"/>
      <w:lvlText w:val="%4."/>
      <w:lvlJc w:val="left"/>
      <w:pPr>
        <w:ind w:left="5400" w:hanging="360"/>
      </w:pPr>
      <w:rPr>
        <w:rFonts w:cs="Times New Roman"/>
      </w:rPr>
    </w:lvl>
    <w:lvl w:ilvl="4" w:tplc="14BCD22C">
      <w:start w:val="1"/>
      <w:numFmt w:val="lowerLetter"/>
      <w:lvlText w:val="%5."/>
      <w:lvlJc w:val="left"/>
      <w:pPr>
        <w:ind w:left="6120" w:hanging="360"/>
      </w:pPr>
      <w:rPr>
        <w:rFonts w:cs="Times New Roman"/>
      </w:rPr>
    </w:lvl>
    <w:lvl w:ilvl="5" w:tplc="08090005">
      <w:start w:val="1"/>
      <w:numFmt w:val="lowerRoman"/>
      <w:lvlText w:val="%6."/>
      <w:lvlJc w:val="right"/>
      <w:pPr>
        <w:ind w:left="6840" w:hanging="180"/>
      </w:pPr>
      <w:rPr>
        <w:rFonts w:cs="Times New Roman"/>
      </w:rPr>
    </w:lvl>
    <w:lvl w:ilvl="6" w:tplc="08090001" w:tentative="1">
      <w:start w:val="1"/>
      <w:numFmt w:val="decimal"/>
      <w:lvlText w:val="%7."/>
      <w:lvlJc w:val="left"/>
      <w:pPr>
        <w:ind w:left="7560" w:hanging="360"/>
      </w:pPr>
      <w:rPr>
        <w:rFonts w:cs="Times New Roman"/>
      </w:rPr>
    </w:lvl>
    <w:lvl w:ilvl="7" w:tplc="08090003" w:tentative="1">
      <w:start w:val="1"/>
      <w:numFmt w:val="lowerLetter"/>
      <w:lvlText w:val="%8."/>
      <w:lvlJc w:val="left"/>
      <w:pPr>
        <w:ind w:left="8280" w:hanging="360"/>
      </w:pPr>
      <w:rPr>
        <w:rFonts w:cs="Times New Roman"/>
      </w:rPr>
    </w:lvl>
    <w:lvl w:ilvl="8" w:tplc="08090005" w:tentative="1">
      <w:start w:val="1"/>
      <w:numFmt w:val="lowerRoman"/>
      <w:lvlText w:val="%9."/>
      <w:lvlJc w:val="right"/>
      <w:pPr>
        <w:ind w:left="9000" w:hanging="180"/>
      </w:pPr>
      <w:rPr>
        <w:rFonts w:cs="Times New Roman"/>
      </w:rPr>
    </w:lvl>
  </w:abstractNum>
  <w:abstractNum w:abstractNumId="33">
    <w:nsid w:val="66AB063F"/>
    <w:multiLevelType w:val="hybridMultilevel"/>
    <w:tmpl w:val="240072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EBF6064"/>
    <w:multiLevelType w:val="hybridMultilevel"/>
    <w:tmpl w:val="FB7423DA"/>
    <w:lvl w:ilvl="0" w:tplc="08090017">
      <w:start w:val="1"/>
      <w:numFmt w:val="lowerLetter"/>
      <w:lvlText w:val="%1)"/>
      <w:lvlJc w:val="left"/>
      <w:pPr>
        <w:ind w:left="720" w:hanging="360"/>
      </w:pPr>
      <w:rPr>
        <w:rFonts w:cs="Times New Roman"/>
      </w:rPr>
    </w:lvl>
    <w:lvl w:ilvl="1" w:tplc="BE7888B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1424861"/>
    <w:multiLevelType w:val="multilevel"/>
    <w:tmpl w:val="D4F0A48A"/>
    <w:lvl w:ilvl="0">
      <w:start w:val="9"/>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6">
    <w:nsid w:val="74F53405"/>
    <w:multiLevelType w:val="hybridMultilevel"/>
    <w:tmpl w:val="ACC8FE7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7">
    <w:nsid w:val="772936E4"/>
    <w:multiLevelType w:val="multilevel"/>
    <w:tmpl w:val="A35472D4"/>
    <w:lvl w:ilvl="0">
      <w:start w:val="1"/>
      <w:numFmt w:val="decimal"/>
      <w:pStyle w:val="GPSL1CLAUSEHEADING"/>
      <w:lvlText w:val="%1."/>
      <w:lvlJc w:val="left"/>
      <w:pPr>
        <w:ind w:left="720" w:hanging="360"/>
      </w:pPr>
      <w:rPr>
        <w:rFonts w:cs="Times New Roman"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vanish w:val="0"/>
        <w:spacing w:val="0"/>
        <w:kern w:val="0"/>
        <w:position w:val="0"/>
        <w:u w:val="none"/>
        <w:vertAlign w:val="base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9894396"/>
    <w:multiLevelType w:val="multilevel"/>
    <w:tmpl w:val="261C7FDA"/>
    <w:lvl w:ilvl="0">
      <w:start w:val="1"/>
      <w:numFmt w:val="decimal"/>
      <w:lvlText w:val=" Schedule %1:"/>
      <w:lvlJc w:val="left"/>
      <w:pPr>
        <w:ind w:left="432" w:hanging="432"/>
      </w:pPr>
      <w:rPr>
        <w:rFonts w:cs="Times New Roman" w:hint="default"/>
      </w:rPr>
    </w:lvl>
    <w:lvl w:ilvl="1">
      <w:start w:val="1"/>
      <w:numFmt w:val="decimal"/>
      <w:lvlText w:val="S%1-%2"/>
      <w:lvlJc w:val="left"/>
      <w:pPr>
        <w:ind w:left="576" w:hanging="576"/>
      </w:pPr>
      <w:rPr>
        <w:rFonts w:cs="Times New Roman" w:hint="default"/>
      </w:rPr>
    </w:lvl>
    <w:lvl w:ilvl="2">
      <w:start w:val="1"/>
      <w:numFmt w:val="decimal"/>
      <w:lvlText w:val="S%1-%2.%3"/>
      <w:lvlJc w:val="left"/>
      <w:pPr>
        <w:ind w:left="720" w:hanging="720"/>
      </w:pPr>
      <w:rPr>
        <w:rFonts w:cs="Times New Roman" w:hint="default"/>
      </w:rPr>
    </w:lvl>
    <w:lvl w:ilvl="3">
      <w:start w:val="1"/>
      <w:numFmt w:val="decimal"/>
      <w:lvlText w:val="S%1-%2.%3.%4"/>
      <w:lvlJc w:val="left"/>
      <w:pPr>
        <w:ind w:left="864" w:hanging="864"/>
      </w:pPr>
      <w:rPr>
        <w:rFonts w:cs="Times New Roman" w:hint="default"/>
      </w:rPr>
    </w:lvl>
    <w:lvl w:ilvl="4">
      <w:start w:val="1"/>
      <w:numFmt w:val="decimal"/>
      <w:lvlText w:val="S%1-%2.%3.%4.%5"/>
      <w:lvlJc w:val="left"/>
      <w:pPr>
        <w:ind w:left="1008" w:hanging="1008"/>
      </w:pPr>
      <w:rPr>
        <w:rFonts w:cs="Times New Roman" w:hint="default"/>
      </w:rPr>
    </w:lvl>
    <w:lvl w:ilvl="5">
      <w:start w:val="1"/>
      <w:numFmt w:val="decimal"/>
      <w:lvlText w:val="S%1-%2.%3.%4.%5.%6"/>
      <w:lvlJc w:val="left"/>
      <w:pPr>
        <w:ind w:left="1152" w:hanging="1152"/>
      </w:pPr>
      <w:rPr>
        <w:rFonts w:cs="Times New Roman" w:hint="default"/>
      </w:rPr>
    </w:lvl>
    <w:lvl w:ilvl="6">
      <w:start w:val="1"/>
      <w:numFmt w:val="lowerLetter"/>
      <w:lvlText w:val="%7."/>
      <w:lvlJc w:val="left"/>
      <w:pPr>
        <w:ind w:left="1296" w:hanging="1296"/>
      </w:pPr>
      <w:rPr>
        <w:rFonts w:cs="Times New Roman" w:hint="default"/>
      </w:rPr>
    </w:lvl>
    <w:lvl w:ilvl="7">
      <w:start w:val="1"/>
      <w:numFmt w:val="lowerRoman"/>
      <w:lvlText w:val="%8."/>
      <w:lvlJc w:val="left"/>
      <w:pPr>
        <w:ind w:left="1440" w:hanging="1440"/>
      </w:pPr>
      <w:rPr>
        <w:rFonts w:cs="Times New Roman" w:hint="default"/>
      </w:rPr>
    </w:lvl>
    <w:lvl w:ilvl="8">
      <w:start w:val="1"/>
      <w:numFmt w:val="lowerRoman"/>
      <w:lvlText w:val="%9."/>
      <w:lvlJc w:val="left"/>
      <w:pPr>
        <w:ind w:left="1584" w:hanging="1584"/>
      </w:pPr>
      <w:rPr>
        <w:rFonts w:cs="Times New Roman" w:hint="default"/>
      </w:rPr>
    </w:lvl>
  </w:abstractNum>
  <w:abstractNum w:abstractNumId="39">
    <w:nsid w:val="7A3E61D2"/>
    <w:multiLevelType w:val="hybridMultilevel"/>
    <w:tmpl w:val="D2C69096"/>
    <w:lvl w:ilvl="0" w:tplc="DDEC22D8">
      <w:start w:val="1"/>
      <w:numFmt w:val="lowerLetter"/>
      <w:lvlText w:val="%1)"/>
      <w:lvlJc w:val="left"/>
      <w:pPr>
        <w:ind w:left="1080" w:hanging="360"/>
      </w:pPr>
      <w:rPr>
        <w:rFonts w:cs="Times New Roman" w:hint="default"/>
      </w:rPr>
    </w:lvl>
    <w:lvl w:ilvl="1" w:tplc="2500D69C">
      <w:start w:val="1"/>
      <w:numFmt w:val="lowerLetter"/>
      <w:lvlText w:val="%2."/>
      <w:lvlJc w:val="left"/>
      <w:pPr>
        <w:ind w:left="1800" w:hanging="360"/>
      </w:pPr>
      <w:rPr>
        <w:rFonts w:cs="Times New Roman"/>
      </w:rPr>
    </w:lvl>
    <w:lvl w:ilvl="2" w:tplc="CA82519A">
      <w:start w:val="1"/>
      <w:numFmt w:val="lowerRoman"/>
      <w:lvlText w:val="%3."/>
      <w:lvlJc w:val="right"/>
      <w:pPr>
        <w:ind w:left="2520" w:hanging="180"/>
      </w:pPr>
      <w:rPr>
        <w:rFonts w:cs="Times New Roman"/>
      </w:rPr>
    </w:lvl>
    <w:lvl w:ilvl="3" w:tplc="1416082A" w:tentative="1">
      <w:start w:val="1"/>
      <w:numFmt w:val="decimal"/>
      <w:lvlText w:val="%4."/>
      <w:lvlJc w:val="left"/>
      <w:pPr>
        <w:ind w:left="3240" w:hanging="360"/>
      </w:pPr>
      <w:rPr>
        <w:rFonts w:cs="Times New Roman"/>
      </w:rPr>
    </w:lvl>
    <w:lvl w:ilvl="4" w:tplc="72D24AD6" w:tentative="1">
      <w:start w:val="1"/>
      <w:numFmt w:val="lowerLetter"/>
      <w:lvlText w:val="%5."/>
      <w:lvlJc w:val="left"/>
      <w:pPr>
        <w:ind w:left="3960" w:hanging="360"/>
      </w:pPr>
      <w:rPr>
        <w:rFonts w:cs="Times New Roman"/>
      </w:rPr>
    </w:lvl>
    <w:lvl w:ilvl="5" w:tplc="70A02E62" w:tentative="1">
      <w:start w:val="1"/>
      <w:numFmt w:val="lowerRoman"/>
      <w:lvlText w:val="%6."/>
      <w:lvlJc w:val="right"/>
      <w:pPr>
        <w:ind w:left="4680" w:hanging="180"/>
      </w:pPr>
      <w:rPr>
        <w:rFonts w:cs="Times New Roman"/>
      </w:rPr>
    </w:lvl>
    <w:lvl w:ilvl="6" w:tplc="D2546564" w:tentative="1">
      <w:start w:val="1"/>
      <w:numFmt w:val="decimal"/>
      <w:lvlText w:val="%7."/>
      <w:lvlJc w:val="left"/>
      <w:pPr>
        <w:ind w:left="5400" w:hanging="360"/>
      </w:pPr>
      <w:rPr>
        <w:rFonts w:cs="Times New Roman"/>
      </w:rPr>
    </w:lvl>
    <w:lvl w:ilvl="7" w:tplc="214EF764" w:tentative="1">
      <w:start w:val="1"/>
      <w:numFmt w:val="lowerLetter"/>
      <w:lvlText w:val="%8."/>
      <w:lvlJc w:val="left"/>
      <w:pPr>
        <w:ind w:left="6120" w:hanging="360"/>
      </w:pPr>
      <w:rPr>
        <w:rFonts w:cs="Times New Roman"/>
      </w:rPr>
    </w:lvl>
    <w:lvl w:ilvl="8" w:tplc="461E43A8" w:tentative="1">
      <w:start w:val="1"/>
      <w:numFmt w:val="lowerRoman"/>
      <w:lvlText w:val="%9."/>
      <w:lvlJc w:val="right"/>
      <w:pPr>
        <w:ind w:left="6840" w:hanging="180"/>
      </w:pPr>
      <w:rPr>
        <w:rFonts w:cs="Times New Roman"/>
      </w:rPr>
    </w:lvl>
  </w:abstractNum>
  <w:abstractNum w:abstractNumId="40">
    <w:nsid w:val="7C371D98"/>
    <w:multiLevelType w:val="hybridMultilevel"/>
    <w:tmpl w:val="81FAE3E6"/>
    <w:lvl w:ilvl="0" w:tplc="0809000F">
      <w:start w:val="1"/>
      <w:numFmt w:val="decimal"/>
      <w:lvlText w:val="%1."/>
      <w:lvlJc w:val="left"/>
      <w:pPr>
        <w:ind w:left="720" w:hanging="360"/>
      </w:pPr>
      <w:rPr>
        <w:rFonts w:cs="Times New Roman"/>
      </w:rPr>
    </w:lvl>
    <w:lvl w:ilvl="1" w:tplc="6C3A89F2">
      <w:numFmt w:val="bullet"/>
      <w:lvlText w:val="•"/>
      <w:lvlJc w:val="left"/>
      <w:pPr>
        <w:ind w:left="1635" w:hanging="555"/>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E972C9C"/>
    <w:multiLevelType w:val="hybridMultilevel"/>
    <w:tmpl w:val="4086CABC"/>
    <w:lvl w:ilvl="0" w:tplc="CA82519A">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EB25972"/>
    <w:multiLevelType w:val="hybridMultilevel"/>
    <w:tmpl w:val="71EE1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F553FA8"/>
    <w:multiLevelType w:val="hybridMultilevel"/>
    <w:tmpl w:val="A5C4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4"/>
  </w:num>
  <w:num w:numId="4">
    <w:abstractNumId w:val="4"/>
  </w:num>
  <w:num w:numId="5">
    <w:abstractNumId w:val="1"/>
  </w:num>
  <w:num w:numId="6">
    <w:abstractNumId w:val="28"/>
  </w:num>
  <w:num w:numId="7">
    <w:abstractNumId w:val="25"/>
  </w:num>
  <w:num w:numId="8">
    <w:abstractNumId w:val="5"/>
    <w:lvlOverride w:ilvl="0">
      <w:startOverride w:val="1"/>
    </w:lvlOverride>
  </w:num>
  <w:num w:numId="9">
    <w:abstractNumId w:val="9"/>
  </w:num>
  <w:num w:numId="10">
    <w:abstractNumId w:val="5"/>
    <w:lvlOverride w:ilvl="0">
      <w:startOverride w:val="1"/>
    </w:lvlOverride>
  </w:num>
  <w:num w:numId="11">
    <w:abstractNumId w:val="0"/>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4"/>
  </w:num>
  <w:num w:numId="16">
    <w:abstractNumId w:val="41"/>
  </w:num>
  <w:num w:numId="17">
    <w:abstractNumId w:val="7"/>
  </w:num>
  <w:num w:numId="18">
    <w:abstractNumId w:val="10"/>
  </w:num>
  <w:num w:numId="19">
    <w:abstractNumId w:val="13"/>
  </w:num>
  <w:num w:numId="20">
    <w:abstractNumId w:val="22"/>
  </w:num>
  <w:num w:numId="21">
    <w:abstractNumId w:val="11"/>
  </w:num>
  <w:num w:numId="22">
    <w:abstractNumId w:val="31"/>
  </w:num>
  <w:num w:numId="23">
    <w:abstractNumId w:val="6"/>
  </w:num>
  <w:num w:numId="24">
    <w:abstractNumId w:val="17"/>
  </w:num>
  <w:num w:numId="25">
    <w:abstractNumId w:val="6"/>
    <w:lvlOverride w:ilvl="0">
      <w:startOverride w:val="8"/>
    </w:lvlOverride>
  </w:num>
  <w:num w:numId="26">
    <w:abstractNumId w:val="6"/>
    <w:lvlOverride w:ilvl="0">
      <w:startOverride w:val="8"/>
    </w:lvlOverride>
    <w:lvlOverride w:ilvl="1">
      <w:startOverride w:val="1"/>
    </w:lvlOverride>
  </w:num>
  <w:num w:numId="27">
    <w:abstractNumId w:val="6"/>
    <w:lvlOverride w:ilvl="0">
      <w:startOverride w:val="8"/>
    </w:lvlOverride>
    <w:lvlOverride w:ilvl="1">
      <w:startOverride w:val="2"/>
    </w:lvlOverride>
  </w:num>
  <w:num w:numId="28">
    <w:abstractNumId w:val="12"/>
  </w:num>
  <w:num w:numId="29">
    <w:abstractNumId w:val="18"/>
  </w:num>
  <w:num w:numId="30">
    <w:abstractNumId w:val="27"/>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3"/>
  </w:num>
  <w:num w:numId="35">
    <w:abstractNumId w:val="3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6"/>
  </w:num>
  <w:num w:numId="39">
    <w:abstractNumId w:val="32"/>
  </w:num>
  <w:num w:numId="4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2"/>
  </w:num>
  <w:num w:numId="43">
    <w:abstractNumId w:val="27"/>
  </w:num>
  <w:num w:numId="44">
    <w:abstractNumId w:val="25"/>
  </w:num>
  <w:num w:numId="45">
    <w:abstractNumId w:val="19"/>
  </w:num>
  <w:num w:numId="46">
    <w:abstractNumId w:val="19"/>
  </w:num>
  <w:num w:numId="47">
    <w:abstractNumId w:val="35"/>
  </w:num>
  <w:num w:numId="48">
    <w:abstractNumId w:val="25"/>
  </w:num>
  <w:num w:numId="49">
    <w:abstractNumId w:val="25"/>
  </w:num>
  <w:num w:numId="50">
    <w:abstractNumId w:val="25"/>
  </w:num>
  <w:num w:numId="51">
    <w:abstractNumId w:val="25"/>
  </w:num>
  <w:num w:numId="52">
    <w:abstractNumId w:val="2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38"/>
  </w:num>
  <w:num w:numId="78">
    <w:abstractNumId w:val="40"/>
  </w:num>
  <w:num w:numId="79">
    <w:abstractNumId w:val="23"/>
  </w:num>
  <w:num w:numId="80">
    <w:abstractNumId w:val="20"/>
  </w:num>
  <w:num w:numId="81">
    <w:abstractNumId w:val="15"/>
  </w:num>
  <w:num w:numId="82">
    <w:abstractNumId w:val="43"/>
  </w:num>
  <w:num w:numId="83">
    <w:abstractNumId w:val="36"/>
  </w:num>
  <w:num w:numId="84">
    <w:abstractNumId w:val="14"/>
  </w:num>
  <w:num w:numId="85">
    <w:abstractNumId w:val="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33B"/>
    <w:rsid w:val="000072F8"/>
    <w:rsid w:val="0001308E"/>
    <w:rsid w:val="000219D8"/>
    <w:rsid w:val="00037BDE"/>
    <w:rsid w:val="00040187"/>
    <w:rsid w:val="00046866"/>
    <w:rsid w:val="000478A5"/>
    <w:rsid w:val="0005377E"/>
    <w:rsid w:val="00055439"/>
    <w:rsid w:val="00057FE1"/>
    <w:rsid w:val="00072923"/>
    <w:rsid w:val="0007614D"/>
    <w:rsid w:val="000802CD"/>
    <w:rsid w:val="000868A8"/>
    <w:rsid w:val="000A075C"/>
    <w:rsid w:val="000A2BF6"/>
    <w:rsid w:val="000B3409"/>
    <w:rsid w:val="000B3DC2"/>
    <w:rsid w:val="000B5C57"/>
    <w:rsid w:val="000B60B0"/>
    <w:rsid w:val="000C01CB"/>
    <w:rsid w:val="000C41DE"/>
    <w:rsid w:val="000D23D3"/>
    <w:rsid w:val="000E5525"/>
    <w:rsid w:val="000E6496"/>
    <w:rsid w:val="000F7433"/>
    <w:rsid w:val="001126F7"/>
    <w:rsid w:val="00117063"/>
    <w:rsid w:val="001252AB"/>
    <w:rsid w:val="00133211"/>
    <w:rsid w:val="0014733A"/>
    <w:rsid w:val="00162CDF"/>
    <w:rsid w:val="00164B40"/>
    <w:rsid w:val="00181AFE"/>
    <w:rsid w:val="001827DA"/>
    <w:rsid w:val="0018553E"/>
    <w:rsid w:val="00186E31"/>
    <w:rsid w:val="001A40B7"/>
    <w:rsid w:val="001A62AC"/>
    <w:rsid w:val="001B3A68"/>
    <w:rsid w:val="001B5DC1"/>
    <w:rsid w:val="001B6641"/>
    <w:rsid w:val="001C22A1"/>
    <w:rsid w:val="001C233F"/>
    <w:rsid w:val="001E3188"/>
    <w:rsid w:val="001E7E39"/>
    <w:rsid w:val="001F576D"/>
    <w:rsid w:val="001F5F05"/>
    <w:rsid w:val="00201ED4"/>
    <w:rsid w:val="00206E0B"/>
    <w:rsid w:val="00207926"/>
    <w:rsid w:val="00210C54"/>
    <w:rsid w:val="00215ED8"/>
    <w:rsid w:val="00216F3D"/>
    <w:rsid w:val="00220F85"/>
    <w:rsid w:val="00227D69"/>
    <w:rsid w:val="00232655"/>
    <w:rsid w:val="002328DF"/>
    <w:rsid w:val="00236378"/>
    <w:rsid w:val="002366D0"/>
    <w:rsid w:val="002529E9"/>
    <w:rsid w:val="00263FF1"/>
    <w:rsid w:val="0027130A"/>
    <w:rsid w:val="00285B81"/>
    <w:rsid w:val="002873FC"/>
    <w:rsid w:val="00287BF2"/>
    <w:rsid w:val="00291919"/>
    <w:rsid w:val="0029252E"/>
    <w:rsid w:val="002A20C6"/>
    <w:rsid w:val="002A4E03"/>
    <w:rsid w:val="002A6062"/>
    <w:rsid w:val="002B1059"/>
    <w:rsid w:val="002B30A8"/>
    <w:rsid w:val="002B758C"/>
    <w:rsid w:val="002C0F73"/>
    <w:rsid w:val="002C3033"/>
    <w:rsid w:val="002C5EDA"/>
    <w:rsid w:val="002C70EC"/>
    <w:rsid w:val="002D2DF2"/>
    <w:rsid w:val="002D698F"/>
    <w:rsid w:val="002E26D4"/>
    <w:rsid w:val="002E4221"/>
    <w:rsid w:val="002F3F4F"/>
    <w:rsid w:val="002F4326"/>
    <w:rsid w:val="002F61B4"/>
    <w:rsid w:val="002F64FB"/>
    <w:rsid w:val="002F7817"/>
    <w:rsid w:val="00301BAF"/>
    <w:rsid w:val="00302945"/>
    <w:rsid w:val="0030619E"/>
    <w:rsid w:val="003124E3"/>
    <w:rsid w:val="00320B7A"/>
    <w:rsid w:val="00322C42"/>
    <w:rsid w:val="003233BC"/>
    <w:rsid w:val="00334B34"/>
    <w:rsid w:val="00347659"/>
    <w:rsid w:val="0035263A"/>
    <w:rsid w:val="00354169"/>
    <w:rsid w:val="003737EC"/>
    <w:rsid w:val="00374FDC"/>
    <w:rsid w:val="00375858"/>
    <w:rsid w:val="00375AB1"/>
    <w:rsid w:val="00377CB5"/>
    <w:rsid w:val="00386E40"/>
    <w:rsid w:val="00387A37"/>
    <w:rsid w:val="003930CE"/>
    <w:rsid w:val="00394012"/>
    <w:rsid w:val="003A1C9A"/>
    <w:rsid w:val="003A1FF6"/>
    <w:rsid w:val="003A77CA"/>
    <w:rsid w:val="003B651F"/>
    <w:rsid w:val="003C05F8"/>
    <w:rsid w:val="003C1F2F"/>
    <w:rsid w:val="003C655E"/>
    <w:rsid w:val="003D59E7"/>
    <w:rsid w:val="003E00EC"/>
    <w:rsid w:val="003E7EE8"/>
    <w:rsid w:val="003F4D9A"/>
    <w:rsid w:val="003F7E76"/>
    <w:rsid w:val="0041681C"/>
    <w:rsid w:val="00422BCC"/>
    <w:rsid w:val="00425BFC"/>
    <w:rsid w:val="00432C0B"/>
    <w:rsid w:val="00434037"/>
    <w:rsid w:val="00440678"/>
    <w:rsid w:val="0044195D"/>
    <w:rsid w:val="0045185E"/>
    <w:rsid w:val="00454DF7"/>
    <w:rsid w:val="004604D4"/>
    <w:rsid w:val="00463776"/>
    <w:rsid w:val="00464268"/>
    <w:rsid w:val="004650E2"/>
    <w:rsid w:val="004676E9"/>
    <w:rsid w:val="0049345C"/>
    <w:rsid w:val="00493633"/>
    <w:rsid w:val="004A552D"/>
    <w:rsid w:val="004B09D5"/>
    <w:rsid w:val="004B45A6"/>
    <w:rsid w:val="004D5681"/>
    <w:rsid w:val="004E5162"/>
    <w:rsid w:val="004E55D6"/>
    <w:rsid w:val="004E6706"/>
    <w:rsid w:val="00513E62"/>
    <w:rsid w:val="00516092"/>
    <w:rsid w:val="005167C0"/>
    <w:rsid w:val="005279FC"/>
    <w:rsid w:val="00534DAC"/>
    <w:rsid w:val="00536EF5"/>
    <w:rsid w:val="00547803"/>
    <w:rsid w:val="00554971"/>
    <w:rsid w:val="00555584"/>
    <w:rsid w:val="00557184"/>
    <w:rsid w:val="005648A3"/>
    <w:rsid w:val="005659C7"/>
    <w:rsid w:val="00571398"/>
    <w:rsid w:val="00573C55"/>
    <w:rsid w:val="00581793"/>
    <w:rsid w:val="00586579"/>
    <w:rsid w:val="00590E68"/>
    <w:rsid w:val="005B7BF0"/>
    <w:rsid w:val="005C39B7"/>
    <w:rsid w:val="005C5AF0"/>
    <w:rsid w:val="005C733B"/>
    <w:rsid w:val="005D01F2"/>
    <w:rsid w:val="005D0243"/>
    <w:rsid w:val="005D2B00"/>
    <w:rsid w:val="005D3AA9"/>
    <w:rsid w:val="005D5AA9"/>
    <w:rsid w:val="005E09A5"/>
    <w:rsid w:val="005F0827"/>
    <w:rsid w:val="005F442B"/>
    <w:rsid w:val="0060154F"/>
    <w:rsid w:val="00613C26"/>
    <w:rsid w:val="00621BCB"/>
    <w:rsid w:val="00621E83"/>
    <w:rsid w:val="00622D0C"/>
    <w:rsid w:val="006361B5"/>
    <w:rsid w:val="00636FA4"/>
    <w:rsid w:val="006417BC"/>
    <w:rsid w:val="006671CF"/>
    <w:rsid w:val="00671F0A"/>
    <w:rsid w:val="0067535B"/>
    <w:rsid w:val="00676897"/>
    <w:rsid w:val="00682E71"/>
    <w:rsid w:val="00684152"/>
    <w:rsid w:val="00692D48"/>
    <w:rsid w:val="006A1ED8"/>
    <w:rsid w:val="006A233D"/>
    <w:rsid w:val="006A5A3C"/>
    <w:rsid w:val="006B3477"/>
    <w:rsid w:val="006C13B1"/>
    <w:rsid w:val="006D3808"/>
    <w:rsid w:val="006D60E0"/>
    <w:rsid w:val="006D7182"/>
    <w:rsid w:val="006E3313"/>
    <w:rsid w:val="006E50CA"/>
    <w:rsid w:val="006F5645"/>
    <w:rsid w:val="00702B45"/>
    <w:rsid w:val="00704E84"/>
    <w:rsid w:val="00711896"/>
    <w:rsid w:val="00717A6A"/>
    <w:rsid w:val="00724529"/>
    <w:rsid w:val="00725E70"/>
    <w:rsid w:val="007448B2"/>
    <w:rsid w:val="00744AD3"/>
    <w:rsid w:val="00755993"/>
    <w:rsid w:val="00757805"/>
    <w:rsid w:val="00763C63"/>
    <w:rsid w:val="00764F40"/>
    <w:rsid w:val="0077348F"/>
    <w:rsid w:val="00784B6E"/>
    <w:rsid w:val="00785D74"/>
    <w:rsid w:val="007A5D37"/>
    <w:rsid w:val="007B03C3"/>
    <w:rsid w:val="007B7AC2"/>
    <w:rsid w:val="007C0FD0"/>
    <w:rsid w:val="007C2450"/>
    <w:rsid w:val="007C2452"/>
    <w:rsid w:val="007C3726"/>
    <w:rsid w:val="007D1D5C"/>
    <w:rsid w:val="007D5456"/>
    <w:rsid w:val="007D6F0A"/>
    <w:rsid w:val="007D77FA"/>
    <w:rsid w:val="007E32C5"/>
    <w:rsid w:val="007E6E89"/>
    <w:rsid w:val="007F45D4"/>
    <w:rsid w:val="007F6CF7"/>
    <w:rsid w:val="007F6F6D"/>
    <w:rsid w:val="008006B7"/>
    <w:rsid w:val="008075F2"/>
    <w:rsid w:val="00811B9A"/>
    <w:rsid w:val="00814089"/>
    <w:rsid w:val="0081542A"/>
    <w:rsid w:val="00826994"/>
    <w:rsid w:val="0084067D"/>
    <w:rsid w:val="008468F9"/>
    <w:rsid w:val="008470C5"/>
    <w:rsid w:val="00854EA9"/>
    <w:rsid w:val="008550D2"/>
    <w:rsid w:val="008734A4"/>
    <w:rsid w:val="008770AF"/>
    <w:rsid w:val="00893741"/>
    <w:rsid w:val="00895590"/>
    <w:rsid w:val="008A0F81"/>
    <w:rsid w:val="008A1397"/>
    <w:rsid w:val="008A1DEB"/>
    <w:rsid w:val="008A265A"/>
    <w:rsid w:val="008B25D4"/>
    <w:rsid w:val="008B6306"/>
    <w:rsid w:val="008D65F3"/>
    <w:rsid w:val="008D7709"/>
    <w:rsid w:val="008E6E54"/>
    <w:rsid w:val="008F6233"/>
    <w:rsid w:val="00905ED9"/>
    <w:rsid w:val="00905F53"/>
    <w:rsid w:val="0091553F"/>
    <w:rsid w:val="00921FB8"/>
    <w:rsid w:val="00932F7E"/>
    <w:rsid w:val="00933851"/>
    <w:rsid w:val="009409D0"/>
    <w:rsid w:val="0094585C"/>
    <w:rsid w:val="009468CE"/>
    <w:rsid w:val="00947927"/>
    <w:rsid w:val="00953AF4"/>
    <w:rsid w:val="00962D66"/>
    <w:rsid w:val="009657C9"/>
    <w:rsid w:val="00970698"/>
    <w:rsid w:val="00981FAF"/>
    <w:rsid w:val="00983276"/>
    <w:rsid w:val="00983F25"/>
    <w:rsid w:val="009A03F9"/>
    <w:rsid w:val="009A4DED"/>
    <w:rsid w:val="009B2EFF"/>
    <w:rsid w:val="009B68A1"/>
    <w:rsid w:val="009C1563"/>
    <w:rsid w:val="009C56B0"/>
    <w:rsid w:val="009C7AEA"/>
    <w:rsid w:val="009C7C0F"/>
    <w:rsid w:val="009D41F8"/>
    <w:rsid w:val="009D61E0"/>
    <w:rsid w:val="009E11B8"/>
    <w:rsid w:val="009E3910"/>
    <w:rsid w:val="009E40BF"/>
    <w:rsid w:val="009F4A7D"/>
    <w:rsid w:val="009F4B0B"/>
    <w:rsid w:val="00A2067F"/>
    <w:rsid w:val="00A26C09"/>
    <w:rsid w:val="00A536FD"/>
    <w:rsid w:val="00A63448"/>
    <w:rsid w:val="00A655C0"/>
    <w:rsid w:val="00A66BD2"/>
    <w:rsid w:val="00A71281"/>
    <w:rsid w:val="00A808B6"/>
    <w:rsid w:val="00A83CA2"/>
    <w:rsid w:val="00A84A7E"/>
    <w:rsid w:val="00A90D9C"/>
    <w:rsid w:val="00A91F76"/>
    <w:rsid w:val="00A92116"/>
    <w:rsid w:val="00A94925"/>
    <w:rsid w:val="00A9527C"/>
    <w:rsid w:val="00A96EC8"/>
    <w:rsid w:val="00AA2086"/>
    <w:rsid w:val="00AA2400"/>
    <w:rsid w:val="00AA6EB3"/>
    <w:rsid w:val="00AB01D9"/>
    <w:rsid w:val="00AC16D9"/>
    <w:rsid w:val="00AC30F0"/>
    <w:rsid w:val="00AC7E74"/>
    <w:rsid w:val="00AD456C"/>
    <w:rsid w:val="00AD6CF3"/>
    <w:rsid w:val="00AD6EC6"/>
    <w:rsid w:val="00AE1254"/>
    <w:rsid w:val="00AE5912"/>
    <w:rsid w:val="00AF1F77"/>
    <w:rsid w:val="00AF2633"/>
    <w:rsid w:val="00AF6615"/>
    <w:rsid w:val="00B13D07"/>
    <w:rsid w:val="00B2393B"/>
    <w:rsid w:val="00B25A80"/>
    <w:rsid w:val="00B318DB"/>
    <w:rsid w:val="00B33077"/>
    <w:rsid w:val="00B34355"/>
    <w:rsid w:val="00B35841"/>
    <w:rsid w:val="00B3618B"/>
    <w:rsid w:val="00B3664F"/>
    <w:rsid w:val="00B5163F"/>
    <w:rsid w:val="00B527E3"/>
    <w:rsid w:val="00B56AFA"/>
    <w:rsid w:val="00B6197A"/>
    <w:rsid w:val="00B643E6"/>
    <w:rsid w:val="00B70482"/>
    <w:rsid w:val="00B8457C"/>
    <w:rsid w:val="00B94786"/>
    <w:rsid w:val="00BA1874"/>
    <w:rsid w:val="00BA6B46"/>
    <w:rsid w:val="00BA6DE8"/>
    <w:rsid w:val="00BD79FA"/>
    <w:rsid w:val="00BE2219"/>
    <w:rsid w:val="00BE23AC"/>
    <w:rsid w:val="00BF4683"/>
    <w:rsid w:val="00C02421"/>
    <w:rsid w:val="00C02CC5"/>
    <w:rsid w:val="00C06AD6"/>
    <w:rsid w:val="00C06D13"/>
    <w:rsid w:val="00C13CB7"/>
    <w:rsid w:val="00C154DA"/>
    <w:rsid w:val="00C332E8"/>
    <w:rsid w:val="00C52DC1"/>
    <w:rsid w:val="00C60A88"/>
    <w:rsid w:val="00C64B21"/>
    <w:rsid w:val="00C67F75"/>
    <w:rsid w:val="00C75C1E"/>
    <w:rsid w:val="00C85DB0"/>
    <w:rsid w:val="00C92CB2"/>
    <w:rsid w:val="00C9459E"/>
    <w:rsid w:val="00CA7731"/>
    <w:rsid w:val="00CB6F8D"/>
    <w:rsid w:val="00CB7C56"/>
    <w:rsid w:val="00CC45F7"/>
    <w:rsid w:val="00CC49ED"/>
    <w:rsid w:val="00CD0F67"/>
    <w:rsid w:val="00CD59A0"/>
    <w:rsid w:val="00CE41F4"/>
    <w:rsid w:val="00CE5D7E"/>
    <w:rsid w:val="00CF6A32"/>
    <w:rsid w:val="00D01560"/>
    <w:rsid w:val="00D03934"/>
    <w:rsid w:val="00D1211D"/>
    <w:rsid w:val="00D14B30"/>
    <w:rsid w:val="00D15E82"/>
    <w:rsid w:val="00D3451F"/>
    <w:rsid w:val="00D34F4F"/>
    <w:rsid w:val="00D45979"/>
    <w:rsid w:val="00D515CF"/>
    <w:rsid w:val="00D55EF4"/>
    <w:rsid w:val="00D611C1"/>
    <w:rsid w:val="00D73492"/>
    <w:rsid w:val="00D74063"/>
    <w:rsid w:val="00D93667"/>
    <w:rsid w:val="00DB0A1E"/>
    <w:rsid w:val="00DB3522"/>
    <w:rsid w:val="00DC3251"/>
    <w:rsid w:val="00DC421F"/>
    <w:rsid w:val="00DC63A9"/>
    <w:rsid w:val="00DD2DD7"/>
    <w:rsid w:val="00DD3A3A"/>
    <w:rsid w:val="00DD661F"/>
    <w:rsid w:val="00DE2CDC"/>
    <w:rsid w:val="00E07388"/>
    <w:rsid w:val="00E14E99"/>
    <w:rsid w:val="00E27299"/>
    <w:rsid w:val="00E42DBF"/>
    <w:rsid w:val="00E47E04"/>
    <w:rsid w:val="00E90B4F"/>
    <w:rsid w:val="00E943A3"/>
    <w:rsid w:val="00E94993"/>
    <w:rsid w:val="00E9552C"/>
    <w:rsid w:val="00E96EE0"/>
    <w:rsid w:val="00EA2BA5"/>
    <w:rsid w:val="00EA2E1A"/>
    <w:rsid w:val="00EB2B87"/>
    <w:rsid w:val="00EB4322"/>
    <w:rsid w:val="00EC197F"/>
    <w:rsid w:val="00ED2519"/>
    <w:rsid w:val="00EE3C6C"/>
    <w:rsid w:val="00EF272F"/>
    <w:rsid w:val="00F02AFB"/>
    <w:rsid w:val="00F044EA"/>
    <w:rsid w:val="00F15234"/>
    <w:rsid w:val="00F21389"/>
    <w:rsid w:val="00F22196"/>
    <w:rsid w:val="00F249B6"/>
    <w:rsid w:val="00F26025"/>
    <w:rsid w:val="00F30570"/>
    <w:rsid w:val="00F32E1C"/>
    <w:rsid w:val="00F33691"/>
    <w:rsid w:val="00F34D81"/>
    <w:rsid w:val="00F53CDB"/>
    <w:rsid w:val="00F578CA"/>
    <w:rsid w:val="00F66C0C"/>
    <w:rsid w:val="00F678BF"/>
    <w:rsid w:val="00F814C2"/>
    <w:rsid w:val="00F8548A"/>
    <w:rsid w:val="00F97261"/>
    <w:rsid w:val="00F97362"/>
    <w:rsid w:val="00FA4D88"/>
    <w:rsid w:val="00FA5B66"/>
    <w:rsid w:val="00FB3BF6"/>
    <w:rsid w:val="00FC2A0F"/>
    <w:rsid w:val="00FE65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30570"/>
    <w:pPr>
      <w:spacing w:after="200" w:line="276" w:lineRule="auto"/>
    </w:pPr>
    <w:rPr>
      <w:rFonts w:ascii="Arial" w:hAnsi="Arial"/>
      <w:sz w:val="20"/>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1"/>
    <w:uiPriority w:val="99"/>
    <w:qFormat/>
    <w:rsid w:val="00375AB1"/>
    <w:pPr>
      <w:numPr>
        <w:numId w:val="30"/>
      </w:numPr>
      <w:tabs>
        <w:tab w:val="left" w:pos="1418"/>
      </w:tabs>
      <w:adjustRightInd w:val="0"/>
      <w:spacing w:after="240" w:line="240" w:lineRule="auto"/>
      <w:ind w:left="0" w:firstLine="0"/>
      <w:jc w:val="both"/>
      <w:outlineLvl w:val="0"/>
    </w:pPr>
    <w:rPr>
      <w:rFonts w:eastAsia="STZhongsong"/>
      <w:b/>
      <w:szCs w:val="20"/>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
    <w:basedOn w:val="Normal"/>
    <w:link w:val="Heading2Char"/>
    <w:uiPriority w:val="99"/>
    <w:qFormat/>
    <w:rsid w:val="00375AB1"/>
    <w:pPr>
      <w:numPr>
        <w:ilvl w:val="1"/>
        <w:numId w:val="30"/>
      </w:numPr>
      <w:tabs>
        <w:tab w:val="left" w:pos="1418"/>
      </w:tabs>
      <w:adjustRightInd w:val="0"/>
      <w:spacing w:after="240" w:line="240" w:lineRule="auto"/>
      <w:jc w:val="both"/>
      <w:outlineLvl w:val="1"/>
    </w:pPr>
    <w:rPr>
      <w:szCs w:val="20"/>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
    <w:basedOn w:val="Normal"/>
    <w:next w:val="Normal"/>
    <w:link w:val="Heading3Char1"/>
    <w:uiPriority w:val="99"/>
    <w:qFormat/>
    <w:rsid w:val="00375AB1"/>
    <w:pPr>
      <w:keepNext/>
      <w:keepLines/>
      <w:spacing w:before="200" w:after="0"/>
      <w:outlineLvl w:val="2"/>
    </w:pPr>
    <w:rPr>
      <w:rFonts w:ascii="Cambria" w:hAnsi="Cambria"/>
      <w:b/>
      <w:color w:val="4F81BD"/>
      <w:szCs w:val="20"/>
      <w:lang w:eastAsia="en-GB"/>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375AB1"/>
    <w:pPr>
      <w:numPr>
        <w:ilvl w:val="3"/>
        <w:numId w:val="30"/>
      </w:numPr>
      <w:tabs>
        <w:tab w:val="left" w:pos="3828"/>
      </w:tabs>
      <w:adjustRightInd w:val="0"/>
      <w:spacing w:after="240" w:line="240" w:lineRule="auto"/>
      <w:jc w:val="both"/>
      <w:outlineLvl w:val="3"/>
    </w:pPr>
    <w:rPr>
      <w:rFonts w:eastAsia="STZhongsong"/>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uiPriority w:val="99"/>
    <w:qFormat/>
    <w:rsid w:val="00D1211D"/>
    <w:pPr>
      <w:tabs>
        <w:tab w:val="num" w:pos="-17"/>
      </w:tabs>
      <w:adjustRightInd w:val="0"/>
      <w:spacing w:after="240" w:line="240" w:lineRule="auto"/>
      <w:ind w:left="3651" w:hanging="737"/>
      <w:jc w:val="both"/>
      <w:outlineLvl w:val="4"/>
    </w:pPr>
    <w:rPr>
      <w:rFonts w:eastAsia="STZhongsong"/>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
    <w:basedOn w:val="Normal"/>
    <w:link w:val="Heading6Char"/>
    <w:uiPriority w:val="99"/>
    <w:qFormat/>
    <w:rsid w:val="00D1211D"/>
    <w:pPr>
      <w:tabs>
        <w:tab w:val="num" w:pos="-17"/>
      </w:tabs>
      <w:adjustRightInd w:val="0"/>
      <w:spacing w:after="240" w:line="240" w:lineRule="auto"/>
      <w:ind w:left="4388" w:hanging="737"/>
      <w:jc w:val="both"/>
      <w:outlineLvl w:val="5"/>
    </w:pPr>
    <w:rPr>
      <w:rFonts w:eastAsia="STZhongsong"/>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uiPriority w:val="99"/>
    <w:qFormat/>
    <w:rsid w:val="00D1211D"/>
    <w:pPr>
      <w:tabs>
        <w:tab w:val="num" w:pos="-17"/>
      </w:tabs>
      <w:adjustRightInd w:val="0"/>
      <w:spacing w:after="240" w:line="240" w:lineRule="auto"/>
      <w:ind w:left="5125" w:hanging="737"/>
      <w:jc w:val="both"/>
      <w:outlineLvl w:val="6"/>
    </w:pPr>
    <w:rPr>
      <w:rFonts w:ascii="Times New Roman" w:eastAsia="STZhongsong" w:hAnsi="Times New Roman"/>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uiPriority w:val="99"/>
    <w:qFormat/>
    <w:rsid w:val="00D1211D"/>
    <w:pPr>
      <w:adjustRightInd w:val="0"/>
      <w:spacing w:after="240" w:line="240" w:lineRule="auto"/>
      <w:ind w:left="5845" w:hanging="720"/>
      <w:jc w:val="both"/>
      <w:outlineLvl w:val="7"/>
    </w:pPr>
    <w:rPr>
      <w:rFonts w:ascii="Times New Roman" w:eastAsia="STZhongsong" w:hAnsi="Times New Roman"/>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uiPriority w:val="99"/>
    <w:qFormat/>
    <w:rsid w:val="00D1211D"/>
    <w:pPr>
      <w:adjustRightInd w:val="0"/>
      <w:spacing w:after="240" w:line="240" w:lineRule="auto"/>
      <w:ind w:left="6565" w:hanging="720"/>
      <w:jc w:val="both"/>
      <w:outlineLvl w:val="8"/>
    </w:pPr>
    <w:rPr>
      <w:rFonts w:ascii="Times New Roman" w:eastAsia="STZhongsong" w:hAnsi="Times New Roman"/>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
    <w:rsid w:val="009325D1"/>
    <w:rPr>
      <w:rFonts w:asciiTheme="majorHAnsi" w:eastAsiaTheme="majorEastAsia" w:hAnsiTheme="majorHAnsi" w:cstheme="majorBidi"/>
      <w:b/>
      <w:bCs/>
      <w:kern w:val="32"/>
      <w:sz w:val="32"/>
      <w:szCs w:val="32"/>
      <w:lang w:eastAsia="en-US"/>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locked/>
    <w:rsid w:val="00375AB1"/>
    <w:rPr>
      <w:rFonts w:ascii="Arial" w:hAnsi="Arial" w:cs="Times New Roman"/>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9325D1"/>
    <w:rPr>
      <w:rFonts w:asciiTheme="majorHAnsi" w:eastAsiaTheme="majorEastAsia" w:hAnsiTheme="majorHAnsi" w:cstheme="majorBidi"/>
      <w:b/>
      <w:bCs/>
      <w:sz w:val="26"/>
      <w:szCs w:val="26"/>
      <w:lang w:eastAsia="en-US"/>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uiPriority w:val="99"/>
    <w:locked/>
    <w:rsid w:val="00375AB1"/>
    <w:rPr>
      <w:rFonts w:ascii="Arial" w:eastAsia="STZhongsong" w:hAnsi="Arial" w:cs="Times New Roman"/>
      <w:sz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D1211D"/>
    <w:rPr>
      <w:rFonts w:ascii="Arial" w:eastAsia="STZhongsong" w:hAnsi="Arial" w:cs="Times New Roman"/>
      <w:sz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9"/>
    <w:locked/>
    <w:rsid w:val="00D1211D"/>
    <w:rPr>
      <w:rFonts w:ascii="Arial" w:eastAsia="STZhongsong" w:hAnsi="Arial" w:cs="Times New Roman"/>
      <w:sz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uiPriority w:val="99"/>
    <w:locked/>
    <w:rsid w:val="00D1211D"/>
    <w:rPr>
      <w:rFonts w:ascii="Times New Roman" w:eastAsia="STZhongsong" w:hAnsi="Times New Roman" w:cs="Times New Roman"/>
      <w:sz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uiPriority w:val="99"/>
    <w:locked/>
    <w:rsid w:val="00D1211D"/>
    <w:rPr>
      <w:rFonts w:ascii="Times New Roman" w:eastAsia="STZhongsong" w:hAnsi="Times New Roman" w:cs="Times New Roman"/>
      <w:sz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uiPriority w:val="99"/>
    <w:locked/>
    <w:rsid w:val="00D1211D"/>
    <w:rPr>
      <w:rFonts w:ascii="Times New Roman" w:eastAsia="STZhongsong" w:hAnsi="Times New Roman" w:cs="Times New Roman"/>
      <w:sz w:val="20"/>
      <w:lang w:eastAsia="zh-CN"/>
    </w:rPr>
  </w:style>
  <w:style w:type="character" w:customStyle="1" w:styleId="Heading1Char4">
    <w:name w:val="Heading 1 Char4"/>
    <w:aliases w:val="T&amp;Cs1 Char4,Se Char4,Paragraph Char4,MPS Standard Heading 1 Char4,PA Chapter Char4,h1 Char4,numbered indent 1 Char4,ni1 Char4,Section Char4,Numbered - 1 Char4,Heading.CAPS Char4,H1 Char4,A MAJOR/BOLD Char4,Schedheading Char4"/>
    <w:basedOn w:val="DefaultParagraphFont"/>
    <w:link w:val="Heading1"/>
    <w:uiPriority w:val="99"/>
    <w:locked/>
    <w:rPr>
      <w:rFonts w:ascii="Cambria" w:hAnsi="Cambria" w:cs="Times New Roman"/>
      <w:b/>
      <w:bCs/>
      <w:kern w:val="32"/>
      <w:sz w:val="32"/>
      <w:szCs w:val="32"/>
      <w:lang w:eastAsia="en-US"/>
    </w:rPr>
  </w:style>
  <w:style w:type="character" w:customStyle="1" w:styleId="Heading3Char4">
    <w:name w:val="Heading 3 Char4"/>
    <w:aliases w:val="KJL:2nd Level Char4,H3 Char4,h3 Char4,3 Char4,Numbered - 3 Char4,HeadC Char4,Level 1 - 1 Char4,Minor1 Char4,Para Heading 3 Char4,Para Heading 31 Char4,h31 Char4,Minor Char4,H31 Char4,H32 Char4,H33 Char4,H311 Char4,(Alt+3) Char4,h32 Char4"/>
    <w:basedOn w:val="DefaultParagraphFont"/>
    <w:link w:val="Heading3"/>
    <w:uiPriority w:val="99"/>
    <w:semiHidden/>
    <w:locked/>
    <w:rPr>
      <w:rFonts w:ascii="Cambria" w:hAnsi="Cambria" w:cs="Times New Roman"/>
      <w:b/>
      <w:bCs/>
      <w:sz w:val="26"/>
      <w:szCs w:val="26"/>
      <w:lang w:eastAsia="en-US"/>
    </w:rPr>
  </w:style>
  <w:style w:type="character" w:customStyle="1" w:styleId="Heading1Char3">
    <w:name w:val="Heading 1 Char3"/>
    <w:aliases w:val="T&amp;Cs1 Char3,Se Char3,Paragraph Char3,MPS Standard Heading 1 Char3,PA Chapter Char3,h1 Char3,numbered indent 1 Char3,ni1 Char3,Section Char3,Numbered - 1 Char3,Heading.CAPS Char3,H1 Char3,A MAJOR/BOLD Char3,Schedheading Char3"/>
    <w:uiPriority w:val="99"/>
    <w:rsid w:val="00F044EA"/>
    <w:rPr>
      <w:rFonts w:ascii="Cambria" w:hAnsi="Cambria"/>
      <w:b/>
      <w:kern w:val="32"/>
      <w:sz w:val="32"/>
      <w:lang w:eastAsia="en-US"/>
    </w:rPr>
  </w:style>
  <w:style w:type="character" w:customStyle="1" w:styleId="Heading3Char3">
    <w:name w:val="Heading 3 Char3"/>
    <w:aliases w:val="KJL:2nd Level Char3,H3 Char3,h3 Char3,3 Char3,Numbered - 3 Char3,HeadC Char3,Level 1 - 1 Char3,Minor1 Char3,Para Heading 3 Char3,Para Heading 31 Char3,h31 Char3,Minor Char3,H31 Char3,H32 Char3,H33 Char3,H311 Char3,(Alt+3) Char3,h32 Char3"/>
    <w:uiPriority w:val="99"/>
    <w:semiHidden/>
    <w:rsid w:val="00F044EA"/>
    <w:rPr>
      <w:rFonts w:ascii="Cambria" w:hAnsi="Cambria"/>
      <w:b/>
      <w:sz w:val="26"/>
      <w:lang w:eastAsia="en-US"/>
    </w:rPr>
  </w:style>
  <w:style w:type="character" w:customStyle="1" w:styleId="Heading1Char2">
    <w:name w:val="Heading 1 Char2"/>
    <w:aliases w:val="T&amp;Cs1 Char2,Se Char2,Paragraph Char2,MPS Standard Heading 1 Char2,PA Chapter Char2,h1 Char2,numbered indent 1 Char2,ni1 Char2,Section Char2,Numbered - 1 Char2,Heading.CAPS Char2,H1 Char2,A MAJOR/BOLD Char2,Schedheading Char2"/>
    <w:uiPriority w:val="99"/>
    <w:locked/>
    <w:rsid w:val="000B5C57"/>
    <w:rPr>
      <w:rFonts w:ascii="Cambria" w:hAnsi="Cambria"/>
      <w:b/>
      <w:kern w:val="32"/>
      <w:sz w:val="32"/>
      <w:lang w:eastAsia="en-US"/>
    </w:rPr>
  </w:style>
  <w:style w:type="character" w:customStyle="1" w:styleId="Heading3Char2">
    <w:name w:val="Heading 3 Char2"/>
    <w:aliases w:val="KJL:2nd Level Char2,H3 Char2,h3 Char2,3 Char2,Numbered - 3 Char2,HeadC Char2,Level 1 - 1 Char2,Minor1 Char2,Para Heading 3 Char2,Para Heading 31 Char2,h31 Char2,Minor Char2,H31 Char2,H32 Char2,H33 Char2,H311 Char2,(Alt+3) Char2,h32 Char2"/>
    <w:uiPriority w:val="99"/>
    <w:semiHidden/>
    <w:locked/>
    <w:rsid w:val="000B5C57"/>
    <w:rPr>
      <w:rFonts w:ascii="Cambria" w:hAnsi="Cambria"/>
      <w:b/>
      <w:sz w:val="26"/>
      <w:lang w:eastAsia="en-US"/>
    </w:rPr>
  </w:style>
  <w:style w:type="character" w:customStyle="1" w:styleId="Heading1Char1">
    <w:name w:val="Heading 1 Char1"/>
    <w:aliases w:val="T&amp;Cs1 Char1,Se Char1,Paragraph Char1,MPS Standard Heading 1 Char1,PA Chapter Char1,h1 Char1,numbered indent 1 Char1,ni1 Char1,Section Char1,Numbered - 1 Char1,Heading.CAPS Char1,H1 Char1,A MAJOR/BOLD Char1,Schedheading Char1,2 Char"/>
    <w:link w:val="Heading1"/>
    <w:uiPriority w:val="99"/>
    <w:locked/>
    <w:rsid w:val="00375AB1"/>
    <w:rPr>
      <w:rFonts w:ascii="Arial" w:eastAsia="STZhongsong" w:hAnsi="Arial"/>
      <w:b/>
      <w:lang w:eastAsia="zh-CN"/>
    </w:rPr>
  </w:style>
  <w:style w:type="character" w:customStyle="1" w:styleId="Heading3Char1">
    <w:name w:val="Heading 3 Char1"/>
    <w:aliases w:val="KJL:2nd Level Char1,H3 Char1,h3 Char1,3 Char1,Numbered - 3 Char1,HeadC Char1,Level 1 - 1 Char1,Minor1 Char1,Para Heading 3 Char1,Para Heading 31 Char1,h31 Char1,Minor Char1,H31 Char1,H32 Char1,H33 Char1,H311 Char1,(Alt+3) Char1,h32 Char1"/>
    <w:link w:val="Heading3"/>
    <w:uiPriority w:val="99"/>
    <w:semiHidden/>
    <w:locked/>
    <w:rsid w:val="00375AB1"/>
    <w:rPr>
      <w:rFonts w:ascii="Cambria" w:hAnsi="Cambria"/>
      <w:b/>
      <w:color w:val="4F81BD"/>
      <w:sz w:val="20"/>
    </w:rPr>
  </w:style>
  <w:style w:type="paragraph" w:styleId="Header">
    <w:name w:val="header"/>
    <w:basedOn w:val="Normal"/>
    <w:link w:val="HeaderChar"/>
    <w:uiPriority w:val="99"/>
    <w:semiHidden/>
    <w:rsid w:val="00E47E04"/>
    <w:pPr>
      <w:tabs>
        <w:tab w:val="center" w:pos="4513"/>
        <w:tab w:val="right" w:pos="9026"/>
      </w:tabs>
      <w:spacing w:after="0" w:line="240" w:lineRule="auto"/>
    </w:pPr>
    <w:rPr>
      <w:szCs w:val="20"/>
      <w:lang w:eastAsia="en-GB"/>
    </w:rPr>
  </w:style>
  <w:style w:type="character" w:customStyle="1" w:styleId="HeaderChar">
    <w:name w:val="Header Char"/>
    <w:basedOn w:val="DefaultParagraphFont"/>
    <w:link w:val="Header"/>
    <w:uiPriority w:val="99"/>
    <w:semiHidden/>
    <w:locked/>
    <w:rsid w:val="00E47E04"/>
    <w:rPr>
      <w:rFonts w:ascii="Arial" w:hAnsi="Arial" w:cs="Times New Roman"/>
      <w:sz w:val="20"/>
    </w:rPr>
  </w:style>
  <w:style w:type="paragraph" w:styleId="Footer">
    <w:name w:val="footer"/>
    <w:basedOn w:val="Normal"/>
    <w:link w:val="FooterChar"/>
    <w:uiPriority w:val="99"/>
    <w:semiHidden/>
    <w:rsid w:val="00E47E04"/>
    <w:pPr>
      <w:tabs>
        <w:tab w:val="center" w:pos="4513"/>
        <w:tab w:val="right" w:pos="9026"/>
      </w:tabs>
      <w:spacing w:after="0" w:line="240" w:lineRule="auto"/>
    </w:pPr>
    <w:rPr>
      <w:szCs w:val="20"/>
      <w:lang w:eastAsia="en-GB"/>
    </w:rPr>
  </w:style>
  <w:style w:type="character" w:customStyle="1" w:styleId="FooterChar">
    <w:name w:val="Footer Char"/>
    <w:basedOn w:val="DefaultParagraphFont"/>
    <w:link w:val="Footer"/>
    <w:uiPriority w:val="99"/>
    <w:semiHidden/>
    <w:locked/>
    <w:rsid w:val="00E47E04"/>
    <w:rPr>
      <w:rFonts w:ascii="Arial" w:hAnsi="Arial" w:cs="Times New Roman"/>
      <w:sz w:val="20"/>
    </w:rPr>
  </w:style>
  <w:style w:type="paragraph" w:customStyle="1" w:styleId="Recitals">
    <w:name w:val="Recitals"/>
    <w:basedOn w:val="Normal"/>
    <w:uiPriority w:val="99"/>
    <w:rsid w:val="00B3664F"/>
    <w:pPr>
      <w:numPr>
        <w:numId w:val="1"/>
      </w:numPr>
      <w:ind w:left="709" w:hanging="709"/>
    </w:pPr>
  </w:style>
  <w:style w:type="paragraph" w:customStyle="1" w:styleId="FWClauseL1">
    <w:name w:val="FW Clause L1"/>
    <w:basedOn w:val="Normal"/>
    <w:uiPriority w:val="99"/>
    <w:rsid w:val="009C7AEA"/>
    <w:pPr>
      <w:numPr>
        <w:numId w:val="2"/>
      </w:numPr>
      <w:spacing w:before="120"/>
      <w:ind w:left="709" w:hanging="709"/>
    </w:pPr>
  </w:style>
  <w:style w:type="character" w:customStyle="1" w:styleId="ClauseTitle">
    <w:name w:val="Clause Title"/>
    <w:uiPriority w:val="99"/>
    <w:rsid w:val="00055439"/>
    <w:rPr>
      <w:b/>
      <w:caps/>
      <w:u w:val="single"/>
    </w:rPr>
  </w:style>
  <w:style w:type="paragraph" w:customStyle="1" w:styleId="FWClauseL2">
    <w:name w:val="FW Clause L2"/>
    <w:basedOn w:val="FWClauseL1"/>
    <w:uiPriority w:val="99"/>
    <w:rsid w:val="00422BCC"/>
    <w:pPr>
      <w:numPr>
        <w:ilvl w:val="1"/>
      </w:numPr>
      <w:ind w:firstLine="0"/>
    </w:pPr>
  </w:style>
  <w:style w:type="paragraph" w:customStyle="1" w:styleId="FWClauseL3">
    <w:name w:val="FW Clause L3"/>
    <w:basedOn w:val="FWClauseL2"/>
    <w:uiPriority w:val="99"/>
    <w:rsid w:val="005F442B"/>
    <w:pPr>
      <w:numPr>
        <w:ilvl w:val="2"/>
      </w:numPr>
      <w:ind w:left="2552" w:hanging="992"/>
    </w:pPr>
  </w:style>
  <w:style w:type="paragraph" w:customStyle="1" w:styleId="FWClauseL4">
    <w:name w:val="FW Clause L4"/>
    <w:basedOn w:val="FWClauseL2"/>
    <w:uiPriority w:val="99"/>
    <w:rsid w:val="00C92CB2"/>
    <w:pPr>
      <w:numPr>
        <w:ilvl w:val="3"/>
      </w:numPr>
      <w:ind w:left="3828" w:hanging="1276"/>
    </w:pPr>
  </w:style>
  <w:style w:type="character" w:customStyle="1" w:styleId="DefinedTerm">
    <w:name w:val="Defined Term"/>
    <w:uiPriority w:val="99"/>
    <w:rsid w:val="00AA2086"/>
    <w:rPr>
      <w:b/>
    </w:rPr>
  </w:style>
  <w:style w:type="character" w:customStyle="1" w:styleId="GuidanceNote">
    <w:name w:val="Guidance Note"/>
    <w:uiPriority w:val="99"/>
    <w:rsid w:val="00AA2086"/>
    <w:rPr>
      <w:shd w:val="clear" w:color="auto" w:fill="92D050"/>
    </w:rPr>
  </w:style>
  <w:style w:type="character" w:customStyle="1" w:styleId="InfillNote">
    <w:name w:val="Infill Note"/>
    <w:uiPriority w:val="99"/>
    <w:rsid w:val="00AA2086"/>
    <w:rPr>
      <w:shd w:val="clear" w:color="auto" w:fill="FFFF00"/>
    </w:rPr>
  </w:style>
  <w:style w:type="paragraph" w:customStyle="1" w:styleId="ScheduleTitle">
    <w:name w:val="Schedule Title"/>
    <w:basedOn w:val="Normal"/>
    <w:next w:val="Normal"/>
    <w:link w:val="ScheduleTitleChar"/>
    <w:uiPriority w:val="99"/>
    <w:rsid w:val="008D65F3"/>
    <w:pPr>
      <w:numPr>
        <w:numId w:val="7"/>
      </w:numPr>
      <w:jc w:val="center"/>
      <w:outlineLvl w:val="0"/>
    </w:pPr>
    <w:rPr>
      <w:b/>
      <w:sz w:val="28"/>
      <w:szCs w:val="20"/>
      <w:lang w:eastAsia="en-GB"/>
    </w:rPr>
  </w:style>
  <w:style w:type="character" w:customStyle="1" w:styleId="ScheduleTitleChar">
    <w:name w:val="Schedule Title Char"/>
    <w:link w:val="ScheduleTitle"/>
    <w:uiPriority w:val="99"/>
    <w:locked/>
    <w:rsid w:val="008D65F3"/>
    <w:rPr>
      <w:rFonts w:ascii="Arial" w:hAnsi="Arial"/>
      <w:b/>
      <w:sz w:val="28"/>
    </w:rPr>
  </w:style>
  <w:style w:type="paragraph" w:customStyle="1" w:styleId="FWClauseL1Content">
    <w:name w:val="FW Clause L1 Content"/>
    <w:basedOn w:val="FWClauseL1"/>
    <w:next w:val="FWClauseL1"/>
    <w:uiPriority w:val="99"/>
    <w:rsid w:val="008D65F3"/>
    <w:pPr>
      <w:outlineLvl w:val="0"/>
    </w:pPr>
  </w:style>
  <w:style w:type="paragraph" w:styleId="ListParagraph">
    <w:name w:val="List Paragraph"/>
    <w:basedOn w:val="Normal"/>
    <w:uiPriority w:val="99"/>
    <w:qFormat/>
    <w:rsid w:val="001126F7"/>
    <w:pPr>
      <w:ind w:left="720"/>
      <w:contextualSpacing/>
    </w:pPr>
  </w:style>
  <w:style w:type="paragraph" w:customStyle="1" w:styleId="COClauseL1">
    <w:name w:val="CO Clause L1"/>
    <w:basedOn w:val="Normal"/>
    <w:uiPriority w:val="99"/>
    <w:rsid w:val="00F22196"/>
    <w:pPr>
      <w:numPr>
        <w:numId w:val="5"/>
      </w:numPr>
      <w:ind w:left="709" w:hanging="709"/>
    </w:pPr>
  </w:style>
  <w:style w:type="paragraph" w:customStyle="1" w:styleId="COClauseL1Content">
    <w:name w:val="CO Clause L1 Content"/>
    <w:basedOn w:val="COClauseL1"/>
    <w:next w:val="COClauseL1"/>
    <w:uiPriority w:val="99"/>
    <w:rsid w:val="00F22196"/>
    <w:pPr>
      <w:outlineLvl w:val="0"/>
    </w:pPr>
  </w:style>
  <w:style w:type="paragraph" w:customStyle="1" w:styleId="COClauseL2">
    <w:name w:val="CO Clause L2"/>
    <w:basedOn w:val="COClauseL1"/>
    <w:uiPriority w:val="99"/>
    <w:rsid w:val="00F22196"/>
    <w:pPr>
      <w:numPr>
        <w:ilvl w:val="1"/>
      </w:numPr>
      <w:ind w:left="1560" w:hanging="851"/>
    </w:pPr>
  </w:style>
  <w:style w:type="paragraph" w:customStyle="1" w:styleId="COClauseL3">
    <w:name w:val="CO Clause L3"/>
    <w:basedOn w:val="COClauseL2"/>
    <w:uiPriority w:val="99"/>
    <w:rsid w:val="00F22196"/>
    <w:pPr>
      <w:numPr>
        <w:ilvl w:val="2"/>
      </w:numPr>
      <w:ind w:left="2552" w:hanging="992"/>
    </w:pPr>
  </w:style>
  <w:style w:type="paragraph" w:customStyle="1" w:styleId="COClauseL4">
    <w:name w:val="CO Clause L4"/>
    <w:basedOn w:val="COClauseL3"/>
    <w:uiPriority w:val="99"/>
    <w:rsid w:val="00F22196"/>
    <w:pPr>
      <w:numPr>
        <w:ilvl w:val="3"/>
      </w:numPr>
      <w:ind w:left="3686" w:hanging="1134"/>
    </w:pPr>
  </w:style>
  <w:style w:type="paragraph" w:customStyle="1" w:styleId="SClauseL1">
    <w:name w:val="S Clause L1"/>
    <w:basedOn w:val="Normal"/>
    <w:uiPriority w:val="99"/>
    <w:rsid w:val="00040187"/>
    <w:pPr>
      <w:numPr>
        <w:ilvl w:val="1"/>
        <w:numId w:val="7"/>
      </w:numPr>
    </w:pPr>
  </w:style>
  <w:style w:type="paragraph" w:customStyle="1" w:styleId="SClauseL2">
    <w:name w:val="S Clause L2"/>
    <w:basedOn w:val="SClauseL1"/>
    <w:uiPriority w:val="99"/>
    <w:rsid w:val="005F0827"/>
    <w:pPr>
      <w:numPr>
        <w:ilvl w:val="2"/>
      </w:numPr>
    </w:pPr>
  </w:style>
  <w:style w:type="paragraph" w:customStyle="1" w:styleId="SClauseL3">
    <w:name w:val="S Clause L3"/>
    <w:basedOn w:val="SClauseL2"/>
    <w:uiPriority w:val="99"/>
    <w:rsid w:val="008468F9"/>
    <w:pPr>
      <w:numPr>
        <w:ilvl w:val="3"/>
      </w:numPr>
    </w:pPr>
  </w:style>
  <w:style w:type="paragraph" w:customStyle="1" w:styleId="SClauseL4">
    <w:name w:val="S Clause L4"/>
    <w:basedOn w:val="SClauseL3"/>
    <w:uiPriority w:val="99"/>
    <w:rsid w:val="00040187"/>
    <w:pPr>
      <w:numPr>
        <w:ilvl w:val="4"/>
      </w:numPr>
      <w:ind w:left="3686" w:hanging="1134"/>
    </w:pPr>
  </w:style>
  <w:style w:type="paragraph" w:customStyle="1" w:styleId="SClauseL1Content">
    <w:name w:val="S Clause L1 Content"/>
    <w:basedOn w:val="SClauseL1"/>
    <w:next w:val="SClauseL1"/>
    <w:uiPriority w:val="99"/>
    <w:rsid w:val="00040187"/>
    <w:pPr>
      <w:outlineLvl w:val="0"/>
    </w:pPr>
  </w:style>
  <w:style w:type="paragraph" w:customStyle="1" w:styleId="Level1">
    <w:name w:val="Level 1"/>
    <w:basedOn w:val="Normal"/>
    <w:uiPriority w:val="99"/>
    <w:rsid w:val="00636FA4"/>
    <w:pPr>
      <w:numPr>
        <w:numId w:val="23"/>
      </w:numPr>
      <w:spacing w:after="240" w:line="240" w:lineRule="auto"/>
      <w:jc w:val="both"/>
    </w:pPr>
    <w:rPr>
      <w:rFonts w:ascii="Times New Roman Bold" w:eastAsia="Times New Roman" w:hAnsi="Times New Roman Bold"/>
      <w:b/>
      <w:caps/>
      <w:sz w:val="22"/>
      <w:szCs w:val="20"/>
      <w:u w:val="single"/>
    </w:rPr>
  </w:style>
  <w:style w:type="paragraph" w:customStyle="1" w:styleId="Level2">
    <w:name w:val="Level 2"/>
    <w:basedOn w:val="Normal"/>
    <w:uiPriority w:val="99"/>
    <w:rsid w:val="00636FA4"/>
    <w:pPr>
      <w:numPr>
        <w:ilvl w:val="1"/>
        <w:numId w:val="23"/>
      </w:numPr>
      <w:tabs>
        <w:tab w:val="clear" w:pos="1358"/>
        <w:tab w:val="left" w:pos="1080"/>
        <w:tab w:val="num" w:pos="1216"/>
      </w:tabs>
      <w:spacing w:after="240" w:line="240" w:lineRule="auto"/>
      <w:ind w:left="1216"/>
      <w:jc w:val="both"/>
    </w:pPr>
    <w:rPr>
      <w:rFonts w:ascii="Times New Roman" w:eastAsia="Times New Roman" w:hAnsi="Times New Roman"/>
      <w:sz w:val="22"/>
    </w:rPr>
  </w:style>
  <w:style w:type="paragraph" w:customStyle="1" w:styleId="Level4">
    <w:name w:val="Level 4"/>
    <w:basedOn w:val="Normal"/>
    <w:uiPriority w:val="99"/>
    <w:rsid w:val="00636FA4"/>
    <w:pPr>
      <w:numPr>
        <w:ilvl w:val="3"/>
        <w:numId w:val="23"/>
      </w:numPr>
      <w:tabs>
        <w:tab w:val="clear" w:pos="3410"/>
        <w:tab w:val="num" w:pos="2376"/>
      </w:tabs>
      <w:spacing w:after="240" w:line="240" w:lineRule="auto"/>
      <w:ind w:left="2376"/>
      <w:jc w:val="both"/>
    </w:pPr>
    <w:rPr>
      <w:rFonts w:eastAsia="Times New Roman"/>
      <w:sz w:val="22"/>
      <w:szCs w:val="20"/>
    </w:rPr>
  </w:style>
  <w:style w:type="paragraph" w:customStyle="1" w:styleId="Level5">
    <w:name w:val="Level 5"/>
    <w:basedOn w:val="Normal"/>
    <w:uiPriority w:val="99"/>
    <w:rsid w:val="00636FA4"/>
    <w:pPr>
      <w:numPr>
        <w:ilvl w:val="4"/>
        <w:numId w:val="23"/>
      </w:numPr>
      <w:spacing w:after="240" w:line="240" w:lineRule="auto"/>
      <w:jc w:val="both"/>
    </w:pPr>
    <w:rPr>
      <w:rFonts w:eastAsia="Times New Roman"/>
      <w:sz w:val="22"/>
      <w:szCs w:val="20"/>
    </w:rPr>
  </w:style>
  <w:style w:type="paragraph" w:customStyle="1" w:styleId="Level6">
    <w:name w:val="Level 6"/>
    <w:basedOn w:val="Normal"/>
    <w:uiPriority w:val="99"/>
    <w:rsid w:val="00636FA4"/>
    <w:pPr>
      <w:numPr>
        <w:ilvl w:val="5"/>
        <w:numId w:val="23"/>
      </w:numPr>
      <w:spacing w:after="240" w:line="240" w:lineRule="auto"/>
      <w:jc w:val="both"/>
    </w:pPr>
    <w:rPr>
      <w:rFonts w:eastAsia="Times New Roman"/>
      <w:sz w:val="22"/>
      <w:szCs w:val="20"/>
    </w:rPr>
  </w:style>
  <w:style w:type="paragraph" w:customStyle="1" w:styleId="Level7">
    <w:name w:val="Level 7"/>
    <w:basedOn w:val="Normal"/>
    <w:uiPriority w:val="99"/>
    <w:rsid w:val="00636FA4"/>
    <w:pPr>
      <w:numPr>
        <w:ilvl w:val="6"/>
        <w:numId w:val="23"/>
      </w:numPr>
      <w:spacing w:after="240" w:line="240" w:lineRule="auto"/>
      <w:jc w:val="both"/>
    </w:pPr>
    <w:rPr>
      <w:rFonts w:eastAsia="Times New Roman"/>
      <w:sz w:val="22"/>
      <w:szCs w:val="20"/>
    </w:rPr>
  </w:style>
  <w:style w:type="paragraph" w:customStyle="1" w:styleId="Level8">
    <w:name w:val="Level 8"/>
    <w:basedOn w:val="Normal"/>
    <w:uiPriority w:val="99"/>
    <w:rsid w:val="00636FA4"/>
    <w:pPr>
      <w:numPr>
        <w:ilvl w:val="7"/>
        <w:numId w:val="23"/>
      </w:numPr>
      <w:spacing w:after="240" w:line="240" w:lineRule="auto"/>
      <w:jc w:val="both"/>
    </w:pPr>
    <w:rPr>
      <w:rFonts w:eastAsia="Times New Roman"/>
      <w:sz w:val="22"/>
      <w:szCs w:val="20"/>
    </w:rPr>
  </w:style>
  <w:style w:type="paragraph" w:customStyle="1" w:styleId="Level9">
    <w:name w:val="Level 9"/>
    <w:basedOn w:val="Normal"/>
    <w:uiPriority w:val="99"/>
    <w:rsid w:val="00636FA4"/>
    <w:pPr>
      <w:numPr>
        <w:ilvl w:val="8"/>
        <w:numId w:val="23"/>
      </w:numPr>
      <w:spacing w:after="240" w:line="240" w:lineRule="auto"/>
      <w:jc w:val="both"/>
    </w:pPr>
    <w:rPr>
      <w:rFonts w:eastAsia="Times New Roman"/>
      <w:sz w:val="22"/>
      <w:szCs w:val="20"/>
    </w:rPr>
  </w:style>
  <w:style w:type="paragraph" w:styleId="BalloonText">
    <w:name w:val="Balloon Text"/>
    <w:basedOn w:val="Normal"/>
    <w:link w:val="BalloonTextChar"/>
    <w:uiPriority w:val="99"/>
    <w:semiHidden/>
    <w:rsid w:val="00A655C0"/>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A655C0"/>
    <w:rPr>
      <w:rFonts w:ascii="Tahoma" w:hAnsi="Tahoma" w:cs="Times New Roman"/>
      <w:sz w:val="16"/>
    </w:rPr>
  </w:style>
  <w:style w:type="character" w:styleId="CommentReference">
    <w:name w:val="annotation reference"/>
    <w:basedOn w:val="DefaultParagraphFont"/>
    <w:uiPriority w:val="99"/>
    <w:semiHidden/>
    <w:rsid w:val="0005377E"/>
    <w:rPr>
      <w:rFonts w:cs="Times New Roman"/>
      <w:sz w:val="16"/>
    </w:rPr>
  </w:style>
  <w:style w:type="paragraph" w:styleId="CommentText">
    <w:name w:val="annotation text"/>
    <w:basedOn w:val="Normal"/>
    <w:link w:val="CommentTextChar"/>
    <w:uiPriority w:val="99"/>
    <w:semiHidden/>
    <w:rsid w:val="0005377E"/>
    <w:pPr>
      <w:spacing w:line="240" w:lineRule="auto"/>
    </w:pPr>
    <w:rPr>
      <w:szCs w:val="20"/>
      <w:lang w:eastAsia="en-GB"/>
    </w:rPr>
  </w:style>
  <w:style w:type="character" w:customStyle="1" w:styleId="CommentTextChar">
    <w:name w:val="Comment Text Char"/>
    <w:basedOn w:val="DefaultParagraphFont"/>
    <w:link w:val="CommentText"/>
    <w:uiPriority w:val="99"/>
    <w:semiHidden/>
    <w:locked/>
    <w:rsid w:val="0005377E"/>
    <w:rPr>
      <w:rFonts w:ascii="Arial" w:hAnsi="Arial" w:cs="Times New Roman"/>
      <w:sz w:val="20"/>
    </w:rPr>
  </w:style>
  <w:style w:type="paragraph" w:styleId="CommentSubject">
    <w:name w:val="annotation subject"/>
    <w:basedOn w:val="CommentText"/>
    <w:next w:val="CommentText"/>
    <w:link w:val="CommentSubjectChar"/>
    <w:uiPriority w:val="99"/>
    <w:semiHidden/>
    <w:rsid w:val="0005377E"/>
    <w:rPr>
      <w:b/>
      <w:bCs/>
    </w:rPr>
  </w:style>
  <w:style w:type="character" w:customStyle="1" w:styleId="CommentSubjectChar">
    <w:name w:val="Comment Subject Char"/>
    <w:basedOn w:val="CommentTextChar"/>
    <w:link w:val="CommentSubject"/>
    <w:uiPriority w:val="99"/>
    <w:semiHidden/>
    <w:locked/>
    <w:rsid w:val="0005377E"/>
    <w:rPr>
      <w:b/>
    </w:rPr>
  </w:style>
  <w:style w:type="paragraph" w:customStyle="1" w:styleId="TERMSHEADING3">
    <w:name w:val="TERMS HEADING 3"/>
    <w:basedOn w:val="Normal"/>
    <w:uiPriority w:val="99"/>
    <w:rsid w:val="00375AB1"/>
    <w:pPr>
      <w:numPr>
        <w:ilvl w:val="2"/>
        <w:numId w:val="30"/>
      </w:numPr>
      <w:tabs>
        <w:tab w:val="left" w:pos="1418"/>
      </w:tabs>
      <w:adjustRightInd w:val="0"/>
      <w:spacing w:after="240" w:line="240" w:lineRule="auto"/>
      <w:ind w:left="1985" w:hanging="851"/>
      <w:jc w:val="both"/>
    </w:pPr>
    <w:rPr>
      <w:rFonts w:eastAsia="STZhongsong"/>
      <w:sz w:val="22"/>
      <w:szCs w:val="20"/>
      <w:lang w:eastAsia="zh-CN"/>
    </w:rPr>
  </w:style>
  <w:style w:type="paragraph" w:customStyle="1" w:styleId="TCsL3">
    <w:name w:val="T&amp;Cs L3"/>
    <w:basedOn w:val="TERMSHEADING3"/>
    <w:link w:val="TCsL3Char"/>
    <w:uiPriority w:val="99"/>
    <w:rsid w:val="00375AB1"/>
    <w:pPr>
      <w:tabs>
        <w:tab w:val="clear" w:pos="1418"/>
        <w:tab w:val="left" w:pos="2410"/>
      </w:tabs>
      <w:spacing w:before="120" w:after="120"/>
      <w:ind w:left="2410" w:hanging="992"/>
    </w:pPr>
    <w:rPr>
      <w:sz w:val="20"/>
    </w:rPr>
  </w:style>
  <w:style w:type="character" w:customStyle="1" w:styleId="TCsL3Char">
    <w:name w:val="T&amp;Cs L3 Char"/>
    <w:link w:val="TCsL3"/>
    <w:uiPriority w:val="99"/>
    <w:locked/>
    <w:rsid w:val="00375AB1"/>
    <w:rPr>
      <w:rFonts w:ascii="Arial" w:eastAsia="STZhongsong" w:hAnsi="Arial"/>
      <w:sz w:val="20"/>
      <w:lang w:eastAsia="zh-CN"/>
    </w:rPr>
  </w:style>
  <w:style w:type="paragraph" w:styleId="TOCHeading">
    <w:name w:val="TOC Heading"/>
    <w:basedOn w:val="Heading1"/>
    <w:next w:val="Normal"/>
    <w:uiPriority w:val="99"/>
    <w:qFormat/>
    <w:rsid w:val="003C05F8"/>
    <w:pPr>
      <w:keepNext/>
      <w:keepLines/>
      <w:numPr>
        <w:numId w:val="0"/>
      </w:numPr>
      <w:tabs>
        <w:tab w:val="clear" w:pos="1418"/>
      </w:tabs>
      <w:adjustRightInd/>
      <w:spacing w:before="480" w:after="0" w:line="276" w:lineRule="auto"/>
      <w:jc w:val="left"/>
      <w:outlineLvl w:val="9"/>
    </w:pPr>
    <w:rPr>
      <w:rFonts w:ascii="Cambria" w:eastAsia="Times New Roman" w:hAnsi="Cambria"/>
      <w:bCs/>
      <w:color w:val="365F91"/>
      <w:sz w:val="28"/>
      <w:szCs w:val="28"/>
      <w:lang w:val="en-US" w:eastAsia="en-US"/>
    </w:rPr>
  </w:style>
  <w:style w:type="paragraph" w:styleId="TOC1">
    <w:name w:val="toc 1"/>
    <w:basedOn w:val="Normal"/>
    <w:next w:val="Normal"/>
    <w:autoRedefine/>
    <w:uiPriority w:val="99"/>
    <w:rsid w:val="003C05F8"/>
    <w:pPr>
      <w:spacing w:after="100"/>
    </w:pPr>
  </w:style>
  <w:style w:type="character" w:styleId="Hyperlink">
    <w:name w:val="Hyperlink"/>
    <w:basedOn w:val="DefaultParagraphFont"/>
    <w:uiPriority w:val="99"/>
    <w:rsid w:val="003C05F8"/>
    <w:rPr>
      <w:rFonts w:cs="Times New Roman"/>
      <w:color w:val="0000FF"/>
      <w:u w:val="single"/>
    </w:rPr>
  </w:style>
  <w:style w:type="paragraph" w:customStyle="1" w:styleId="GPSL1CLAUSEHEADING">
    <w:name w:val="GPS L1 CLAUSE HEADING"/>
    <w:basedOn w:val="Normal"/>
    <w:next w:val="Normal"/>
    <w:uiPriority w:val="99"/>
    <w:rsid w:val="00164B40"/>
    <w:pPr>
      <w:numPr>
        <w:numId w:val="35"/>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uiPriority w:val="99"/>
    <w:rsid w:val="00164B40"/>
    <w:pPr>
      <w:numPr>
        <w:ilvl w:val="2"/>
        <w:numId w:val="35"/>
      </w:numPr>
      <w:tabs>
        <w:tab w:val="left" w:pos="2127"/>
      </w:tabs>
      <w:adjustRightInd w:val="0"/>
      <w:spacing w:before="120" w:after="120" w:line="240" w:lineRule="auto"/>
      <w:ind w:left="2127"/>
      <w:jc w:val="both"/>
    </w:pPr>
    <w:rPr>
      <w:szCs w:val="20"/>
      <w:lang w:eastAsia="zh-CN"/>
    </w:rPr>
  </w:style>
  <w:style w:type="character" w:customStyle="1" w:styleId="GPSL3numberedclauseChar">
    <w:name w:val="GPS L3 numbered clause Char"/>
    <w:link w:val="GPSL3numberedclause"/>
    <w:uiPriority w:val="99"/>
    <w:locked/>
    <w:rsid w:val="00164B40"/>
    <w:rPr>
      <w:rFonts w:ascii="Arial" w:hAnsi="Arial"/>
      <w:lang w:eastAsia="zh-CN"/>
    </w:rPr>
  </w:style>
  <w:style w:type="paragraph" w:customStyle="1" w:styleId="GPSL4numberedclause">
    <w:name w:val="GPS L4 numbered clause"/>
    <w:basedOn w:val="GPSL3numberedclause"/>
    <w:link w:val="GPSL4numberedclauseChar"/>
    <w:uiPriority w:val="99"/>
    <w:rsid w:val="00164B40"/>
    <w:pPr>
      <w:numPr>
        <w:ilvl w:val="3"/>
      </w:numPr>
      <w:tabs>
        <w:tab w:val="clear" w:pos="2127"/>
        <w:tab w:val="left" w:pos="2694"/>
      </w:tabs>
      <w:ind w:left="2694" w:hanging="567"/>
    </w:pPr>
  </w:style>
  <w:style w:type="character" w:customStyle="1" w:styleId="GPSL4numberedclauseChar">
    <w:name w:val="GPS L4 numbered clause Char"/>
    <w:link w:val="GPSL4numberedclause"/>
    <w:uiPriority w:val="99"/>
    <w:locked/>
    <w:rsid w:val="00164B40"/>
    <w:rPr>
      <w:rFonts w:ascii="Arial" w:hAnsi="Arial"/>
      <w:lang w:eastAsia="zh-CN"/>
    </w:rPr>
  </w:style>
  <w:style w:type="paragraph" w:customStyle="1" w:styleId="GPSL5numberedclause">
    <w:name w:val="GPS L5 numbered clause"/>
    <w:basedOn w:val="GPSL4numberedclause"/>
    <w:link w:val="GPSL5numberedclauseChar"/>
    <w:uiPriority w:val="99"/>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uiPriority w:val="99"/>
    <w:locked/>
    <w:rsid w:val="00164B40"/>
    <w:rPr>
      <w:rFonts w:cs="Arial"/>
    </w:rPr>
  </w:style>
  <w:style w:type="paragraph" w:customStyle="1" w:styleId="GPSL2NumberedBoldHeading">
    <w:name w:val="GPS L2 Numbered Bold Heading"/>
    <w:basedOn w:val="Normal"/>
    <w:link w:val="GPSL2NumberedBoldHeadingChar"/>
    <w:uiPriority w:val="99"/>
    <w:rsid w:val="00164B40"/>
    <w:pPr>
      <w:tabs>
        <w:tab w:val="left" w:pos="1418"/>
      </w:tabs>
      <w:adjustRightInd w:val="0"/>
      <w:spacing w:before="120" w:after="120" w:line="240" w:lineRule="auto"/>
      <w:ind w:left="1418" w:hanging="709"/>
      <w:jc w:val="both"/>
    </w:pPr>
    <w:rPr>
      <w:b/>
      <w:szCs w:val="20"/>
      <w:lang w:eastAsia="zh-CN"/>
    </w:rPr>
  </w:style>
  <w:style w:type="character" w:customStyle="1" w:styleId="GPSL2NumberedBoldHeadingChar">
    <w:name w:val="GPS L2 Numbered Bold Heading Char"/>
    <w:link w:val="GPSL2NumberedBoldHeading"/>
    <w:uiPriority w:val="99"/>
    <w:locked/>
    <w:rsid w:val="00164B40"/>
    <w:rPr>
      <w:rFonts w:ascii="Arial" w:hAnsi="Arial"/>
      <w:b/>
      <w:lang w:eastAsia="zh-CN"/>
    </w:rPr>
  </w:style>
  <w:style w:type="paragraph" w:customStyle="1" w:styleId="GPSL6numbered">
    <w:name w:val="GPS L6 numbered"/>
    <w:basedOn w:val="GPSL5numberedclause"/>
    <w:uiPriority w:val="99"/>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uiPriority w:val="99"/>
    <w:rsid w:val="00263FF1"/>
    <w:pPr>
      <w:adjustRightInd w:val="0"/>
      <w:spacing w:after="240" w:line="240" w:lineRule="auto"/>
      <w:jc w:val="both"/>
    </w:pPr>
    <w:rPr>
      <w:rFonts w:eastAsia="STZhongsong"/>
      <w:szCs w:val="20"/>
      <w:lang w:eastAsia="zh-CN"/>
    </w:rPr>
  </w:style>
  <w:style w:type="character" w:customStyle="1" w:styleId="MarginTextChar">
    <w:name w:val="Margin Text Char"/>
    <w:link w:val="MarginText"/>
    <w:uiPriority w:val="99"/>
    <w:locked/>
    <w:rsid w:val="00263FF1"/>
    <w:rPr>
      <w:rFonts w:ascii="Arial" w:eastAsia="STZhongsong" w:hAnsi="Arial"/>
      <w:sz w:val="20"/>
      <w:lang w:eastAsia="zh-CN"/>
    </w:rPr>
  </w:style>
  <w:style w:type="paragraph" w:customStyle="1" w:styleId="ScheduleL1">
    <w:name w:val="Schedule L1"/>
    <w:basedOn w:val="Normal"/>
    <w:uiPriority w:val="99"/>
    <w:rsid w:val="00263FF1"/>
    <w:pPr>
      <w:keepNext/>
      <w:numPr>
        <w:numId w:val="36"/>
      </w:numPr>
      <w:adjustRightInd w:val="0"/>
      <w:spacing w:after="240" w:line="240" w:lineRule="auto"/>
      <w:jc w:val="both"/>
      <w:outlineLvl w:val="0"/>
    </w:pPr>
    <w:rPr>
      <w:rFonts w:eastAsia="STZhongsong"/>
      <w:sz w:val="22"/>
      <w:szCs w:val="20"/>
      <w:lang w:eastAsia="zh-CN"/>
    </w:rPr>
  </w:style>
  <w:style w:type="paragraph" w:customStyle="1" w:styleId="ScheduleL2">
    <w:name w:val="Schedule L2"/>
    <w:basedOn w:val="Normal"/>
    <w:link w:val="ScheduleL2Char"/>
    <w:uiPriority w:val="99"/>
    <w:rsid w:val="007D5456"/>
    <w:pPr>
      <w:keepNext/>
      <w:numPr>
        <w:ilvl w:val="1"/>
        <w:numId w:val="38"/>
      </w:numPr>
      <w:overflowPunct w:val="0"/>
      <w:autoSpaceDE w:val="0"/>
      <w:autoSpaceDN w:val="0"/>
      <w:adjustRightInd w:val="0"/>
      <w:spacing w:after="240" w:line="240" w:lineRule="auto"/>
      <w:jc w:val="both"/>
      <w:textAlignment w:val="baseline"/>
      <w:outlineLvl w:val="1"/>
    </w:pPr>
    <w:rPr>
      <w:rFonts w:eastAsia="STZhongsong"/>
      <w:szCs w:val="20"/>
      <w:lang w:eastAsia="zh-CN"/>
    </w:rPr>
  </w:style>
  <w:style w:type="character" w:customStyle="1" w:styleId="ScheduleL2Char">
    <w:name w:val="Schedule L2 Char"/>
    <w:link w:val="ScheduleL2"/>
    <w:uiPriority w:val="99"/>
    <w:locked/>
    <w:rsid w:val="007D5456"/>
    <w:rPr>
      <w:rFonts w:ascii="Arial" w:eastAsia="STZhongsong" w:hAnsi="Arial"/>
      <w:sz w:val="20"/>
      <w:lang w:eastAsia="zh-CN"/>
    </w:rPr>
  </w:style>
  <w:style w:type="paragraph" w:customStyle="1" w:styleId="ScheduleL3">
    <w:name w:val="Schedule L3"/>
    <w:basedOn w:val="Normal"/>
    <w:uiPriority w:val="99"/>
    <w:rsid w:val="00263FF1"/>
    <w:pPr>
      <w:numPr>
        <w:ilvl w:val="2"/>
        <w:numId w:val="36"/>
      </w:numPr>
      <w:adjustRightInd w:val="0"/>
      <w:spacing w:after="240" w:line="240" w:lineRule="auto"/>
      <w:jc w:val="both"/>
      <w:outlineLvl w:val="2"/>
    </w:pPr>
    <w:rPr>
      <w:rFonts w:eastAsia="STZhongsong"/>
      <w:sz w:val="22"/>
      <w:szCs w:val="20"/>
      <w:lang w:eastAsia="zh-CN"/>
    </w:rPr>
  </w:style>
  <w:style w:type="paragraph" w:customStyle="1" w:styleId="ScheduleL4">
    <w:name w:val="Schedule L4"/>
    <w:basedOn w:val="Normal"/>
    <w:uiPriority w:val="99"/>
    <w:rsid w:val="00263FF1"/>
    <w:pPr>
      <w:tabs>
        <w:tab w:val="num" w:pos="2880"/>
      </w:tabs>
      <w:adjustRightInd w:val="0"/>
      <w:spacing w:after="240" w:line="240" w:lineRule="auto"/>
      <w:ind w:left="2880" w:hanging="1080"/>
      <w:jc w:val="both"/>
      <w:outlineLvl w:val="3"/>
    </w:pPr>
    <w:rPr>
      <w:rFonts w:eastAsia="STZhongsong"/>
      <w:sz w:val="22"/>
      <w:szCs w:val="20"/>
      <w:lang w:eastAsia="zh-CN"/>
    </w:rPr>
  </w:style>
  <w:style w:type="paragraph" w:customStyle="1" w:styleId="ScheduleL5">
    <w:name w:val="Schedule L5"/>
    <w:basedOn w:val="Normal"/>
    <w:uiPriority w:val="99"/>
    <w:rsid w:val="00263FF1"/>
    <w:pPr>
      <w:tabs>
        <w:tab w:val="num" w:pos="3600"/>
      </w:tabs>
      <w:adjustRightInd w:val="0"/>
      <w:spacing w:after="240" w:line="240" w:lineRule="auto"/>
      <w:ind w:left="3600" w:hanging="720"/>
      <w:jc w:val="both"/>
      <w:outlineLvl w:val="4"/>
    </w:pPr>
    <w:rPr>
      <w:rFonts w:ascii="Times New Roman" w:eastAsia="STZhongsong" w:hAnsi="Times New Roman"/>
      <w:sz w:val="22"/>
      <w:szCs w:val="20"/>
      <w:lang w:eastAsia="zh-CN"/>
    </w:rPr>
  </w:style>
  <w:style w:type="paragraph" w:customStyle="1" w:styleId="ScheduleL6">
    <w:name w:val="Schedule L6"/>
    <w:basedOn w:val="Normal"/>
    <w:uiPriority w:val="99"/>
    <w:rsid w:val="00263FF1"/>
    <w:pPr>
      <w:tabs>
        <w:tab w:val="num" w:pos="4320"/>
      </w:tabs>
      <w:adjustRightInd w:val="0"/>
      <w:spacing w:after="240" w:line="240" w:lineRule="auto"/>
      <w:ind w:left="4320" w:hanging="720"/>
      <w:jc w:val="both"/>
      <w:outlineLvl w:val="5"/>
    </w:pPr>
    <w:rPr>
      <w:rFonts w:ascii="Times New Roman" w:eastAsia="STZhongsong" w:hAnsi="Times New Roman"/>
      <w:sz w:val="22"/>
      <w:szCs w:val="20"/>
      <w:lang w:eastAsia="zh-CN"/>
    </w:rPr>
  </w:style>
  <w:style w:type="paragraph" w:customStyle="1" w:styleId="ScheduleL7">
    <w:name w:val="Schedule L7"/>
    <w:basedOn w:val="Normal"/>
    <w:uiPriority w:val="99"/>
    <w:rsid w:val="00263FF1"/>
    <w:pPr>
      <w:tabs>
        <w:tab w:val="num" w:pos="5040"/>
      </w:tabs>
      <w:adjustRightInd w:val="0"/>
      <w:spacing w:after="240" w:line="240" w:lineRule="auto"/>
      <w:ind w:left="5040" w:hanging="720"/>
      <w:jc w:val="both"/>
      <w:outlineLvl w:val="6"/>
    </w:pPr>
    <w:rPr>
      <w:rFonts w:ascii="Times New Roman" w:eastAsia="STZhongsong" w:hAnsi="Times New Roman"/>
      <w:sz w:val="22"/>
      <w:szCs w:val="20"/>
      <w:lang w:eastAsia="zh-CN"/>
    </w:rPr>
  </w:style>
  <w:style w:type="paragraph" w:customStyle="1" w:styleId="ScheduleL8">
    <w:name w:val="Schedule L8"/>
    <w:basedOn w:val="Normal"/>
    <w:uiPriority w:val="99"/>
    <w:rsid w:val="00263FF1"/>
    <w:pPr>
      <w:tabs>
        <w:tab w:val="num" w:pos="5040"/>
      </w:tabs>
      <w:adjustRightInd w:val="0"/>
      <w:spacing w:after="240" w:line="240" w:lineRule="auto"/>
      <w:ind w:left="5040" w:hanging="720"/>
      <w:jc w:val="both"/>
      <w:outlineLvl w:val="7"/>
    </w:pPr>
    <w:rPr>
      <w:rFonts w:ascii="Times New Roman" w:eastAsia="STZhongsong" w:hAnsi="Times New Roman"/>
      <w:sz w:val="22"/>
      <w:szCs w:val="20"/>
      <w:lang w:eastAsia="zh-CN"/>
    </w:rPr>
  </w:style>
  <w:style w:type="paragraph" w:customStyle="1" w:styleId="ScheduleL9">
    <w:name w:val="Schedule L9"/>
    <w:basedOn w:val="Normal"/>
    <w:uiPriority w:val="99"/>
    <w:rsid w:val="00263FF1"/>
    <w:pPr>
      <w:tabs>
        <w:tab w:val="num" w:pos="5040"/>
      </w:tabs>
      <w:adjustRightInd w:val="0"/>
      <w:spacing w:after="240" w:line="240" w:lineRule="auto"/>
      <w:ind w:left="5040" w:hanging="720"/>
      <w:jc w:val="both"/>
      <w:outlineLvl w:val="8"/>
    </w:pPr>
    <w:rPr>
      <w:rFonts w:ascii="Times New Roman" w:eastAsia="STZhongsong" w:hAnsi="Times New Roman"/>
      <w:sz w:val="22"/>
      <w:szCs w:val="20"/>
      <w:lang w:eastAsia="zh-CN"/>
    </w:rPr>
  </w:style>
  <w:style w:type="paragraph" w:styleId="TOC2">
    <w:name w:val="toc 2"/>
    <w:basedOn w:val="Normal"/>
    <w:next w:val="Normal"/>
    <w:autoRedefine/>
    <w:uiPriority w:val="99"/>
    <w:rsid w:val="00B3618B"/>
    <w:pPr>
      <w:spacing w:after="100"/>
      <w:ind w:left="200"/>
    </w:pPr>
  </w:style>
  <w:style w:type="paragraph" w:styleId="TOC3">
    <w:name w:val="toc 3"/>
    <w:basedOn w:val="Normal"/>
    <w:next w:val="Normal"/>
    <w:autoRedefine/>
    <w:uiPriority w:val="99"/>
    <w:rsid w:val="00B3618B"/>
    <w:pPr>
      <w:spacing w:after="100"/>
      <w:ind w:left="400"/>
    </w:pPr>
  </w:style>
  <w:style w:type="paragraph" w:customStyle="1" w:styleId="GPSL2numberedclause">
    <w:name w:val="GPS L2 numbered clause"/>
    <w:basedOn w:val="Normal"/>
    <w:link w:val="GPSL2numberedclauseChar1"/>
    <w:uiPriority w:val="99"/>
    <w:rsid w:val="00302945"/>
    <w:pPr>
      <w:tabs>
        <w:tab w:val="num" w:pos="360"/>
        <w:tab w:val="left" w:pos="1418"/>
      </w:tabs>
      <w:adjustRightInd w:val="0"/>
      <w:spacing w:before="120" w:after="120" w:line="240" w:lineRule="auto"/>
      <w:ind w:left="1418" w:hanging="709"/>
      <w:jc w:val="both"/>
    </w:pPr>
    <w:rPr>
      <w:szCs w:val="20"/>
      <w:lang w:eastAsia="zh-CN"/>
    </w:rPr>
  </w:style>
  <w:style w:type="character" w:customStyle="1" w:styleId="GPSL2numberedclauseChar1">
    <w:name w:val="GPS L2 numbered clause Char1"/>
    <w:link w:val="GPSL2numberedclause"/>
    <w:uiPriority w:val="99"/>
    <w:locked/>
    <w:rsid w:val="00302945"/>
    <w:rPr>
      <w:rFonts w:ascii="Arial" w:hAnsi="Arial"/>
      <w:lang w:eastAsia="zh-CN"/>
    </w:rPr>
  </w:style>
  <w:style w:type="paragraph" w:customStyle="1" w:styleId="GPSL1SCHEDULEHeading">
    <w:name w:val="GPS L1 SCHEDULE Heading"/>
    <w:basedOn w:val="GPSL1CLAUSEHEADING"/>
    <w:link w:val="GPSL1SCHEDULEHeadingChar"/>
    <w:uiPriority w:val="99"/>
    <w:rsid w:val="00302945"/>
    <w:pPr>
      <w:numPr>
        <w:numId w:val="0"/>
      </w:numPr>
      <w:ind w:left="1097" w:hanging="360"/>
      <w:outlineLvl w:val="9"/>
    </w:pPr>
    <w:rPr>
      <w:rFonts w:cs="Times New Roman"/>
      <w:sz w:val="20"/>
      <w:szCs w:val="20"/>
    </w:rPr>
  </w:style>
  <w:style w:type="character" w:customStyle="1" w:styleId="GPSL1SCHEDULEHeadingChar">
    <w:name w:val="GPS L1 SCHEDULE Heading Char"/>
    <w:link w:val="GPSL1SCHEDULEHeading"/>
    <w:uiPriority w:val="99"/>
    <w:locked/>
    <w:rsid w:val="00302945"/>
    <w:rPr>
      <w:rFonts w:ascii="Arial Bold" w:eastAsia="STZhongsong" w:hAnsi="Arial Bold"/>
      <w:b/>
      <w:caps/>
      <w:lang w:eastAsia="zh-CN"/>
    </w:rPr>
  </w:style>
  <w:style w:type="paragraph" w:customStyle="1" w:styleId="Body">
    <w:name w:val="Body"/>
    <w:basedOn w:val="Normal"/>
    <w:link w:val="BodyChar"/>
    <w:uiPriority w:val="99"/>
    <w:rsid w:val="00302945"/>
    <w:pPr>
      <w:spacing w:after="240" w:line="240" w:lineRule="auto"/>
      <w:jc w:val="both"/>
    </w:pPr>
    <w:rPr>
      <w:szCs w:val="20"/>
      <w:lang w:eastAsia="en-GB"/>
    </w:rPr>
  </w:style>
  <w:style w:type="character" w:customStyle="1" w:styleId="BodyChar">
    <w:name w:val="Body Char"/>
    <w:link w:val="Body"/>
    <w:uiPriority w:val="99"/>
    <w:locked/>
    <w:rsid w:val="00302945"/>
    <w:rPr>
      <w:rFonts w:ascii="Arial" w:hAnsi="Arial"/>
      <w:sz w:val="20"/>
    </w:rPr>
  </w:style>
  <w:style w:type="character" w:customStyle="1" w:styleId="GPSL2nonnumberedheadingChar">
    <w:name w:val="GPS L2 non numbered heading Char"/>
    <w:link w:val="GPSL2nonnumberedheading"/>
    <w:uiPriority w:val="99"/>
    <w:locked/>
    <w:rsid w:val="001A40B7"/>
    <w:rPr>
      <w:rFonts w:ascii="Arial" w:hAnsi="Arial"/>
      <w:b/>
      <w:spacing w:val="-3"/>
    </w:rPr>
  </w:style>
  <w:style w:type="paragraph" w:customStyle="1" w:styleId="GPSL2nonnumberedheading">
    <w:name w:val="GPS L2 non numbered heading"/>
    <w:basedOn w:val="Normal"/>
    <w:link w:val="GPSL2nonnumberedheadingChar"/>
    <w:uiPriority w:val="99"/>
    <w:rsid w:val="001A40B7"/>
    <w:pPr>
      <w:spacing w:before="120" w:after="120" w:line="240" w:lineRule="auto"/>
      <w:ind w:left="1418"/>
      <w:jc w:val="both"/>
    </w:pPr>
    <w:rPr>
      <w:b/>
      <w:spacing w:val="-3"/>
      <w:szCs w:val="20"/>
      <w:lang w:eastAsia="en-GB"/>
    </w:rPr>
  </w:style>
  <w:style w:type="character" w:customStyle="1" w:styleId="GPSL2IndentChar">
    <w:name w:val="GPS L2 Indent Char"/>
    <w:link w:val="GPSL2Indent"/>
    <w:uiPriority w:val="99"/>
    <w:locked/>
    <w:rsid w:val="001A40B7"/>
    <w:rPr>
      <w:rFonts w:ascii="Arial" w:hAnsi="Arial"/>
    </w:rPr>
  </w:style>
  <w:style w:type="paragraph" w:customStyle="1" w:styleId="GPSL2Indent">
    <w:name w:val="GPS L2 Indent"/>
    <w:basedOn w:val="Normal"/>
    <w:link w:val="GPSL2IndentChar"/>
    <w:uiPriority w:val="99"/>
    <w:rsid w:val="001A40B7"/>
    <w:pPr>
      <w:spacing w:before="120" w:after="120" w:line="240" w:lineRule="auto"/>
      <w:ind w:left="1418"/>
      <w:jc w:val="both"/>
    </w:pPr>
    <w:rPr>
      <w:szCs w:val="20"/>
      <w:lang w:eastAsia="en-GB"/>
    </w:rPr>
  </w:style>
  <w:style w:type="paragraph" w:styleId="FootnoteText">
    <w:name w:val="footnote text"/>
    <w:basedOn w:val="Normal"/>
    <w:link w:val="FootnoteTextChar"/>
    <w:uiPriority w:val="99"/>
    <w:semiHidden/>
    <w:rsid w:val="000C41DE"/>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uiPriority w:val="99"/>
    <w:semiHidden/>
    <w:locked/>
    <w:rsid w:val="000C41DE"/>
    <w:rPr>
      <w:rFonts w:ascii="Times New Roman" w:hAnsi="Times New Roman" w:cs="Times New Roman"/>
      <w:sz w:val="20"/>
    </w:rPr>
  </w:style>
  <w:style w:type="character" w:styleId="FootnoteReference">
    <w:name w:val="footnote reference"/>
    <w:basedOn w:val="DefaultParagraphFont"/>
    <w:uiPriority w:val="99"/>
    <w:semiHidden/>
    <w:rsid w:val="000C41DE"/>
    <w:rPr>
      <w:rFonts w:cs="Times New Roman"/>
      <w:vertAlign w:val="superscript"/>
    </w:rPr>
  </w:style>
  <w:style w:type="table" w:styleId="TableGrid">
    <w:name w:val="Table Grid"/>
    <w:basedOn w:val="TableNormal"/>
    <w:uiPriority w:val="99"/>
    <w:locked/>
    <w:rsid w:val="00D459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374FDC"/>
    <w:rPr>
      <w:rFonts w:cs="Times New Roman"/>
      <w:b/>
    </w:rPr>
  </w:style>
  <w:style w:type="table" w:customStyle="1" w:styleId="TableGrid1">
    <w:name w:val="Table Grid1"/>
    <w:uiPriority w:val="99"/>
    <w:rsid w:val="00E943A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9695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48</Pages>
  <Words>16092</Words>
  <Characters>-32766</Characters>
  <Application>Microsoft Office Outlook</Application>
  <DocSecurity>0</DocSecurity>
  <Lines>0</Lines>
  <Paragraphs>0</Paragraphs>
  <ScaleCrop>false</ScaleCrop>
  <Company>OGC Buying Solutions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Call-Off Terms</dc:title>
  <dc:subject/>
  <dc:creator>James French</dc:creator>
  <cp:keywords/>
  <dc:description/>
  <cp:lastModifiedBy>tds09k</cp:lastModifiedBy>
  <cp:revision>3</cp:revision>
  <cp:lastPrinted>2014-02-03T12:17:00Z</cp:lastPrinted>
  <dcterms:created xsi:type="dcterms:W3CDTF">2015-03-27T11:29:00Z</dcterms:created>
  <dcterms:modified xsi:type="dcterms:W3CDTF">2015-03-27T11:34:00Z</dcterms:modified>
</cp:coreProperties>
</file>