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F1F09" w14:textId="21863F50" w:rsidR="00924D96" w:rsidRPr="005A18A7" w:rsidRDefault="005A18A7" w:rsidP="0027655C">
      <w:pPr>
        <w:rPr>
          <w:b/>
          <w:sz w:val="36"/>
          <w:szCs w:val="36"/>
          <w:u w:val="single"/>
        </w:rPr>
      </w:pPr>
      <w:r w:rsidRPr="005A18A7">
        <w:rPr>
          <w:b/>
          <w:sz w:val="36"/>
          <w:szCs w:val="36"/>
          <w:u w:val="single"/>
        </w:rPr>
        <w:t>Specification</w:t>
      </w:r>
    </w:p>
    <w:p w14:paraId="194137F2" w14:textId="3637B029" w:rsidR="0027655C" w:rsidRDefault="005A18A7" w:rsidP="0027655C">
      <w:r>
        <w:br/>
      </w:r>
      <w:r w:rsidR="00924D96">
        <w:rPr>
          <w:noProof/>
          <w:lang w:eastAsia="en-GB"/>
        </w:rPr>
        <w:drawing>
          <wp:anchor distT="0" distB="0" distL="114300" distR="114300" simplePos="0" relativeHeight="251658240" behindDoc="0" locked="0" layoutInCell="1" allowOverlap="1" wp14:anchorId="18099331" wp14:editId="4260756C">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beth b-Plain"/>
                    <pic:cNvPicPr>
                      <a:picLocks noChangeAspect="1" noChangeArrowheads="1"/>
                    </pic:cNvPicPr>
                  </pic:nvPicPr>
                  <pic:blipFill>
                    <a:blip r:embed="rId6" cstate="print">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55C">
        <w:t xml:space="preserve">Dear </w:t>
      </w:r>
      <w:r w:rsidR="00B00004">
        <w:t>Provider,</w:t>
      </w:r>
    </w:p>
    <w:p w14:paraId="760BF96F" w14:textId="0BA17EA1" w:rsidR="0027655C" w:rsidRDefault="0027655C" w:rsidP="0027655C">
      <w:r>
        <w:t>Please</w:t>
      </w:r>
      <w:r w:rsidR="007C5788">
        <w:t xml:space="preserve"> provide a quota to carry out 15</w:t>
      </w:r>
      <w:r>
        <w:t>00 food premises inspection</w:t>
      </w:r>
      <w:r w:rsidR="00FD0519">
        <w:t xml:space="preserve"> </w:t>
      </w:r>
      <w:r w:rsidR="00580410">
        <w:t>until 28</w:t>
      </w:r>
      <w:r>
        <w:t xml:space="preserve"> February 2019</w:t>
      </w:r>
      <w:r w:rsidR="00E17C2D">
        <w:t>.</w:t>
      </w:r>
    </w:p>
    <w:p w14:paraId="0461C20E" w14:textId="77777777" w:rsidR="00B00004" w:rsidRPr="00B00004" w:rsidRDefault="00E17C2D" w:rsidP="0027655C">
      <w:pPr>
        <w:rPr>
          <w:u w:val="single"/>
        </w:rPr>
      </w:pPr>
      <w:r w:rsidRPr="00B00004">
        <w:rPr>
          <w:u w:val="single"/>
        </w:rPr>
        <w:t>C</w:t>
      </w:r>
      <w:r w:rsidR="0027655C" w:rsidRPr="00B00004">
        <w:rPr>
          <w:u w:val="single"/>
        </w:rPr>
        <w:t>ont</w:t>
      </w:r>
      <w:r w:rsidR="00B00004" w:rsidRPr="00B00004">
        <w:rPr>
          <w:u w:val="single"/>
        </w:rPr>
        <w:t>r</w:t>
      </w:r>
      <w:r w:rsidR="0027655C" w:rsidRPr="00B00004">
        <w:rPr>
          <w:u w:val="single"/>
        </w:rPr>
        <w:t xml:space="preserve">actors </w:t>
      </w:r>
    </w:p>
    <w:p w14:paraId="446D02D9" w14:textId="621E7852" w:rsidR="0027655C" w:rsidRDefault="00B00004" w:rsidP="00B00004">
      <w:pPr>
        <w:pStyle w:val="ListParagraph"/>
        <w:numPr>
          <w:ilvl w:val="0"/>
          <w:numId w:val="3"/>
        </w:numPr>
      </w:pPr>
      <w:r>
        <w:t>M</w:t>
      </w:r>
      <w:r w:rsidR="0027655C">
        <w:t xml:space="preserve">eet the Food Standards Agency code of practice 4.3.2 authorised officer and baseline qualification 4.4 &amp; 4.5 to carry out food safety and food standards inspection in addition hazard spotting for health and safety.  </w:t>
      </w:r>
    </w:p>
    <w:p w14:paraId="64062E20" w14:textId="77777777" w:rsidR="00B00004" w:rsidRDefault="00B00004" w:rsidP="0027655C">
      <w:r w:rsidRPr="00B00004">
        <w:rPr>
          <w:u w:val="single"/>
        </w:rPr>
        <w:t>Inspections</w:t>
      </w:r>
    </w:p>
    <w:p w14:paraId="5034BDF7" w14:textId="1BAEC1F2" w:rsidR="00B00004" w:rsidRDefault="00B00004" w:rsidP="00B00004">
      <w:pPr>
        <w:pStyle w:val="ListParagraph"/>
        <w:numPr>
          <w:ilvl w:val="0"/>
          <w:numId w:val="2"/>
        </w:numPr>
      </w:pPr>
      <w:r>
        <w:t>The inspections need to be entered on our Uniform database. This will be carried out on Lambeth premises at Lambeth Civic Centre Brixton, during office hours and can be undertaken by the contractors or a member of your agency.</w:t>
      </w:r>
    </w:p>
    <w:p w14:paraId="1DE34348" w14:textId="77777777" w:rsidR="00B00004" w:rsidRDefault="00B00004" w:rsidP="0027655C">
      <w:pPr>
        <w:pStyle w:val="ListParagraph"/>
        <w:numPr>
          <w:ilvl w:val="0"/>
          <w:numId w:val="2"/>
        </w:numPr>
      </w:pPr>
      <w:r>
        <w:t>M</w:t>
      </w:r>
      <w:r w:rsidR="0027655C">
        <w:t xml:space="preserve">ixture of </w:t>
      </w:r>
      <w:r w:rsidR="00580410">
        <w:t xml:space="preserve">overdue </w:t>
      </w:r>
      <w:r w:rsidR="0027655C">
        <w:t xml:space="preserve">low risk businesses </w:t>
      </w:r>
      <w:r w:rsidR="00E17C2D">
        <w:t xml:space="preserve">(risk rating C, D and E) </w:t>
      </w:r>
      <w:r w:rsidR="0027655C">
        <w:t>and unrated new business</w:t>
      </w:r>
      <w:r>
        <w:t>es</w:t>
      </w:r>
    </w:p>
    <w:p w14:paraId="2EA83145" w14:textId="77777777" w:rsidR="00B00004" w:rsidRDefault="00B00004" w:rsidP="00D84925">
      <w:pPr>
        <w:pStyle w:val="ListParagraph"/>
        <w:numPr>
          <w:ilvl w:val="0"/>
          <w:numId w:val="2"/>
        </w:numPr>
      </w:pPr>
      <w:r>
        <w:t>A</w:t>
      </w:r>
      <w:r w:rsidR="0027655C">
        <w:t>ll</w:t>
      </w:r>
      <w:r w:rsidR="00E17C2D">
        <w:t xml:space="preserve"> will require a food safety and food</w:t>
      </w:r>
      <w:r w:rsidR="0027655C">
        <w:t xml:space="preserve"> standard</w:t>
      </w:r>
      <w:r w:rsidR="00E17C2D">
        <w:t xml:space="preserve"> inspection</w:t>
      </w:r>
      <w:r w:rsidR="0027655C">
        <w:t xml:space="preserve">, hazard spotting for health and safety except for home caterers.  </w:t>
      </w:r>
    </w:p>
    <w:p w14:paraId="52940826" w14:textId="77777777" w:rsidR="00B00004" w:rsidRDefault="00D84925" w:rsidP="007B0E87">
      <w:pPr>
        <w:pStyle w:val="ListParagraph"/>
        <w:numPr>
          <w:ilvl w:val="0"/>
          <w:numId w:val="2"/>
        </w:numPr>
      </w:pPr>
      <w:r>
        <w:t>Home caterers can be carried out by appointment</w:t>
      </w:r>
      <w:r w:rsidR="00580410">
        <w:t>, conta</w:t>
      </w:r>
      <w:r w:rsidR="00B00004">
        <w:t>ct details available on Uniform</w:t>
      </w:r>
    </w:p>
    <w:p w14:paraId="582B1141" w14:textId="77777777" w:rsidR="00B00004" w:rsidRDefault="00B00004" w:rsidP="007B0E87">
      <w:pPr>
        <w:pStyle w:val="ListParagraph"/>
        <w:numPr>
          <w:ilvl w:val="0"/>
          <w:numId w:val="2"/>
        </w:numPr>
      </w:pPr>
      <w:r>
        <w:t>R</w:t>
      </w:r>
      <w:r w:rsidR="007B0E87">
        <w:t xml:space="preserve">equired to leave an onsite inspection report and complete in detail the inspection aide memoire. </w:t>
      </w:r>
    </w:p>
    <w:p w14:paraId="36667340" w14:textId="77777777" w:rsidR="00B00004" w:rsidRDefault="00B00004" w:rsidP="007B0E87">
      <w:pPr>
        <w:pStyle w:val="ListParagraph"/>
        <w:numPr>
          <w:ilvl w:val="0"/>
          <w:numId w:val="2"/>
        </w:numPr>
      </w:pPr>
      <w:r>
        <w:t>R</w:t>
      </w:r>
      <w:r w:rsidR="007B0E87">
        <w:t>equired to make an assessment on site and leave the Food Hygiene R</w:t>
      </w:r>
      <w:r>
        <w:t>ating sticker with the business.</w:t>
      </w:r>
    </w:p>
    <w:p w14:paraId="2FD1FDCD" w14:textId="77777777" w:rsidR="00B00004" w:rsidRDefault="007B0E87" w:rsidP="007B0E87">
      <w:pPr>
        <w:pStyle w:val="ListParagraph"/>
        <w:numPr>
          <w:ilvl w:val="0"/>
          <w:numId w:val="2"/>
        </w:numPr>
      </w:pPr>
      <w:r>
        <w:t>Void inspections are classified as businesses no longer trading.  Void – to be paid once a site has been carried out, card left and no further call back received following any chase up with cont</w:t>
      </w:r>
      <w:r w:rsidR="00B00004">
        <w:t>act details we have on uniform.</w:t>
      </w:r>
    </w:p>
    <w:p w14:paraId="0BD67EEF" w14:textId="031F0FAB" w:rsidR="007B0E87" w:rsidRDefault="00B00004" w:rsidP="007B0E87">
      <w:pPr>
        <w:pStyle w:val="ListParagraph"/>
        <w:numPr>
          <w:ilvl w:val="0"/>
          <w:numId w:val="2"/>
        </w:numPr>
      </w:pPr>
      <w:r>
        <w:t>Businesses under</w:t>
      </w:r>
      <w:r w:rsidR="007B0E87">
        <w:t xml:space="preserve"> changed ownership the business should be inspected and awarded a new rating.  The businesses details need to be changed on Uniform before the inspection in entered.</w:t>
      </w:r>
    </w:p>
    <w:p w14:paraId="7804AACA" w14:textId="77777777" w:rsidR="005A18A7" w:rsidRDefault="005A18A7" w:rsidP="005A18A7"/>
    <w:p w14:paraId="171B7A5C" w14:textId="77777777" w:rsidR="005A18A7" w:rsidRDefault="005A18A7" w:rsidP="005A18A7"/>
    <w:p w14:paraId="1431E202" w14:textId="77777777" w:rsidR="005A18A7" w:rsidRDefault="005A18A7" w:rsidP="005A18A7"/>
    <w:p w14:paraId="58B81E3F" w14:textId="77777777" w:rsidR="005A18A7" w:rsidRDefault="005A18A7" w:rsidP="005A18A7"/>
    <w:p w14:paraId="2A6D4795" w14:textId="77777777" w:rsidR="005A18A7" w:rsidRDefault="005A18A7" w:rsidP="005A18A7"/>
    <w:p w14:paraId="3D5FD9CC" w14:textId="77777777" w:rsidR="005A18A7" w:rsidRDefault="005A18A7" w:rsidP="005A18A7"/>
    <w:p w14:paraId="21334991" w14:textId="77777777" w:rsidR="005A18A7" w:rsidRDefault="005A18A7" w:rsidP="005A18A7"/>
    <w:p w14:paraId="479A0D14" w14:textId="77777777" w:rsidR="005A18A7" w:rsidRDefault="005A18A7" w:rsidP="005A18A7"/>
    <w:p w14:paraId="7BF48417" w14:textId="77777777" w:rsidR="005A18A7" w:rsidRDefault="005A18A7" w:rsidP="005A18A7"/>
    <w:p w14:paraId="6E7C5FA9" w14:textId="77777777" w:rsidR="005A18A7" w:rsidRDefault="005A18A7" w:rsidP="005A18A7"/>
    <w:p w14:paraId="1AA0E5AA" w14:textId="77777777" w:rsidR="005A18A7" w:rsidRDefault="005A18A7" w:rsidP="005A18A7"/>
    <w:p w14:paraId="2D155BFE" w14:textId="266BA5EC" w:rsidR="005A18A7" w:rsidRPr="005A18A7" w:rsidRDefault="005A18A7" w:rsidP="007A61D9">
      <w:pPr>
        <w:rPr>
          <w:sz w:val="36"/>
          <w:szCs w:val="36"/>
        </w:rPr>
      </w:pPr>
      <w:r w:rsidRPr="005A18A7">
        <w:rPr>
          <w:sz w:val="36"/>
          <w:szCs w:val="36"/>
        </w:rPr>
        <w:lastRenderedPageBreak/>
        <w:t>Appendix 1</w:t>
      </w:r>
      <w:r w:rsidRPr="005A18A7">
        <w:rPr>
          <w:sz w:val="36"/>
          <w:szCs w:val="36"/>
        </w:rPr>
        <w:br/>
      </w:r>
      <w:r>
        <w:rPr>
          <w:sz w:val="36"/>
          <w:szCs w:val="36"/>
        </w:rPr>
        <w:br/>
      </w:r>
      <w:r w:rsidRPr="005A18A7">
        <w:rPr>
          <w:sz w:val="36"/>
          <w:szCs w:val="36"/>
        </w:rPr>
        <w:t>Pricing</w:t>
      </w:r>
    </w:p>
    <w:p w14:paraId="1C1FF346" w14:textId="1DECA5CA" w:rsidR="007A61D9" w:rsidRDefault="005A18A7" w:rsidP="007A61D9">
      <w:r>
        <w:br/>
      </w:r>
      <w:r w:rsidR="00924D96">
        <w:t>C</w:t>
      </w:r>
      <w:r w:rsidR="007A61D9">
        <w:t>omplete the cost next to each of the following category</w:t>
      </w:r>
      <w:r w:rsidR="00924D96">
        <w:t>.</w:t>
      </w:r>
      <w:r w:rsidR="007A61D9">
        <w:t xml:space="preserve">  The contractor will be paid according to the new risk at the end of the inspection.</w:t>
      </w:r>
    </w:p>
    <w:p w14:paraId="596A9AC0" w14:textId="747CDE97" w:rsidR="00A11F01" w:rsidRDefault="00A11F01" w:rsidP="007A61D9">
      <w:r>
        <w:t xml:space="preserve">Table </w:t>
      </w:r>
      <w:r w:rsidR="007C5788">
        <w:t xml:space="preserve">1 – 70% pricing </w:t>
      </w:r>
    </w:p>
    <w:tbl>
      <w:tblPr>
        <w:tblStyle w:val="TableGrid"/>
        <w:tblW w:w="0" w:type="auto"/>
        <w:tblLook w:val="04A0" w:firstRow="1" w:lastRow="0" w:firstColumn="1" w:lastColumn="0" w:noHBand="0" w:noVBand="1"/>
      </w:tblPr>
      <w:tblGrid>
        <w:gridCol w:w="1594"/>
        <w:gridCol w:w="1547"/>
        <w:gridCol w:w="1547"/>
        <w:gridCol w:w="1572"/>
        <w:gridCol w:w="1526"/>
        <w:gridCol w:w="1230"/>
      </w:tblGrid>
      <w:tr w:rsidR="00D84925" w14:paraId="58B67C4D" w14:textId="77777777" w:rsidTr="008A180F">
        <w:tc>
          <w:tcPr>
            <w:tcW w:w="1594" w:type="dxa"/>
          </w:tcPr>
          <w:p w14:paraId="10C4962E" w14:textId="77777777" w:rsidR="00D84925" w:rsidRDefault="00D84925" w:rsidP="008A180F">
            <w:r>
              <w:t>Risk rating</w:t>
            </w:r>
          </w:p>
        </w:tc>
        <w:tc>
          <w:tcPr>
            <w:tcW w:w="1547" w:type="dxa"/>
          </w:tcPr>
          <w:p w14:paraId="60C21CB4" w14:textId="77777777" w:rsidR="00D84925" w:rsidRDefault="00D84925" w:rsidP="008A180F">
            <w:r>
              <w:t>Food hygiene and food standards plus hazard spotting</w:t>
            </w:r>
          </w:p>
        </w:tc>
        <w:tc>
          <w:tcPr>
            <w:tcW w:w="1547" w:type="dxa"/>
          </w:tcPr>
          <w:p w14:paraId="11D415DC" w14:textId="77777777" w:rsidR="00D84925" w:rsidRDefault="00D84925" w:rsidP="008A180F">
            <w:r>
              <w:t>Food hygiene and food standards only for home caterers</w:t>
            </w:r>
          </w:p>
        </w:tc>
        <w:tc>
          <w:tcPr>
            <w:tcW w:w="1572" w:type="dxa"/>
          </w:tcPr>
          <w:p w14:paraId="1057650D" w14:textId="77777777" w:rsidR="00D84925" w:rsidRDefault="00D84925" w:rsidP="008A180F">
            <w:r>
              <w:t xml:space="preserve">Inputting onto Uniform database by contactors </w:t>
            </w:r>
          </w:p>
        </w:tc>
        <w:tc>
          <w:tcPr>
            <w:tcW w:w="1526" w:type="dxa"/>
          </w:tcPr>
          <w:p w14:paraId="03CC6C2F" w14:textId="77777777" w:rsidR="00D84925" w:rsidRDefault="00D84925" w:rsidP="008A180F">
            <w:r>
              <w:t xml:space="preserve">Inputting by agency staff </w:t>
            </w:r>
          </w:p>
        </w:tc>
        <w:tc>
          <w:tcPr>
            <w:tcW w:w="1230" w:type="dxa"/>
          </w:tcPr>
          <w:p w14:paraId="545EECFD" w14:textId="77777777" w:rsidR="00D84925" w:rsidRDefault="00D84925" w:rsidP="008A180F">
            <w:r>
              <w:t>Total cost per the risk rate</w:t>
            </w:r>
          </w:p>
        </w:tc>
      </w:tr>
      <w:tr w:rsidR="00D84925" w14:paraId="1F70FD44" w14:textId="77777777" w:rsidTr="008A180F">
        <w:tc>
          <w:tcPr>
            <w:tcW w:w="1594" w:type="dxa"/>
          </w:tcPr>
          <w:p w14:paraId="6BCB805E" w14:textId="1F6F6526" w:rsidR="00D84925" w:rsidRDefault="00D84925" w:rsidP="008A180F">
            <w:r>
              <w:t xml:space="preserve">A </w:t>
            </w:r>
            <w:r w:rsidR="00924D96">
              <w:br/>
              <w:t>R</w:t>
            </w:r>
            <w:r>
              <w:t>isk businesses</w:t>
            </w:r>
            <w:r>
              <w:tab/>
            </w:r>
          </w:p>
        </w:tc>
        <w:tc>
          <w:tcPr>
            <w:tcW w:w="1547" w:type="dxa"/>
          </w:tcPr>
          <w:p w14:paraId="790893A6" w14:textId="77777777" w:rsidR="00D84925" w:rsidRDefault="00D84925" w:rsidP="008A180F"/>
        </w:tc>
        <w:tc>
          <w:tcPr>
            <w:tcW w:w="1547" w:type="dxa"/>
          </w:tcPr>
          <w:p w14:paraId="59155119" w14:textId="77777777" w:rsidR="00D84925" w:rsidRDefault="00D84925" w:rsidP="008A180F"/>
        </w:tc>
        <w:tc>
          <w:tcPr>
            <w:tcW w:w="1572" w:type="dxa"/>
          </w:tcPr>
          <w:p w14:paraId="21D5076C" w14:textId="77777777" w:rsidR="00D84925" w:rsidRDefault="00D84925" w:rsidP="008A180F"/>
        </w:tc>
        <w:tc>
          <w:tcPr>
            <w:tcW w:w="1526" w:type="dxa"/>
          </w:tcPr>
          <w:p w14:paraId="048A7DD3" w14:textId="77777777" w:rsidR="00D84925" w:rsidRDefault="00D84925" w:rsidP="008A180F"/>
        </w:tc>
        <w:tc>
          <w:tcPr>
            <w:tcW w:w="1230" w:type="dxa"/>
          </w:tcPr>
          <w:p w14:paraId="5009B4FC" w14:textId="77777777" w:rsidR="00D84925" w:rsidRDefault="00D84925" w:rsidP="008A180F"/>
        </w:tc>
      </w:tr>
      <w:tr w:rsidR="00D84925" w14:paraId="02F995F7" w14:textId="77777777" w:rsidTr="008A180F">
        <w:tc>
          <w:tcPr>
            <w:tcW w:w="1594" w:type="dxa"/>
          </w:tcPr>
          <w:p w14:paraId="4CB0EBC0" w14:textId="77777777" w:rsidR="00924D96" w:rsidRDefault="00D84925" w:rsidP="008A180F">
            <w:r>
              <w:t xml:space="preserve">B </w:t>
            </w:r>
          </w:p>
          <w:p w14:paraId="3A50FA9E" w14:textId="0F882113" w:rsidR="00D84925" w:rsidRDefault="00924D96" w:rsidP="008A180F">
            <w:r>
              <w:t>R</w:t>
            </w:r>
            <w:r w:rsidR="00D84925">
              <w:t>isk businesses</w:t>
            </w:r>
          </w:p>
          <w:p w14:paraId="4FAB5F62" w14:textId="77777777" w:rsidR="00D84925" w:rsidRDefault="00D84925" w:rsidP="008A180F"/>
        </w:tc>
        <w:tc>
          <w:tcPr>
            <w:tcW w:w="1547" w:type="dxa"/>
          </w:tcPr>
          <w:p w14:paraId="7C770039" w14:textId="77777777" w:rsidR="00D84925" w:rsidRDefault="00D84925" w:rsidP="008A180F"/>
        </w:tc>
        <w:tc>
          <w:tcPr>
            <w:tcW w:w="1547" w:type="dxa"/>
          </w:tcPr>
          <w:p w14:paraId="7C5091CD" w14:textId="77777777" w:rsidR="00D84925" w:rsidRDefault="00D84925" w:rsidP="008A180F"/>
        </w:tc>
        <w:tc>
          <w:tcPr>
            <w:tcW w:w="1572" w:type="dxa"/>
          </w:tcPr>
          <w:p w14:paraId="39F6527E" w14:textId="77777777" w:rsidR="00D84925" w:rsidRDefault="00D84925" w:rsidP="008A180F"/>
        </w:tc>
        <w:tc>
          <w:tcPr>
            <w:tcW w:w="1526" w:type="dxa"/>
          </w:tcPr>
          <w:p w14:paraId="39C790B4" w14:textId="77777777" w:rsidR="00D84925" w:rsidRDefault="00D84925" w:rsidP="008A180F"/>
        </w:tc>
        <w:tc>
          <w:tcPr>
            <w:tcW w:w="1230" w:type="dxa"/>
          </w:tcPr>
          <w:p w14:paraId="38071691" w14:textId="77777777" w:rsidR="00D84925" w:rsidRDefault="00D84925" w:rsidP="008A180F"/>
        </w:tc>
      </w:tr>
      <w:tr w:rsidR="00D84925" w14:paraId="6F066C6A" w14:textId="77777777" w:rsidTr="008A180F">
        <w:tc>
          <w:tcPr>
            <w:tcW w:w="1594" w:type="dxa"/>
          </w:tcPr>
          <w:p w14:paraId="3BFADDAD" w14:textId="77777777" w:rsidR="00924D96" w:rsidRDefault="00D84925" w:rsidP="008A180F">
            <w:r>
              <w:t xml:space="preserve">C </w:t>
            </w:r>
          </w:p>
          <w:p w14:paraId="2217117D" w14:textId="74698734" w:rsidR="00D84925" w:rsidRDefault="00924D96" w:rsidP="008A180F">
            <w:r>
              <w:t>R</w:t>
            </w:r>
            <w:r w:rsidR="00D84925">
              <w:t>isk businesses</w:t>
            </w:r>
          </w:p>
          <w:p w14:paraId="6A06B882" w14:textId="77777777" w:rsidR="00D84925" w:rsidRDefault="00D84925" w:rsidP="008A180F"/>
        </w:tc>
        <w:tc>
          <w:tcPr>
            <w:tcW w:w="1547" w:type="dxa"/>
          </w:tcPr>
          <w:p w14:paraId="1EE133BD" w14:textId="77777777" w:rsidR="00D84925" w:rsidRDefault="00D84925" w:rsidP="008A180F"/>
        </w:tc>
        <w:tc>
          <w:tcPr>
            <w:tcW w:w="1547" w:type="dxa"/>
          </w:tcPr>
          <w:p w14:paraId="408A8B57" w14:textId="77777777" w:rsidR="00D84925" w:rsidRDefault="00D84925" w:rsidP="008A180F"/>
        </w:tc>
        <w:tc>
          <w:tcPr>
            <w:tcW w:w="1572" w:type="dxa"/>
          </w:tcPr>
          <w:p w14:paraId="1E104C7E" w14:textId="77777777" w:rsidR="00D84925" w:rsidRDefault="00D84925" w:rsidP="008A180F"/>
        </w:tc>
        <w:tc>
          <w:tcPr>
            <w:tcW w:w="1526" w:type="dxa"/>
          </w:tcPr>
          <w:p w14:paraId="725346FA" w14:textId="77777777" w:rsidR="00D84925" w:rsidRDefault="00D84925" w:rsidP="008A180F"/>
        </w:tc>
        <w:tc>
          <w:tcPr>
            <w:tcW w:w="1230" w:type="dxa"/>
          </w:tcPr>
          <w:p w14:paraId="7FD6D06A" w14:textId="77777777" w:rsidR="00D84925" w:rsidRDefault="00D84925" w:rsidP="008A180F"/>
        </w:tc>
      </w:tr>
      <w:tr w:rsidR="00D84925" w14:paraId="5AA0B9B2" w14:textId="77777777" w:rsidTr="008A180F">
        <w:tc>
          <w:tcPr>
            <w:tcW w:w="1594" w:type="dxa"/>
          </w:tcPr>
          <w:p w14:paraId="647A0CBA" w14:textId="77777777" w:rsidR="00924D96" w:rsidRDefault="00D84925" w:rsidP="008A180F">
            <w:r>
              <w:t xml:space="preserve">D </w:t>
            </w:r>
          </w:p>
          <w:p w14:paraId="39471CE7" w14:textId="0F74C3AA" w:rsidR="00D84925" w:rsidRDefault="00924D96" w:rsidP="008A180F">
            <w:r>
              <w:t>R</w:t>
            </w:r>
            <w:r w:rsidR="00D84925">
              <w:t>isk businesses</w:t>
            </w:r>
          </w:p>
          <w:p w14:paraId="782CA1E1" w14:textId="77777777" w:rsidR="00D84925" w:rsidRDefault="00D84925" w:rsidP="008A180F"/>
        </w:tc>
        <w:tc>
          <w:tcPr>
            <w:tcW w:w="1547" w:type="dxa"/>
          </w:tcPr>
          <w:p w14:paraId="634B3E61" w14:textId="77777777" w:rsidR="00D84925" w:rsidRDefault="00D84925" w:rsidP="008A180F"/>
        </w:tc>
        <w:tc>
          <w:tcPr>
            <w:tcW w:w="1547" w:type="dxa"/>
          </w:tcPr>
          <w:p w14:paraId="58A50300" w14:textId="77777777" w:rsidR="00D84925" w:rsidRDefault="00D84925" w:rsidP="008A180F"/>
        </w:tc>
        <w:tc>
          <w:tcPr>
            <w:tcW w:w="1572" w:type="dxa"/>
          </w:tcPr>
          <w:p w14:paraId="4D710931" w14:textId="77777777" w:rsidR="00D84925" w:rsidRDefault="00D84925" w:rsidP="008A180F"/>
        </w:tc>
        <w:tc>
          <w:tcPr>
            <w:tcW w:w="1526" w:type="dxa"/>
          </w:tcPr>
          <w:p w14:paraId="047A6FC0" w14:textId="77777777" w:rsidR="00D84925" w:rsidRDefault="00D84925" w:rsidP="008A180F"/>
        </w:tc>
        <w:tc>
          <w:tcPr>
            <w:tcW w:w="1230" w:type="dxa"/>
          </w:tcPr>
          <w:p w14:paraId="681DCF25" w14:textId="77777777" w:rsidR="00D84925" w:rsidRDefault="00D84925" w:rsidP="008A180F"/>
        </w:tc>
      </w:tr>
      <w:tr w:rsidR="00D84925" w14:paraId="0AFF6B9C" w14:textId="77777777" w:rsidTr="008A180F">
        <w:tc>
          <w:tcPr>
            <w:tcW w:w="1594" w:type="dxa"/>
          </w:tcPr>
          <w:p w14:paraId="6300DA26" w14:textId="0D830848" w:rsidR="00924D96" w:rsidRDefault="00D84925" w:rsidP="008A180F">
            <w:r>
              <w:t xml:space="preserve">E </w:t>
            </w:r>
          </w:p>
          <w:p w14:paraId="32BDC0A4" w14:textId="77777777" w:rsidR="00D84925" w:rsidRDefault="00924D96" w:rsidP="008A180F">
            <w:r>
              <w:t>R</w:t>
            </w:r>
            <w:r w:rsidR="00D84925">
              <w:t>isk businesses</w:t>
            </w:r>
          </w:p>
          <w:p w14:paraId="34942F71" w14:textId="77777777" w:rsidR="00D84925" w:rsidRDefault="00D84925" w:rsidP="008A180F"/>
        </w:tc>
        <w:tc>
          <w:tcPr>
            <w:tcW w:w="1547" w:type="dxa"/>
          </w:tcPr>
          <w:p w14:paraId="33ECD00D" w14:textId="77777777" w:rsidR="00D84925" w:rsidRDefault="00D84925" w:rsidP="008A180F"/>
        </w:tc>
        <w:tc>
          <w:tcPr>
            <w:tcW w:w="1547" w:type="dxa"/>
          </w:tcPr>
          <w:p w14:paraId="1EF65FF0" w14:textId="77777777" w:rsidR="00D84925" w:rsidRDefault="00D84925" w:rsidP="008A180F"/>
        </w:tc>
        <w:tc>
          <w:tcPr>
            <w:tcW w:w="1572" w:type="dxa"/>
          </w:tcPr>
          <w:p w14:paraId="6CCB2C2A" w14:textId="77777777" w:rsidR="00D84925" w:rsidRDefault="00D84925" w:rsidP="008A180F"/>
        </w:tc>
        <w:tc>
          <w:tcPr>
            <w:tcW w:w="1526" w:type="dxa"/>
          </w:tcPr>
          <w:p w14:paraId="496A2704" w14:textId="77777777" w:rsidR="00D84925" w:rsidRDefault="00D84925" w:rsidP="008A180F"/>
        </w:tc>
        <w:tc>
          <w:tcPr>
            <w:tcW w:w="1230" w:type="dxa"/>
          </w:tcPr>
          <w:p w14:paraId="0867A3B1" w14:textId="77777777" w:rsidR="00D84925" w:rsidRDefault="00D84925" w:rsidP="008A180F"/>
        </w:tc>
      </w:tr>
      <w:tr w:rsidR="00D84925" w14:paraId="1F6AB356" w14:textId="77777777" w:rsidTr="008A180F">
        <w:tc>
          <w:tcPr>
            <w:tcW w:w="1594" w:type="dxa"/>
          </w:tcPr>
          <w:p w14:paraId="03CFFCE4" w14:textId="77777777" w:rsidR="00D84925" w:rsidRDefault="00D84925" w:rsidP="008A180F">
            <w:r>
              <w:t>Void inspections</w:t>
            </w:r>
          </w:p>
        </w:tc>
        <w:tc>
          <w:tcPr>
            <w:tcW w:w="1547" w:type="dxa"/>
          </w:tcPr>
          <w:p w14:paraId="5D2579AA" w14:textId="77777777" w:rsidR="00D84925" w:rsidRDefault="00D84925" w:rsidP="008A180F"/>
        </w:tc>
        <w:tc>
          <w:tcPr>
            <w:tcW w:w="1547" w:type="dxa"/>
          </w:tcPr>
          <w:p w14:paraId="01B94980" w14:textId="77777777" w:rsidR="00D84925" w:rsidRDefault="00D84925" w:rsidP="008A180F"/>
        </w:tc>
        <w:tc>
          <w:tcPr>
            <w:tcW w:w="1572" w:type="dxa"/>
          </w:tcPr>
          <w:p w14:paraId="3C4565B4" w14:textId="77777777" w:rsidR="00D84925" w:rsidRDefault="00D84925" w:rsidP="008A180F"/>
        </w:tc>
        <w:tc>
          <w:tcPr>
            <w:tcW w:w="1526" w:type="dxa"/>
          </w:tcPr>
          <w:p w14:paraId="4D5B78B1" w14:textId="77777777" w:rsidR="00D84925" w:rsidRDefault="00D84925" w:rsidP="008A180F"/>
        </w:tc>
        <w:tc>
          <w:tcPr>
            <w:tcW w:w="1230" w:type="dxa"/>
          </w:tcPr>
          <w:p w14:paraId="49320806" w14:textId="77777777" w:rsidR="00D84925" w:rsidRDefault="00D84925" w:rsidP="008A180F"/>
        </w:tc>
      </w:tr>
    </w:tbl>
    <w:p w14:paraId="5B6EA5F5" w14:textId="77777777" w:rsidR="00D84925" w:rsidRDefault="00D84925" w:rsidP="00D84925"/>
    <w:p w14:paraId="7334A4A7" w14:textId="62F3BDD3" w:rsidR="0027655C" w:rsidRDefault="007C5788" w:rsidP="0027655C">
      <w:r>
        <w:t>The contract to start on 1 August 2018</w:t>
      </w:r>
      <w:r w:rsidR="0027655C">
        <w:t>.  If you would like any further information please give me a call.</w:t>
      </w:r>
    </w:p>
    <w:p w14:paraId="459D97CC" w14:textId="7CFA9D85" w:rsidR="007A61D9" w:rsidRDefault="007A61D9" w:rsidP="0027655C">
      <w:pPr>
        <w:rPr>
          <w:rStyle w:val="Hyperlink"/>
        </w:rPr>
      </w:pPr>
      <w:r>
        <w:t xml:space="preserve">Quota should be submitted by </w:t>
      </w:r>
      <w:r w:rsidR="007C5788">
        <w:t>2</w:t>
      </w:r>
      <w:r w:rsidR="00FD0519">
        <w:t xml:space="preserve">0 </w:t>
      </w:r>
      <w:r>
        <w:t>July 2018.</w:t>
      </w:r>
      <w:r w:rsidR="00FD0519">
        <w:t xml:space="preserve">  The quota should be emailed to </w:t>
      </w:r>
      <w:hyperlink r:id="rId7" w:history="1">
        <w:r w:rsidR="00ED3B82" w:rsidRPr="00A92FA8">
          <w:rPr>
            <w:rStyle w:val="Hyperlink"/>
          </w:rPr>
          <w:t>mmistry@lambeth.gov.uk</w:t>
        </w:r>
      </w:hyperlink>
    </w:p>
    <w:p w14:paraId="116DF568" w14:textId="77777777" w:rsidR="005A18A7" w:rsidRDefault="005A18A7" w:rsidP="0027655C">
      <w:pPr>
        <w:rPr>
          <w:rStyle w:val="Hyperlink"/>
        </w:rPr>
      </w:pPr>
    </w:p>
    <w:p w14:paraId="426C4875" w14:textId="77777777" w:rsidR="005A18A7" w:rsidRDefault="005A18A7" w:rsidP="0027655C">
      <w:pPr>
        <w:rPr>
          <w:rStyle w:val="Hyperlink"/>
        </w:rPr>
      </w:pPr>
    </w:p>
    <w:p w14:paraId="4F249AC0" w14:textId="77777777" w:rsidR="005A18A7" w:rsidRDefault="005A18A7" w:rsidP="0027655C">
      <w:pPr>
        <w:rPr>
          <w:rStyle w:val="Hyperlink"/>
        </w:rPr>
      </w:pPr>
    </w:p>
    <w:p w14:paraId="4A51A751" w14:textId="77777777" w:rsidR="005A18A7" w:rsidRDefault="005A18A7" w:rsidP="0027655C">
      <w:pPr>
        <w:rPr>
          <w:rStyle w:val="Hyperlink"/>
        </w:rPr>
      </w:pPr>
    </w:p>
    <w:p w14:paraId="398CBA06" w14:textId="77777777" w:rsidR="005A18A7" w:rsidRDefault="005A18A7" w:rsidP="0027655C">
      <w:pPr>
        <w:rPr>
          <w:rStyle w:val="Hyperlink"/>
        </w:rPr>
      </w:pPr>
    </w:p>
    <w:p w14:paraId="66C94BB9" w14:textId="77777777" w:rsidR="005A18A7" w:rsidRDefault="005A18A7" w:rsidP="0027655C">
      <w:pPr>
        <w:rPr>
          <w:rStyle w:val="Hyperlink"/>
        </w:rPr>
      </w:pPr>
    </w:p>
    <w:p w14:paraId="536AE65A" w14:textId="77777777" w:rsidR="005A18A7" w:rsidRDefault="005A18A7" w:rsidP="0027655C">
      <w:pPr>
        <w:rPr>
          <w:rStyle w:val="Hyperlink"/>
        </w:rPr>
      </w:pPr>
    </w:p>
    <w:p w14:paraId="19099CC9" w14:textId="299775D6" w:rsidR="005A18A7" w:rsidRPr="005A18A7" w:rsidRDefault="005A18A7" w:rsidP="0027655C">
      <w:pPr>
        <w:rPr>
          <w:rStyle w:val="Hyperlink"/>
          <w:color w:val="auto"/>
          <w:sz w:val="36"/>
          <w:szCs w:val="36"/>
          <w:u w:val="none"/>
        </w:rPr>
      </w:pPr>
      <w:r w:rsidRPr="005A18A7">
        <w:rPr>
          <w:rStyle w:val="Hyperlink"/>
          <w:color w:val="auto"/>
          <w:sz w:val="36"/>
          <w:szCs w:val="36"/>
          <w:u w:val="none"/>
        </w:rPr>
        <w:t>Appendix 2</w:t>
      </w:r>
    </w:p>
    <w:p w14:paraId="101D2A8E" w14:textId="69A8218A" w:rsidR="005A18A7" w:rsidRPr="005A18A7" w:rsidRDefault="005A18A7" w:rsidP="0027655C">
      <w:pPr>
        <w:rPr>
          <w:rStyle w:val="Hyperlink"/>
          <w:color w:val="auto"/>
          <w:sz w:val="40"/>
          <w:szCs w:val="40"/>
          <w:u w:val="none"/>
        </w:rPr>
      </w:pPr>
      <w:r w:rsidRPr="005A18A7">
        <w:rPr>
          <w:rStyle w:val="Hyperlink"/>
          <w:color w:val="auto"/>
          <w:sz w:val="40"/>
          <w:szCs w:val="40"/>
          <w:u w:val="none"/>
        </w:rPr>
        <w:t>Method Statement Question</w:t>
      </w:r>
    </w:p>
    <w:p w14:paraId="4A4BF860" w14:textId="77777777" w:rsidR="005A18A7" w:rsidRDefault="005A18A7" w:rsidP="0027655C">
      <w:pPr>
        <w:rPr>
          <w:rStyle w:val="Hyperlink"/>
        </w:rPr>
      </w:pPr>
    </w:p>
    <w:tbl>
      <w:tblPr>
        <w:tblStyle w:val="TableGrid"/>
        <w:tblW w:w="9351" w:type="dxa"/>
        <w:tblLook w:val="04A0" w:firstRow="1" w:lastRow="0" w:firstColumn="1" w:lastColumn="0" w:noHBand="0" w:noVBand="1"/>
      </w:tblPr>
      <w:tblGrid>
        <w:gridCol w:w="555"/>
        <w:gridCol w:w="6953"/>
        <w:gridCol w:w="1843"/>
      </w:tblGrid>
      <w:tr w:rsidR="005A18A7" w14:paraId="244D9927" w14:textId="77777777" w:rsidTr="00FA3FE2">
        <w:tc>
          <w:tcPr>
            <w:tcW w:w="555" w:type="dxa"/>
          </w:tcPr>
          <w:p w14:paraId="5C838C72" w14:textId="77777777" w:rsidR="005A18A7" w:rsidRPr="00BE2014" w:rsidRDefault="005A18A7" w:rsidP="00FA3FE2">
            <w:pPr>
              <w:rPr>
                <w:b/>
              </w:rPr>
            </w:pPr>
            <w:r w:rsidRPr="00BE2014">
              <w:rPr>
                <w:b/>
              </w:rPr>
              <w:t>No.</w:t>
            </w:r>
          </w:p>
        </w:tc>
        <w:tc>
          <w:tcPr>
            <w:tcW w:w="6953" w:type="dxa"/>
          </w:tcPr>
          <w:p w14:paraId="3DAFDBCF" w14:textId="77777777" w:rsidR="005A18A7" w:rsidRPr="00BE2014" w:rsidRDefault="005A18A7" w:rsidP="00FA3FE2">
            <w:pPr>
              <w:rPr>
                <w:b/>
              </w:rPr>
            </w:pPr>
            <w:r w:rsidRPr="00BE2014">
              <w:rPr>
                <w:b/>
              </w:rPr>
              <w:t>Question</w:t>
            </w:r>
          </w:p>
        </w:tc>
        <w:tc>
          <w:tcPr>
            <w:tcW w:w="1843" w:type="dxa"/>
          </w:tcPr>
          <w:p w14:paraId="1E9063B3" w14:textId="77777777" w:rsidR="005A18A7" w:rsidRPr="00BE2014" w:rsidRDefault="005A18A7" w:rsidP="00FA3FE2">
            <w:pPr>
              <w:rPr>
                <w:b/>
              </w:rPr>
            </w:pPr>
            <w:r>
              <w:rPr>
                <w:b/>
              </w:rPr>
              <w:t>Percentage Marks Allocated</w:t>
            </w:r>
          </w:p>
        </w:tc>
      </w:tr>
      <w:tr w:rsidR="005A18A7" w14:paraId="4B5851E8" w14:textId="77777777" w:rsidTr="00FA3FE2">
        <w:tc>
          <w:tcPr>
            <w:tcW w:w="555" w:type="dxa"/>
          </w:tcPr>
          <w:p w14:paraId="4FF93FD0" w14:textId="77777777" w:rsidR="005A18A7" w:rsidRPr="00BE2014" w:rsidRDefault="005A18A7" w:rsidP="00FA3FE2">
            <w:pPr>
              <w:rPr>
                <w:b/>
              </w:rPr>
            </w:pPr>
            <w:r w:rsidRPr="00BE2014">
              <w:rPr>
                <w:b/>
              </w:rPr>
              <w:t>1.</w:t>
            </w:r>
          </w:p>
        </w:tc>
        <w:tc>
          <w:tcPr>
            <w:tcW w:w="6953" w:type="dxa"/>
          </w:tcPr>
          <w:p w14:paraId="2811F5D1" w14:textId="77777777" w:rsidR="005A18A7" w:rsidRDefault="005A18A7" w:rsidP="00FA3FE2">
            <w:pPr>
              <w:spacing w:line="252" w:lineRule="auto"/>
            </w:pPr>
            <w:r>
              <w:t>How many businesses will be inspected each month, to ensure that project is completed on time?</w:t>
            </w:r>
          </w:p>
          <w:p w14:paraId="541011F1" w14:textId="77777777" w:rsidR="005A18A7" w:rsidRDefault="005A18A7" w:rsidP="00FA3FE2">
            <w:pPr>
              <w:spacing w:line="252" w:lineRule="auto"/>
            </w:pPr>
          </w:p>
        </w:tc>
        <w:tc>
          <w:tcPr>
            <w:tcW w:w="1843" w:type="dxa"/>
          </w:tcPr>
          <w:p w14:paraId="078D1B2D" w14:textId="77777777" w:rsidR="005A18A7" w:rsidRDefault="005A18A7" w:rsidP="00FA3FE2">
            <w:r>
              <w:t>10%</w:t>
            </w:r>
          </w:p>
        </w:tc>
      </w:tr>
      <w:tr w:rsidR="005A18A7" w14:paraId="52A49E2E" w14:textId="77777777" w:rsidTr="00FA3FE2">
        <w:tc>
          <w:tcPr>
            <w:tcW w:w="555" w:type="dxa"/>
          </w:tcPr>
          <w:p w14:paraId="164B12D7" w14:textId="77777777" w:rsidR="005A18A7" w:rsidRPr="00EB6B26" w:rsidRDefault="005A18A7" w:rsidP="00FA3FE2">
            <w:pPr>
              <w:rPr>
                <w:b/>
              </w:rPr>
            </w:pPr>
            <w:r>
              <w:rPr>
                <w:b/>
              </w:rPr>
              <w:t>1.</w:t>
            </w:r>
          </w:p>
        </w:tc>
        <w:tc>
          <w:tcPr>
            <w:tcW w:w="6953" w:type="dxa"/>
          </w:tcPr>
          <w:p w14:paraId="591E889D" w14:textId="77777777" w:rsidR="005A18A7" w:rsidRDefault="005A18A7" w:rsidP="00FA3FE2">
            <w:r w:rsidRPr="00B976A3">
              <w:rPr>
                <w:b/>
              </w:rPr>
              <w:t xml:space="preserve">Response </w:t>
            </w:r>
            <w:r>
              <w:t>(Please restrict response to 1 side of A4)</w:t>
            </w:r>
          </w:p>
          <w:p w14:paraId="036BC5F5" w14:textId="77777777" w:rsidR="005A18A7" w:rsidRDefault="005A18A7" w:rsidP="00FA3FE2"/>
          <w:p w14:paraId="5895F017" w14:textId="77777777" w:rsidR="005A18A7" w:rsidRDefault="005A18A7" w:rsidP="00FA3FE2"/>
          <w:p w14:paraId="0B288304" w14:textId="77777777" w:rsidR="005A18A7" w:rsidRDefault="005A18A7" w:rsidP="00FA3FE2"/>
        </w:tc>
        <w:tc>
          <w:tcPr>
            <w:tcW w:w="1843" w:type="dxa"/>
          </w:tcPr>
          <w:p w14:paraId="2C36F012" w14:textId="77777777" w:rsidR="005A18A7" w:rsidRDefault="005A18A7" w:rsidP="00FA3FE2"/>
        </w:tc>
      </w:tr>
      <w:tr w:rsidR="005A18A7" w14:paraId="0C284383" w14:textId="77777777" w:rsidTr="00FA3FE2">
        <w:tc>
          <w:tcPr>
            <w:tcW w:w="555" w:type="dxa"/>
          </w:tcPr>
          <w:p w14:paraId="10553B08" w14:textId="77777777" w:rsidR="005A18A7" w:rsidRPr="00BE2014" w:rsidRDefault="005A18A7" w:rsidP="00FA3FE2">
            <w:pPr>
              <w:rPr>
                <w:b/>
              </w:rPr>
            </w:pPr>
            <w:r w:rsidRPr="00BE2014">
              <w:rPr>
                <w:b/>
              </w:rPr>
              <w:t>2.</w:t>
            </w:r>
          </w:p>
        </w:tc>
        <w:tc>
          <w:tcPr>
            <w:tcW w:w="6953" w:type="dxa"/>
          </w:tcPr>
          <w:p w14:paraId="30C66019" w14:textId="77777777" w:rsidR="005A18A7" w:rsidRDefault="005A18A7" w:rsidP="00FA3FE2">
            <w:r>
              <w:t>How will the quality of the inspections and paperwork be assessed?     </w:t>
            </w:r>
          </w:p>
          <w:p w14:paraId="45616FC8" w14:textId="77777777" w:rsidR="005A18A7" w:rsidRDefault="005A18A7" w:rsidP="00FA3FE2">
            <w:r>
              <w:t>  </w:t>
            </w:r>
          </w:p>
        </w:tc>
        <w:tc>
          <w:tcPr>
            <w:tcW w:w="1843" w:type="dxa"/>
          </w:tcPr>
          <w:p w14:paraId="460A172F" w14:textId="77777777" w:rsidR="005A18A7" w:rsidRDefault="005A18A7" w:rsidP="00FA3FE2">
            <w:r>
              <w:t>40%</w:t>
            </w:r>
          </w:p>
        </w:tc>
      </w:tr>
      <w:tr w:rsidR="005A18A7" w14:paraId="4D87E547" w14:textId="77777777" w:rsidTr="00FA3FE2">
        <w:tc>
          <w:tcPr>
            <w:tcW w:w="555" w:type="dxa"/>
          </w:tcPr>
          <w:p w14:paraId="7FB2BF78" w14:textId="77777777" w:rsidR="005A18A7" w:rsidRPr="00BE2014" w:rsidRDefault="005A18A7" w:rsidP="00FA3FE2">
            <w:pPr>
              <w:rPr>
                <w:b/>
              </w:rPr>
            </w:pPr>
            <w:r>
              <w:rPr>
                <w:b/>
              </w:rPr>
              <w:t>2.</w:t>
            </w:r>
          </w:p>
        </w:tc>
        <w:tc>
          <w:tcPr>
            <w:tcW w:w="6953" w:type="dxa"/>
          </w:tcPr>
          <w:p w14:paraId="0768585B" w14:textId="77777777" w:rsidR="005A18A7" w:rsidRDefault="005A18A7" w:rsidP="00FA3FE2">
            <w:r w:rsidRPr="00B976A3">
              <w:rPr>
                <w:b/>
              </w:rPr>
              <w:t>Response</w:t>
            </w:r>
            <w:r>
              <w:t xml:space="preserve"> (Please restrict response to 1 side of A4)</w:t>
            </w:r>
          </w:p>
          <w:p w14:paraId="491254FA" w14:textId="77777777" w:rsidR="005A18A7" w:rsidRDefault="005A18A7" w:rsidP="00FA3FE2"/>
          <w:p w14:paraId="5F52E451" w14:textId="77777777" w:rsidR="005A18A7" w:rsidRDefault="005A18A7" w:rsidP="00FA3FE2"/>
          <w:p w14:paraId="0A0DEE0A" w14:textId="77777777" w:rsidR="005A18A7" w:rsidRPr="00BE2014" w:rsidRDefault="005A18A7" w:rsidP="00FA3FE2"/>
        </w:tc>
        <w:tc>
          <w:tcPr>
            <w:tcW w:w="1843" w:type="dxa"/>
          </w:tcPr>
          <w:p w14:paraId="5371BDB7" w14:textId="77777777" w:rsidR="005A18A7" w:rsidRDefault="005A18A7" w:rsidP="00FA3FE2"/>
        </w:tc>
      </w:tr>
      <w:tr w:rsidR="005A18A7" w14:paraId="7C702BE2" w14:textId="77777777" w:rsidTr="00FA3FE2">
        <w:tc>
          <w:tcPr>
            <w:tcW w:w="555" w:type="dxa"/>
          </w:tcPr>
          <w:p w14:paraId="7173BFCA" w14:textId="77777777" w:rsidR="005A18A7" w:rsidRPr="00BE2014" w:rsidRDefault="005A18A7" w:rsidP="00FA3FE2">
            <w:pPr>
              <w:rPr>
                <w:b/>
              </w:rPr>
            </w:pPr>
            <w:r>
              <w:rPr>
                <w:b/>
              </w:rPr>
              <w:t>3</w:t>
            </w:r>
            <w:r w:rsidRPr="00BE2014">
              <w:rPr>
                <w:b/>
              </w:rPr>
              <w:t>.</w:t>
            </w:r>
          </w:p>
        </w:tc>
        <w:tc>
          <w:tcPr>
            <w:tcW w:w="6953" w:type="dxa"/>
          </w:tcPr>
          <w:p w14:paraId="009190E9" w14:textId="77777777" w:rsidR="005A18A7" w:rsidRDefault="005A18A7" w:rsidP="00FA3FE2">
            <w:r>
              <w:t>How will the number of overdue businesses be assessed to check if they are still trading and how will be reported?</w:t>
            </w:r>
          </w:p>
          <w:p w14:paraId="6B70FD1B" w14:textId="77777777" w:rsidR="005A18A7" w:rsidRDefault="005A18A7" w:rsidP="00FA3FE2"/>
        </w:tc>
        <w:tc>
          <w:tcPr>
            <w:tcW w:w="1843" w:type="dxa"/>
          </w:tcPr>
          <w:p w14:paraId="68AAD311" w14:textId="77777777" w:rsidR="005A18A7" w:rsidRDefault="005A18A7" w:rsidP="00FA3FE2">
            <w:r>
              <w:t>10%</w:t>
            </w:r>
          </w:p>
        </w:tc>
      </w:tr>
      <w:tr w:rsidR="005A18A7" w14:paraId="31F3EBF0" w14:textId="77777777" w:rsidTr="00FA3FE2">
        <w:tc>
          <w:tcPr>
            <w:tcW w:w="555" w:type="dxa"/>
          </w:tcPr>
          <w:p w14:paraId="76506ED7" w14:textId="77777777" w:rsidR="005A18A7" w:rsidRPr="00BE2014" w:rsidRDefault="005A18A7" w:rsidP="00FA3FE2">
            <w:pPr>
              <w:rPr>
                <w:b/>
              </w:rPr>
            </w:pPr>
            <w:r>
              <w:rPr>
                <w:b/>
              </w:rPr>
              <w:t>3.</w:t>
            </w:r>
          </w:p>
        </w:tc>
        <w:tc>
          <w:tcPr>
            <w:tcW w:w="6953" w:type="dxa"/>
          </w:tcPr>
          <w:p w14:paraId="06B9241F" w14:textId="77777777" w:rsidR="005A18A7" w:rsidRDefault="005A18A7" w:rsidP="00FA3FE2">
            <w:r w:rsidRPr="00B976A3">
              <w:rPr>
                <w:b/>
              </w:rPr>
              <w:t>Response</w:t>
            </w:r>
            <w:r>
              <w:t xml:space="preserve"> (Please restrict response to 1 side of A4)</w:t>
            </w:r>
          </w:p>
          <w:p w14:paraId="07AB700A" w14:textId="77777777" w:rsidR="005A18A7" w:rsidRDefault="005A18A7" w:rsidP="00FA3FE2"/>
          <w:p w14:paraId="56F5DAA4" w14:textId="77777777" w:rsidR="005A18A7" w:rsidRDefault="005A18A7" w:rsidP="00FA3FE2"/>
          <w:p w14:paraId="30D1A975" w14:textId="77777777" w:rsidR="005A18A7" w:rsidRPr="00BE2014" w:rsidDel="003B4783" w:rsidRDefault="005A18A7" w:rsidP="00FA3FE2"/>
        </w:tc>
        <w:tc>
          <w:tcPr>
            <w:tcW w:w="1843" w:type="dxa"/>
          </w:tcPr>
          <w:p w14:paraId="765ECC36" w14:textId="77777777" w:rsidR="005A18A7" w:rsidRDefault="005A18A7" w:rsidP="00FA3FE2"/>
          <w:p w14:paraId="2DCD243C" w14:textId="77777777" w:rsidR="005A18A7" w:rsidRDefault="005A18A7" w:rsidP="00FA3FE2"/>
        </w:tc>
      </w:tr>
      <w:tr w:rsidR="005A18A7" w14:paraId="58E2446C" w14:textId="77777777" w:rsidTr="00FA3FE2">
        <w:tc>
          <w:tcPr>
            <w:tcW w:w="555" w:type="dxa"/>
          </w:tcPr>
          <w:p w14:paraId="75AF1D5E" w14:textId="77777777" w:rsidR="005A18A7" w:rsidRPr="00BE2014" w:rsidRDefault="005A18A7" w:rsidP="00FA3FE2">
            <w:pPr>
              <w:rPr>
                <w:b/>
              </w:rPr>
            </w:pPr>
            <w:r>
              <w:rPr>
                <w:b/>
              </w:rPr>
              <w:t>4</w:t>
            </w:r>
            <w:r w:rsidRPr="00BE2014">
              <w:rPr>
                <w:b/>
              </w:rPr>
              <w:t>.</w:t>
            </w:r>
          </w:p>
        </w:tc>
        <w:tc>
          <w:tcPr>
            <w:tcW w:w="6953" w:type="dxa"/>
          </w:tcPr>
          <w:p w14:paraId="5A068E6A" w14:textId="77777777" w:rsidR="005A18A7" w:rsidRDefault="005A18A7" w:rsidP="00FA3FE2">
            <w:r>
              <w:t>How will the quality of inspection data entry on Uniform be quality assessed?</w:t>
            </w:r>
          </w:p>
          <w:p w14:paraId="48926EAB" w14:textId="77777777" w:rsidR="005A18A7" w:rsidRDefault="005A18A7" w:rsidP="00FA3FE2"/>
        </w:tc>
        <w:tc>
          <w:tcPr>
            <w:tcW w:w="1843" w:type="dxa"/>
          </w:tcPr>
          <w:p w14:paraId="34AC811F" w14:textId="77777777" w:rsidR="005A18A7" w:rsidRDefault="005A18A7" w:rsidP="00FA3FE2">
            <w:r>
              <w:t>40%</w:t>
            </w:r>
          </w:p>
        </w:tc>
      </w:tr>
      <w:tr w:rsidR="005A18A7" w14:paraId="15352536" w14:textId="77777777" w:rsidTr="00FA3FE2">
        <w:tc>
          <w:tcPr>
            <w:tcW w:w="555" w:type="dxa"/>
          </w:tcPr>
          <w:p w14:paraId="7B67CBFB" w14:textId="77777777" w:rsidR="005A18A7" w:rsidRPr="00BE2014" w:rsidRDefault="005A18A7" w:rsidP="00FA3FE2">
            <w:pPr>
              <w:rPr>
                <w:b/>
              </w:rPr>
            </w:pPr>
            <w:r>
              <w:rPr>
                <w:b/>
              </w:rPr>
              <w:t>4.</w:t>
            </w:r>
          </w:p>
        </w:tc>
        <w:tc>
          <w:tcPr>
            <w:tcW w:w="6953" w:type="dxa"/>
          </w:tcPr>
          <w:p w14:paraId="580959D6" w14:textId="77777777" w:rsidR="005A18A7" w:rsidRDefault="005A18A7" w:rsidP="00FA3FE2">
            <w:r w:rsidRPr="00B976A3">
              <w:rPr>
                <w:b/>
              </w:rPr>
              <w:t>Response</w:t>
            </w:r>
            <w:r>
              <w:t xml:space="preserve"> (Please restrict response to 1 side of A4)</w:t>
            </w:r>
          </w:p>
          <w:p w14:paraId="79C8581B" w14:textId="77777777" w:rsidR="005A18A7" w:rsidRDefault="005A18A7" w:rsidP="00FA3FE2"/>
          <w:p w14:paraId="15E8FD32" w14:textId="77777777" w:rsidR="005A18A7" w:rsidRDefault="005A18A7" w:rsidP="00FA3FE2"/>
          <w:p w14:paraId="26462488" w14:textId="77777777" w:rsidR="005A18A7" w:rsidRPr="00BE2014" w:rsidDel="003B4783" w:rsidRDefault="005A18A7" w:rsidP="00FA3FE2"/>
        </w:tc>
        <w:tc>
          <w:tcPr>
            <w:tcW w:w="1843" w:type="dxa"/>
          </w:tcPr>
          <w:p w14:paraId="6BF4462D" w14:textId="77777777" w:rsidR="005A18A7" w:rsidRDefault="005A18A7" w:rsidP="00FA3FE2"/>
        </w:tc>
      </w:tr>
    </w:tbl>
    <w:p w14:paraId="32E13BA5" w14:textId="77777777" w:rsidR="005A18A7" w:rsidRDefault="005A18A7" w:rsidP="005A18A7"/>
    <w:p w14:paraId="49F6412F" w14:textId="77777777" w:rsidR="005A18A7" w:rsidRDefault="005A18A7" w:rsidP="0027655C">
      <w:bookmarkStart w:id="0" w:name="_GoBack"/>
      <w:bookmarkEnd w:id="0"/>
    </w:p>
    <w:sectPr w:rsidR="005A1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3E98"/>
    <w:multiLevelType w:val="hybridMultilevel"/>
    <w:tmpl w:val="07F6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C1446"/>
    <w:multiLevelType w:val="hybridMultilevel"/>
    <w:tmpl w:val="E39C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570FF"/>
    <w:multiLevelType w:val="hybridMultilevel"/>
    <w:tmpl w:val="699E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5C"/>
    <w:rsid w:val="001B6645"/>
    <w:rsid w:val="0027655C"/>
    <w:rsid w:val="00580410"/>
    <w:rsid w:val="005A18A7"/>
    <w:rsid w:val="007A61D9"/>
    <w:rsid w:val="007B0E87"/>
    <w:rsid w:val="007C5788"/>
    <w:rsid w:val="00895650"/>
    <w:rsid w:val="00924D96"/>
    <w:rsid w:val="009D6361"/>
    <w:rsid w:val="00A11F01"/>
    <w:rsid w:val="00A62B13"/>
    <w:rsid w:val="00B00004"/>
    <w:rsid w:val="00B40B8E"/>
    <w:rsid w:val="00C23ACD"/>
    <w:rsid w:val="00D1450A"/>
    <w:rsid w:val="00D84925"/>
    <w:rsid w:val="00E17C2D"/>
    <w:rsid w:val="00ED3B82"/>
    <w:rsid w:val="00FD0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D500"/>
  <w15:chartTrackingRefBased/>
  <w15:docId w15:val="{C73F410F-2D60-46FC-B0C2-7D3D928C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D96"/>
    <w:rPr>
      <w:rFonts w:ascii="Segoe UI" w:hAnsi="Segoe UI" w:cs="Segoe UI"/>
      <w:sz w:val="18"/>
      <w:szCs w:val="18"/>
    </w:rPr>
  </w:style>
  <w:style w:type="character" w:styleId="CommentReference">
    <w:name w:val="annotation reference"/>
    <w:basedOn w:val="DefaultParagraphFont"/>
    <w:uiPriority w:val="99"/>
    <w:semiHidden/>
    <w:unhideWhenUsed/>
    <w:rsid w:val="00924D96"/>
    <w:rPr>
      <w:sz w:val="16"/>
      <w:szCs w:val="16"/>
    </w:rPr>
  </w:style>
  <w:style w:type="paragraph" w:styleId="CommentText">
    <w:name w:val="annotation text"/>
    <w:basedOn w:val="Normal"/>
    <w:link w:val="CommentTextChar"/>
    <w:uiPriority w:val="99"/>
    <w:semiHidden/>
    <w:unhideWhenUsed/>
    <w:rsid w:val="00924D96"/>
    <w:pPr>
      <w:spacing w:line="240" w:lineRule="auto"/>
    </w:pPr>
    <w:rPr>
      <w:sz w:val="20"/>
      <w:szCs w:val="20"/>
    </w:rPr>
  </w:style>
  <w:style w:type="character" w:customStyle="1" w:styleId="CommentTextChar">
    <w:name w:val="Comment Text Char"/>
    <w:basedOn w:val="DefaultParagraphFont"/>
    <w:link w:val="CommentText"/>
    <w:uiPriority w:val="99"/>
    <w:semiHidden/>
    <w:rsid w:val="00924D96"/>
    <w:rPr>
      <w:sz w:val="20"/>
      <w:szCs w:val="20"/>
    </w:rPr>
  </w:style>
  <w:style w:type="paragraph" w:styleId="CommentSubject">
    <w:name w:val="annotation subject"/>
    <w:basedOn w:val="CommentText"/>
    <w:next w:val="CommentText"/>
    <w:link w:val="CommentSubjectChar"/>
    <w:uiPriority w:val="99"/>
    <w:semiHidden/>
    <w:unhideWhenUsed/>
    <w:rsid w:val="00924D96"/>
    <w:rPr>
      <w:b/>
      <w:bCs/>
    </w:rPr>
  </w:style>
  <w:style w:type="character" w:customStyle="1" w:styleId="CommentSubjectChar">
    <w:name w:val="Comment Subject Char"/>
    <w:basedOn w:val="CommentTextChar"/>
    <w:link w:val="CommentSubject"/>
    <w:uiPriority w:val="99"/>
    <w:semiHidden/>
    <w:rsid w:val="00924D96"/>
    <w:rPr>
      <w:b/>
      <w:bCs/>
      <w:sz w:val="20"/>
      <w:szCs w:val="20"/>
    </w:rPr>
  </w:style>
  <w:style w:type="paragraph" w:styleId="ListParagraph">
    <w:name w:val="List Paragraph"/>
    <w:basedOn w:val="Normal"/>
    <w:uiPriority w:val="34"/>
    <w:qFormat/>
    <w:rsid w:val="007B0E87"/>
    <w:pPr>
      <w:ind w:left="720"/>
      <w:contextualSpacing/>
    </w:pPr>
  </w:style>
  <w:style w:type="character" w:styleId="Hyperlink">
    <w:name w:val="Hyperlink"/>
    <w:basedOn w:val="DefaultParagraphFont"/>
    <w:uiPriority w:val="99"/>
    <w:unhideWhenUsed/>
    <w:rsid w:val="00ED3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mistry@lambet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2199-37F3-4881-9765-2CB26047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Mistry,Mina</dc:creator>
  <cp:keywords/>
  <dc:description/>
  <cp:lastModifiedBy>Aboobakar,Sohail</cp:lastModifiedBy>
  <cp:revision>3</cp:revision>
  <dcterms:created xsi:type="dcterms:W3CDTF">2018-07-06T11:10:00Z</dcterms:created>
  <dcterms:modified xsi:type="dcterms:W3CDTF">2018-07-06T11:16:00Z</dcterms:modified>
</cp:coreProperties>
</file>