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C075C1">
      <w:pPr>
        <w:rPr>
          <w:b/>
        </w:rPr>
      </w:pPr>
      <w:r w:rsidRPr="00C075C1">
        <w:rPr>
          <w:b/>
        </w:rPr>
        <w:t xml:space="preserve">RSSB2656 - T1124 - Understanding the conditions for successful mental health </w:t>
      </w:r>
    </w:p>
    <w:p w:rsidR="00C075C1" w:rsidRDefault="00C075C1">
      <w:pPr>
        <w:rPr>
          <w:b/>
        </w:rPr>
      </w:pP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Have any clarifying questions been asked? If so, can you please provide me the list of equations and responses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 xml:space="preserve">Is there a </w:t>
            </w:r>
            <w:proofErr w:type="gramStart"/>
            <w:r>
              <w:rPr>
                <w:rFonts w:eastAsia="Times New Roman"/>
                <w:color w:val="0B0C0C"/>
                <w:sz w:val="18"/>
                <w:szCs w:val="18"/>
              </w:rPr>
              <w:t>particular format</w:t>
            </w:r>
            <w:proofErr w:type="gramEnd"/>
            <w:r>
              <w:rPr>
                <w:rFonts w:eastAsia="Times New Roman"/>
                <w:color w:val="0B0C0C"/>
                <w:sz w:val="18"/>
                <w:szCs w:val="18"/>
              </w:rPr>
              <w:t xml:space="preserve"> you would like the application to be submitted?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Are there any word limits for questions for example '</w:t>
            </w:r>
            <w:r>
              <w:rPr>
                <w:rFonts w:eastAsia="Times New Roman"/>
                <w:sz w:val="18"/>
                <w:szCs w:val="18"/>
              </w:rPr>
              <w:t>Could you provide a short description of two projects in which you delivered mental health research to clients over the last two years? Please provide a short explanation on why they are relevant to our needs’</w:t>
            </w:r>
          </w:p>
          <w:p w:rsidR="00946481" w:rsidRPr="00F137F3" w:rsidRDefault="00946481" w:rsidP="00C075C1">
            <w:pPr>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E743BE" w:rsidRDefault="00E743BE" w:rsidP="00E743BE">
            <w:pPr>
              <w:numPr>
                <w:ilvl w:val="0"/>
                <w:numId w:val="25"/>
              </w:numPr>
            </w:pPr>
            <w:r>
              <w:t>All information pertaining to clarification questions can be found within the associated documents, which are updated “As and When”, attached to the Contract Notice.</w:t>
            </w:r>
            <w:r>
              <w:br/>
            </w:r>
          </w:p>
          <w:p w:rsidR="00E743BE" w:rsidRDefault="00E743BE" w:rsidP="00E743BE">
            <w:pPr>
              <w:numPr>
                <w:ilvl w:val="0"/>
                <w:numId w:val="25"/>
              </w:numPr>
            </w:pPr>
            <w:r>
              <w:t>RSSB requires tenderer to submit via email to the following email address, as stated in the I.T.T:</w:t>
            </w:r>
            <w:r>
              <w:br/>
            </w:r>
            <w:r>
              <w:br/>
            </w:r>
            <w:hyperlink r:id="rId6" w:history="1">
              <w:r>
                <w:rPr>
                  <w:rStyle w:val="Hyperlink"/>
                </w:rPr>
                <w:t>Shareditt@rssb.co.uk</w:t>
              </w:r>
            </w:hyperlink>
            <w:r>
              <w:br/>
            </w:r>
          </w:p>
          <w:p w:rsidR="00E743BE" w:rsidRDefault="00E743BE" w:rsidP="00E743BE">
            <w:pPr>
              <w:numPr>
                <w:ilvl w:val="0"/>
                <w:numId w:val="25"/>
              </w:numPr>
            </w:pPr>
            <w:r>
              <w:t>Currently there are no word limits.</w:t>
            </w:r>
          </w:p>
          <w:p w:rsidR="00946481" w:rsidRPr="00F137F3" w:rsidRDefault="00A2599A" w:rsidP="00B73850">
            <w:pPr>
              <w:rPr>
                <w:color w:val="000000" w:themeColor="text1"/>
                <w:sz w:val="24"/>
                <w:szCs w:val="24"/>
              </w:rPr>
            </w:pP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743BE" w:rsidRDefault="00E743BE" w:rsidP="00E743BE">
            <w:r>
              <w:t>I am interested in submitting a tender in for the above contract, I have a few questions and wanted to ask if it is possible to arrange a telephone conversation? </w:t>
            </w:r>
          </w:p>
          <w:p w:rsidR="00E743BE" w:rsidRDefault="00E743BE" w:rsidP="00E743BE"/>
          <w:p w:rsidR="00E743BE" w:rsidRDefault="00E743BE" w:rsidP="00E743BE">
            <w:r>
              <w:t xml:space="preserve">in the </w:t>
            </w:r>
            <w:proofErr w:type="gramStart"/>
            <w:r>
              <w:t>meantime</w:t>
            </w:r>
            <w:proofErr w:type="gramEnd"/>
            <w:r>
              <w:t xml:space="preserve"> could you please advise if there is a particular application form to submit? </w:t>
            </w:r>
          </w:p>
          <w:p w:rsidR="00EA08D0" w:rsidRPr="00F137F3" w:rsidRDefault="00EA08D0">
            <w:pPr>
              <w:rPr>
                <w:b/>
                <w:color w:val="000000" w:themeColor="text1"/>
                <w:sz w:val="24"/>
                <w:szCs w:val="24"/>
              </w:rPr>
            </w:pP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743BE" w:rsidRDefault="00E743BE" w:rsidP="00E743BE">
            <w:pPr>
              <w:numPr>
                <w:ilvl w:val="0"/>
                <w:numId w:val="26"/>
              </w:numPr>
            </w:pPr>
            <w:r>
              <w:t>All clarification questions should be submitted to:</w:t>
            </w:r>
            <w:r>
              <w:br/>
            </w:r>
            <w:r>
              <w:br/>
            </w:r>
            <w:hyperlink r:id="rId7" w:history="1">
              <w:r>
                <w:rPr>
                  <w:rStyle w:val="Hyperlink"/>
                </w:rPr>
                <w:t>Shareditt@rssb.co.uk</w:t>
              </w:r>
            </w:hyperlink>
            <w:r>
              <w:br/>
            </w:r>
          </w:p>
          <w:p w:rsidR="00E743BE" w:rsidRDefault="00E743BE" w:rsidP="00E743BE">
            <w:pPr>
              <w:numPr>
                <w:ilvl w:val="0"/>
                <w:numId w:val="26"/>
              </w:numPr>
            </w:pPr>
            <w:r>
              <w:t>RSSB requires tenderer to submit via email to the following email address, as stated in the I.T.T:</w:t>
            </w:r>
            <w:r>
              <w:br/>
            </w:r>
            <w:r>
              <w:br/>
            </w:r>
            <w:hyperlink r:id="rId8" w:history="1">
              <w:r>
                <w:rPr>
                  <w:rStyle w:val="Hyperlink"/>
                </w:rPr>
                <w:t>Shareditt@rssb.co.uk</w:t>
              </w:r>
            </w:hyperlink>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EA08D0" w:rsidP="00C075C1">
            <w:pPr>
              <w:rPr>
                <w:b/>
                <w:color w:val="000000" w:themeColor="text1"/>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3</w:t>
            </w: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The ITT seems to suggest evaluation of an existing programme on page 24 however page 29 sites “Support from industry stakeholders </w:t>
            </w:r>
            <w:r w:rsidRPr="00D970AF">
              <w:rPr>
                <w:rFonts w:eastAsia="Times New Roman"/>
                <w:b/>
                <w:bCs/>
                <w:color w:val="0D0D0D" w:themeColor="text1" w:themeTint="F2"/>
              </w:rPr>
              <w:t>to make a viable training product</w:t>
            </w:r>
            <w:r w:rsidRPr="00D970AF">
              <w:rPr>
                <w:rFonts w:eastAsia="Times New Roman"/>
                <w:color w:val="0D0D0D" w:themeColor="text1" w:themeTint="F2"/>
              </w:rPr>
              <w:t xml:space="preserve">” which seems to suggest otherwise. Can we confirm that it is sufficient to identify and select training programmes within </w:t>
            </w:r>
            <w:r w:rsidRPr="00D970AF">
              <w:rPr>
                <w:rFonts w:eastAsia="Times New Roman"/>
                <w:color w:val="0D0D0D" w:themeColor="text1" w:themeTint="F2"/>
              </w:rPr>
              <w:lastRenderedPageBreak/>
              <w:t xml:space="preserve">rail for evaluation in work package 2, and that there is no requirement to develop and deliver a mental health training intervention? The critical success factors on page 29 may be in conflict as this seems to suggest that the successful contractor would be evaluating their own training intervention. Can </w:t>
            </w:r>
            <w:proofErr w:type="gramStart"/>
            <w:r w:rsidRPr="00D970AF">
              <w:rPr>
                <w:rFonts w:eastAsia="Times New Roman"/>
                <w:color w:val="0D0D0D" w:themeColor="text1" w:themeTint="F2"/>
              </w:rPr>
              <w:t>RSSB  clarify</w:t>
            </w:r>
            <w:proofErr w:type="gramEnd"/>
            <w:r w:rsidRPr="00D970AF">
              <w:rPr>
                <w:rFonts w:eastAsia="Times New Roman"/>
                <w:color w:val="0D0D0D" w:themeColor="text1" w:themeTint="F2"/>
              </w:rPr>
              <w:t xml:space="preserve"> these success factors further?</w:t>
            </w:r>
          </w:p>
          <w:p w:rsidR="00D970AF" w:rsidRPr="00D970AF" w:rsidRDefault="00D970AF" w:rsidP="00EA08D0">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lastRenderedPageBreak/>
              <w:t>RSSB Answer 3</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This project does not require any building of a training product. It is instead an evaluation of the products being used by the industry focusing on perhaps two and providing detail behind the performance of these. We wish to help organisations gain a better understanding of what might work, how it might work and how it was measured. </w:t>
            </w:r>
            <w:proofErr w:type="gramStart"/>
            <w:r w:rsidRPr="00D970AF">
              <w:rPr>
                <w:rFonts w:eastAsia="Times New Roman"/>
                <w:color w:val="0D0D0D" w:themeColor="text1" w:themeTint="F2"/>
              </w:rPr>
              <w:t>Ideally</w:t>
            </w:r>
            <w:proofErr w:type="gramEnd"/>
            <w:r w:rsidRPr="00D970AF">
              <w:rPr>
                <w:rFonts w:eastAsia="Times New Roman"/>
                <w:color w:val="0D0D0D" w:themeColor="text1" w:themeTint="F2"/>
              </w:rPr>
              <w:t xml:space="preserve"> we would also like to show to industry the opportunity presented by investing in mental health training (but this is, of course, dependent on the outcomes of the work)</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4</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“Support of two or more training packages into action to train managers on health and wellbeing within rail companies”. Can RSSB offer any further specifics with respect to this expectation (i.e. build and test or just test).</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4</w:t>
            </w:r>
          </w:p>
          <w:p w:rsidR="00D970AF" w:rsidRPr="00D970AF" w:rsidRDefault="00D970AF" w:rsidP="00D970AF">
            <w:pPr>
              <w:rPr>
                <w:b/>
                <w:color w:val="0D0D0D" w:themeColor="text1" w:themeTint="F2"/>
                <w:sz w:val="24"/>
                <w:szCs w:val="24"/>
              </w:rPr>
            </w:pPr>
          </w:p>
          <w:p w:rsidR="00D970AF" w:rsidRPr="00D970AF" w:rsidRDefault="00D970AF" w:rsidP="00D970AF">
            <w:pPr>
              <w:rPr>
                <w:color w:val="0D0D0D" w:themeColor="text1" w:themeTint="F2"/>
                <w:sz w:val="24"/>
                <w:szCs w:val="24"/>
              </w:rPr>
            </w:pPr>
            <w:r w:rsidRPr="00D970AF">
              <w:rPr>
                <w:color w:val="0D0D0D" w:themeColor="text1" w:themeTint="F2"/>
                <w:sz w:val="24"/>
                <w:szCs w:val="24"/>
              </w:rPr>
              <w:t>Please see RSSB Answer 3</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“Additionally, outline an appropriate training method that could be the focus of a long-term longitudinal study”. Can RSSB offer any further specifics with respect to this expectation? (define an effective training method/mechanism based on the findings from WP1 and 2 of this work and not develop the training intervention or longitudinal study methodology).</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At the end of this project and from the findings of this initial activity would the supplier advise the ongoing follow up (longitudinal study – beyond the first year) of a </w:t>
            </w:r>
            <w:proofErr w:type="gramStart"/>
            <w:r w:rsidRPr="00D970AF">
              <w:rPr>
                <w:rFonts w:eastAsia="Times New Roman"/>
                <w:color w:val="0D0D0D" w:themeColor="text1" w:themeTint="F2"/>
              </w:rPr>
              <w:t>particular well</w:t>
            </w:r>
            <w:proofErr w:type="gramEnd"/>
            <w:r w:rsidRPr="00D970AF">
              <w:rPr>
                <w:rFonts w:eastAsia="Times New Roman"/>
                <w:color w:val="0D0D0D" w:themeColor="text1" w:themeTint="F2"/>
              </w:rPr>
              <w:t xml:space="preserve"> performing activity and why. This would be put to the industry steering group who will decide whether to invest in a new project to continue evaluation of the mental health training and reinforce the findings from the first study (the one currently being bid for).</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6</w:t>
            </w:r>
          </w:p>
          <w:p w:rsidR="00D970AF" w:rsidRDefault="00D970AF" w:rsidP="00D970AF">
            <w:pPr>
              <w:rPr>
                <w:rFonts w:eastAsia="Times New Roman"/>
                <w:color w:val="0D0D0D" w:themeColor="text1" w:themeTint="F2"/>
              </w:rPr>
            </w:pPr>
            <w:r w:rsidRPr="00D970AF">
              <w:rPr>
                <w:rFonts w:eastAsia="Times New Roman"/>
                <w:color w:val="0D0D0D" w:themeColor="text1" w:themeTint="F2"/>
              </w:rPr>
              <w:t>Can RSSB explain on why ‘Resilience training’ has been identified to be out of scope?</w:t>
            </w:r>
          </w:p>
          <w:p w:rsidR="00D970AF" w:rsidRPr="00D970AF" w:rsidRDefault="00D970AF" w:rsidP="00D970AF">
            <w:pPr>
              <w:rPr>
                <w:b/>
                <w:color w:val="0D0D0D" w:themeColor="text1" w:themeTint="F2"/>
                <w:sz w:val="24"/>
                <w:szCs w:val="24"/>
              </w:rPr>
            </w:pPr>
            <w:bookmarkStart w:id="0" w:name="_GoBack"/>
            <w:bookmarkEnd w:id="0"/>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6</w:t>
            </w: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We work closely with our trade union colleagues and although it is agreed that resilience has a place in management of stress and mental health it is not our priority focus area </w:t>
            </w:r>
            <w:proofErr w:type="gramStart"/>
            <w:r w:rsidRPr="00D970AF">
              <w:rPr>
                <w:rFonts w:eastAsia="Times New Roman"/>
                <w:color w:val="0D0D0D" w:themeColor="text1" w:themeTint="F2"/>
              </w:rPr>
              <w:t>at this time</w:t>
            </w:r>
            <w:proofErr w:type="gramEnd"/>
            <w:r w:rsidRPr="00D970AF">
              <w:rPr>
                <w:rFonts w:eastAsia="Times New Roman"/>
                <w:color w:val="0D0D0D" w:themeColor="text1" w:themeTint="F2"/>
              </w:rPr>
              <w:t>.</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7</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lastRenderedPageBreak/>
              <w:t>Pg</w:t>
            </w:r>
            <w:proofErr w:type="spellEnd"/>
            <w:r w:rsidRPr="00D970AF">
              <w:rPr>
                <w:rFonts w:eastAsia="Times New Roman"/>
                <w:color w:val="0D0D0D" w:themeColor="text1" w:themeTint="F2"/>
              </w:rPr>
              <w:t xml:space="preserve"> 29 of the ITT states “</w:t>
            </w:r>
            <w:r w:rsidRPr="00D970AF">
              <w:rPr>
                <w:rFonts w:eastAsia="Times New Roman"/>
                <w:color w:val="0D0D0D" w:themeColor="text1" w:themeTint="F2"/>
                <w:lang w:eastAsia="en-GB"/>
              </w:rPr>
              <w:t>The critical success factors for this are support form industry stakeholders which will allow researchers access to their employees as well as to health data within their company to be able to complete this research”. On previous contracts, RSSB have assisted the contractor to secure industry support and engagement (such as forming industry steering groups to support the work). Can you confirm how RSSB is able to support the successful contractor to secure industry engagement (if at all)?</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lastRenderedPageBreak/>
              <w:t>R</w:t>
            </w:r>
            <w:r w:rsidRPr="00D970AF">
              <w:rPr>
                <w:b/>
                <w:color w:val="0D0D0D" w:themeColor="text1" w:themeTint="F2"/>
                <w:sz w:val="24"/>
                <w:szCs w:val="24"/>
              </w:rPr>
              <w:t>SSB Answer 7</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lang w:eastAsia="en-GB"/>
              </w:rPr>
              <w:t>RSSB will support the successful contractor manage industry engagement. Our team is expanding and resource will be allocated to this task.</w:t>
            </w: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1"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0"/>
  </w:num>
  <w:num w:numId="17">
    <w:abstractNumId w:val="23"/>
  </w:num>
  <w:num w:numId="18">
    <w:abstractNumId w:val="17"/>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599A"/>
    <w:rsid w:val="00A26BA4"/>
    <w:rsid w:val="00A65249"/>
    <w:rsid w:val="00A83354"/>
    <w:rsid w:val="00B73850"/>
    <w:rsid w:val="00C075C1"/>
    <w:rsid w:val="00C93221"/>
    <w:rsid w:val="00C94CB5"/>
    <w:rsid w:val="00D970AF"/>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BF1A"/>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9BD0-1C84-47B3-947D-A38D742B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2017-10-18T13:04:00Z</dcterms:created>
  <dcterms:modified xsi:type="dcterms:W3CDTF">2017-10-18T13:04:00Z</dcterms:modified>
</cp:coreProperties>
</file>