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F9A68" w14:textId="77777777" w:rsidR="00717FD0" w:rsidRDefault="00717FD0" w:rsidP="00616D25">
      <w:pPr>
        <w:rPr>
          <w:rFonts w:ascii="Arial" w:hAnsi="Arial" w:cs="Arial"/>
          <w:b/>
          <w:sz w:val="36"/>
          <w:szCs w:val="36"/>
        </w:rPr>
      </w:pPr>
    </w:p>
    <w:p w14:paraId="30137B66" w14:textId="77777777"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tbl>
      <w:tblPr>
        <w:tblStyle w:val="TableGrid"/>
        <w:tblW w:w="9016" w:type="dxa"/>
        <w:tblLook w:val="04A0" w:firstRow="1" w:lastRow="0" w:firstColumn="1" w:lastColumn="0" w:noHBand="0" w:noVBand="1"/>
      </w:tblPr>
      <w:tblGrid>
        <w:gridCol w:w="9016"/>
      </w:tblGrid>
      <w:tr w:rsidR="008E3936" w:rsidRPr="000058CC" w14:paraId="3EBB277E" w14:textId="77777777" w:rsidTr="00E51355">
        <w:tc>
          <w:tcPr>
            <w:tcW w:w="9016" w:type="dxa"/>
            <w:vAlign w:val="center"/>
          </w:tcPr>
          <w:p w14:paraId="5DCFF26F" w14:textId="4DA23E0F" w:rsidR="008E3936" w:rsidRPr="008E3936" w:rsidRDefault="008E3936" w:rsidP="00E51355">
            <w:pPr>
              <w:rPr>
                <w:rFonts w:ascii="Arial" w:hAnsi="Arial" w:cs="Arial"/>
                <w:sz w:val="22"/>
                <w:szCs w:val="22"/>
              </w:rPr>
            </w:pPr>
            <w:r w:rsidRPr="008E3936">
              <w:rPr>
                <w:rFonts w:ascii="Arial" w:hAnsi="Arial" w:cs="Arial"/>
                <w:sz w:val="22"/>
                <w:szCs w:val="22"/>
                <w:lang w:val="en-US"/>
              </w:rPr>
              <w:t>The Department for Business and Trade (DBT)</w:t>
            </w:r>
            <w:r w:rsidRPr="008E3936">
              <w:rPr>
                <w:rFonts w:ascii="Arial" w:hAnsi="Arial" w:cs="Arial"/>
                <w:sz w:val="22"/>
                <w:szCs w:val="22"/>
                <w:lang w:val="en-US"/>
              </w:rPr>
              <w:t xml:space="preserve"> the Buyer</w:t>
            </w:r>
            <w:r w:rsidRPr="008E3936">
              <w:rPr>
                <w:rFonts w:ascii="Arial" w:hAnsi="Arial" w:cs="Arial"/>
                <w:sz w:val="22"/>
                <w:szCs w:val="22"/>
                <w:lang w:val="en-US"/>
              </w:rPr>
              <w:t xml:space="preserve"> is the department for economic growth. We support businesses to invest, grown and export, creating jobs and opportunities across the country.</w:t>
            </w:r>
          </w:p>
          <w:p w14:paraId="15E2F419" w14:textId="1A5EBB6B" w:rsidR="008E3936" w:rsidRPr="008E3936" w:rsidRDefault="008E3936" w:rsidP="00E51355">
            <w:pPr>
              <w:rPr>
                <w:rFonts w:ascii="Arial" w:hAnsi="Arial" w:cs="Arial"/>
                <w:color w:val="000000" w:themeColor="text1"/>
                <w:sz w:val="22"/>
                <w:szCs w:val="22"/>
              </w:rPr>
            </w:pPr>
          </w:p>
        </w:tc>
      </w:tr>
      <w:tr w:rsidR="008E3936" w:rsidRPr="008777C2" w14:paraId="303B5171" w14:textId="77777777" w:rsidTr="00E51355">
        <w:tc>
          <w:tcPr>
            <w:tcW w:w="9016" w:type="dxa"/>
            <w:vAlign w:val="center"/>
          </w:tcPr>
          <w:p w14:paraId="2CE6E065" w14:textId="77777777" w:rsidR="008E3936" w:rsidRPr="008E3936" w:rsidRDefault="008E3936" w:rsidP="00E51355">
            <w:pPr>
              <w:rPr>
                <w:rFonts w:ascii="Arial" w:hAnsi="Arial" w:cs="Arial"/>
                <w:b/>
                <w:bCs/>
                <w:sz w:val="22"/>
                <w:szCs w:val="22"/>
              </w:rPr>
            </w:pPr>
            <w:r w:rsidRPr="008E3936">
              <w:rPr>
                <w:rFonts w:ascii="Arial" w:hAnsi="Arial" w:cs="Arial"/>
                <w:b/>
                <w:bCs/>
                <w:sz w:val="22"/>
                <w:szCs w:val="22"/>
              </w:rPr>
              <w:t>Background</w:t>
            </w:r>
          </w:p>
        </w:tc>
      </w:tr>
      <w:tr w:rsidR="008E3936" w:rsidRPr="000058CC" w14:paraId="55EC2B08" w14:textId="77777777" w:rsidTr="00E51355">
        <w:tc>
          <w:tcPr>
            <w:tcW w:w="9016" w:type="dxa"/>
            <w:vAlign w:val="center"/>
          </w:tcPr>
          <w:p w14:paraId="6399EC52" w14:textId="77777777" w:rsidR="008E3936" w:rsidRPr="008E3936" w:rsidRDefault="008E3936" w:rsidP="00E51355">
            <w:pPr>
              <w:rPr>
                <w:rFonts w:ascii="Arial" w:hAnsi="Arial" w:cs="Arial"/>
                <w:sz w:val="22"/>
                <w:szCs w:val="22"/>
              </w:rPr>
            </w:pPr>
          </w:p>
          <w:p w14:paraId="230BEF11" w14:textId="13EC3C07" w:rsidR="008E3936" w:rsidRPr="008E3936" w:rsidRDefault="008E3936" w:rsidP="00E51355">
            <w:pPr>
              <w:rPr>
                <w:rFonts w:ascii="Arial" w:hAnsi="Arial" w:cs="Arial"/>
                <w:sz w:val="22"/>
                <w:szCs w:val="22"/>
              </w:rPr>
            </w:pPr>
            <w:r w:rsidRPr="008E3936">
              <w:rPr>
                <w:rFonts w:ascii="Arial" w:hAnsi="Arial" w:cs="Arial"/>
                <w:sz w:val="22"/>
                <w:szCs w:val="22"/>
              </w:rPr>
              <w:t xml:space="preserve">At the end of last year, the </w:t>
            </w:r>
            <w:r>
              <w:rPr>
                <w:rFonts w:ascii="Arial" w:hAnsi="Arial" w:cs="Arial"/>
                <w:sz w:val="22"/>
                <w:szCs w:val="22"/>
              </w:rPr>
              <w:t>Buyer</w:t>
            </w:r>
            <w:r w:rsidRPr="008E3936">
              <w:rPr>
                <w:rFonts w:ascii="Arial" w:hAnsi="Arial" w:cs="Arial"/>
                <w:sz w:val="22"/>
                <w:szCs w:val="22"/>
              </w:rPr>
              <w:t xml:space="preserve"> published the UK’s first </w:t>
            </w:r>
            <w:hyperlink r:id="rId12" w:tgtFrame="_blank" w:history="1">
              <w:r w:rsidRPr="008E3936">
                <w:rPr>
                  <w:rStyle w:val="Hyperlink"/>
                  <w:rFonts w:ascii="Arial" w:hAnsi="Arial" w:cs="Arial"/>
                  <w:sz w:val="22"/>
                  <w:szCs w:val="22"/>
                </w:rPr>
                <w:t>battery strategy</w:t>
              </w:r>
            </w:hyperlink>
            <w:r w:rsidRPr="008E3936">
              <w:rPr>
                <w:rFonts w:ascii="Arial" w:hAnsi="Arial" w:cs="Arial"/>
                <w:sz w:val="22"/>
                <w:szCs w:val="22"/>
              </w:rPr>
              <w:t xml:space="preserve">, alongside the </w:t>
            </w:r>
            <w:hyperlink r:id="rId13" w:tgtFrame="_blank" w:history="1">
              <w:r w:rsidRPr="008E3936">
                <w:rPr>
                  <w:rStyle w:val="Hyperlink"/>
                  <w:rFonts w:ascii="Arial" w:hAnsi="Arial" w:cs="Arial"/>
                  <w:sz w:val="22"/>
                  <w:szCs w:val="22"/>
                </w:rPr>
                <w:t>Advanced Manufacturing Plan</w:t>
              </w:r>
            </w:hyperlink>
            <w:r w:rsidRPr="008E3936">
              <w:rPr>
                <w:rFonts w:ascii="Arial" w:hAnsi="Arial" w:cs="Arial"/>
                <w:sz w:val="22"/>
                <w:szCs w:val="22"/>
              </w:rPr>
              <w:t>. The UK battery strategy sets out a vision for the UK to achieve a globally competitive battery supply chain by 2030.  </w:t>
            </w:r>
          </w:p>
          <w:p w14:paraId="1BDF1A86" w14:textId="77777777" w:rsidR="008E3936" w:rsidRPr="008E3936" w:rsidRDefault="008E3936" w:rsidP="00E51355">
            <w:pPr>
              <w:rPr>
                <w:rFonts w:ascii="Arial" w:hAnsi="Arial" w:cs="Arial"/>
                <w:sz w:val="22"/>
                <w:szCs w:val="22"/>
              </w:rPr>
            </w:pPr>
          </w:p>
          <w:p w14:paraId="590934C2" w14:textId="77777777" w:rsidR="008E3936" w:rsidRPr="008E3936" w:rsidRDefault="008E3936" w:rsidP="00E51355">
            <w:pPr>
              <w:rPr>
                <w:rFonts w:ascii="Arial" w:hAnsi="Arial" w:cs="Arial"/>
                <w:sz w:val="22"/>
                <w:szCs w:val="22"/>
              </w:rPr>
            </w:pPr>
            <w:r w:rsidRPr="008E3936">
              <w:rPr>
                <w:rFonts w:ascii="Arial" w:hAnsi="Arial" w:cs="Arial"/>
                <w:sz w:val="22"/>
                <w:szCs w:val="22"/>
              </w:rPr>
              <w:t>Building on the UK’s existing strengths (including R&amp;D expertise and the automotive manufacturing sector) the battery strategy is based around a DESIGN-BUILD-SUSTAIN approach: </w:t>
            </w:r>
          </w:p>
          <w:p w14:paraId="5139EB84"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DESIGN: Design and develop the batteries of the future that are smaller, lighter, and offer better capacity and value, building on UK world-leading research and innovation. </w:t>
            </w:r>
          </w:p>
          <w:p w14:paraId="360CF627"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BUILD: Working closely with our domestic industry and international partners to secure a resilient UK battery manufacturing supply chain that supports our strong domestic growth and thriving export markets. </w:t>
            </w:r>
          </w:p>
          <w:p w14:paraId="2A4C0FC9"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SUSTAIN: Enable the development of a thriving and sustainable sector, supported by proportionate regulations that drive investment across the supply chain, from raw materials through to end of life and recycling. </w:t>
            </w:r>
          </w:p>
          <w:p w14:paraId="43064EC9" w14:textId="77777777" w:rsidR="008E3936" w:rsidRPr="008E3936" w:rsidRDefault="008E3936" w:rsidP="00E51355">
            <w:pPr>
              <w:rPr>
                <w:rFonts w:ascii="Arial" w:hAnsi="Arial" w:cs="Arial"/>
                <w:sz w:val="22"/>
                <w:szCs w:val="22"/>
              </w:rPr>
            </w:pPr>
            <w:r w:rsidRPr="008E3936">
              <w:rPr>
                <w:rFonts w:ascii="Arial" w:hAnsi="Arial" w:cs="Arial"/>
                <w:sz w:val="22"/>
                <w:szCs w:val="22"/>
              </w:rPr>
              <w:t xml:space="preserve">A Battery Strategy Taskforce, made up of industry and academic experts, was set up to support the development of the strategy, and continues to be convened to advise on the delivery of the strategy. </w:t>
            </w:r>
          </w:p>
          <w:p w14:paraId="64095AC5" w14:textId="77777777" w:rsidR="008E3936" w:rsidRPr="008E3936" w:rsidRDefault="008E3936" w:rsidP="00E51355">
            <w:pPr>
              <w:rPr>
                <w:rFonts w:ascii="Arial" w:hAnsi="Arial" w:cs="Arial"/>
                <w:color w:val="4F81BD" w:themeColor="accent1"/>
                <w:sz w:val="22"/>
                <w:szCs w:val="22"/>
              </w:rPr>
            </w:pPr>
          </w:p>
        </w:tc>
      </w:tr>
      <w:tr w:rsidR="008E3936" w:rsidRPr="007771C6" w14:paraId="6BB17622" w14:textId="77777777" w:rsidTr="00E51355">
        <w:tc>
          <w:tcPr>
            <w:tcW w:w="9016" w:type="dxa"/>
            <w:vAlign w:val="center"/>
          </w:tcPr>
          <w:p w14:paraId="603BA839" w14:textId="77777777" w:rsidR="008E3936" w:rsidRPr="008E3936" w:rsidRDefault="008E3936" w:rsidP="00E51355">
            <w:pPr>
              <w:rPr>
                <w:rFonts w:ascii="Arial" w:hAnsi="Arial" w:cs="Arial"/>
                <w:b/>
                <w:bCs/>
                <w:sz w:val="24"/>
                <w:szCs w:val="24"/>
              </w:rPr>
            </w:pPr>
            <w:r w:rsidRPr="008E3936">
              <w:rPr>
                <w:rFonts w:ascii="Arial" w:hAnsi="Arial" w:cs="Arial"/>
                <w:b/>
                <w:bCs/>
                <w:sz w:val="24"/>
                <w:szCs w:val="24"/>
              </w:rPr>
              <w:t xml:space="preserve">Summary Research Aims </w:t>
            </w:r>
          </w:p>
        </w:tc>
      </w:tr>
      <w:tr w:rsidR="008E3936" w:rsidRPr="007771C6" w14:paraId="64B6246D" w14:textId="77777777" w:rsidTr="00E51355">
        <w:tc>
          <w:tcPr>
            <w:tcW w:w="9016" w:type="dxa"/>
            <w:vAlign w:val="center"/>
          </w:tcPr>
          <w:p w14:paraId="120DF7FB" w14:textId="60943329" w:rsidR="008E3936" w:rsidRPr="008E3936" w:rsidRDefault="008E3936" w:rsidP="00E51355">
            <w:pPr>
              <w:rPr>
                <w:rFonts w:ascii="Arial" w:hAnsi="Arial" w:cs="Arial"/>
                <w:sz w:val="22"/>
                <w:szCs w:val="22"/>
              </w:rPr>
            </w:pPr>
            <w:r w:rsidRPr="008E3936">
              <w:rPr>
                <w:rFonts w:ascii="Arial" w:hAnsi="Arial" w:cs="Arial"/>
                <w:sz w:val="22"/>
                <w:szCs w:val="22"/>
              </w:rPr>
              <w:t xml:space="preserve">To build on the Battery Strategy and support the work of the Taskforce, the </w:t>
            </w:r>
            <w:r>
              <w:rPr>
                <w:rFonts w:ascii="Arial" w:hAnsi="Arial" w:cs="Arial"/>
                <w:sz w:val="22"/>
                <w:szCs w:val="22"/>
              </w:rPr>
              <w:t>Buyer</w:t>
            </w:r>
            <w:r w:rsidRPr="008E3936">
              <w:rPr>
                <w:rFonts w:ascii="Arial" w:hAnsi="Arial" w:cs="Arial"/>
                <w:sz w:val="22"/>
                <w:szCs w:val="22"/>
              </w:rPr>
              <w:t xml:space="preserve"> requires information on companies in the UK battery sector to: </w:t>
            </w:r>
          </w:p>
          <w:p w14:paraId="3CEF14F3"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Develop and evaluate the UK battery strategy and related policies, </w:t>
            </w:r>
          </w:p>
          <w:p w14:paraId="3B039408"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Identify sector strengths and address weaknesses/barriers to help create the conditions for UK business success in the battery sector,</w:t>
            </w:r>
          </w:p>
          <w:p w14:paraId="1352C403"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Establish a baseline against which to monitor and map changes in the sector.  </w:t>
            </w:r>
          </w:p>
          <w:p w14:paraId="6936570B" w14:textId="77777777" w:rsidR="008E3936" w:rsidRPr="008E3936" w:rsidRDefault="008E3936" w:rsidP="00E51355">
            <w:pPr>
              <w:rPr>
                <w:rFonts w:ascii="Arial" w:hAnsi="Arial" w:cs="Arial"/>
                <w:b/>
                <w:bCs/>
                <w:sz w:val="24"/>
                <w:szCs w:val="24"/>
              </w:rPr>
            </w:pPr>
          </w:p>
        </w:tc>
      </w:tr>
      <w:tr w:rsidR="008E3936" w:rsidRPr="00F02ACF" w14:paraId="317E8EE7" w14:textId="77777777" w:rsidTr="00E51355">
        <w:tc>
          <w:tcPr>
            <w:tcW w:w="9016" w:type="dxa"/>
            <w:vAlign w:val="center"/>
          </w:tcPr>
          <w:p w14:paraId="3AA044DC" w14:textId="77777777" w:rsidR="008E3936" w:rsidRPr="00F02ACF" w:rsidRDefault="008E3936" w:rsidP="00E51355">
            <w:pPr>
              <w:rPr>
                <w:rFonts w:cs="Calibri"/>
                <w:b/>
                <w:bCs/>
                <w:sz w:val="24"/>
                <w:szCs w:val="24"/>
              </w:rPr>
            </w:pPr>
            <w:r w:rsidRPr="00F02ACF">
              <w:rPr>
                <w:rFonts w:cs="Calibri"/>
                <w:b/>
                <w:bCs/>
                <w:sz w:val="24"/>
                <w:szCs w:val="24"/>
              </w:rPr>
              <w:t xml:space="preserve">Detailed Research Aims </w:t>
            </w:r>
          </w:p>
        </w:tc>
      </w:tr>
      <w:tr w:rsidR="008E3936" w:rsidRPr="00F02ACF" w14:paraId="0A5077BF" w14:textId="77777777" w:rsidTr="00E51355">
        <w:tc>
          <w:tcPr>
            <w:tcW w:w="9016" w:type="dxa"/>
            <w:vAlign w:val="center"/>
          </w:tcPr>
          <w:p w14:paraId="5F3D0BBB" w14:textId="55EB745F" w:rsidR="008E3936" w:rsidRPr="008E3936" w:rsidRDefault="008E3936" w:rsidP="00E51355">
            <w:pPr>
              <w:rPr>
                <w:rFonts w:ascii="Arial" w:hAnsi="Arial" w:cs="Arial"/>
                <w:sz w:val="22"/>
                <w:szCs w:val="22"/>
              </w:rPr>
            </w:pPr>
            <w:r w:rsidRPr="008E3936">
              <w:rPr>
                <w:rFonts w:ascii="Arial" w:hAnsi="Arial" w:cs="Arial"/>
                <w:sz w:val="22"/>
                <w:szCs w:val="22"/>
              </w:rPr>
              <w:t xml:space="preserve">The </w:t>
            </w:r>
            <w:r>
              <w:rPr>
                <w:rFonts w:ascii="Arial" w:hAnsi="Arial" w:cs="Arial"/>
                <w:sz w:val="22"/>
                <w:szCs w:val="22"/>
              </w:rPr>
              <w:t>Buyer</w:t>
            </w:r>
            <w:r w:rsidRPr="008E3936">
              <w:rPr>
                <w:rFonts w:ascii="Arial" w:hAnsi="Arial" w:cs="Arial"/>
                <w:sz w:val="22"/>
                <w:szCs w:val="22"/>
              </w:rPr>
              <w:t xml:space="preserve"> envisage that this work will be conducted in three phases: </w:t>
            </w:r>
          </w:p>
          <w:p w14:paraId="43F800A4"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Phase 1: Development of a comprehensive classification and segmentation methodology for the battery sector. </w:t>
            </w:r>
          </w:p>
          <w:p w14:paraId="1C3D6926"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Phase 2: Development of the battery sector database.</w:t>
            </w:r>
          </w:p>
          <w:p w14:paraId="7AF79AE9" w14:textId="77777777"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Phase 3: Quality assurance of the database.</w:t>
            </w:r>
          </w:p>
          <w:p w14:paraId="07FEE11F" w14:textId="77777777" w:rsidR="008E3936" w:rsidRPr="008E3936" w:rsidRDefault="008E3936" w:rsidP="00E51355">
            <w:pPr>
              <w:rPr>
                <w:rFonts w:ascii="Arial" w:hAnsi="Arial" w:cs="Arial"/>
                <w:sz w:val="22"/>
                <w:szCs w:val="22"/>
              </w:rPr>
            </w:pPr>
          </w:p>
          <w:p w14:paraId="580F1B22" w14:textId="77777777" w:rsidR="008E3936" w:rsidRPr="008E3936" w:rsidRDefault="008E3936" w:rsidP="00E51355">
            <w:pPr>
              <w:rPr>
                <w:rFonts w:ascii="Arial" w:hAnsi="Arial" w:cs="Arial"/>
                <w:sz w:val="22"/>
                <w:szCs w:val="22"/>
                <w:u w:val="single"/>
              </w:rPr>
            </w:pPr>
            <w:r w:rsidRPr="008E3936">
              <w:rPr>
                <w:rFonts w:ascii="Arial" w:hAnsi="Arial" w:cs="Arial"/>
                <w:sz w:val="22"/>
                <w:szCs w:val="22"/>
                <w:u w:val="single"/>
              </w:rPr>
              <w:t>Phase 1: Development of classification / segmentation methodology</w:t>
            </w:r>
          </w:p>
          <w:p w14:paraId="5690BC05" w14:textId="598CD0A6" w:rsidR="008E3936" w:rsidRPr="008E3936" w:rsidRDefault="008E3936" w:rsidP="00E51355">
            <w:pPr>
              <w:rPr>
                <w:rFonts w:ascii="Arial" w:hAnsi="Arial" w:cs="Arial"/>
                <w:sz w:val="22"/>
                <w:szCs w:val="22"/>
              </w:rPr>
            </w:pPr>
            <w:r w:rsidRPr="008E3936">
              <w:rPr>
                <w:rFonts w:ascii="Arial" w:hAnsi="Arial" w:cs="Arial"/>
                <w:sz w:val="22"/>
                <w:szCs w:val="22"/>
              </w:rPr>
              <w:lastRenderedPageBreak/>
              <w:t xml:space="preserve">The </w:t>
            </w:r>
            <w:r>
              <w:rPr>
                <w:rFonts w:ascii="Arial" w:hAnsi="Arial" w:cs="Arial"/>
                <w:sz w:val="22"/>
                <w:szCs w:val="22"/>
              </w:rPr>
              <w:t>S</w:t>
            </w:r>
            <w:r w:rsidRPr="008E3936">
              <w:rPr>
                <w:rFonts w:ascii="Arial" w:hAnsi="Arial" w:cs="Arial"/>
                <w:sz w:val="22"/>
                <w:szCs w:val="22"/>
              </w:rPr>
              <w:t>upplier sh</w:t>
            </w:r>
            <w:r>
              <w:rPr>
                <w:rFonts w:ascii="Arial" w:hAnsi="Arial" w:cs="Arial"/>
                <w:sz w:val="22"/>
                <w:szCs w:val="22"/>
              </w:rPr>
              <w:t>all</w:t>
            </w:r>
            <w:r w:rsidRPr="008E3936">
              <w:rPr>
                <w:rFonts w:ascii="Arial" w:hAnsi="Arial" w:cs="Arial"/>
                <w:sz w:val="22"/>
                <w:szCs w:val="22"/>
              </w:rPr>
              <w:t xml:space="preserve"> design a comprehensive classification and segmentation methodology in Phase 1 of this project, in partnership with the </w:t>
            </w:r>
            <w:r>
              <w:rPr>
                <w:rFonts w:ascii="Arial" w:hAnsi="Arial" w:cs="Arial"/>
                <w:sz w:val="22"/>
                <w:szCs w:val="22"/>
              </w:rPr>
              <w:t>Buyer</w:t>
            </w:r>
            <w:r w:rsidRPr="008E3936">
              <w:rPr>
                <w:rFonts w:ascii="Arial" w:hAnsi="Arial" w:cs="Arial"/>
                <w:sz w:val="22"/>
                <w:szCs w:val="22"/>
              </w:rPr>
              <w:t xml:space="preserve">, data partners and industry experts. This classification / segmentation should enable battery companies to be classified by the sectors they operate in along with what activities they carry out. This could include segmentation by technology type. The </w:t>
            </w:r>
            <w:r>
              <w:rPr>
                <w:rFonts w:ascii="Arial" w:hAnsi="Arial" w:cs="Arial"/>
                <w:sz w:val="22"/>
                <w:szCs w:val="22"/>
              </w:rPr>
              <w:t>Buyer</w:t>
            </w:r>
            <w:r w:rsidRPr="008E3936">
              <w:rPr>
                <w:rFonts w:ascii="Arial" w:hAnsi="Arial" w:cs="Arial"/>
                <w:sz w:val="22"/>
                <w:szCs w:val="22"/>
              </w:rPr>
              <w:t xml:space="preserve"> will support this phase by helping to convene a suitable group of experts to advise on the classification and segmentation methodology. This group is likely to include internal government experts (e.g. automotive policy professionals and statistical experts) as well as experts from external organisations (e.g. representatives from the Automotive Propulsion Centre, the Faraday Institution, trade associations and catapults). As this phase underpins the success of the project, the </w:t>
            </w:r>
            <w:r w:rsidR="00285462">
              <w:rPr>
                <w:rFonts w:ascii="Arial" w:hAnsi="Arial" w:cs="Arial"/>
                <w:sz w:val="22"/>
                <w:szCs w:val="22"/>
              </w:rPr>
              <w:t>Buyer</w:t>
            </w:r>
            <w:r w:rsidRPr="008E3936">
              <w:rPr>
                <w:rFonts w:ascii="Arial" w:hAnsi="Arial" w:cs="Arial"/>
                <w:sz w:val="22"/>
                <w:szCs w:val="22"/>
              </w:rPr>
              <w:t xml:space="preserve"> suggest at least two rounds of iteration in the development of the segmentation methodology. </w:t>
            </w:r>
          </w:p>
          <w:p w14:paraId="0989EF66" w14:textId="77777777" w:rsidR="008E3936" w:rsidRPr="008E3936" w:rsidRDefault="008E3936" w:rsidP="00E51355">
            <w:pPr>
              <w:rPr>
                <w:rFonts w:ascii="Arial" w:hAnsi="Arial" w:cs="Arial"/>
                <w:sz w:val="22"/>
                <w:szCs w:val="22"/>
              </w:rPr>
            </w:pPr>
          </w:p>
          <w:p w14:paraId="0BB1DEE5" w14:textId="77777777" w:rsidR="008E3936" w:rsidRPr="008E3936" w:rsidRDefault="008E3936" w:rsidP="00E51355">
            <w:pPr>
              <w:rPr>
                <w:rFonts w:ascii="Arial" w:hAnsi="Arial" w:cs="Arial"/>
                <w:sz w:val="22"/>
                <w:szCs w:val="22"/>
                <w:u w:val="single"/>
              </w:rPr>
            </w:pPr>
            <w:r w:rsidRPr="008E3936">
              <w:rPr>
                <w:rFonts w:ascii="Arial" w:hAnsi="Arial" w:cs="Arial"/>
                <w:sz w:val="22"/>
                <w:szCs w:val="22"/>
                <w:u w:val="single"/>
              </w:rPr>
              <w:t>Phase 2: Development of the battery sector database</w:t>
            </w:r>
          </w:p>
          <w:p w14:paraId="41C0AB91" w14:textId="333F4424" w:rsidR="008E3936" w:rsidRPr="008E3936" w:rsidRDefault="008E3936" w:rsidP="00E51355">
            <w:pPr>
              <w:rPr>
                <w:rFonts w:ascii="Arial" w:hAnsi="Arial" w:cs="Arial"/>
                <w:sz w:val="22"/>
                <w:szCs w:val="22"/>
              </w:rPr>
            </w:pPr>
            <w:r w:rsidRPr="008E3936">
              <w:rPr>
                <w:rFonts w:ascii="Arial" w:hAnsi="Arial" w:cs="Arial"/>
                <w:sz w:val="22"/>
                <w:szCs w:val="22"/>
              </w:rPr>
              <w:t xml:space="preserve">Phase 2 will involve the development of the battery sector database. The </w:t>
            </w:r>
            <w:r w:rsidR="00285462">
              <w:rPr>
                <w:rFonts w:ascii="Arial" w:hAnsi="Arial" w:cs="Arial"/>
                <w:sz w:val="22"/>
                <w:szCs w:val="22"/>
              </w:rPr>
              <w:t>S</w:t>
            </w:r>
            <w:r w:rsidRPr="008E3936">
              <w:rPr>
                <w:rFonts w:ascii="Arial" w:hAnsi="Arial" w:cs="Arial"/>
                <w:sz w:val="22"/>
                <w:szCs w:val="22"/>
              </w:rPr>
              <w:t xml:space="preserve">upplier </w:t>
            </w:r>
            <w:r w:rsidR="00285462">
              <w:rPr>
                <w:rFonts w:ascii="Arial" w:hAnsi="Arial" w:cs="Arial"/>
                <w:sz w:val="22"/>
                <w:szCs w:val="22"/>
              </w:rPr>
              <w:t>shall</w:t>
            </w:r>
            <w:r w:rsidRPr="008E3936">
              <w:rPr>
                <w:rFonts w:ascii="Arial" w:hAnsi="Arial" w:cs="Arial"/>
                <w:sz w:val="22"/>
                <w:szCs w:val="22"/>
              </w:rPr>
              <w:t xml:space="preserve"> collect and validate data from a range of sources, including: </w:t>
            </w:r>
          </w:p>
          <w:p w14:paraId="1782B23E" w14:textId="7960C4CF"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Working with data partners: It is expected the supplier will work with a series of experts who have in-depth knowledge and intelligence on companies operating in the UK battery sector to identify companies for inclusion in the dataset. The </w:t>
            </w:r>
            <w:r w:rsidR="00285462">
              <w:rPr>
                <w:rFonts w:ascii="Arial" w:hAnsi="Arial" w:cs="Arial"/>
                <w:sz w:val="22"/>
                <w:szCs w:val="22"/>
              </w:rPr>
              <w:t>Buyer</w:t>
            </w:r>
            <w:r w:rsidRPr="008E3936">
              <w:rPr>
                <w:rFonts w:ascii="Arial" w:hAnsi="Arial" w:cs="Arial"/>
                <w:sz w:val="22"/>
                <w:szCs w:val="22"/>
              </w:rPr>
              <w:t xml:space="preserve"> will support the process of developing a list of suitable experts, during Phase 1 of the project.  </w:t>
            </w:r>
          </w:p>
          <w:p w14:paraId="0BFCC2D4" w14:textId="4F08DC11"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Desk research: The </w:t>
            </w:r>
            <w:r w:rsidR="00285462">
              <w:rPr>
                <w:rFonts w:ascii="Arial" w:hAnsi="Arial" w:cs="Arial"/>
                <w:sz w:val="22"/>
                <w:szCs w:val="22"/>
              </w:rPr>
              <w:t>S</w:t>
            </w:r>
            <w:r w:rsidRPr="008E3936">
              <w:rPr>
                <w:rFonts w:ascii="Arial" w:hAnsi="Arial" w:cs="Arial"/>
                <w:sz w:val="22"/>
                <w:szCs w:val="22"/>
              </w:rPr>
              <w:t xml:space="preserve">upplier </w:t>
            </w:r>
            <w:r w:rsidR="00285462">
              <w:rPr>
                <w:rFonts w:ascii="Arial" w:hAnsi="Arial" w:cs="Arial"/>
                <w:sz w:val="22"/>
                <w:szCs w:val="22"/>
              </w:rPr>
              <w:t>shall</w:t>
            </w:r>
            <w:r w:rsidRPr="008E3936">
              <w:rPr>
                <w:rFonts w:ascii="Arial" w:hAnsi="Arial" w:cs="Arial"/>
                <w:sz w:val="22"/>
                <w:szCs w:val="22"/>
              </w:rPr>
              <w:t xml:space="preserve"> also conduct further research to identify companies operating in the sector, which could be through processes such as web scraping. A detailed plan on how this will be done will be provided by the </w:t>
            </w:r>
            <w:r w:rsidR="00A361CB">
              <w:rPr>
                <w:rFonts w:ascii="Arial" w:hAnsi="Arial" w:cs="Arial"/>
                <w:sz w:val="22"/>
                <w:szCs w:val="22"/>
              </w:rPr>
              <w:t>S</w:t>
            </w:r>
            <w:r w:rsidRPr="008E3936">
              <w:rPr>
                <w:rFonts w:ascii="Arial" w:hAnsi="Arial" w:cs="Arial"/>
                <w:sz w:val="22"/>
                <w:szCs w:val="22"/>
              </w:rPr>
              <w:t xml:space="preserve">upplier. </w:t>
            </w:r>
          </w:p>
          <w:p w14:paraId="7ACAEB5F" w14:textId="7501C7E5" w:rsidR="008E3936" w:rsidRPr="008E3936" w:rsidRDefault="008E3936" w:rsidP="008E3936">
            <w:pPr>
              <w:numPr>
                <w:ilvl w:val="0"/>
                <w:numId w:val="84"/>
              </w:numPr>
              <w:spacing w:before="100"/>
              <w:rPr>
                <w:rFonts w:ascii="Arial" w:hAnsi="Arial" w:cs="Arial"/>
                <w:sz w:val="22"/>
                <w:szCs w:val="22"/>
              </w:rPr>
            </w:pPr>
            <w:r w:rsidRPr="008E3936">
              <w:rPr>
                <w:rFonts w:ascii="Arial" w:hAnsi="Arial" w:cs="Arial"/>
                <w:sz w:val="22"/>
                <w:szCs w:val="22"/>
              </w:rPr>
              <w:t xml:space="preserve">Primary research: While the </w:t>
            </w:r>
            <w:r w:rsidR="00A361CB">
              <w:rPr>
                <w:rFonts w:ascii="Arial" w:hAnsi="Arial" w:cs="Arial"/>
                <w:sz w:val="22"/>
                <w:szCs w:val="22"/>
              </w:rPr>
              <w:t>Buyer</w:t>
            </w:r>
            <w:r w:rsidRPr="008E3936">
              <w:rPr>
                <w:rFonts w:ascii="Arial" w:hAnsi="Arial" w:cs="Arial"/>
                <w:sz w:val="22"/>
                <w:szCs w:val="22"/>
              </w:rPr>
              <w:t xml:space="preserve"> do not necessarily expect the </w:t>
            </w:r>
            <w:r w:rsidR="00A361CB">
              <w:rPr>
                <w:rFonts w:ascii="Arial" w:hAnsi="Arial" w:cs="Arial"/>
                <w:sz w:val="22"/>
                <w:szCs w:val="22"/>
              </w:rPr>
              <w:t>S</w:t>
            </w:r>
            <w:r w:rsidRPr="008E3936">
              <w:rPr>
                <w:rFonts w:ascii="Arial" w:hAnsi="Arial" w:cs="Arial"/>
                <w:sz w:val="22"/>
                <w:szCs w:val="22"/>
              </w:rPr>
              <w:t xml:space="preserve">upplier to undertake primary research (e.g. interviews with battery sector companies), they make wish to undertake some primary research for data validation purposes, for example, to clarify company details to inform the database (e.g. on a company’s sector / size / location etc.). </w:t>
            </w:r>
          </w:p>
          <w:p w14:paraId="55B489BB" w14:textId="77777777" w:rsidR="008E3936" w:rsidRPr="008E3936" w:rsidRDefault="008E3936" w:rsidP="00E51355">
            <w:pPr>
              <w:rPr>
                <w:rFonts w:ascii="Arial" w:hAnsi="Arial" w:cs="Arial"/>
                <w:sz w:val="22"/>
                <w:szCs w:val="22"/>
              </w:rPr>
            </w:pPr>
          </w:p>
          <w:p w14:paraId="0A14AC45" w14:textId="77777777" w:rsidR="008E3936" w:rsidRPr="008E3936" w:rsidRDefault="008E3936" w:rsidP="00E51355">
            <w:pPr>
              <w:rPr>
                <w:rFonts w:ascii="Arial" w:hAnsi="Arial" w:cs="Arial"/>
                <w:sz w:val="22"/>
                <w:szCs w:val="22"/>
                <w:u w:val="single"/>
              </w:rPr>
            </w:pPr>
            <w:r w:rsidRPr="008E3936">
              <w:rPr>
                <w:rFonts w:ascii="Arial" w:hAnsi="Arial" w:cs="Arial"/>
                <w:sz w:val="22"/>
                <w:szCs w:val="22"/>
                <w:u w:val="single"/>
              </w:rPr>
              <w:t>Phase 3: Quality assurance</w:t>
            </w:r>
          </w:p>
          <w:p w14:paraId="562184AB" w14:textId="77777777" w:rsidR="008E3936" w:rsidRPr="008E3936" w:rsidRDefault="008E3936" w:rsidP="00E51355">
            <w:pPr>
              <w:rPr>
                <w:rFonts w:ascii="Arial" w:hAnsi="Arial" w:cs="Arial"/>
                <w:sz w:val="22"/>
                <w:szCs w:val="22"/>
              </w:rPr>
            </w:pPr>
            <w:r w:rsidRPr="008E3936">
              <w:rPr>
                <w:rFonts w:ascii="Arial" w:hAnsi="Arial" w:cs="Arial"/>
                <w:sz w:val="22"/>
                <w:szCs w:val="22"/>
              </w:rPr>
              <w:t xml:space="preserve">Once the database has been produced and the matching undertaken, the product must undergo rigorous quality assurance and validation.  </w:t>
            </w:r>
          </w:p>
          <w:p w14:paraId="5EEB7766" w14:textId="77777777" w:rsidR="008E3936" w:rsidRPr="00F02ACF" w:rsidRDefault="008E3936" w:rsidP="00E51355">
            <w:pPr>
              <w:rPr>
                <w:rFonts w:cs="Calibri"/>
                <w:b/>
                <w:bCs/>
                <w:sz w:val="24"/>
                <w:szCs w:val="24"/>
              </w:rPr>
            </w:pPr>
          </w:p>
        </w:tc>
      </w:tr>
      <w:tr w:rsidR="008E3936" w14:paraId="68000AF4" w14:textId="77777777" w:rsidTr="00E51355">
        <w:tc>
          <w:tcPr>
            <w:tcW w:w="9016" w:type="dxa"/>
            <w:vAlign w:val="center"/>
          </w:tcPr>
          <w:p w14:paraId="4C0E9F3F" w14:textId="77777777" w:rsidR="008E3936" w:rsidRPr="00A361CB" w:rsidRDefault="008E3936" w:rsidP="00E51355">
            <w:pPr>
              <w:rPr>
                <w:rFonts w:ascii="Arial" w:hAnsi="Arial" w:cs="Arial"/>
                <w:sz w:val="22"/>
                <w:szCs w:val="22"/>
              </w:rPr>
            </w:pPr>
            <w:r w:rsidRPr="00A361CB">
              <w:rPr>
                <w:rFonts w:ascii="Arial" w:hAnsi="Arial" w:cs="Arial"/>
                <w:b/>
                <w:bCs/>
                <w:sz w:val="22"/>
                <w:szCs w:val="22"/>
              </w:rPr>
              <w:lastRenderedPageBreak/>
              <w:t>Scope</w:t>
            </w:r>
          </w:p>
        </w:tc>
      </w:tr>
      <w:tr w:rsidR="008E3936" w:rsidRPr="007B3554" w14:paraId="5E025858" w14:textId="77777777" w:rsidTr="00E51355">
        <w:tc>
          <w:tcPr>
            <w:tcW w:w="9016" w:type="dxa"/>
            <w:vAlign w:val="center"/>
          </w:tcPr>
          <w:p w14:paraId="64B10F06" w14:textId="77777777" w:rsidR="008E3936" w:rsidRPr="00A361CB" w:rsidRDefault="008E3936" w:rsidP="00E51355">
            <w:pPr>
              <w:rPr>
                <w:rFonts w:ascii="Arial" w:hAnsi="Arial" w:cs="Arial"/>
                <w:sz w:val="22"/>
                <w:szCs w:val="22"/>
                <w:u w:val="single"/>
              </w:rPr>
            </w:pPr>
            <w:r w:rsidRPr="00A361CB">
              <w:rPr>
                <w:rFonts w:ascii="Arial" w:hAnsi="Arial" w:cs="Arial"/>
                <w:sz w:val="22"/>
                <w:szCs w:val="22"/>
                <w:u w:val="single"/>
              </w:rPr>
              <w:t>High-level scope</w:t>
            </w:r>
          </w:p>
          <w:p w14:paraId="779A57F5" w14:textId="77777777" w:rsidR="008E3936" w:rsidRPr="00A361CB" w:rsidRDefault="008E3936" w:rsidP="00E51355">
            <w:pPr>
              <w:rPr>
                <w:rFonts w:ascii="Arial" w:hAnsi="Arial" w:cs="Arial"/>
                <w:sz w:val="22"/>
                <w:szCs w:val="22"/>
              </w:rPr>
            </w:pPr>
            <w:r w:rsidRPr="00A361CB">
              <w:rPr>
                <w:rFonts w:ascii="Arial" w:hAnsi="Arial" w:cs="Arial"/>
                <w:sz w:val="22"/>
                <w:szCs w:val="22"/>
              </w:rPr>
              <w:t xml:space="preserve">The scope of the database is outlined as follows: </w:t>
            </w:r>
          </w:p>
          <w:p w14:paraId="772D38BA"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The database shall cover the geographical area of England and the Devolved Administrations of Northern Ireland, Scotland and Wales. </w:t>
            </w:r>
          </w:p>
          <w:p w14:paraId="1CE638F9"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Only companies that are a legal entity, conducting economic activity and have employees in the UK shall be included. Companies that are wholly or partially owned by non-UK entities shall be included. </w:t>
            </w:r>
          </w:p>
          <w:p w14:paraId="4724769B"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Only the economic activity of companies attributable to the battery sector shall be included. Where companies also carry out economic activity in other UK sectors, an estimate of the proportion of total turnover due to batteries shall be calculated. </w:t>
            </w:r>
          </w:p>
          <w:p w14:paraId="5CE70374" w14:textId="77777777" w:rsidR="008E3936" w:rsidRPr="00A361CB" w:rsidRDefault="008E3936" w:rsidP="00E51355">
            <w:pPr>
              <w:rPr>
                <w:rFonts w:ascii="Arial" w:hAnsi="Arial" w:cs="Arial"/>
                <w:sz w:val="22"/>
                <w:szCs w:val="22"/>
              </w:rPr>
            </w:pPr>
          </w:p>
          <w:p w14:paraId="257C6F9B" w14:textId="77777777" w:rsidR="008E3936" w:rsidRPr="00A361CB" w:rsidRDefault="008E3936" w:rsidP="00E51355">
            <w:pPr>
              <w:rPr>
                <w:rFonts w:ascii="Arial" w:hAnsi="Arial" w:cs="Arial"/>
                <w:sz w:val="22"/>
                <w:szCs w:val="22"/>
                <w:u w:val="single"/>
              </w:rPr>
            </w:pPr>
            <w:r w:rsidRPr="00A361CB">
              <w:rPr>
                <w:rFonts w:ascii="Arial" w:hAnsi="Arial" w:cs="Arial"/>
                <w:sz w:val="22"/>
                <w:szCs w:val="22"/>
                <w:u w:val="single"/>
              </w:rPr>
              <w:t>List of expected fields in database</w:t>
            </w:r>
          </w:p>
          <w:p w14:paraId="31D24774" w14:textId="3BAA1B04" w:rsidR="008E3936" w:rsidRPr="00A361CB" w:rsidRDefault="008E3936" w:rsidP="00E51355">
            <w:pPr>
              <w:rPr>
                <w:rFonts w:ascii="Arial" w:hAnsi="Arial" w:cs="Arial"/>
                <w:sz w:val="22"/>
                <w:szCs w:val="22"/>
              </w:rPr>
            </w:pPr>
            <w:r w:rsidRPr="00A361CB">
              <w:rPr>
                <w:rFonts w:ascii="Arial" w:hAnsi="Arial" w:cs="Arial"/>
                <w:sz w:val="22"/>
                <w:szCs w:val="22"/>
              </w:rPr>
              <w:t xml:space="preserve">The </w:t>
            </w:r>
            <w:r w:rsidR="00322BDF">
              <w:rPr>
                <w:rFonts w:ascii="Arial" w:hAnsi="Arial" w:cs="Arial"/>
                <w:sz w:val="22"/>
                <w:szCs w:val="22"/>
              </w:rPr>
              <w:t>Buyer</w:t>
            </w:r>
            <w:r w:rsidRPr="00A361CB">
              <w:rPr>
                <w:rFonts w:ascii="Arial" w:hAnsi="Arial" w:cs="Arial"/>
                <w:sz w:val="22"/>
                <w:szCs w:val="22"/>
              </w:rPr>
              <w:t xml:space="preserve"> also </w:t>
            </w:r>
            <w:proofErr w:type="gramStart"/>
            <w:r w:rsidRPr="00A361CB">
              <w:rPr>
                <w:rFonts w:ascii="Arial" w:hAnsi="Arial" w:cs="Arial"/>
                <w:sz w:val="22"/>
                <w:szCs w:val="22"/>
              </w:rPr>
              <w:t>require</w:t>
            </w:r>
            <w:proofErr w:type="gramEnd"/>
            <w:r w:rsidRPr="00A361CB">
              <w:rPr>
                <w:rFonts w:ascii="Arial" w:hAnsi="Arial" w:cs="Arial"/>
                <w:sz w:val="22"/>
                <w:szCs w:val="22"/>
              </w:rPr>
              <w:t xml:space="preserve"> company information to be supplemented with data on areas such as employment and their financial information. A full list of envisaged data fields is provided below: </w:t>
            </w:r>
          </w:p>
          <w:p w14:paraId="6B0C052E" w14:textId="77777777" w:rsidR="008E3936" w:rsidRPr="00A361CB" w:rsidRDefault="008E3936" w:rsidP="00E51355">
            <w:pPr>
              <w:rPr>
                <w:rFonts w:ascii="Arial" w:hAnsi="Arial" w:cs="Arial"/>
                <w:sz w:val="22"/>
                <w:szCs w:val="22"/>
              </w:rPr>
            </w:pPr>
            <w:r w:rsidRPr="00A361CB">
              <w:rPr>
                <w:rFonts w:ascii="Arial" w:hAnsi="Arial" w:cs="Arial"/>
                <w:sz w:val="22"/>
                <w:szCs w:val="22"/>
              </w:rPr>
              <w:lastRenderedPageBreak/>
              <w:t>•</w:t>
            </w:r>
            <w:r w:rsidRPr="00A361CB">
              <w:rPr>
                <w:rFonts w:ascii="Arial" w:hAnsi="Arial" w:cs="Arial"/>
                <w:sz w:val="22"/>
                <w:szCs w:val="22"/>
              </w:rPr>
              <w:tab/>
              <w:t xml:space="preserve">Company </w:t>
            </w:r>
            <w:proofErr w:type="gramStart"/>
            <w:r w:rsidRPr="00A361CB">
              <w:rPr>
                <w:rFonts w:ascii="Arial" w:hAnsi="Arial" w:cs="Arial"/>
                <w:sz w:val="22"/>
                <w:szCs w:val="22"/>
              </w:rPr>
              <w:t>name;</w:t>
            </w:r>
            <w:proofErr w:type="gramEnd"/>
          </w:p>
          <w:p w14:paraId="472F9FF6"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Company </w:t>
            </w:r>
            <w:proofErr w:type="gramStart"/>
            <w:r w:rsidRPr="00A361CB">
              <w:rPr>
                <w:rFonts w:ascii="Arial" w:hAnsi="Arial" w:cs="Arial"/>
                <w:sz w:val="22"/>
                <w:szCs w:val="22"/>
              </w:rPr>
              <w:t>website;</w:t>
            </w:r>
            <w:proofErr w:type="gramEnd"/>
            <w:r w:rsidRPr="00A361CB">
              <w:rPr>
                <w:rFonts w:ascii="Arial" w:hAnsi="Arial" w:cs="Arial"/>
                <w:sz w:val="22"/>
                <w:szCs w:val="22"/>
              </w:rPr>
              <w:t xml:space="preserve"> </w:t>
            </w:r>
          </w:p>
          <w:p w14:paraId="091869BA"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Identifiers: unique database identifier, Company Registration Number (CRN) used in Companies House </w:t>
            </w:r>
            <w:proofErr w:type="gramStart"/>
            <w:r w:rsidRPr="00A361CB">
              <w:rPr>
                <w:rFonts w:ascii="Arial" w:hAnsi="Arial" w:cs="Arial"/>
                <w:sz w:val="22"/>
                <w:szCs w:val="22"/>
              </w:rPr>
              <w:t>Returns;</w:t>
            </w:r>
            <w:proofErr w:type="gramEnd"/>
          </w:p>
          <w:p w14:paraId="089CB162"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Trading history: age of company, incorporation </w:t>
            </w:r>
            <w:proofErr w:type="gramStart"/>
            <w:r w:rsidRPr="00A361CB">
              <w:rPr>
                <w:rFonts w:ascii="Arial" w:hAnsi="Arial" w:cs="Arial"/>
                <w:sz w:val="22"/>
                <w:szCs w:val="22"/>
              </w:rPr>
              <w:t>year;</w:t>
            </w:r>
            <w:proofErr w:type="gramEnd"/>
          </w:p>
          <w:p w14:paraId="7E4DA18A"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Geographic information: Address, postcode, county, region, Local Enterprise Partnership (LEP) </w:t>
            </w:r>
            <w:proofErr w:type="gramStart"/>
            <w:r w:rsidRPr="00A361CB">
              <w:rPr>
                <w:rFonts w:ascii="Arial" w:hAnsi="Arial" w:cs="Arial"/>
                <w:sz w:val="22"/>
                <w:szCs w:val="22"/>
              </w:rPr>
              <w:t>area;</w:t>
            </w:r>
            <w:proofErr w:type="gramEnd"/>
          </w:p>
          <w:p w14:paraId="033B1A08"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Segmentation information: codes and descriptors for database methodology (to be agreed in Phase 1); Standard Industry Classifications (SIC codes</w:t>
            </w:r>
            <w:proofErr w:type="gramStart"/>
            <w:r w:rsidRPr="00A361CB">
              <w:rPr>
                <w:rFonts w:ascii="Arial" w:hAnsi="Arial" w:cs="Arial"/>
                <w:sz w:val="22"/>
                <w:szCs w:val="22"/>
              </w:rPr>
              <w:t>);</w:t>
            </w:r>
            <w:proofErr w:type="gramEnd"/>
          </w:p>
          <w:p w14:paraId="0D6251CB"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Import and/or export </w:t>
            </w:r>
            <w:proofErr w:type="gramStart"/>
            <w:r w:rsidRPr="00A361CB">
              <w:rPr>
                <w:rFonts w:ascii="Arial" w:hAnsi="Arial" w:cs="Arial"/>
                <w:sz w:val="22"/>
                <w:szCs w:val="22"/>
              </w:rPr>
              <w:t>flag;</w:t>
            </w:r>
            <w:proofErr w:type="gramEnd"/>
            <w:r w:rsidRPr="00A361CB">
              <w:rPr>
                <w:rFonts w:ascii="Arial" w:hAnsi="Arial" w:cs="Arial"/>
                <w:sz w:val="22"/>
                <w:szCs w:val="22"/>
              </w:rPr>
              <w:t xml:space="preserve"> </w:t>
            </w:r>
          </w:p>
          <w:p w14:paraId="0FE884A9"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SME status and </w:t>
            </w:r>
            <w:proofErr w:type="gramStart"/>
            <w:r w:rsidRPr="00A361CB">
              <w:rPr>
                <w:rFonts w:ascii="Arial" w:hAnsi="Arial" w:cs="Arial"/>
                <w:sz w:val="22"/>
                <w:szCs w:val="22"/>
              </w:rPr>
              <w:t>description;</w:t>
            </w:r>
            <w:proofErr w:type="gramEnd"/>
            <w:r w:rsidRPr="00A361CB">
              <w:rPr>
                <w:rFonts w:ascii="Arial" w:hAnsi="Arial" w:cs="Arial"/>
                <w:sz w:val="22"/>
                <w:szCs w:val="22"/>
              </w:rPr>
              <w:t xml:space="preserve"> </w:t>
            </w:r>
          </w:p>
          <w:p w14:paraId="6635FC71"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Ownership: country of ownership and parent </w:t>
            </w:r>
            <w:proofErr w:type="gramStart"/>
            <w:r w:rsidRPr="00A361CB">
              <w:rPr>
                <w:rFonts w:ascii="Arial" w:hAnsi="Arial" w:cs="Arial"/>
                <w:sz w:val="22"/>
                <w:szCs w:val="22"/>
              </w:rPr>
              <w:t>company;</w:t>
            </w:r>
            <w:proofErr w:type="gramEnd"/>
            <w:r w:rsidRPr="00A361CB">
              <w:rPr>
                <w:rFonts w:ascii="Arial" w:hAnsi="Arial" w:cs="Arial"/>
                <w:sz w:val="22"/>
                <w:szCs w:val="22"/>
              </w:rPr>
              <w:t xml:space="preserve"> </w:t>
            </w:r>
          </w:p>
          <w:p w14:paraId="40226BF8"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Employment numbers: actual and </w:t>
            </w:r>
            <w:proofErr w:type="gramStart"/>
            <w:r w:rsidRPr="00A361CB">
              <w:rPr>
                <w:rFonts w:ascii="Arial" w:hAnsi="Arial" w:cs="Arial"/>
                <w:sz w:val="22"/>
                <w:szCs w:val="22"/>
              </w:rPr>
              <w:t>banded;</w:t>
            </w:r>
            <w:proofErr w:type="gramEnd"/>
            <w:r w:rsidRPr="00A361CB">
              <w:rPr>
                <w:rFonts w:ascii="Arial" w:hAnsi="Arial" w:cs="Arial"/>
                <w:sz w:val="22"/>
                <w:szCs w:val="22"/>
              </w:rPr>
              <w:t xml:space="preserve"> </w:t>
            </w:r>
          </w:p>
          <w:p w14:paraId="0394D8AC"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Turnover: actual and banded from battery sector activity </w:t>
            </w:r>
            <w:proofErr w:type="gramStart"/>
            <w:r w:rsidRPr="00A361CB">
              <w:rPr>
                <w:rFonts w:ascii="Arial" w:hAnsi="Arial" w:cs="Arial"/>
                <w:sz w:val="22"/>
                <w:szCs w:val="22"/>
              </w:rPr>
              <w:t>only;</w:t>
            </w:r>
            <w:proofErr w:type="gramEnd"/>
            <w:r w:rsidRPr="00A361CB">
              <w:rPr>
                <w:rFonts w:ascii="Arial" w:hAnsi="Arial" w:cs="Arial"/>
                <w:sz w:val="22"/>
                <w:szCs w:val="22"/>
              </w:rPr>
              <w:t xml:space="preserve"> </w:t>
            </w:r>
          </w:p>
          <w:p w14:paraId="0048EE38"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R&amp;D </w:t>
            </w:r>
            <w:proofErr w:type="gramStart"/>
            <w:r w:rsidRPr="00A361CB">
              <w:rPr>
                <w:rFonts w:ascii="Arial" w:hAnsi="Arial" w:cs="Arial"/>
                <w:sz w:val="22"/>
                <w:szCs w:val="22"/>
              </w:rPr>
              <w:t>spending;</w:t>
            </w:r>
            <w:proofErr w:type="gramEnd"/>
          </w:p>
          <w:p w14:paraId="08E78282"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 xml:space="preserve">Measure of GVA based on income statement </w:t>
            </w:r>
            <w:proofErr w:type="gramStart"/>
            <w:r w:rsidRPr="00A361CB">
              <w:rPr>
                <w:rFonts w:ascii="Arial" w:hAnsi="Arial" w:cs="Arial"/>
                <w:sz w:val="22"/>
                <w:szCs w:val="22"/>
              </w:rPr>
              <w:t>data;</w:t>
            </w:r>
            <w:proofErr w:type="gramEnd"/>
          </w:p>
          <w:p w14:paraId="3486767E" w14:textId="77777777" w:rsidR="008E3936" w:rsidRPr="00A361CB" w:rsidRDefault="008E3936" w:rsidP="00E51355">
            <w:pPr>
              <w:rPr>
                <w:rFonts w:ascii="Arial" w:hAnsi="Arial" w:cs="Arial"/>
                <w:sz w:val="22"/>
                <w:szCs w:val="22"/>
              </w:rPr>
            </w:pPr>
            <w:r w:rsidRPr="00A361CB">
              <w:rPr>
                <w:rFonts w:ascii="Arial" w:hAnsi="Arial" w:cs="Arial"/>
                <w:sz w:val="22"/>
                <w:szCs w:val="22"/>
              </w:rPr>
              <w:t>•</w:t>
            </w:r>
            <w:r w:rsidRPr="00A361CB">
              <w:rPr>
                <w:rFonts w:ascii="Arial" w:hAnsi="Arial" w:cs="Arial"/>
                <w:sz w:val="22"/>
                <w:szCs w:val="22"/>
              </w:rPr>
              <w:tab/>
              <w:t>Values of imports and exports.</w:t>
            </w:r>
          </w:p>
          <w:p w14:paraId="257C89A5" w14:textId="77777777" w:rsidR="008E3936" w:rsidRPr="00A361CB" w:rsidRDefault="008E3936" w:rsidP="00E51355">
            <w:pPr>
              <w:rPr>
                <w:rFonts w:ascii="Arial" w:hAnsi="Arial" w:cs="Arial"/>
                <w:sz w:val="22"/>
                <w:szCs w:val="22"/>
              </w:rPr>
            </w:pPr>
          </w:p>
          <w:p w14:paraId="35B94D48" w14:textId="01E704C9" w:rsidR="008E3936" w:rsidRPr="00A361CB" w:rsidRDefault="008E3936" w:rsidP="00E51355">
            <w:pPr>
              <w:rPr>
                <w:rFonts w:ascii="Arial" w:hAnsi="Arial" w:cs="Arial"/>
                <w:sz w:val="22"/>
                <w:szCs w:val="22"/>
              </w:rPr>
            </w:pPr>
            <w:r w:rsidRPr="00A361CB">
              <w:rPr>
                <w:rFonts w:ascii="Arial" w:hAnsi="Arial" w:cs="Arial"/>
                <w:sz w:val="22"/>
                <w:szCs w:val="22"/>
              </w:rPr>
              <w:t xml:space="preserve">The </w:t>
            </w:r>
            <w:r w:rsidR="00322BDF">
              <w:rPr>
                <w:rFonts w:ascii="Arial" w:hAnsi="Arial" w:cs="Arial"/>
                <w:sz w:val="22"/>
                <w:szCs w:val="22"/>
              </w:rPr>
              <w:t>S</w:t>
            </w:r>
            <w:r w:rsidRPr="00A361CB">
              <w:rPr>
                <w:rFonts w:ascii="Arial" w:hAnsi="Arial" w:cs="Arial"/>
                <w:sz w:val="22"/>
                <w:szCs w:val="22"/>
              </w:rPr>
              <w:t>upplier will need to outline all data sources that will be used to obtain this data and a comprehensive outline on how these sources will be used and their associated quality. The Supplier shall detail how they will manage any missing data within sources, particularly for companies under the mandatory reporting thresholds for supplying information to Companies House, such as Small and Medium Enterprises (SMEs). The supplier’s approach for sourcing/estimating data in these situations and the full process to do so must be outlined in the tender submission.</w:t>
            </w:r>
          </w:p>
          <w:p w14:paraId="20D6862F" w14:textId="77777777" w:rsidR="008E3936" w:rsidRPr="00A361CB" w:rsidRDefault="008E3936" w:rsidP="00E51355">
            <w:pPr>
              <w:rPr>
                <w:rFonts w:ascii="Arial" w:hAnsi="Arial" w:cs="Arial"/>
                <w:sz w:val="22"/>
                <w:szCs w:val="22"/>
                <w:u w:val="single"/>
              </w:rPr>
            </w:pPr>
            <w:r w:rsidRPr="00A361CB">
              <w:rPr>
                <w:rFonts w:ascii="Arial" w:hAnsi="Arial" w:cs="Arial"/>
                <w:sz w:val="22"/>
                <w:szCs w:val="22"/>
                <w:u w:val="single"/>
              </w:rPr>
              <w:t>Non-eligible companies</w:t>
            </w:r>
          </w:p>
          <w:p w14:paraId="60E66BB9" w14:textId="77777777" w:rsidR="008E3936" w:rsidRPr="00A361CB" w:rsidRDefault="008E3936" w:rsidP="00E51355">
            <w:pPr>
              <w:rPr>
                <w:rFonts w:ascii="Arial" w:hAnsi="Arial" w:cs="Arial"/>
                <w:sz w:val="22"/>
                <w:szCs w:val="22"/>
              </w:rPr>
            </w:pPr>
            <w:r w:rsidRPr="00A361CB">
              <w:rPr>
                <w:rFonts w:ascii="Arial" w:hAnsi="Arial" w:cs="Arial"/>
                <w:sz w:val="22"/>
                <w:szCs w:val="22"/>
              </w:rPr>
              <w:t xml:space="preserve">Companies must fall within the high-level scope as outlined above. </w:t>
            </w:r>
          </w:p>
          <w:p w14:paraId="02BF9052" w14:textId="77777777" w:rsidR="008E3936" w:rsidRPr="00A361CB" w:rsidRDefault="008E3936" w:rsidP="00E51355">
            <w:pPr>
              <w:rPr>
                <w:rFonts w:ascii="Arial" w:hAnsi="Arial" w:cs="Arial"/>
                <w:sz w:val="22"/>
                <w:szCs w:val="22"/>
              </w:rPr>
            </w:pPr>
            <w:r w:rsidRPr="00A361CB">
              <w:rPr>
                <w:rFonts w:ascii="Arial" w:hAnsi="Arial" w:cs="Arial"/>
                <w:sz w:val="22"/>
                <w:szCs w:val="22"/>
              </w:rPr>
              <w:t xml:space="preserve">Companies are </w:t>
            </w:r>
            <w:r w:rsidRPr="00A361CB">
              <w:rPr>
                <w:rFonts w:ascii="Arial" w:hAnsi="Arial" w:cs="Arial"/>
                <w:i/>
                <w:iCs/>
                <w:sz w:val="22"/>
                <w:szCs w:val="22"/>
              </w:rPr>
              <w:t xml:space="preserve">excluded </w:t>
            </w:r>
            <w:r w:rsidRPr="00A361CB">
              <w:rPr>
                <w:rFonts w:ascii="Arial" w:hAnsi="Arial" w:cs="Arial"/>
                <w:sz w:val="22"/>
                <w:szCs w:val="22"/>
              </w:rPr>
              <w:t xml:space="preserve">if the company is: </w:t>
            </w:r>
          </w:p>
          <w:p w14:paraId="0A1053CA"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not a legal entity i.e. Not registered at Companies House or otherwise </w:t>
            </w:r>
            <w:proofErr w:type="gramStart"/>
            <w:r w:rsidRPr="00A361CB">
              <w:rPr>
                <w:rFonts w:ascii="Arial" w:hAnsi="Arial" w:cs="Arial"/>
                <w:sz w:val="22"/>
                <w:szCs w:val="22"/>
              </w:rPr>
              <w:t>verifiable;</w:t>
            </w:r>
            <w:proofErr w:type="gramEnd"/>
            <w:r w:rsidRPr="00A361CB">
              <w:rPr>
                <w:rFonts w:ascii="Arial" w:hAnsi="Arial" w:cs="Arial"/>
                <w:sz w:val="22"/>
                <w:szCs w:val="22"/>
              </w:rPr>
              <w:t xml:space="preserve"> </w:t>
            </w:r>
          </w:p>
          <w:p w14:paraId="2F6B1021"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registered at Companies House but there is no website, no address or signs of activity and so segmentation cannot be </w:t>
            </w:r>
            <w:proofErr w:type="gramStart"/>
            <w:r w:rsidRPr="00A361CB">
              <w:rPr>
                <w:rFonts w:ascii="Arial" w:hAnsi="Arial" w:cs="Arial"/>
                <w:sz w:val="22"/>
                <w:szCs w:val="22"/>
              </w:rPr>
              <w:t>done;</w:t>
            </w:r>
            <w:proofErr w:type="gramEnd"/>
            <w:r w:rsidRPr="00A361CB">
              <w:rPr>
                <w:rFonts w:ascii="Arial" w:hAnsi="Arial" w:cs="Arial"/>
                <w:sz w:val="22"/>
                <w:szCs w:val="22"/>
              </w:rPr>
              <w:t xml:space="preserve"> </w:t>
            </w:r>
          </w:p>
          <w:p w14:paraId="39567EBF"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a </w:t>
            </w:r>
            <w:proofErr w:type="gramStart"/>
            <w:r w:rsidRPr="00A361CB">
              <w:rPr>
                <w:rFonts w:ascii="Arial" w:hAnsi="Arial" w:cs="Arial"/>
                <w:sz w:val="22"/>
                <w:szCs w:val="22"/>
              </w:rPr>
              <w:t>charity;</w:t>
            </w:r>
            <w:proofErr w:type="gramEnd"/>
            <w:r w:rsidRPr="00A361CB">
              <w:rPr>
                <w:rFonts w:ascii="Arial" w:hAnsi="Arial" w:cs="Arial"/>
                <w:sz w:val="22"/>
                <w:szCs w:val="22"/>
              </w:rPr>
              <w:t xml:space="preserve"> </w:t>
            </w:r>
          </w:p>
          <w:p w14:paraId="46493BE4"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part of a university – some appear to be companies but are actually </w:t>
            </w:r>
            <w:proofErr w:type="gramStart"/>
            <w:r w:rsidRPr="00A361CB">
              <w:rPr>
                <w:rFonts w:ascii="Arial" w:hAnsi="Arial" w:cs="Arial"/>
                <w:sz w:val="22"/>
                <w:szCs w:val="22"/>
              </w:rPr>
              <w:t>departments;</w:t>
            </w:r>
            <w:proofErr w:type="gramEnd"/>
          </w:p>
          <w:p w14:paraId="028B7B8A" w14:textId="77777777" w:rsidR="008E3936" w:rsidRPr="00A361CB" w:rsidRDefault="008E3936" w:rsidP="008E3936">
            <w:pPr>
              <w:numPr>
                <w:ilvl w:val="0"/>
                <w:numId w:val="84"/>
              </w:numPr>
              <w:spacing w:before="100"/>
              <w:rPr>
                <w:rFonts w:ascii="Arial" w:hAnsi="Arial" w:cs="Arial"/>
                <w:sz w:val="22"/>
                <w:szCs w:val="22"/>
              </w:rPr>
            </w:pPr>
            <w:r w:rsidRPr="00A361CB">
              <w:rPr>
                <w:rFonts w:ascii="Arial" w:hAnsi="Arial" w:cs="Arial"/>
                <w:sz w:val="22"/>
                <w:szCs w:val="22"/>
              </w:rPr>
              <w:t xml:space="preserve">a science park, networking organisations or similar. </w:t>
            </w:r>
          </w:p>
          <w:p w14:paraId="3C0F0B37" w14:textId="77777777" w:rsidR="008E3936" w:rsidRPr="00A361CB" w:rsidRDefault="008E3936" w:rsidP="00E51355">
            <w:pPr>
              <w:rPr>
                <w:rFonts w:ascii="Arial" w:hAnsi="Arial" w:cs="Arial"/>
                <w:i/>
                <w:iCs/>
                <w:sz w:val="22"/>
                <w:szCs w:val="22"/>
              </w:rPr>
            </w:pPr>
          </w:p>
          <w:p w14:paraId="282E0BA9" w14:textId="77777777" w:rsidR="008E3936" w:rsidRPr="00A361CB" w:rsidRDefault="008E3936" w:rsidP="00E51355">
            <w:pPr>
              <w:rPr>
                <w:rFonts w:ascii="Arial" w:hAnsi="Arial" w:cs="Arial"/>
                <w:sz w:val="22"/>
                <w:szCs w:val="22"/>
              </w:rPr>
            </w:pPr>
            <w:r w:rsidRPr="00A361CB">
              <w:rPr>
                <w:rFonts w:ascii="Arial" w:hAnsi="Arial" w:cs="Arial"/>
                <w:i/>
                <w:iCs/>
                <w:sz w:val="22"/>
                <w:szCs w:val="22"/>
              </w:rPr>
              <w:t xml:space="preserve">Business activity </w:t>
            </w:r>
            <w:r w:rsidRPr="00A361CB">
              <w:rPr>
                <w:rFonts w:ascii="Arial" w:hAnsi="Arial" w:cs="Arial"/>
                <w:sz w:val="22"/>
                <w:szCs w:val="22"/>
              </w:rPr>
              <w:t xml:space="preserve">– companies must have at least 20% of their activity or turnover in the battery sector. This is a judgement that depends on </w:t>
            </w:r>
            <w:proofErr w:type="gramStart"/>
            <w:r w:rsidRPr="00A361CB">
              <w:rPr>
                <w:rFonts w:ascii="Arial" w:hAnsi="Arial" w:cs="Arial"/>
                <w:sz w:val="22"/>
                <w:szCs w:val="22"/>
              </w:rPr>
              <w:t>a number of</w:t>
            </w:r>
            <w:proofErr w:type="gramEnd"/>
            <w:r w:rsidRPr="00A361CB">
              <w:rPr>
                <w:rFonts w:ascii="Arial" w:hAnsi="Arial" w:cs="Arial"/>
                <w:sz w:val="22"/>
                <w:szCs w:val="22"/>
              </w:rPr>
              <w:t xml:space="preserve"> sources including financial accounts, where available, website analysis and existing knowledge of the sector. </w:t>
            </w:r>
          </w:p>
          <w:p w14:paraId="0982123D" w14:textId="77777777" w:rsidR="008E3936" w:rsidRPr="00A361CB" w:rsidRDefault="008E3936" w:rsidP="00E51355">
            <w:pPr>
              <w:rPr>
                <w:rFonts w:ascii="Arial" w:hAnsi="Arial" w:cs="Arial"/>
                <w:sz w:val="22"/>
                <w:szCs w:val="22"/>
              </w:rPr>
            </w:pPr>
            <w:r w:rsidRPr="00A361CB">
              <w:rPr>
                <w:rFonts w:ascii="Arial" w:hAnsi="Arial" w:cs="Arial"/>
                <w:sz w:val="22"/>
                <w:szCs w:val="22"/>
              </w:rPr>
              <w:t>These companies are often small, and exclusion has limited impact on economic activity measures although obviously impact on the company numbers count.</w:t>
            </w:r>
          </w:p>
        </w:tc>
      </w:tr>
      <w:tr w:rsidR="008E3936" w:rsidRPr="00750382" w14:paraId="054A426A" w14:textId="77777777" w:rsidTr="00E51355">
        <w:tc>
          <w:tcPr>
            <w:tcW w:w="9016" w:type="dxa"/>
            <w:vAlign w:val="center"/>
          </w:tcPr>
          <w:p w14:paraId="1B040BED" w14:textId="77777777" w:rsidR="008E3936" w:rsidRPr="00987406" w:rsidRDefault="008E3936" w:rsidP="00E51355">
            <w:pPr>
              <w:rPr>
                <w:rFonts w:ascii="Arial" w:hAnsi="Arial" w:cs="Arial"/>
                <w:b/>
                <w:bCs/>
                <w:sz w:val="22"/>
                <w:szCs w:val="22"/>
                <w:u w:val="single"/>
              </w:rPr>
            </w:pPr>
            <w:r w:rsidRPr="00987406">
              <w:rPr>
                <w:rFonts w:ascii="Arial" w:hAnsi="Arial" w:cs="Arial"/>
                <w:b/>
                <w:bCs/>
                <w:sz w:val="22"/>
                <w:szCs w:val="22"/>
                <w:u w:val="single"/>
              </w:rPr>
              <w:lastRenderedPageBreak/>
              <w:t>Deliverables</w:t>
            </w:r>
          </w:p>
        </w:tc>
      </w:tr>
      <w:tr w:rsidR="008E3936" w:rsidRPr="00750382" w14:paraId="07C7FB62" w14:textId="77777777" w:rsidTr="00E51355">
        <w:tc>
          <w:tcPr>
            <w:tcW w:w="9016" w:type="dxa"/>
            <w:shd w:val="clear" w:color="auto" w:fill="auto"/>
            <w:vAlign w:val="center"/>
          </w:tcPr>
          <w:p w14:paraId="0CE2A2A5" w14:textId="77777777" w:rsidR="008E3936" w:rsidRPr="00987406" w:rsidRDefault="008E3936" w:rsidP="008E3936">
            <w:pPr>
              <w:numPr>
                <w:ilvl w:val="0"/>
                <w:numId w:val="85"/>
              </w:numPr>
              <w:spacing w:before="100"/>
              <w:rPr>
                <w:rFonts w:ascii="Arial" w:hAnsi="Arial" w:cs="Arial"/>
                <w:sz w:val="22"/>
                <w:szCs w:val="22"/>
              </w:rPr>
            </w:pPr>
            <w:r w:rsidRPr="00987406">
              <w:rPr>
                <w:rFonts w:ascii="Arial" w:hAnsi="Arial" w:cs="Arial"/>
                <w:sz w:val="22"/>
                <w:szCs w:val="22"/>
              </w:rPr>
              <w:t xml:space="preserve">Development of classification / segmentation methodology.  </w:t>
            </w:r>
          </w:p>
          <w:p w14:paraId="6D864804" w14:textId="77777777" w:rsidR="008E3936" w:rsidRPr="00987406" w:rsidRDefault="008E3936" w:rsidP="008E3936">
            <w:pPr>
              <w:numPr>
                <w:ilvl w:val="0"/>
                <w:numId w:val="85"/>
              </w:numPr>
              <w:spacing w:before="100"/>
              <w:rPr>
                <w:rFonts w:ascii="Arial" w:hAnsi="Arial" w:cs="Arial"/>
                <w:sz w:val="22"/>
                <w:szCs w:val="22"/>
              </w:rPr>
            </w:pPr>
            <w:r w:rsidRPr="00987406">
              <w:rPr>
                <w:rFonts w:ascii="Arial" w:hAnsi="Arial" w:cs="Arial"/>
                <w:sz w:val="22"/>
                <w:szCs w:val="22"/>
              </w:rPr>
              <w:t xml:space="preserve">The specification for the dataset, including a full list of data fields. </w:t>
            </w:r>
          </w:p>
          <w:p w14:paraId="5385A482" w14:textId="3E285926" w:rsidR="008E3936" w:rsidRPr="00987406" w:rsidRDefault="008E3936" w:rsidP="008E3936">
            <w:pPr>
              <w:numPr>
                <w:ilvl w:val="0"/>
                <w:numId w:val="85"/>
              </w:numPr>
              <w:spacing w:before="100"/>
              <w:rPr>
                <w:rFonts w:ascii="Arial" w:hAnsi="Arial" w:cs="Arial"/>
                <w:sz w:val="22"/>
                <w:szCs w:val="22"/>
              </w:rPr>
            </w:pPr>
            <w:r w:rsidRPr="00987406">
              <w:rPr>
                <w:rFonts w:ascii="Arial" w:hAnsi="Arial" w:cs="Arial"/>
                <w:sz w:val="22"/>
                <w:szCs w:val="22"/>
              </w:rPr>
              <w:t xml:space="preserve">Production and delivery of a final, matched, site-level master dataset and a public disclosable dataset for battery sector companies in a csv format. The format for this will need to be clearly outlined in any proposal and have final approval from the </w:t>
            </w:r>
            <w:r w:rsidR="00987406">
              <w:rPr>
                <w:rFonts w:ascii="Arial" w:hAnsi="Arial" w:cs="Arial"/>
                <w:sz w:val="22"/>
                <w:szCs w:val="22"/>
              </w:rPr>
              <w:t>Buyer</w:t>
            </w:r>
            <w:r w:rsidRPr="00987406">
              <w:rPr>
                <w:rFonts w:ascii="Arial" w:hAnsi="Arial" w:cs="Arial"/>
                <w:sz w:val="22"/>
                <w:szCs w:val="22"/>
              </w:rPr>
              <w:t xml:space="preserve">. The </w:t>
            </w:r>
            <w:r w:rsidR="00987406">
              <w:rPr>
                <w:rFonts w:ascii="Arial" w:hAnsi="Arial" w:cs="Arial"/>
                <w:sz w:val="22"/>
                <w:szCs w:val="22"/>
              </w:rPr>
              <w:t>S</w:t>
            </w:r>
            <w:r w:rsidRPr="00987406">
              <w:rPr>
                <w:rFonts w:ascii="Arial" w:hAnsi="Arial" w:cs="Arial"/>
                <w:sz w:val="22"/>
                <w:szCs w:val="22"/>
              </w:rPr>
              <w:t xml:space="preserve">upplier is expected to create and advise on a final format for the </w:t>
            </w:r>
            <w:r w:rsidRPr="00987406">
              <w:rPr>
                <w:rFonts w:ascii="Arial" w:hAnsi="Arial" w:cs="Arial"/>
                <w:sz w:val="22"/>
                <w:szCs w:val="22"/>
              </w:rPr>
              <w:lastRenderedPageBreak/>
              <w:t xml:space="preserve">master database to be shared with the </w:t>
            </w:r>
            <w:r w:rsidR="00987406">
              <w:rPr>
                <w:rFonts w:ascii="Arial" w:hAnsi="Arial" w:cs="Arial"/>
                <w:sz w:val="22"/>
                <w:szCs w:val="22"/>
              </w:rPr>
              <w:t>Buyer</w:t>
            </w:r>
            <w:r w:rsidRPr="00987406">
              <w:rPr>
                <w:rFonts w:ascii="Arial" w:hAnsi="Arial" w:cs="Arial"/>
                <w:sz w:val="22"/>
                <w:szCs w:val="22"/>
              </w:rPr>
              <w:t>. The final public disclosable database to be provided in csv format.</w:t>
            </w:r>
          </w:p>
          <w:p w14:paraId="4904EE29" w14:textId="4F39094F" w:rsidR="008E3936" w:rsidRPr="00987406" w:rsidRDefault="008E3936" w:rsidP="008E3936">
            <w:pPr>
              <w:numPr>
                <w:ilvl w:val="0"/>
                <w:numId w:val="85"/>
              </w:numPr>
              <w:spacing w:before="100"/>
              <w:rPr>
                <w:rFonts w:ascii="Arial" w:hAnsi="Arial" w:cs="Arial"/>
                <w:sz w:val="22"/>
                <w:szCs w:val="22"/>
              </w:rPr>
            </w:pPr>
            <w:r w:rsidRPr="00987406">
              <w:rPr>
                <w:rFonts w:ascii="Arial" w:hAnsi="Arial" w:cs="Arial"/>
                <w:sz w:val="22"/>
                <w:szCs w:val="22"/>
              </w:rPr>
              <w:t>(Note that th</w:t>
            </w:r>
            <w:r w:rsidR="00987406">
              <w:rPr>
                <w:rFonts w:ascii="Arial" w:hAnsi="Arial" w:cs="Arial"/>
                <w:sz w:val="22"/>
                <w:szCs w:val="22"/>
              </w:rPr>
              <w:t>e Buyer</w:t>
            </w:r>
            <w:r w:rsidRPr="00987406">
              <w:rPr>
                <w:rFonts w:ascii="Arial" w:hAnsi="Arial" w:cs="Arial"/>
                <w:sz w:val="22"/>
                <w:szCs w:val="22"/>
              </w:rPr>
              <w:t xml:space="preserve"> do not intend for the resulting database to be used as official statistics.)</w:t>
            </w:r>
          </w:p>
          <w:p w14:paraId="5D317A0D" w14:textId="51B6273E" w:rsidR="008E3936" w:rsidRPr="00987406" w:rsidRDefault="008E3936" w:rsidP="008E3936">
            <w:pPr>
              <w:numPr>
                <w:ilvl w:val="0"/>
                <w:numId w:val="85"/>
              </w:numPr>
              <w:spacing w:before="100"/>
              <w:rPr>
                <w:rFonts w:ascii="Arial" w:hAnsi="Arial" w:cs="Arial"/>
                <w:sz w:val="22"/>
                <w:szCs w:val="22"/>
              </w:rPr>
            </w:pPr>
            <w:r w:rsidRPr="00987406">
              <w:rPr>
                <w:rFonts w:ascii="Arial" w:hAnsi="Arial" w:cs="Arial"/>
                <w:sz w:val="22"/>
                <w:szCs w:val="22"/>
              </w:rPr>
              <w:t>Provide the</w:t>
            </w:r>
            <w:r w:rsidR="00987406">
              <w:rPr>
                <w:rFonts w:ascii="Arial" w:hAnsi="Arial" w:cs="Arial"/>
                <w:sz w:val="22"/>
                <w:szCs w:val="22"/>
              </w:rPr>
              <w:t xml:space="preserve"> Buyer</w:t>
            </w:r>
            <w:r w:rsidRPr="00987406">
              <w:rPr>
                <w:rFonts w:ascii="Arial" w:hAnsi="Arial" w:cs="Arial"/>
                <w:sz w:val="22"/>
                <w:szCs w:val="22"/>
              </w:rPr>
              <w:t xml:space="preserve"> with documentation on quality assurance and validation </w:t>
            </w:r>
            <w:r w:rsidR="00987406" w:rsidRPr="00987406">
              <w:rPr>
                <w:rFonts w:ascii="Arial" w:hAnsi="Arial" w:cs="Arial"/>
                <w:sz w:val="22"/>
                <w:szCs w:val="22"/>
              </w:rPr>
              <w:t>processes and</w:t>
            </w:r>
            <w:r w:rsidRPr="00987406">
              <w:rPr>
                <w:rFonts w:ascii="Arial" w:hAnsi="Arial" w:cs="Arial"/>
                <w:sz w:val="22"/>
                <w:szCs w:val="22"/>
              </w:rPr>
              <w:t xml:space="preserve"> make amendments to the dataset based on </w:t>
            </w:r>
            <w:r w:rsidR="00987406">
              <w:rPr>
                <w:rFonts w:ascii="Arial" w:hAnsi="Arial" w:cs="Arial"/>
                <w:sz w:val="22"/>
                <w:szCs w:val="22"/>
              </w:rPr>
              <w:t>Buyer</w:t>
            </w:r>
            <w:r w:rsidRPr="00987406">
              <w:rPr>
                <w:rFonts w:ascii="Arial" w:hAnsi="Arial" w:cs="Arial"/>
                <w:sz w:val="22"/>
                <w:szCs w:val="22"/>
              </w:rPr>
              <w:t xml:space="preserve"> assurance and validation checks. </w:t>
            </w:r>
          </w:p>
          <w:p w14:paraId="4E2438C9" w14:textId="77777777" w:rsidR="008E3936" w:rsidRPr="00987406" w:rsidRDefault="008E3936" w:rsidP="00E51355">
            <w:pPr>
              <w:rPr>
                <w:rFonts w:ascii="Arial" w:hAnsi="Arial" w:cs="Arial"/>
                <w:sz w:val="22"/>
                <w:szCs w:val="22"/>
                <w:u w:val="single"/>
              </w:rPr>
            </w:pPr>
          </w:p>
          <w:p w14:paraId="5EA35EB8" w14:textId="38FB33BD" w:rsidR="008E3936" w:rsidRPr="00987406" w:rsidRDefault="008E3936" w:rsidP="00E51355">
            <w:pPr>
              <w:rPr>
                <w:rFonts w:ascii="Arial" w:hAnsi="Arial" w:cs="Arial"/>
                <w:sz w:val="22"/>
                <w:szCs w:val="22"/>
              </w:rPr>
            </w:pPr>
            <w:r w:rsidRPr="00987406">
              <w:rPr>
                <w:rFonts w:ascii="Arial" w:hAnsi="Arial" w:cs="Arial"/>
                <w:sz w:val="22"/>
                <w:szCs w:val="22"/>
              </w:rPr>
              <w:t xml:space="preserve">The </w:t>
            </w:r>
            <w:r w:rsidR="00987406">
              <w:rPr>
                <w:rFonts w:ascii="Arial" w:hAnsi="Arial" w:cs="Arial"/>
                <w:sz w:val="22"/>
                <w:szCs w:val="22"/>
              </w:rPr>
              <w:t>Buyer</w:t>
            </w:r>
            <w:r w:rsidRPr="00987406">
              <w:rPr>
                <w:rFonts w:ascii="Arial" w:hAnsi="Arial" w:cs="Arial"/>
                <w:sz w:val="22"/>
                <w:szCs w:val="22"/>
              </w:rPr>
              <w:t xml:space="preserve"> </w:t>
            </w:r>
            <w:proofErr w:type="gramStart"/>
            <w:r w:rsidR="00987406" w:rsidRPr="00987406">
              <w:rPr>
                <w:rFonts w:ascii="Arial" w:hAnsi="Arial" w:cs="Arial"/>
                <w:sz w:val="22"/>
                <w:szCs w:val="22"/>
              </w:rPr>
              <w:t>require</w:t>
            </w:r>
            <w:proofErr w:type="gramEnd"/>
            <w:r w:rsidRPr="00987406">
              <w:rPr>
                <w:rFonts w:ascii="Arial" w:hAnsi="Arial" w:cs="Arial"/>
                <w:sz w:val="22"/>
                <w:szCs w:val="22"/>
              </w:rPr>
              <w:t xml:space="preserve"> the </w:t>
            </w:r>
            <w:r w:rsidR="00987406">
              <w:rPr>
                <w:rFonts w:ascii="Arial" w:hAnsi="Arial" w:cs="Arial"/>
                <w:sz w:val="22"/>
                <w:szCs w:val="22"/>
              </w:rPr>
              <w:t>S</w:t>
            </w:r>
            <w:r w:rsidRPr="00987406">
              <w:rPr>
                <w:rFonts w:ascii="Arial" w:hAnsi="Arial" w:cs="Arial"/>
                <w:sz w:val="22"/>
                <w:szCs w:val="22"/>
              </w:rPr>
              <w:t xml:space="preserve">upplier to produce guidance on how best to keep this database up to date. The </w:t>
            </w:r>
            <w:r w:rsidR="00987406">
              <w:rPr>
                <w:rFonts w:ascii="Arial" w:hAnsi="Arial" w:cs="Arial"/>
                <w:sz w:val="22"/>
                <w:szCs w:val="22"/>
              </w:rPr>
              <w:t>Buyer</w:t>
            </w:r>
            <w:r w:rsidRPr="00987406">
              <w:rPr>
                <w:rFonts w:ascii="Arial" w:hAnsi="Arial" w:cs="Arial"/>
                <w:sz w:val="22"/>
                <w:szCs w:val="22"/>
              </w:rPr>
              <w:t xml:space="preserve"> </w:t>
            </w:r>
            <w:proofErr w:type="gramStart"/>
            <w:r w:rsidRPr="00987406">
              <w:rPr>
                <w:rFonts w:ascii="Arial" w:hAnsi="Arial" w:cs="Arial"/>
                <w:sz w:val="22"/>
                <w:szCs w:val="22"/>
              </w:rPr>
              <w:t>are</w:t>
            </w:r>
            <w:proofErr w:type="gramEnd"/>
            <w:r w:rsidRPr="00987406">
              <w:rPr>
                <w:rFonts w:ascii="Arial" w:hAnsi="Arial" w:cs="Arial"/>
                <w:sz w:val="22"/>
                <w:szCs w:val="22"/>
              </w:rPr>
              <w:t xml:space="preserve"> particularly interested in how we should keep the database updated, and how often updates should take place, </w:t>
            </w:r>
          </w:p>
          <w:p w14:paraId="3C75A1AB" w14:textId="77777777" w:rsidR="008E3936" w:rsidRPr="00987406" w:rsidRDefault="008E3936" w:rsidP="00E51355">
            <w:pPr>
              <w:rPr>
                <w:rFonts w:ascii="Arial" w:hAnsi="Arial" w:cs="Arial"/>
                <w:b/>
                <w:bCs/>
                <w:sz w:val="22"/>
                <w:szCs w:val="22"/>
                <w:u w:val="single"/>
              </w:rPr>
            </w:pPr>
          </w:p>
        </w:tc>
      </w:tr>
      <w:tr w:rsidR="008E3936" w:rsidRPr="00E10ECA" w14:paraId="0CED7993" w14:textId="77777777" w:rsidTr="00E51355">
        <w:tc>
          <w:tcPr>
            <w:tcW w:w="9016" w:type="dxa"/>
            <w:vAlign w:val="center"/>
          </w:tcPr>
          <w:p w14:paraId="1E03A569" w14:textId="77777777" w:rsidR="008E3936" w:rsidRPr="00987406" w:rsidRDefault="008E3936" w:rsidP="00E51355">
            <w:pPr>
              <w:rPr>
                <w:rFonts w:ascii="Arial" w:hAnsi="Arial" w:cs="Arial"/>
                <w:b/>
                <w:bCs/>
                <w:sz w:val="22"/>
                <w:szCs w:val="22"/>
              </w:rPr>
            </w:pPr>
            <w:r w:rsidRPr="00987406">
              <w:rPr>
                <w:rFonts w:ascii="Arial" w:hAnsi="Arial" w:cs="Arial"/>
                <w:b/>
                <w:bCs/>
                <w:sz w:val="22"/>
                <w:szCs w:val="22"/>
              </w:rPr>
              <w:lastRenderedPageBreak/>
              <w:t>Key Dates and Milestones</w:t>
            </w:r>
          </w:p>
        </w:tc>
      </w:tr>
      <w:tr w:rsidR="008E3936" w:rsidRPr="00E10ECA" w14:paraId="5B9486FC" w14:textId="77777777" w:rsidTr="00E51355">
        <w:tc>
          <w:tcPr>
            <w:tcW w:w="9016" w:type="dxa"/>
            <w:vAlign w:val="center"/>
          </w:tcPr>
          <w:tbl>
            <w:tblPr>
              <w:tblStyle w:val="Table3"/>
              <w:tblW w:w="16466" w:type="dxa"/>
              <w:tblInd w:w="5" w:type="dxa"/>
              <w:tblBorders>
                <w:insideH w:val="single" w:sz="4" w:space="0" w:color="C00000"/>
                <w:insideV w:val="single" w:sz="4" w:space="0" w:color="C00000"/>
              </w:tblBorders>
              <w:tblLayout w:type="fixed"/>
              <w:tblLook w:val="04A0" w:firstRow="1" w:lastRow="0" w:firstColumn="1" w:lastColumn="0" w:noHBand="0" w:noVBand="1"/>
            </w:tblPr>
            <w:tblGrid>
              <w:gridCol w:w="1782"/>
              <w:gridCol w:w="7013"/>
              <w:gridCol w:w="7671"/>
            </w:tblGrid>
            <w:tr w:rsidR="008E3936" w:rsidRPr="00987406" w14:paraId="6B9DAA39" w14:textId="77777777" w:rsidTr="00E51355">
              <w:trPr>
                <w:gridAfter w:val="1"/>
                <w:cnfStyle w:val="100000000000" w:firstRow="1" w:lastRow="0" w:firstColumn="0" w:lastColumn="0" w:oddVBand="0" w:evenVBand="0" w:oddHBand="0" w:evenHBand="0" w:firstRowFirstColumn="0" w:firstRowLastColumn="0" w:lastRowFirstColumn="0" w:lastRowLastColumn="0"/>
                <w:wAfter w:w="7671" w:type="dxa"/>
                <w:trHeight w:val="300"/>
              </w:trPr>
              <w:tc>
                <w:tcPr>
                  <w:tcW w:w="1782" w:type="dxa"/>
                  <w:tcBorders>
                    <w:top w:val="single" w:sz="4" w:space="0" w:color="C00000"/>
                  </w:tcBorders>
                </w:tcPr>
                <w:p w14:paraId="0D5DBA5F" w14:textId="77777777" w:rsidR="008E3936" w:rsidRPr="00987406" w:rsidRDefault="008E3936" w:rsidP="00E51355">
                  <w:pPr>
                    <w:rPr>
                      <w:rFonts w:ascii="Arial" w:hAnsi="Arial" w:cs="Arial"/>
                    </w:rPr>
                  </w:pPr>
                  <w:r w:rsidRPr="00987406">
                    <w:rPr>
                      <w:rFonts w:ascii="Arial" w:hAnsi="Arial" w:cs="Arial"/>
                    </w:rPr>
                    <w:t xml:space="preserve">When is it needed by? </w:t>
                  </w:r>
                </w:p>
              </w:tc>
              <w:tc>
                <w:tcPr>
                  <w:tcW w:w="7013" w:type="dxa"/>
                  <w:tcBorders>
                    <w:top w:val="single" w:sz="4" w:space="0" w:color="C00000"/>
                  </w:tcBorders>
                </w:tcPr>
                <w:p w14:paraId="5FC38A4E" w14:textId="4FFA57FD" w:rsidR="008E3936" w:rsidRPr="00987406" w:rsidRDefault="008E3936" w:rsidP="00E51355">
                  <w:pPr>
                    <w:spacing w:after="0"/>
                    <w:rPr>
                      <w:rFonts w:ascii="Arial" w:hAnsi="Arial" w:cs="Arial"/>
                    </w:rPr>
                  </w:pPr>
                  <w:r w:rsidRPr="00987406">
                    <w:rPr>
                      <w:rFonts w:ascii="Arial" w:hAnsi="Arial" w:cs="Arial"/>
                    </w:rPr>
                    <w:t xml:space="preserve">The </w:t>
                  </w:r>
                  <w:r w:rsidR="00987406">
                    <w:rPr>
                      <w:rFonts w:ascii="Arial" w:hAnsi="Arial" w:cs="Arial"/>
                    </w:rPr>
                    <w:t>Buyer</w:t>
                  </w:r>
                  <w:r w:rsidRPr="00987406">
                    <w:rPr>
                      <w:rFonts w:ascii="Arial" w:hAnsi="Arial" w:cs="Arial"/>
                    </w:rPr>
                    <w:t xml:space="preserve"> need</w:t>
                  </w:r>
                  <w:r w:rsidR="00987406">
                    <w:rPr>
                      <w:rFonts w:ascii="Arial" w:hAnsi="Arial" w:cs="Arial"/>
                    </w:rPr>
                    <w:t>s</w:t>
                  </w:r>
                  <w:r w:rsidRPr="00987406">
                    <w:rPr>
                      <w:rFonts w:ascii="Arial" w:hAnsi="Arial" w:cs="Arial"/>
                    </w:rPr>
                    <w:t xml:space="preserve"> the dataset to be produced and quality assured before the end March 2025.</w:t>
                  </w:r>
                </w:p>
              </w:tc>
            </w:tr>
            <w:tr w:rsidR="008E3936" w:rsidRPr="00987406" w14:paraId="689D51EF" w14:textId="77777777" w:rsidTr="00E51355">
              <w:trPr>
                <w:gridAfter w:val="1"/>
                <w:wAfter w:w="7671" w:type="dxa"/>
                <w:trHeight w:val="300"/>
              </w:trPr>
              <w:tc>
                <w:tcPr>
                  <w:tcW w:w="1782" w:type="dxa"/>
                </w:tcPr>
                <w:p w14:paraId="1A984F62" w14:textId="77777777" w:rsidR="008E3936" w:rsidRPr="00987406" w:rsidRDefault="008E3936" w:rsidP="00E51355">
                  <w:pPr>
                    <w:rPr>
                      <w:rFonts w:ascii="Arial" w:hAnsi="Arial" w:cs="Arial"/>
                    </w:rPr>
                  </w:pPr>
                  <w:r w:rsidRPr="00987406">
                    <w:rPr>
                      <w:rFonts w:ascii="Arial" w:hAnsi="Arial" w:cs="Arial"/>
                    </w:rPr>
                    <w:t>Are there any milestones or interim dates?</w:t>
                  </w:r>
                </w:p>
              </w:tc>
              <w:tc>
                <w:tcPr>
                  <w:tcW w:w="7013" w:type="dxa"/>
                </w:tcPr>
                <w:tbl>
                  <w:tblPr>
                    <w:tblStyle w:val="TableGrid"/>
                    <w:tblW w:w="0" w:type="auto"/>
                    <w:tblLayout w:type="fixed"/>
                    <w:tblLook w:val="04A0" w:firstRow="1" w:lastRow="0" w:firstColumn="1" w:lastColumn="0" w:noHBand="0" w:noVBand="1"/>
                  </w:tblPr>
                  <w:tblGrid>
                    <w:gridCol w:w="4085"/>
                    <w:gridCol w:w="2307"/>
                  </w:tblGrid>
                  <w:tr w:rsidR="008E3936" w:rsidRPr="00987406" w14:paraId="141E1AD8" w14:textId="77777777" w:rsidTr="00E51355">
                    <w:trPr>
                      <w:trHeight w:val="288"/>
                    </w:trPr>
                    <w:tc>
                      <w:tcPr>
                        <w:tcW w:w="4085" w:type="dxa"/>
                        <w:tcBorders>
                          <w:top w:val="single" w:sz="4" w:space="0" w:color="auto"/>
                          <w:left w:val="single" w:sz="4" w:space="0" w:color="auto"/>
                          <w:bottom w:val="single" w:sz="4" w:space="0" w:color="auto"/>
                          <w:right w:val="single" w:sz="4" w:space="0" w:color="auto"/>
                        </w:tcBorders>
                        <w:hideMark/>
                      </w:tcPr>
                      <w:p w14:paraId="602A340C" w14:textId="77777777" w:rsidR="008E3936" w:rsidRPr="00987406" w:rsidRDefault="008E3936" w:rsidP="00E51355">
                        <w:pPr>
                          <w:rPr>
                            <w:rFonts w:ascii="Arial" w:hAnsi="Arial" w:cs="Arial"/>
                            <w:b/>
                            <w:bCs/>
                            <w:sz w:val="22"/>
                            <w:szCs w:val="22"/>
                          </w:rPr>
                        </w:pPr>
                        <w:r w:rsidRPr="00987406">
                          <w:rPr>
                            <w:rFonts w:ascii="Arial" w:hAnsi="Arial" w:cs="Arial"/>
                            <w:b/>
                            <w:bCs/>
                            <w:sz w:val="22"/>
                            <w:szCs w:val="22"/>
                          </w:rPr>
                          <w:t>Deliverable</w:t>
                        </w:r>
                      </w:p>
                    </w:tc>
                    <w:tc>
                      <w:tcPr>
                        <w:tcW w:w="2307" w:type="dxa"/>
                        <w:tcBorders>
                          <w:top w:val="single" w:sz="4" w:space="0" w:color="auto"/>
                          <w:left w:val="single" w:sz="4" w:space="0" w:color="auto"/>
                          <w:bottom w:val="single" w:sz="4" w:space="0" w:color="auto"/>
                          <w:right w:val="single" w:sz="4" w:space="0" w:color="auto"/>
                        </w:tcBorders>
                        <w:hideMark/>
                      </w:tcPr>
                      <w:p w14:paraId="4E1B9B35" w14:textId="77777777" w:rsidR="008E3936" w:rsidRPr="00987406" w:rsidRDefault="008E3936" w:rsidP="00E51355">
                        <w:pPr>
                          <w:rPr>
                            <w:rFonts w:ascii="Arial" w:hAnsi="Arial" w:cs="Arial"/>
                            <w:b/>
                            <w:bCs/>
                            <w:sz w:val="22"/>
                            <w:szCs w:val="22"/>
                          </w:rPr>
                        </w:pPr>
                        <w:r w:rsidRPr="00987406">
                          <w:rPr>
                            <w:rFonts w:ascii="Arial" w:hAnsi="Arial" w:cs="Arial"/>
                            <w:b/>
                            <w:bCs/>
                            <w:sz w:val="22"/>
                            <w:szCs w:val="22"/>
                          </w:rPr>
                          <w:t>Date</w:t>
                        </w:r>
                      </w:p>
                    </w:tc>
                  </w:tr>
                  <w:tr w:rsidR="008E3936" w:rsidRPr="00987406" w14:paraId="7AAFADFA" w14:textId="77777777" w:rsidTr="00E51355">
                    <w:trPr>
                      <w:trHeight w:val="882"/>
                    </w:trPr>
                    <w:tc>
                      <w:tcPr>
                        <w:tcW w:w="4085" w:type="dxa"/>
                        <w:tcBorders>
                          <w:top w:val="single" w:sz="4" w:space="0" w:color="auto"/>
                          <w:left w:val="single" w:sz="4" w:space="0" w:color="auto"/>
                          <w:bottom w:val="single" w:sz="4" w:space="0" w:color="auto"/>
                          <w:right w:val="single" w:sz="4" w:space="0" w:color="auto"/>
                        </w:tcBorders>
                        <w:hideMark/>
                      </w:tcPr>
                      <w:p w14:paraId="61F89B18" w14:textId="77777777" w:rsidR="008E3936" w:rsidRPr="00987406" w:rsidRDefault="008E3936" w:rsidP="00E51355">
                        <w:pPr>
                          <w:rPr>
                            <w:rFonts w:ascii="Arial" w:hAnsi="Arial" w:cs="Arial"/>
                            <w:sz w:val="22"/>
                            <w:szCs w:val="22"/>
                          </w:rPr>
                        </w:pPr>
                        <w:r w:rsidRPr="00987406">
                          <w:rPr>
                            <w:rFonts w:ascii="Arial" w:hAnsi="Arial" w:cs="Arial"/>
                            <w:sz w:val="22"/>
                            <w:szCs w:val="22"/>
                          </w:rPr>
                          <w:t>Classification and segmentation methodology developed</w:t>
                        </w:r>
                      </w:p>
                      <w:p w14:paraId="1962E4A0" w14:textId="77777777" w:rsidR="008E3936" w:rsidRPr="00987406" w:rsidRDefault="008E3936" w:rsidP="00E51355">
                        <w:pPr>
                          <w:rPr>
                            <w:rFonts w:ascii="Arial" w:hAnsi="Arial" w:cs="Arial"/>
                            <w:sz w:val="22"/>
                            <w:szCs w:val="22"/>
                          </w:rPr>
                        </w:pPr>
                        <w:r w:rsidRPr="00987406">
                          <w:rPr>
                            <w:rFonts w:ascii="Arial" w:hAnsi="Arial" w:cs="Arial"/>
                            <w:sz w:val="22"/>
                            <w:szCs w:val="22"/>
                          </w:rPr>
                          <w:t>Dataset specification complete</w:t>
                        </w:r>
                      </w:p>
                    </w:tc>
                    <w:tc>
                      <w:tcPr>
                        <w:tcW w:w="2307" w:type="dxa"/>
                        <w:tcBorders>
                          <w:top w:val="single" w:sz="4" w:space="0" w:color="auto"/>
                          <w:left w:val="single" w:sz="4" w:space="0" w:color="auto"/>
                          <w:bottom w:val="single" w:sz="4" w:space="0" w:color="auto"/>
                          <w:right w:val="single" w:sz="4" w:space="0" w:color="auto"/>
                        </w:tcBorders>
                        <w:hideMark/>
                      </w:tcPr>
                      <w:p w14:paraId="01E9A01A" w14:textId="77777777" w:rsidR="008E3936" w:rsidRPr="00987406" w:rsidRDefault="008E3936" w:rsidP="00E51355">
                        <w:pPr>
                          <w:rPr>
                            <w:rFonts w:ascii="Arial" w:hAnsi="Arial" w:cs="Arial"/>
                            <w:sz w:val="22"/>
                            <w:szCs w:val="22"/>
                          </w:rPr>
                        </w:pPr>
                        <w:r w:rsidRPr="00987406">
                          <w:rPr>
                            <w:rFonts w:ascii="Arial" w:hAnsi="Arial" w:cs="Arial"/>
                            <w:sz w:val="22"/>
                            <w:szCs w:val="22"/>
                          </w:rPr>
                          <w:t xml:space="preserve">By </w:t>
                        </w:r>
                        <w:proofErr w:type="gramStart"/>
                        <w:r w:rsidRPr="00987406">
                          <w:rPr>
                            <w:rFonts w:ascii="Arial" w:hAnsi="Arial" w:cs="Arial"/>
                            <w:sz w:val="22"/>
                            <w:szCs w:val="22"/>
                          </w:rPr>
                          <w:t>September  2024</w:t>
                        </w:r>
                        <w:proofErr w:type="gramEnd"/>
                      </w:p>
                    </w:tc>
                  </w:tr>
                  <w:tr w:rsidR="008E3936" w:rsidRPr="00987406" w14:paraId="2087D2C7" w14:textId="77777777" w:rsidTr="00E51355">
                    <w:trPr>
                      <w:trHeight w:val="288"/>
                    </w:trPr>
                    <w:tc>
                      <w:tcPr>
                        <w:tcW w:w="4085" w:type="dxa"/>
                        <w:tcBorders>
                          <w:top w:val="single" w:sz="4" w:space="0" w:color="auto"/>
                          <w:left w:val="single" w:sz="4" w:space="0" w:color="auto"/>
                          <w:bottom w:val="single" w:sz="4" w:space="0" w:color="auto"/>
                          <w:right w:val="single" w:sz="4" w:space="0" w:color="auto"/>
                        </w:tcBorders>
                        <w:hideMark/>
                      </w:tcPr>
                      <w:p w14:paraId="40B25A4A" w14:textId="77777777" w:rsidR="008E3936" w:rsidRPr="00987406" w:rsidRDefault="008E3936" w:rsidP="00E51355">
                        <w:pPr>
                          <w:rPr>
                            <w:rFonts w:ascii="Arial" w:hAnsi="Arial" w:cs="Arial"/>
                            <w:sz w:val="22"/>
                            <w:szCs w:val="22"/>
                          </w:rPr>
                        </w:pPr>
                        <w:r w:rsidRPr="00987406">
                          <w:rPr>
                            <w:rFonts w:ascii="Arial" w:hAnsi="Arial" w:cs="Arial"/>
                            <w:sz w:val="22"/>
                            <w:szCs w:val="22"/>
                          </w:rPr>
                          <w:t>Production and delivery of a final matched dataset</w:t>
                        </w:r>
                      </w:p>
                    </w:tc>
                    <w:tc>
                      <w:tcPr>
                        <w:tcW w:w="2307" w:type="dxa"/>
                        <w:tcBorders>
                          <w:top w:val="single" w:sz="4" w:space="0" w:color="auto"/>
                          <w:left w:val="single" w:sz="4" w:space="0" w:color="auto"/>
                          <w:bottom w:val="single" w:sz="4" w:space="0" w:color="auto"/>
                          <w:right w:val="single" w:sz="4" w:space="0" w:color="auto"/>
                        </w:tcBorders>
                        <w:hideMark/>
                      </w:tcPr>
                      <w:p w14:paraId="153EAD37" w14:textId="77777777" w:rsidR="008E3936" w:rsidRPr="00987406" w:rsidRDefault="008E3936" w:rsidP="00E51355">
                        <w:pPr>
                          <w:rPr>
                            <w:rFonts w:ascii="Arial" w:hAnsi="Arial" w:cs="Arial"/>
                            <w:sz w:val="22"/>
                            <w:szCs w:val="22"/>
                          </w:rPr>
                        </w:pPr>
                        <w:r w:rsidRPr="00987406">
                          <w:rPr>
                            <w:rFonts w:ascii="Arial" w:hAnsi="Arial" w:cs="Arial"/>
                            <w:sz w:val="22"/>
                            <w:szCs w:val="22"/>
                          </w:rPr>
                          <w:t>By January 2025</w:t>
                        </w:r>
                      </w:p>
                    </w:tc>
                  </w:tr>
                  <w:tr w:rsidR="008E3936" w:rsidRPr="00987406" w14:paraId="57855E64" w14:textId="77777777" w:rsidTr="00E51355">
                    <w:trPr>
                      <w:trHeight w:val="288"/>
                    </w:trPr>
                    <w:tc>
                      <w:tcPr>
                        <w:tcW w:w="4085" w:type="dxa"/>
                        <w:tcBorders>
                          <w:top w:val="single" w:sz="4" w:space="0" w:color="auto"/>
                          <w:left w:val="single" w:sz="4" w:space="0" w:color="auto"/>
                          <w:bottom w:val="single" w:sz="4" w:space="0" w:color="auto"/>
                          <w:right w:val="single" w:sz="4" w:space="0" w:color="auto"/>
                        </w:tcBorders>
                        <w:hideMark/>
                      </w:tcPr>
                      <w:p w14:paraId="15ADCDD3" w14:textId="77777777" w:rsidR="008E3936" w:rsidRPr="00987406" w:rsidRDefault="008E3936" w:rsidP="00E51355">
                        <w:pPr>
                          <w:rPr>
                            <w:rFonts w:ascii="Arial" w:hAnsi="Arial" w:cs="Arial"/>
                            <w:sz w:val="22"/>
                            <w:szCs w:val="22"/>
                          </w:rPr>
                        </w:pPr>
                        <w:r w:rsidRPr="00987406">
                          <w:rPr>
                            <w:rFonts w:ascii="Arial" w:hAnsi="Arial" w:cs="Arial"/>
                            <w:sz w:val="22"/>
                            <w:szCs w:val="22"/>
                          </w:rPr>
                          <w:t>Quality assurance complete</w:t>
                        </w:r>
                      </w:p>
                    </w:tc>
                    <w:tc>
                      <w:tcPr>
                        <w:tcW w:w="2307" w:type="dxa"/>
                        <w:tcBorders>
                          <w:top w:val="single" w:sz="4" w:space="0" w:color="auto"/>
                          <w:left w:val="single" w:sz="4" w:space="0" w:color="auto"/>
                          <w:bottom w:val="single" w:sz="4" w:space="0" w:color="auto"/>
                          <w:right w:val="single" w:sz="4" w:space="0" w:color="auto"/>
                        </w:tcBorders>
                        <w:hideMark/>
                      </w:tcPr>
                      <w:p w14:paraId="47BDCD9A" w14:textId="77777777" w:rsidR="008E3936" w:rsidRPr="00987406" w:rsidRDefault="008E3936" w:rsidP="00E51355">
                        <w:pPr>
                          <w:rPr>
                            <w:rFonts w:ascii="Arial" w:hAnsi="Arial" w:cs="Arial"/>
                            <w:sz w:val="22"/>
                            <w:szCs w:val="22"/>
                          </w:rPr>
                        </w:pPr>
                        <w:r w:rsidRPr="00987406">
                          <w:rPr>
                            <w:rFonts w:ascii="Arial" w:hAnsi="Arial" w:cs="Arial"/>
                            <w:sz w:val="22"/>
                            <w:szCs w:val="22"/>
                          </w:rPr>
                          <w:t>By March 2025</w:t>
                        </w:r>
                      </w:p>
                    </w:tc>
                  </w:tr>
                </w:tbl>
                <w:p w14:paraId="32830D2D" w14:textId="77E3BEEB" w:rsidR="008E3936" w:rsidRPr="00987406" w:rsidRDefault="008E3936" w:rsidP="00E51355">
                  <w:pPr>
                    <w:spacing w:after="0"/>
                    <w:rPr>
                      <w:rFonts w:ascii="Arial" w:hAnsi="Arial" w:cs="Arial"/>
                    </w:rPr>
                  </w:pPr>
                </w:p>
              </w:tc>
            </w:tr>
            <w:tr w:rsidR="008E3936" w:rsidRPr="00987406" w14:paraId="6FD9DE77" w14:textId="77777777" w:rsidTr="00E51355">
              <w:trPr>
                <w:gridAfter w:val="1"/>
                <w:wAfter w:w="7671" w:type="dxa"/>
                <w:trHeight w:val="300"/>
              </w:trPr>
              <w:tc>
                <w:tcPr>
                  <w:tcW w:w="8795" w:type="dxa"/>
                  <w:gridSpan w:val="2"/>
                </w:tcPr>
                <w:p w14:paraId="765D2ED0" w14:textId="77777777" w:rsidR="008E3936" w:rsidRPr="00987406" w:rsidRDefault="008E3936" w:rsidP="00E51355">
                  <w:pPr>
                    <w:spacing w:before="100" w:after="0" w:line="240" w:lineRule="auto"/>
                    <w:rPr>
                      <w:rFonts w:ascii="Arial" w:hAnsi="Arial" w:cs="Arial"/>
                      <w:b/>
                      <w:bCs/>
                    </w:rPr>
                  </w:pPr>
                  <w:r w:rsidRPr="00987406">
                    <w:rPr>
                      <w:rFonts w:ascii="Arial" w:hAnsi="Arial" w:cs="Arial"/>
                      <w:b/>
                      <w:bCs/>
                    </w:rPr>
                    <w:t>Internal Dependencies and Inputs</w:t>
                  </w:r>
                </w:p>
              </w:tc>
            </w:tr>
            <w:tr w:rsidR="008E3936" w:rsidRPr="00987406" w14:paraId="63793192" w14:textId="77777777" w:rsidTr="00E51355">
              <w:trPr>
                <w:gridAfter w:val="1"/>
                <w:wAfter w:w="7671" w:type="dxa"/>
                <w:trHeight w:val="300"/>
              </w:trPr>
              <w:tc>
                <w:tcPr>
                  <w:tcW w:w="8795" w:type="dxa"/>
                  <w:gridSpan w:val="2"/>
                </w:tcPr>
                <w:p w14:paraId="143873A5" w14:textId="2EAD59A2" w:rsidR="008E3936" w:rsidRPr="00987406" w:rsidRDefault="008E3936" w:rsidP="00E51355">
                  <w:pPr>
                    <w:spacing w:after="0"/>
                    <w:rPr>
                      <w:rFonts w:ascii="Arial" w:hAnsi="Arial" w:cs="Arial"/>
                    </w:rPr>
                  </w:pPr>
                  <w:r w:rsidRPr="00987406">
                    <w:rPr>
                      <w:rFonts w:ascii="Arial" w:hAnsi="Arial" w:cs="Arial"/>
                    </w:rPr>
                    <w:t xml:space="preserve">The </w:t>
                  </w:r>
                  <w:r w:rsidR="00346D75">
                    <w:rPr>
                      <w:rFonts w:ascii="Arial" w:hAnsi="Arial" w:cs="Arial"/>
                    </w:rPr>
                    <w:t>Buyer</w:t>
                  </w:r>
                  <w:r w:rsidRPr="00987406">
                    <w:rPr>
                      <w:rFonts w:ascii="Arial" w:hAnsi="Arial" w:cs="Arial"/>
                    </w:rPr>
                    <w:t xml:space="preserve"> will comment on, and quality assure, all outputs relating to this </w:t>
                  </w:r>
                  <w:r w:rsidR="00346D75">
                    <w:rPr>
                      <w:rFonts w:ascii="Arial" w:hAnsi="Arial" w:cs="Arial"/>
                    </w:rPr>
                    <w:t>C</w:t>
                  </w:r>
                  <w:r w:rsidRPr="00987406">
                    <w:rPr>
                      <w:rFonts w:ascii="Arial" w:hAnsi="Arial" w:cs="Arial"/>
                    </w:rPr>
                    <w:t>ontract.</w:t>
                  </w:r>
                </w:p>
                <w:p w14:paraId="54B93085" w14:textId="664E7424" w:rsidR="008E3936" w:rsidRPr="00987406" w:rsidRDefault="008E3936" w:rsidP="00E51355">
                  <w:pPr>
                    <w:spacing w:after="0"/>
                    <w:rPr>
                      <w:rFonts w:ascii="Arial" w:hAnsi="Arial" w:cs="Arial"/>
                    </w:rPr>
                  </w:pPr>
                  <w:r w:rsidRPr="00987406">
                    <w:rPr>
                      <w:rFonts w:ascii="Arial" w:hAnsi="Arial" w:cs="Arial"/>
                    </w:rPr>
                    <w:t xml:space="preserve">During Phase 1, the </w:t>
                  </w:r>
                  <w:r w:rsidR="00346D75">
                    <w:rPr>
                      <w:rFonts w:ascii="Arial" w:hAnsi="Arial" w:cs="Arial"/>
                    </w:rPr>
                    <w:t>Buyer</w:t>
                  </w:r>
                  <w:r w:rsidRPr="00987406">
                    <w:rPr>
                      <w:rFonts w:ascii="Arial" w:hAnsi="Arial" w:cs="Arial"/>
                    </w:rPr>
                    <w:t xml:space="preserve"> will support the convening a group of experts to advise on the classification and segmentation methodology. These experts will also support with work in Phase 2 to identify companies for inclusion in the dataset. </w:t>
                  </w:r>
                </w:p>
                <w:p w14:paraId="5F874544" w14:textId="637A0251" w:rsidR="008E3936" w:rsidRPr="00987406" w:rsidRDefault="008E3936" w:rsidP="00E51355">
                  <w:pPr>
                    <w:spacing w:after="0" w:line="240" w:lineRule="auto"/>
                    <w:rPr>
                      <w:rFonts w:ascii="Arial" w:hAnsi="Arial" w:cs="Arial"/>
                      <w:b/>
                      <w:bCs/>
                    </w:rPr>
                  </w:pPr>
                  <w:r w:rsidRPr="00987406">
                    <w:rPr>
                      <w:rFonts w:ascii="Arial" w:hAnsi="Arial" w:cs="Arial"/>
                    </w:rPr>
                    <w:t xml:space="preserve">The </w:t>
                  </w:r>
                  <w:r w:rsidR="00346D75">
                    <w:rPr>
                      <w:rFonts w:ascii="Arial" w:hAnsi="Arial" w:cs="Arial"/>
                    </w:rPr>
                    <w:t>Buyer</w:t>
                  </w:r>
                  <w:r w:rsidRPr="00987406">
                    <w:rPr>
                      <w:rFonts w:ascii="Arial" w:hAnsi="Arial" w:cs="Arial"/>
                    </w:rPr>
                    <w:t xml:space="preserve"> will also need to sign off all outputs of this project.</w:t>
                  </w:r>
                </w:p>
              </w:tc>
            </w:tr>
            <w:tr w:rsidR="008E3936" w:rsidRPr="00987406" w14:paraId="41D367DE" w14:textId="77777777" w:rsidTr="00E51355">
              <w:trPr>
                <w:gridAfter w:val="1"/>
                <w:wAfter w:w="7671" w:type="dxa"/>
                <w:trHeight w:val="300"/>
              </w:trPr>
              <w:tc>
                <w:tcPr>
                  <w:tcW w:w="8795" w:type="dxa"/>
                  <w:gridSpan w:val="2"/>
                </w:tcPr>
                <w:p w14:paraId="3B6F8F26" w14:textId="77777777" w:rsidR="008E3936" w:rsidRPr="00987406" w:rsidRDefault="008E3936" w:rsidP="00E51355">
                  <w:pPr>
                    <w:spacing w:after="0"/>
                    <w:rPr>
                      <w:rFonts w:ascii="Arial" w:hAnsi="Arial" w:cs="Arial"/>
                      <w:b/>
                      <w:bCs/>
                    </w:rPr>
                  </w:pPr>
                  <w:r w:rsidRPr="00987406">
                    <w:rPr>
                      <w:rFonts w:ascii="Arial" w:hAnsi="Arial" w:cs="Arial"/>
                      <w:b/>
                      <w:bCs/>
                    </w:rPr>
                    <w:t>Intellectual Property</w:t>
                  </w:r>
                </w:p>
              </w:tc>
            </w:tr>
            <w:tr w:rsidR="008E3936" w:rsidRPr="00987406" w14:paraId="6BE00EA9" w14:textId="77777777" w:rsidTr="00E51355">
              <w:trPr>
                <w:gridAfter w:val="1"/>
                <w:wAfter w:w="7671" w:type="dxa"/>
                <w:trHeight w:val="300"/>
              </w:trPr>
              <w:tc>
                <w:tcPr>
                  <w:tcW w:w="8795" w:type="dxa"/>
                  <w:gridSpan w:val="2"/>
                </w:tcPr>
                <w:p w14:paraId="664478ED" w14:textId="5008B21A" w:rsidR="008E3936" w:rsidRPr="00987406" w:rsidRDefault="008E3936" w:rsidP="00E51355">
                  <w:pPr>
                    <w:spacing w:after="0"/>
                    <w:rPr>
                      <w:rFonts w:ascii="Arial" w:hAnsi="Arial" w:cs="Arial"/>
                      <w:b/>
                      <w:bCs/>
                    </w:rPr>
                  </w:pPr>
                  <w:r w:rsidRPr="00987406">
                    <w:rPr>
                      <w:rFonts w:ascii="Arial" w:hAnsi="Arial" w:cs="Arial"/>
                    </w:rPr>
                    <w:t xml:space="preserve">All data and products derived remain the property of the </w:t>
                  </w:r>
                  <w:r w:rsidR="00346D75">
                    <w:rPr>
                      <w:rFonts w:ascii="Arial" w:hAnsi="Arial" w:cs="Arial"/>
                    </w:rPr>
                    <w:t>Buyer</w:t>
                  </w:r>
                  <w:r w:rsidRPr="00987406">
                    <w:rPr>
                      <w:rFonts w:ascii="Arial" w:hAnsi="Arial" w:cs="Arial"/>
                    </w:rPr>
                    <w:t xml:space="preserve"> and must be provided at </w:t>
                  </w:r>
                  <w:r w:rsidR="00346D75">
                    <w:rPr>
                      <w:rFonts w:ascii="Arial" w:hAnsi="Arial" w:cs="Arial"/>
                    </w:rPr>
                    <w:t>C</w:t>
                  </w:r>
                  <w:r w:rsidRPr="00987406">
                    <w:rPr>
                      <w:rFonts w:ascii="Arial" w:hAnsi="Arial" w:cs="Arial"/>
                    </w:rPr>
                    <w:t xml:space="preserve">ontract closure in a usable and agreed format. All deliverables and associated data should not be shared with anyone other than the agreed contacts within the </w:t>
                  </w:r>
                  <w:r w:rsidR="00346D75">
                    <w:rPr>
                      <w:rFonts w:ascii="Arial" w:hAnsi="Arial" w:cs="Arial"/>
                    </w:rPr>
                    <w:t>Buyer</w:t>
                  </w:r>
                  <w:r w:rsidRPr="00987406">
                    <w:rPr>
                      <w:rFonts w:ascii="Arial" w:hAnsi="Arial" w:cs="Arial"/>
                    </w:rPr>
                    <w:t xml:space="preserve"> and with the </w:t>
                  </w:r>
                  <w:r w:rsidR="00346D75">
                    <w:rPr>
                      <w:rFonts w:ascii="Arial" w:hAnsi="Arial" w:cs="Arial"/>
                    </w:rPr>
                    <w:t>Buyer</w:t>
                  </w:r>
                  <w:r w:rsidRPr="00987406">
                    <w:rPr>
                      <w:rFonts w:ascii="Arial" w:hAnsi="Arial" w:cs="Arial"/>
                    </w:rPr>
                    <w:t xml:space="preserve">s permission in writing. Results of analysis will not be discussed outside of the production team prior to publication. Data must be shared on a secure platform. The </w:t>
                  </w:r>
                  <w:r w:rsidR="00346D75">
                    <w:rPr>
                      <w:rFonts w:ascii="Arial" w:hAnsi="Arial" w:cs="Arial"/>
                    </w:rPr>
                    <w:t>Buyer</w:t>
                  </w:r>
                  <w:r w:rsidRPr="00987406">
                    <w:rPr>
                      <w:rFonts w:ascii="Arial" w:hAnsi="Arial" w:cs="Arial"/>
                    </w:rPr>
                    <w:t xml:space="preserve"> shall determine on where data outside of the department is shared and will draw up the necessary sharing agreements where it is deemed suitable to share with anyone external to the departments.</w:t>
                  </w:r>
                </w:p>
              </w:tc>
            </w:tr>
            <w:tr w:rsidR="008E3936" w:rsidRPr="00987406" w14:paraId="4F226192" w14:textId="77777777" w:rsidTr="00E51355">
              <w:trPr>
                <w:gridAfter w:val="1"/>
                <w:wAfter w:w="7671" w:type="dxa"/>
                <w:trHeight w:val="300"/>
              </w:trPr>
              <w:tc>
                <w:tcPr>
                  <w:tcW w:w="8795" w:type="dxa"/>
                  <w:gridSpan w:val="2"/>
                </w:tcPr>
                <w:p w14:paraId="7B7EEBA0" w14:textId="77777777" w:rsidR="008E3936" w:rsidRPr="00987406" w:rsidRDefault="008E3936" w:rsidP="00E51355">
                  <w:pPr>
                    <w:spacing w:after="0"/>
                    <w:rPr>
                      <w:rFonts w:ascii="Arial" w:hAnsi="Arial" w:cs="Arial"/>
                      <w:b/>
                      <w:bCs/>
                    </w:rPr>
                  </w:pPr>
                  <w:r w:rsidRPr="00987406">
                    <w:rPr>
                      <w:rFonts w:ascii="Arial" w:hAnsi="Arial" w:cs="Arial"/>
                      <w:b/>
                      <w:bCs/>
                    </w:rPr>
                    <w:t>Standards</w:t>
                  </w:r>
                </w:p>
              </w:tc>
            </w:tr>
            <w:tr w:rsidR="008E3936" w:rsidRPr="00987406" w14:paraId="37F9944D" w14:textId="77777777" w:rsidTr="00E51355">
              <w:trPr>
                <w:gridAfter w:val="1"/>
                <w:wAfter w:w="7671" w:type="dxa"/>
                <w:trHeight w:val="300"/>
              </w:trPr>
              <w:tc>
                <w:tcPr>
                  <w:tcW w:w="8795" w:type="dxa"/>
                  <w:gridSpan w:val="2"/>
                </w:tcPr>
                <w:p w14:paraId="7505EF09" w14:textId="33C9F095" w:rsidR="008E3936" w:rsidRPr="00987406" w:rsidRDefault="008E3936" w:rsidP="00E51355">
                  <w:pPr>
                    <w:rPr>
                      <w:rFonts w:ascii="Arial" w:hAnsi="Arial" w:cs="Arial"/>
                      <w:lang w:val="en-US"/>
                    </w:rPr>
                  </w:pPr>
                  <w:r w:rsidRPr="00987406">
                    <w:rPr>
                      <w:rFonts w:ascii="Arial" w:hAnsi="Arial" w:cs="Arial"/>
                      <w:lang w:val="en-US"/>
                    </w:rPr>
                    <w:t xml:space="preserve">The </w:t>
                  </w:r>
                  <w:r w:rsidR="00346D75">
                    <w:rPr>
                      <w:rFonts w:ascii="Arial" w:hAnsi="Arial" w:cs="Arial"/>
                      <w:lang w:val="en-US"/>
                    </w:rPr>
                    <w:t>S</w:t>
                  </w:r>
                  <w:r w:rsidRPr="00987406">
                    <w:rPr>
                      <w:rFonts w:ascii="Arial" w:hAnsi="Arial" w:cs="Arial"/>
                      <w:lang w:val="en-US"/>
                    </w:rPr>
                    <w:t>upplier sh</w:t>
                  </w:r>
                  <w:r w:rsidR="002C0DA3">
                    <w:rPr>
                      <w:rFonts w:ascii="Arial" w:hAnsi="Arial" w:cs="Arial"/>
                      <w:lang w:val="en-US"/>
                    </w:rPr>
                    <w:t>all</w:t>
                  </w:r>
                  <w:r w:rsidRPr="00987406">
                    <w:rPr>
                      <w:rFonts w:ascii="Arial" w:hAnsi="Arial" w:cs="Arial"/>
                      <w:lang w:val="en-US"/>
                    </w:rPr>
                    <w:t xml:space="preserve"> set out their </w:t>
                  </w:r>
                  <w:r w:rsidR="002C0DA3" w:rsidRPr="00987406">
                    <w:rPr>
                      <w:rFonts w:ascii="Arial" w:hAnsi="Arial" w:cs="Arial"/>
                      <w:lang w:val="en-US"/>
                    </w:rPr>
                    <w:t>organization’s</w:t>
                  </w:r>
                  <w:r w:rsidRPr="00987406">
                    <w:rPr>
                      <w:rFonts w:ascii="Arial" w:hAnsi="Arial" w:cs="Arial"/>
                      <w:lang w:val="en-US"/>
                    </w:rPr>
                    <w:t xml:space="preserve"> arrangements and security procedures for receiving, storing, and handling data, including securely destroying data when appropriate.</w:t>
                  </w:r>
                </w:p>
                <w:p w14:paraId="7FB013AB" w14:textId="77777777" w:rsidR="008E3936" w:rsidRPr="00987406" w:rsidRDefault="008E3936" w:rsidP="00E51355">
                  <w:pPr>
                    <w:rPr>
                      <w:rFonts w:ascii="Arial" w:hAnsi="Arial" w:cs="Arial"/>
                      <w:lang w:val="en-US"/>
                    </w:rPr>
                  </w:pPr>
                </w:p>
                <w:p w14:paraId="20EF7A70" w14:textId="2D61D531" w:rsidR="008E3936" w:rsidRPr="00987406" w:rsidRDefault="002C0DA3" w:rsidP="00E51355">
                  <w:pPr>
                    <w:spacing w:after="0"/>
                    <w:rPr>
                      <w:rFonts w:ascii="Arial" w:hAnsi="Arial" w:cs="Arial"/>
                      <w:lang w:val="en-US"/>
                    </w:rPr>
                  </w:pPr>
                  <w:r>
                    <w:rPr>
                      <w:rFonts w:ascii="Arial" w:hAnsi="Arial" w:cs="Arial"/>
                      <w:lang w:val="en-US"/>
                    </w:rPr>
                    <w:t>The Supplier</w:t>
                  </w:r>
                  <w:r w:rsidR="008E3936" w:rsidRPr="00987406">
                    <w:rPr>
                      <w:rFonts w:ascii="Arial" w:hAnsi="Arial" w:cs="Arial"/>
                      <w:lang w:val="en-US"/>
                    </w:rPr>
                    <w:t xml:space="preserve"> must provide evidence of a current valid:</w:t>
                  </w:r>
                </w:p>
                <w:p w14:paraId="1E38E325" w14:textId="77777777" w:rsidR="008E3936" w:rsidRPr="00987406" w:rsidRDefault="008E3936" w:rsidP="008E3936">
                  <w:pPr>
                    <w:numPr>
                      <w:ilvl w:val="0"/>
                      <w:numId w:val="87"/>
                    </w:numPr>
                    <w:spacing w:after="0"/>
                    <w:rPr>
                      <w:rFonts w:ascii="Arial" w:hAnsi="Arial" w:cs="Arial"/>
                      <w:lang w:val="en-US"/>
                    </w:rPr>
                  </w:pPr>
                  <w:r w:rsidRPr="00987406">
                    <w:rPr>
                      <w:rFonts w:ascii="Arial" w:hAnsi="Arial" w:cs="Arial"/>
                      <w:lang w:val="en-US"/>
                    </w:rPr>
                    <w:lastRenderedPageBreak/>
                    <w:t>Cyber Essentials certificate</w:t>
                  </w:r>
                </w:p>
                <w:p w14:paraId="076ECEB9" w14:textId="77777777" w:rsidR="008E3936" w:rsidRPr="00987406" w:rsidRDefault="008E3936" w:rsidP="008E3936">
                  <w:pPr>
                    <w:numPr>
                      <w:ilvl w:val="0"/>
                      <w:numId w:val="87"/>
                    </w:numPr>
                    <w:spacing w:after="0"/>
                    <w:rPr>
                      <w:rFonts w:ascii="Arial" w:hAnsi="Arial" w:cs="Arial"/>
                      <w:lang w:val="en-US"/>
                    </w:rPr>
                  </w:pPr>
                  <w:r w:rsidRPr="00987406">
                    <w:rPr>
                      <w:rFonts w:ascii="Arial" w:hAnsi="Arial" w:cs="Arial"/>
                      <w:lang w:val="en-US"/>
                    </w:rPr>
                    <w:t>SOC type audits</w:t>
                  </w:r>
                </w:p>
                <w:p w14:paraId="40FD3F3D" w14:textId="77777777" w:rsidR="008E3936" w:rsidRPr="00987406" w:rsidRDefault="008E3936" w:rsidP="008E3936">
                  <w:pPr>
                    <w:numPr>
                      <w:ilvl w:val="0"/>
                      <w:numId w:val="87"/>
                    </w:numPr>
                    <w:spacing w:after="0"/>
                    <w:rPr>
                      <w:rFonts w:ascii="Arial" w:hAnsi="Arial" w:cs="Arial"/>
                      <w:lang w:val="en-US"/>
                    </w:rPr>
                  </w:pPr>
                  <w:r w:rsidRPr="00987406">
                    <w:rPr>
                      <w:rFonts w:ascii="Arial" w:hAnsi="Arial" w:cs="Arial"/>
                      <w:lang w:val="en-US"/>
                    </w:rPr>
                    <w:t>ISO27001 (or equivalent)</w:t>
                  </w:r>
                </w:p>
                <w:p w14:paraId="4E6FCB32" w14:textId="5E018C5C" w:rsidR="008E3936" w:rsidRPr="00987406" w:rsidRDefault="008E3936" w:rsidP="00E51355">
                  <w:pPr>
                    <w:rPr>
                      <w:rFonts w:ascii="Arial" w:hAnsi="Arial" w:cs="Arial"/>
                      <w:lang w:val="en-US"/>
                    </w:rPr>
                  </w:pPr>
                  <w:r w:rsidRPr="00987406">
                    <w:rPr>
                      <w:rFonts w:ascii="Arial" w:hAnsi="Arial" w:cs="Arial"/>
                      <w:lang w:val="en-US"/>
                    </w:rPr>
                    <w:t xml:space="preserve">If the </w:t>
                  </w:r>
                  <w:r w:rsidR="002C0DA3">
                    <w:rPr>
                      <w:rFonts w:ascii="Arial" w:hAnsi="Arial" w:cs="Arial"/>
                      <w:lang w:val="en-US"/>
                    </w:rPr>
                    <w:t>Supplier</w:t>
                  </w:r>
                  <w:r w:rsidRPr="00987406">
                    <w:rPr>
                      <w:rFonts w:ascii="Arial" w:hAnsi="Arial" w:cs="Arial"/>
                      <w:lang w:val="en-US"/>
                    </w:rPr>
                    <w:t xml:space="preserve"> cannot provide one of the above, they must provide evidence demonstrating how they will achieve such certification prior to Contract commencement.</w:t>
                  </w:r>
                </w:p>
                <w:p w14:paraId="31D3144F" w14:textId="72602529" w:rsidR="008E3936" w:rsidRPr="00987406" w:rsidRDefault="002C0DA3" w:rsidP="00E51355">
                  <w:pPr>
                    <w:spacing w:after="0"/>
                    <w:rPr>
                      <w:rFonts w:ascii="Arial" w:hAnsi="Arial" w:cs="Arial"/>
                      <w:lang w:val="en-US"/>
                    </w:rPr>
                  </w:pPr>
                  <w:r>
                    <w:rPr>
                      <w:rFonts w:ascii="Arial" w:hAnsi="Arial" w:cs="Arial"/>
                      <w:lang w:val="en-US"/>
                    </w:rPr>
                    <w:t xml:space="preserve">The Supplier </w:t>
                  </w:r>
                  <w:r w:rsidR="008E3936" w:rsidRPr="00987406">
                    <w:rPr>
                      <w:rFonts w:ascii="Arial" w:hAnsi="Arial" w:cs="Arial"/>
                      <w:lang w:val="en-US"/>
                    </w:rPr>
                    <w:t xml:space="preserve">must confirm they accept that the Contract will be not signed until the </w:t>
                  </w:r>
                  <w:r>
                    <w:rPr>
                      <w:rFonts w:ascii="Arial" w:hAnsi="Arial" w:cs="Arial"/>
                      <w:lang w:val="en-US"/>
                    </w:rPr>
                    <w:t>Buyer</w:t>
                  </w:r>
                  <w:r w:rsidR="008E3936" w:rsidRPr="00987406">
                    <w:rPr>
                      <w:rFonts w:ascii="Arial" w:hAnsi="Arial" w:cs="Arial"/>
                      <w:lang w:val="en-US"/>
                    </w:rPr>
                    <w:t xml:space="preserve"> has successfully completed conducting assurance using ISO 27005 and NIST 800-53 risk management frameworks. </w:t>
                  </w:r>
                </w:p>
                <w:p w14:paraId="09BED7B2" w14:textId="2CE6881B" w:rsidR="008E3936" w:rsidRPr="00987406" w:rsidRDefault="008E3936" w:rsidP="00E51355">
                  <w:pPr>
                    <w:spacing w:after="0"/>
                    <w:rPr>
                      <w:rFonts w:ascii="Arial" w:hAnsi="Arial" w:cs="Arial"/>
                      <w:lang w:val="en-US"/>
                    </w:rPr>
                  </w:pPr>
                  <w:r w:rsidRPr="00987406">
                    <w:rPr>
                      <w:rFonts w:ascii="Arial" w:hAnsi="Arial" w:cs="Arial"/>
                      <w:lang w:val="en-US"/>
                    </w:rPr>
                    <w:t xml:space="preserve">Regarding accessibility requirements, the </w:t>
                  </w:r>
                  <w:r w:rsidR="002C0DA3">
                    <w:rPr>
                      <w:rFonts w:ascii="Arial" w:hAnsi="Arial" w:cs="Arial"/>
                      <w:lang w:val="en-US"/>
                    </w:rPr>
                    <w:t>S</w:t>
                  </w:r>
                  <w:r w:rsidRPr="00987406">
                    <w:rPr>
                      <w:rFonts w:ascii="Arial" w:hAnsi="Arial" w:cs="Arial"/>
                      <w:lang w:val="en-US"/>
                    </w:rPr>
                    <w:t>upplier must comply with Public Sector Bodies (Websites and Mobile Applications) (No.2) Accessibility Regulations 2018.</w:t>
                  </w:r>
                </w:p>
                <w:p w14:paraId="79657598" w14:textId="77777777" w:rsidR="008E3936" w:rsidRPr="00987406" w:rsidRDefault="008E3936" w:rsidP="00E51355">
                  <w:pPr>
                    <w:spacing w:after="0"/>
                    <w:rPr>
                      <w:rFonts w:ascii="Arial" w:hAnsi="Arial" w:cs="Arial"/>
                      <w:lang w:val="en-US"/>
                    </w:rPr>
                  </w:pPr>
                  <w:r w:rsidRPr="00987406">
                    <w:rPr>
                      <w:rFonts w:ascii="Arial" w:hAnsi="Arial" w:cs="Arial"/>
                      <w:lang w:val="en-US"/>
                    </w:rPr>
                    <w:t xml:space="preserve">Research and analysis to meet standards set out in </w:t>
                  </w:r>
                  <w:hyperlink r:id="rId14">
                    <w:r w:rsidRPr="00987406">
                      <w:rPr>
                        <w:rStyle w:val="Hyperlink"/>
                        <w:rFonts w:ascii="Arial" w:hAnsi="Arial" w:cs="Arial"/>
                        <w:lang w:val="en-US"/>
                      </w:rPr>
                      <w:t>the Magenta Book</w:t>
                    </w:r>
                  </w:hyperlink>
                  <w:r w:rsidRPr="00987406">
                    <w:rPr>
                      <w:rFonts w:ascii="Arial" w:hAnsi="Arial" w:cs="Arial"/>
                      <w:u w:val="single"/>
                      <w:lang w:val="en-US"/>
                    </w:rPr>
                    <w:t xml:space="preserve"> </w:t>
                  </w:r>
                  <w:r w:rsidRPr="00987406">
                    <w:rPr>
                      <w:rFonts w:ascii="Arial" w:hAnsi="Arial" w:cs="Arial"/>
                      <w:lang w:val="en-US"/>
                    </w:rPr>
                    <w:t xml:space="preserve">the </w:t>
                  </w:r>
                  <w:hyperlink r:id="rId15">
                    <w:r w:rsidRPr="00987406">
                      <w:rPr>
                        <w:rStyle w:val="Hyperlink"/>
                        <w:rFonts w:ascii="Arial" w:hAnsi="Arial" w:cs="Arial"/>
                        <w:lang w:val="en-US"/>
                      </w:rPr>
                      <w:t>Government Social Research code</w:t>
                    </w:r>
                  </w:hyperlink>
                  <w:r w:rsidRPr="00987406">
                    <w:rPr>
                      <w:rFonts w:ascii="Arial" w:hAnsi="Arial" w:cs="Arial"/>
                      <w:lang w:val="en-US"/>
                    </w:rPr>
                    <w:t xml:space="preserve">, the </w:t>
                  </w:r>
                  <w:hyperlink r:id="rId16">
                    <w:r w:rsidRPr="00987406">
                      <w:rPr>
                        <w:rStyle w:val="Hyperlink"/>
                        <w:rFonts w:ascii="Arial" w:hAnsi="Arial" w:cs="Arial"/>
                        <w:lang w:val="en-US"/>
                      </w:rPr>
                      <w:t>Market Research Society Code of Conduct</w:t>
                    </w:r>
                  </w:hyperlink>
                  <w:r w:rsidRPr="00987406">
                    <w:rPr>
                      <w:rFonts w:ascii="Arial" w:hAnsi="Arial" w:cs="Arial"/>
                      <w:lang w:val="en-US"/>
                    </w:rPr>
                    <w:t xml:space="preserve"> and the </w:t>
                  </w:r>
                  <w:hyperlink r:id="rId17">
                    <w:r w:rsidRPr="00987406">
                      <w:rPr>
                        <w:rStyle w:val="Hyperlink"/>
                        <w:rFonts w:ascii="Arial" w:hAnsi="Arial" w:cs="Arial"/>
                        <w:lang w:val="en-US"/>
                      </w:rPr>
                      <w:t>HM Treasury Green book</w:t>
                    </w:r>
                  </w:hyperlink>
                  <w:r w:rsidRPr="00987406">
                    <w:rPr>
                      <w:rFonts w:ascii="Arial" w:hAnsi="Arial" w:cs="Arial"/>
                      <w:lang w:val="en-US"/>
                    </w:rPr>
                    <w:t>.</w:t>
                  </w:r>
                </w:p>
                <w:p w14:paraId="445D2F52" w14:textId="77777777" w:rsidR="008E3936" w:rsidRPr="00987406" w:rsidRDefault="008E3936" w:rsidP="00E51355">
                  <w:pPr>
                    <w:spacing w:after="0"/>
                    <w:rPr>
                      <w:rFonts w:ascii="Arial" w:hAnsi="Arial" w:cs="Arial"/>
                      <w:b/>
                      <w:bCs/>
                    </w:rPr>
                  </w:pPr>
                  <w:r w:rsidRPr="00987406">
                    <w:rPr>
                      <w:rFonts w:ascii="Arial" w:hAnsi="Arial" w:cs="Arial"/>
                      <w:b/>
                      <w:bCs/>
                    </w:rPr>
                    <w:t xml:space="preserve">Digital Accessibility. </w:t>
                  </w:r>
                </w:p>
                <w:p w14:paraId="45ED343B" w14:textId="04B69851" w:rsidR="008E3936" w:rsidRPr="00987406" w:rsidRDefault="008E3936" w:rsidP="00E51355">
                  <w:pPr>
                    <w:spacing w:after="0"/>
                    <w:rPr>
                      <w:rFonts w:ascii="Arial" w:hAnsi="Arial" w:cs="Arial"/>
                    </w:rPr>
                  </w:pPr>
                  <w:r w:rsidRPr="00987406">
                    <w:rPr>
                      <w:rFonts w:ascii="Arial" w:hAnsi="Arial" w:cs="Arial"/>
                    </w:rPr>
                    <w:t xml:space="preserve">It is the law that all content on government websites is accessible. The </w:t>
                  </w:r>
                  <w:r w:rsidR="002C0DA3">
                    <w:rPr>
                      <w:rFonts w:ascii="Arial" w:hAnsi="Arial" w:cs="Arial"/>
                    </w:rPr>
                    <w:t>Buyer</w:t>
                  </w:r>
                  <w:r w:rsidRPr="00987406">
                    <w:rPr>
                      <w:rFonts w:ascii="Arial" w:hAnsi="Arial" w:cs="Arial"/>
                    </w:rPr>
                    <w:t xml:space="preserve"> aims to publish all content including PDF files as a web page in HTML. </w:t>
                  </w:r>
                </w:p>
              </w:tc>
            </w:tr>
            <w:tr w:rsidR="008E3936" w:rsidRPr="00987406" w14:paraId="2FA60E42" w14:textId="77777777" w:rsidTr="00E51355">
              <w:trPr>
                <w:gridAfter w:val="1"/>
                <w:wAfter w:w="7671" w:type="dxa"/>
                <w:trHeight w:val="300"/>
              </w:trPr>
              <w:tc>
                <w:tcPr>
                  <w:tcW w:w="8795" w:type="dxa"/>
                  <w:gridSpan w:val="2"/>
                </w:tcPr>
                <w:p w14:paraId="7CBB11C8" w14:textId="77777777" w:rsidR="008E3936" w:rsidRPr="00987406" w:rsidRDefault="008E3936" w:rsidP="00E51355">
                  <w:pPr>
                    <w:rPr>
                      <w:rFonts w:ascii="Arial" w:hAnsi="Arial" w:cs="Arial"/>
                      <w:b/>
                      <w:bCs/>
                      <w:lang w:val="en-US"/>
                    </w:rPr>
                  </w:pPr>
                  <w:r w:rsidRPr="00987406">
                    <w:rPr>
                      <w:rFonts w:ascii="Arial" w:hAnsi="Arial" w:cs="Arial"/>
                      <w:b/>
                      <w:bCs/>
                      <w:lang w:val="en-US"/>
                    </w:rPr>
                    <w:lastRenderedPageBreak/>
                    <w:t>Key Personnel and Roles</w:t>
                  </w:r>
                </w:p>
              </w:tc>
            </w:tr>
            <w:tr w:rsidR="008E3936" w:rsidRPr="00987406" w14:paraId="01CBBA14" w14:textId="77777777" w:rsidTr="00E51355">
              <w:trPr>
                <w:trHeight w:val="300"/>
              </w:trPr>
              <w:tc>
                <w:tcPr>
                  <w:tcW w:w="8795" w:type="dxa"/>
                  <w:gridSpan w:val="2"/>
                  <w:tcBorders>
                    <w:top w:val="single" w:sz="4" w:space="0" w:color="C00000"/>
                    <w:bottom w:val="single" w:sz="4" w:space="0" w:color="C00000"/>
                    <w:right w:val="single" w:sz="4" w:space="0" w:color="C00000"/>
                  </w:tcBorders>
                </w:tcPr>
                <w:p w14:paraId="107DC356" w14:textId="77777777" w:rsidR="008E3936" w:rsidRPr="00987406" w:rsidRDefault="008E3936" w:rsidP="00E51355">
                  <w:pPr>
                    <w:rPr>
                      <w:rFonts w:ascii="Arial" w:hAnsi="Arial" w:cs="Arial"/>
                      <w:lang w:val="en-US"/>
                    </w:rPr>
                  </w:pPr>
                  <w:r w:rsidRPr="00987406">
                    <w:rPr>
                      <w:rFonts w:ascii="Arial" w:hAnsi="Arial" w:cs="Arial"/>
                      <w:lang w:val="en-US"/>
                    </w:rPr>
                    <w:t>The Supplier shall provide the following roles:</w:t>
                  </w:r>
                </w:p>
              </w:tc>
              <w:tc>
                <w:tcPr>
                  <w:tcW w:w="7671" w:type="dxa"/>
                  <w:tcBorders>
                    <w:top w:val="single" w:sz="4" w:space="0" w:color="C00000"/>
                    <w:left w:val="single" w:sz="4" w:space="0" w:color="C00000"/>
                    <w:bottom w:val="single" w:sz="4" w:space="0" w:color="C00000"/>
                  </w:tcBorders>
                </w:tcPr>
                <w:p w14:paraId="43BB670D" w14:textId="77777777" w:rsidR="008E3936" w:rsidRPr="00987406" w:rsidRDefault="008E3936" w:rsidP="00E51355">
                  <w:pPr>
                    <w:rPr>
                      <w:rFonts w:ascii="Arial" w:eastAsia="Arial" w:hAnsi="Arial" w:cs="Arial"/>
                      <w:color w:val="000000" w:themeColor="text1"/>
                      <w:lang w:val="en-US"/>
                    </w:rPr>
                  </w:pPr>
                  <w:r w:rsidRPr="00987406">
                    <w:rPr>
                      <w:rFonts w:ascii="Arial" w:eastAsia="Arial" w:hAnsi="Arial" w:cs="Arial"/>
                      <w:color w:val="000000" w:themeColor="text1"/>
                      <w:lang w:val="en-US"/>
                    </w:rPr>
                    <w:t>We expect the supplier to provide the following roles:</w:t>
                  </w:r>
                </w:p>
                <w:p w14:paraId="076D2908" w14:textId="77777777" w:rsidR="008E3936" w:rsidRPr="00987406" w:rsidRDefault="008E3936" w:rsidP="00E51355">
                  <w:pPr>
                    <w:rPr>
                      <w:rFonts w:ascii="Arial" w:hAnsi="Arial" w:cs="Arial"/>
                    </w:rPr>
                  </w:pPr>
                </w:p>
              </w:tc>
            </w:tr>
          </w:tbl>
          <w:tbl>
            <w:tblPr>
              <w:tblW w:w="0" w:type="auto"/>
              <w:tblInd w:w="5" w:type="dxa"/>
              <w:tblBorders>
                <w:top w:val="single" w:sz="4" w:space="0" w:color="C00000"/>
                <w:left w:val="single" w:sz="4" w:space="0" w:color="C00000"/>
                <w:bottom w:val="single" w:sz="4" w:space="0" w:color="C00000"/>
                <w:right w:val="single" w:sz="4" w:space="0" w:color="C00000"/>
              </w:tblBorders>
              <w:tblLook w:val="04A0" w:firstRow="1" w:lastRow="0" w:firstColumn="1" w:lastColumn="0" w:noHBand="0" w:noVBand="1"/>
            </w:tblPr>
            <w:tblGrid>
              <w:gridCol w:w="2418"/>
              <w:gridCol w:w="6367"/>
            </w:tblGrid>
            <w:tr w:rsidR="008E3936" w:rsidRPr="00987406" w14:paraId="6C1CC9A2" w14:textId="77777777" w:rsidTr="00E51355">
              <w:trPr>
                <w:trHeight w:val="513"/>
              </w:trPr>
              <w:tc>
                <w:tcPr>
                  <w:tcW w:w="2418" w:type="dxa"/>
                  <w:tcBorders>
                    <w:top w:val="single" w:sz="4" w:space="0" w:color="C00000"/>
                    <w:bottom w:val="single" w:sz="4" w:space="0" w:color="C00000"/>
                    <w:right w:val="single" w:sz="4" w:space="0" w:color="C00000"/>
                  </w:tcBorders>
                  <w:shd w:val="clear" w:color="auto" w:fill="FFFFFF" w:themeFill="background1"/>
                </w:tcPr>
                <w:p w14:paraId="7FAE3E25" w14:textId="77777777" w:rsidR="008E3936" w:rsidRPr="00987406" w:rsidRDefault="008E3936" w:rsidP="00E51355">
                  <w:pPr>
                    <w:rPr>
                      <w:rFonts w:ascii="Arial" w:eastAsiaTheme="minorHAnsi" w:hAnsi="Arial" w:cs="Arial"/>
                    </w:rPr>
                  </w:pPr>
                  <w:r w:rsidRPr="00987406">
                    <w:rPr>
                      <w:rFonts w:ascii="Arial" w:hAnsi="Arial" w:cs="Arial"/>
                    </w:rPr>
                    <w:t>Project manager</w:t>
                  </w:r>
                </w:p>
              </w:tc>
              <w:tc>
                <w:tcPr>
                  <w:tcW w:w="6367" w:type="dxa"/>
                  <w:tcBorders>
                    <w:top w:val="single" w:sz="4" w:space="0" w:color="C00000"/>
                    <w:left w:val="single" w:sz="4" w:space="0" w:color="C00000"/>
                    <w:bottom w:val="single" w:sz="4" w:space="0" w:color="C00000"/>
                  </w:tcBorders>
                  <w:shd w:val="clear" w:color="auto" w:fill="FFFFFF" w:themeFill="background1"/>
                </w:tcPr>
                <w:p w14:paraId="5A930A14" w14:textId="77777777" w:rsidR="008E3936" w:rsidRPr="00987406" w:rsidRDefault="008E3936" w:rsidP="00E51355">
                  <w:pPr>
                    <w:spacing w:after="0"/>
                    <w:rPr>
                      <w:rFonts w:ascii="Arial" w:eastAsia="Arial" w:hAnsi="Arial" w:cs="Arial"/>
                      <w:lang w:val="en-US"/>
                    </w:rPr>
                  </w:pPr>
                  <w:r w:rsidRPr="00987406">
                    <w:rPr>
                      <w:rFonts w:ascii="Arial" w:eastAsia="Arial" w:hAnsi="Arial" w:cs="Arial"/>
                      <w:lang w:val="en-US"/>
                    </w:rPr>
                    <w:t xml:space="preserve">Will be responsible for all components of the study and the day-to-day management of the Contract. </w:t>
                  </w:r>
                </w:p>
                <w:p w14:paraId="55F67CC1" w14:textId="77777777" w:rsidR="008E3936" w:rsidRPr="00987406" w:rsidRDefault="008E3936" w:rsidP="00E51355">
                  <w:pPr>
                    <w:spacing w:after="0"/>
                    <w:rPr>
                      <w:rFonts w:ascii="Arial" w:eastAsia="Arial" w:hAnsi="Arial" w:cs="Arial"/>
                      <w:lang w:val="en-US"/>
                    </w:rPr>
                  </w:pPr>
                </w:p>
              </w:tc>
            </w:tr>
            <w:tr w:rsidR="008E3936" w:rsidRPr="00987406" w14:paraId="04CC0EBC" w14:textId="77777777" w:rsidTr="00E51355">
              <w:trPr>
                <w:trHeight w:val="513"/>
              </w:trPr>
              <w:tc>
                <w:tcPr>
                  <w:tcW w:w="2418" w:type="dxa"/>
                  <w:tcBorders>
                    <w:top w:val="single" w:sz="4" w:space="0" w:color="C00000"/>
                    <w:bottom w:val="single" w:sz="4" w:space="0" w:color="C00000"/>
                    <w:right w:val="single" w:sz="4" w:space="0" w:color="C00000"/>
                  </w:tcBorders>
                  <w:shd w:val="clear" w:color="auto" w:fill="FFFFFF" w:themeFill="background1"/>
                </w:tcPr>
                <w:p w14:paraId="27703DAB" w14:textId="77777777" w:rsidR="008E3936" w:rsidRPr="00987406" w:rsidRDefault="008E3936" w:rsidP="00E51355">
                  <w:pPr>
                    <w:rPr>
                      <w:rFonts w:ascii="Arial" w:eastAsiaTheme="minorHAnsi" w:hAnsi="Arial" w:cs="Arial"/>
                    </w:rPr>
                  </w:pPr>
                  <w:r w:rsidRPr="00987406">
                    <w:rPr>
                      <w:rFonts w:ascii="Arial" w:hAnsi="Arial" w:cs="Arial"/>
                    </w:rPr>
                    <w:t>Project director</w:t>
                  </w:r>
                </w:p>
              </w:tc>
              <w:tc>
                <w:tcPr>
                  <w:tcW w:w="6367" w:type="dxa"/>
                  <w:tcBorders>
                    <w:top w:val="single" w:sz="4" w:space="0" w:color="C00000"/>
                    <w:left w:val="single" w:sz="4" w:space="0" w:color="C00000"/>
                    <w:bottom w:val="single" w:sz="4" w:space="0" w:color="C00000"/>
                  </w:tcBorders>
                  <w:shd w:val="clear" w:color="auto" w:fill="FFFFFF" w:themeFill="background1"/>
                </w:tcPr>
                <w:p w14:paraId="17FA9FAB" w14:textId="77777777" w:rsidR="008E3936" w:rsidRPr="00987406" w:rsidRDefault="008E3936" w:rsidP="00E51355">
                  <w:pPr>
                    <w:rPr>
                      <w:rFonts w:ascii="Arial" w:eastAsia="Arial" w:hAnsi="Arial" w:cs="Arial"/>
                      <w:lang w:val="en-US"/>
                    </w:rPr>
                  </w:pPr>
                  <w:r w:rsidRPr="00987406">
                    <w:rPr>
                      <w:rFonts w:ascii="Arial" w:eastAsia="Arial" w:hAnsi="Arial" w:cs="Arial"/>
                      <w:lang w:val="en-US"/>
                    </w:rPr>
                    <w:t xml:space="preserve">Will provide senior oversight and act as a point of escalation. Any change of personnel must be agreed with the Authority and must be of the same grade/experience. </w:t>
                  </w:r>
                </w:p>
              </w:tc>
            </w:tr>
            <w:tr w:rsidR="008E3936" w:rsidRPr="00987406" w14:paraId="519F4F4C" w14:textId="77777777" w:rsidTr="00E51355">
              <w:trPr>
                <w:trHeight w:val="513"/>
              </w:trPr>
              <w:tc>
                <w:tcPr>
                  <w:tcW w:w="2418" w:type="dxa"/>
                  <w:tcBorders>
                    <w:top w:val="single" w:sz="4" w:space="0" w:color="C00000"/>
                    <w:bottom w:val="single" w:sz="4" w:space="0" w:color="C00000"/>
                    <w:right w:val="single" w:sz="4" w:space="0" w:color="C00000"/>
                  </w:tcBorders>
                  <w:shd w:val="clear" w:color="auto" w:fill="FFFFFF" w:themeFill="background1"/>
                </w:tcPr>
                <w:p w14:paraId="235DEAD6" w14:textId="77777777" w:rsidR="008E3936" w:rsidRPr="00987406" w:rsidRDefault="008E3936" w:rsidP="00E51355">
                  <w:pPr>
                    <w:rPr>
                      <w:rFonts w:ascii="Arial" w:eastAsiaTheme="minorHAnsi" w:hAnsi="Arial" w:cs="Arial"/>
                    </w:rPr>
                  </w:pPr>
                  <w:r w:rsidRPr="00987406">
                    <w:rPr>
                      <w:rFonts w:ascii="Arial" w:hAnsi="Arial" w:cs="Arial"/>
                    </w:rPr>
                    <w:t>Project delivery team</w:t>
                  </w:r>
                </w:p>
              </w:tc>
              <w:tc>
                <w:tcPr>
                  <w:tcW w:w="6367" w:type="dxa"/>
                  <w:tcBorders>
                    <w:top w:val="single" w:sz="4" w:space="0" w:color="C00000"/>
                    <w:left w:val="single" w:sz="4" w:space="0" w:color="C00000"/>
                    <w:bottom w:val="single" w:sz="4" w:space="0" w:color="C00000"/>
                  </w:tcBorders>
                  <w:shd w:val="clear" w:color="auto" w:fill="FFFFFF" w:themeFill="background1"/>
                </w:tcPr>
                <w:p w14:paraId="6506D17B" w14:textId="77777777" w:rsidR="008E3936" w:rsidRPr="00987406" w:rsidRDefault="008E3936" w:rsidP="00E51355">
                  <w:pPr>
                    <w:rPr>
                      <w:rFonts w:ascii="Arial" w:eastAsia="Arial" w:hAnsi="Arial" w:cs="Arial"/>
                      <w:lang w:val="en-US"/>
                    </w:rPr>
                  </w:pPr>
                  <w:r w:rsidRPr="00987406">
                    <w:rPr>
                      <w:rFonts w:ascii="Arial" w:eastAsia="Arial" w:hAnsi="Arial" w:cs="Arial"/>
                      <w:lang w:val="en-US"/>
                    </w:rPr>
                    <w:t xml:space="preserve">Will work with the project manager to delivering the project. </w:t>
                  </w:r>
                </w:p>
              </w:tc>
            </w:tr>
            <w:tr w:rsidR="008E3936" w:rsidRPr="00987406" w14:paraId="2417BCF9" w14:textId="77777777" w:rsidTr="00E51355">
              <w:trPr>
                <w:trHeight w:val="513"/>
              </w:trPr>
              <w:tc>
                <w:tcPr>
                  <w:tcW w:w="2418" w:type="dxa"/>
                  <w:tcBorders>
                    <w:top w:val="single" w:sz="4" w:space="0" w:color="C00000"/>
                    <w:bottom w:val="single" w:sz="4" w:space="0" w:color="C00000"/>
                    <w:right w:val="single" w:sz="4" w:space="0" w:color="C00000"/>
                  </w:tcBorders>
                  <w:shd w:val="clear" w:color="auto" w:fill="FFFFFF" w:themeFill="background1"/>
                </w:tcPr>
                <w:p w14:paraId="67B1FADD" w14:textId="77777777" w:rsidR="008E3936" w:rsidRPr="00987406" w:rsidRDefault="008E3936" w:rsidP="00E51355">
                  <w:pPr>
                    <w:rPr>
                      <w:rFonts w:ascii="Arial" w:eastAsiaTheme="minorHAnsi" w:hAnsi="Arial" w:cs="Arial"/>
                    </w:rPr>
                  </w:pPr>
                  <w:r w:rsidRPr="00987406">
                    <w:rPr>
                      <w:rFonts w:ascii="Arial" w:hAnsi="Arial" w:cs="Arial"/>
                    </w:rPr>
                    <w:t>Quality assurance director</w:t>
                  </w:r>
                </w:p>
              </w:tc>
              <w:tc>
                <w:tcPr>
                  <w:tcW w:w="6367" w:type="dxa"/>
                  <w:tcBorders>
                    <w:top w:val="single" w:sz="4" w:space="0" w:color="C00000"/>
                    <w:left w:val="single" w:sz="4" w:space="0" w:color="C00000"/>
                    <w:bottom w:val="single" w:sz="4" w:space="0" w:color="C00000"/>
                  </w:tcBorders>
                  <w:shd w:val="clear" w:color="auto" w:fill="FFFFFF" w:themeFill="background1"/>
                </w:tcPr>
                <w:p w14:paraId="31F1CB79" w14:textId="77777777" w:rsidR="008E3936" w:rsidRPr="00987406" w:rsidRDefault="008E3936" w:rsidP="00E51355">
                  <w:pPr>
                    <w:rPr>
                      <w:rFonts w:ascii="Arial" w:eastAsia="Arial" w:hAnsi="Arial" w:cs="Arial"/>
                      <w:lang w:val="en-US"/>
                    </w:rPr>
                  </w:pPr>
                  <w:r w:rsidRPr="00987406">
                    <w:rPr>
                      <w:rFonts w:ascii="Arial" w:eastAsia="Arial" w:hAnsi="Arial" w:cs="Arial"/>
                      <w:lang w:val="en-US"/>
                    </w:rPr>
                    <w:t xml:space="preserve">Provide senior oversight. </w:t>
                  </w:r>
                </w:p>
              </w:tc>
            </w:tr>
            <w:tr w:rsidR="008E3936" w:rsidRPr="00987406" w14:paraId="098CD1E1" w14:textId="77777777" w:rsidTr="00E51355">
              <w:trPr>
                <w:trHeight w:val="513"/>
              </w:trPr>
              <w:tc>
                <w:tcPr>
                  <w:tcW w:w="8785" w:type="dxa"/>
                  <w:gridSpan w:val="2"/>
                  <w:tcBorders>
                    <w:top w:val="single" w:sz="4" w:space="0" w:color="C00000"/>
                    <w:bottom w:val="single" w:sz="4" w:space="0" w:color="C00000"/>
                  </w:tcBorders>
                  <w:shd w:val="clear" w:color="auto" w:fill="FFFFFF" w:themeFill="background1"/>
                </w:tcPr>
                <w:p w14:paraId="3DB95208" w14:textId="77777777" w:rsidR="008E3936" w:rsidRPr="00987406" w:rsidRDefault="008E3936" w:rsidP="00E51355">
                  <w:pPr>
                    <w:rPr>
                      <w:rFonts w:ascii="Arial" w:eastAsia="Arial" w:hAnsi="Arial" w:cs="Arial"/>
                      <w:b/>
                      <w:bCs/>
                      <w:lang w:val="en-US"/>
                    </w:rPr>
                  </w:pPr>
                  <w:r w:rsidRPr="00987406">
                    <w:rPr>
                      <w:rFonts w:ascii="Arial" w:eastAsia="Arial" w:hAnsi="Arial" w:cs="Arial"/>
                      <w:b/>
                      <w:bCs/>
                      <w:lang w:val="en-US"/>
                    </w:rPr>
                    <w:t>Contract Performance</w:t>
                  </w:r>
                </w:p>
              </w:tc>
            </w:tr>
            <w:tr w:rsidR="008E3936" w:rsidRPr="00987406" w14:paraId="2297E8B8" w14:textId="77777777" w:rsidTr="00E51355">
              <w:trPr>
                <w:trHeight w:val="513"/>
              </w:trPr>
              <w:tc>
                <w:tcPr>
                  <w:tcW w:w="8785" w:type="dxa"/>
                  <w:gridSpan w:val="2"/>
                  <w:tcBorders>
                    <w:top w:val="single" w:sz="4" w:space="0" w:color="C00000"/>
                    <w:bottom w:val="single" w:sz="4" w:space="0" w:color="C00000"/>
                  </w:tcBorders>
                  <w:shd w:val="clear" w:color="auto" w:fill="FFFFFF" w:themeFill="background1"/>
                </w:tcPr>
                <w:p w14:paraId="7A5C5776" w14:textId="77777777" w:rsidR="008E3936" w:rsidRPr="00987406" w:rsidRDefault="008E3936" w:rsidP="00E51355">
                  <w:pPr>
                    <w:widowControl w:val="0"/>
                    <w:autoSpaceDE w:val="0"/>
                    <w:autoSpaceDN w:val="0"/>
                    <w:adjustRightInd w:val="0"/>
                    <w:rPr>
                      <w:rFonts w:ascii="Arial" w:eastAsia="Arial" w:hAnsi="Arial" w:cs="Arial"/>
                    </w:rPr>
                  </w:pPr>
                  <w:r w:rsidRPr="00987406">
                    <w:rPr>
                      <w:rFonts w:ascii="Arial" w:eastAsia="Arial" w:hAnsi="Arial" w:cs="Arial"/>
                    </w:rPr>
                    <w:t>The segmentation / classification methodology for the battery sector to be produced by September 2024, however if this is not possible the Supplier shall work with the Authority to agree the earliest possible date the work can be completed by.</w:t>
                  </w:r>
                </w:p>
                <w:p w14:paraId="439448F2" w14:textId="77777777" w:rsidR="008E3936" w:rsidRPr="00987406" w:rsidRDefault="008E3936" w:rsidP="00E51355">
                  <w:pPr>
                    <w:widowControl w:val="0"/>
                    <w:autoSpaceDE w:val="0"/>
                    <w:autoSpaceDN w:val="0"/>
                    <w:adjustRightInd w:val="0"/>
                    <w:rPr>
                      <w:rFonts w:ascii="Arial" w:eastAsia="Arial" w:hAnsi="Arial" w:cs="Arial"/>
                    </w:rPr>
                  </w:pPr>
                </w:p>
                <w:p w14:paraId="2ABF4827" w14:textId="77777777" w:rsidR="008E3936" w:rsidRPr="00987406" w:rsidRDefault="008E3936" w:rsidP="00E51355">
                  <w:pPr>
                    <w:widowControl w:val="0"/>
                    <w:autoSpaceDE w:val="0"/>
                    <w:autoSpaceDN w:val="0"/>
                    <w:adjustRightInd w:val="0"/>
                    <w:rPr>
                      <w:rFonts w:ascii="Arial" w:eastAsia="Arial" w:hAnsi="Arial" w:cs="Arial"/>
                    </w:rPr>
                  </w:pPr>
                  <w:r w:rsidRPr="00987406">
                    <w:rPr>
                      <w:rFonts w:ascii="Arial" w:eastAsia="Arial" w:hAnsi="Arial" w:cs="Arial"/>
                    </w:rPr>
                    <w:t xml:space="preserve">The database to be produced by January 2025. </w:t>
                  </w:r>
                </w:p>
                <w:p w14:paraId="073FCAA7" w14:textId="77777777" w:rsidR="008E3936" w:rsidRPr="00987406" w:rsidRDefault="008E3936" w:rsidP="00E51355">
                  <w:pPr>
                    <w:widowControl w:val="0"/>
                    <w:autoSpaceDE w:val="0"/>
                    <w:autoSpaceDN w:val="0"/>
                    <w:adjustRightInd w:val="0"/>
                    <w:rPr>
                      <w:rFonts w:ascii="Arial" w:eastAsia="Arial" w:hAnsi="Arial" w:cs="Arial"/>
                    </w:rPr>
                  </w:pPr>
                </w:p>
                <w:p w14:paraId="354E0AE9" w14:textId="77777777" w:rsidR="008E3936" w:rsidRPr="00987406" w:rsidRDefault="008E3936" w:rsidP="00E51355">
                  <w:pPr>
                    <w:widowControl w:val="0"/>
                    <w:autoSpaceDE w:val="0"/>
                    <w:autoSpaceDN w:val="0"/>
                    <w:adjustRightInd w:val="0"/>
                    <w:rPr>
                      <w:rFonts w:ascii="Arial" w:eastAsia="Arial" w:hAnsi="Arial" w:cs="Arial"/>
                    </w:rPr>
                  </w:pPr>
                  <w:r w:rsidRPr="00987406">
                    <w:rPr>
                      <w:rFonts w:ascii="Arial" w:eastAsia="Arial" w:hAnsi="Arial" w:cs="Arial"/>
                    </w:rPr>
                    <w:lastRenderedPageBreak/>
                    <w:t xml:space="preserve">Quality assurance (including the production of related documentation) shall be undertaken by March 2025. </w:t>
                  </w:r>
                </w:p>
                <w:p w14:paraId="0E0566DD" w14:textId="77777777" w:rsidR="008E3936" w:rsidRPr="00987406" w:rsidRDefault="008E3936" w:rsidP="00E51355">
                  <w:pPr>
                    <w:widowControl w:val="0"/>
                    <w:autoSpaceDE w:val="0"/>
                    <w:autoSpaceDN w:val="0"/>
                    <w:adjustRightInd w:val="0"/>
                    <w:rPr>
                      <w:rFonts w:ascii="Arial" w:eastAsia="Arial" w:hAnsi="Arial" w:cs="Arial"/>
                    </w:rPr>
                  </w:pPr>
                </w:p>
                <w:p w14:paraId="0047D414" w14:textId="77777777" w:rsidR="008E3936" w:rsidRPr="00987406" w:rsidRDefault="008E3936" w:rsidP="00E51355">
                  <w:pPr>
                    <w:widowControl w:val="0"/>
                    <w:autoSpaceDE w:val="0"/>
                    <w:autoSpaceDN w:val="0"/>
                    <w:adjustRightInd w:val="0"/>
                    <w:rPr>
                      <w:rFonts w:ascii="Arial" w:eastAsia="Arial" w:hAnsi="Arial" w:cs="Arial"/>
                    </w:rPr>
                  </w:pPr>
                  <w:r w:rsidRPr="00987406">
                    <w:rPr>
                      <w:rFonts w:ascii="Arial" w:eastAsia="Arial" w:hAnsi="Arial" w:cs="Arial"/>
                    </w:rPr>
                    <w:t>The supplier shall provide the Buyer with weekly progress reports via email to the Buyer’s contract manager. The reports shall as a minimum provide an updated risk register, detailing any delays with mitigations and details of other issues arising and how the Supplier is minimising these.  </w:t>
                  </w:r>
                </w:p>
                <w:p w14:paraId="5E9FA1AF" w14:textId="77777777" w:rsidR="008E3936" w:rsidRPr="00987406" w:rsidRDefault="008E3936" w:rsidP="00E51355">
                  <w:pPr>
                    <w:widowControl w:val="0"/>
                    <w:autoSpaceDE w:val="0"/>
                    <w:autoSpaceDN w:val="0"/>
                    <w:adjustRightInd w:val="0"/>
                    <w:rPr>
                      <w:rFonts w:ascii="Arial" w:eastAsia="Arial" w:hAnsi="Arial" w:cs="Arial"/>
                    </w:rPr>
                  </w:pPr>
                </w:p>
                <w:p w14:paraId="2D0AAD0A" w14:textId="77777777" w:rsidR="008E3936" w:rsidRPr="00987406" w:rsidRDefault="008E3936" w:rsidP="00E51355">
                  <w:pPr>
                    <w:widowControl w:val="0"/>
                    <w:autoSpaceDE w:val="0"/>
                    <w:autoSpaceDN w:val="0"/>
                    <w:adjustRightInd w:val="0"/>
                    <w:rPr>
                      <w:rFonts w:ascii="Arial" w:eastAsia="Arial" w:hAnsi="Arial" w:cs="Arial"/>
                    </w:rPr>
                  </w:pPr>
                  <w:r w:rsidRPr="00987406">
                    <w:rPr>
                      <w:rFonts w:ascii="Arial" w:eastAsia="Arial" w:hAnsi="Arial" w:cs="Arial"/>
                    </w:rPr>
                    <w:t>Weekly and quarterly contract meetings shall be organised and attended by the Supplier’s contract manager and key personne</w:t>
                  </w:r>
                  <w:r w:rsidRPr="00987406">
                    <w:rPr>
                      <w:rFonts w:ascii="Arial" w:eastAsia="Arial" w:hAnsi="Arial" w:cs="Arial"/>
                      <w:lang w:eastAsia="en-GB"/>
                    </w:rPr>
                    <w:t>l</w:t>
                  </w:r>
                  <w:r w:rsidRPr="00987406">
                    <w:rPr>
                      <w:rFonts w:ascii="Arial" w:eastAsia="Arial" w:hAnsi="Arial" w:cs="Arial"/>
                    </w:rPr>
                    <w:t>. The Supplier will be responsible for setting the agenda in advance and distributing minutes from the contract meetings. </w:t>
                  </w:r>
                </w:p>
                <w:p w14:paraId="0D9D212B" w14:textId="77777777" w:rsidR="008E3936" w:rsidRPr="00987406" w:rsidRDefault="008E3936" w:rsidP="00E51355">
                  <w:pPr>
                    <w:widowControl w:val="0"/>
                    <w:autoSpaceDE w:val="0"/>
                    <w:autoSpaceDN w:val="0"/>
                    <w:adjustRightInd w:val="0"/>
                    <w:rPr>
                      <w:rFonts w:ascii="Arial" w:eastAsia="Arial" w:hAnsi="Arial" w:cs="Arial"/>
                    </w:rPr>
                  </w:pPr>
                </w:p>
                <w:p w14:paraId="600E1B80" w14:textId="77777777" w:rsidR="008E3936" w:rsidRPr="00987406" w:rsidRDefault="008E3936" w:rsidP="00E51355">
                  <w:pPr>
                    <w:rPr>
                      <w:rFonts w:ascii="Arial" w:eastAsia="Arial" w:hAnsi="Arial" w:cs="Arial"/>
                    </w:rPr>
                  </w:pPr>
                  <w:r w:rsidRPr="00987406">
                    <w:rPr>
                      <w:rFonts w:ascii="Arial" w:eastAsia="Arial" w:hAnsi="Arial" w:cs="Arial"/>
                    </w:rPr>
                    <w:t>A Gantt chart mapping progress and submission of deliverables, as well as the invoicing schedule. Invoices and deliverables shall be submitted in line with the timetable agreed between the Buyer and Supplier, on contract award.  This will then be updated by the Supplier until the contract expires, any changes to the agreed timings of deliverables shall be notified to the Authority as soon as the risk / change is known, the supplier shall agree new timings with the Authority.</w:t>
                  </w:r>
                </w:p>
                <w:tbl>
                  <w:tblPr>
                    <w:tblStyle w:val="Table3"/>
                    <w:tblW w:w="0" w:type="auto"/>
                    <w:tblBorders>
                      <w:insideH w:val="single" w:sz="4" w:space="0" w:color="C00000"/>
                      <w:insideV w:val="single" w:sz="4" w:space="0" w:color="C00000"/>
                    </w:tblBorders>
                    <w:tblLook w:val="04A0" w:firstRow="1" w:lastRow="0" w:firstColumn="1" w:lastColumn="0" w:noHBand="0" w:noVBand="1"/>
                  </w:tblPr>
                  <w:tblGrid>
                    <w:gridCol w:w="2308"/>
                    <w:gridCol w:w="2064"/>
                    <w:gridCol w:w="2163"/>
                    <w:gridCol w:w="2034"/>
                  </w:tblGrid>
                  <w:tr w:rsidR="008E3936" w:rsidRPr="00987406" w14:paraId="4E52E262" w14:textId="77777777" w:rsidTr="00E51355">
                    <w:trPr>
                      <w:cnfStyle w:val="100000000000" w:firstRow="1" w:lastRow="0" w:firstColumn="0" w:lastColumn="0" w:oddVBand="0" w:evenVBand="0" w:oddHBand="0" w:evenHBand="0" w:firstRowFirstColumn="0" w:firstRowLastColumn="0" w:lastRowFirstColumn="0" w:lastRowLastColumn="0"/>
                    </w:trPr>
                    <w:tc>
                      <w:tcPr>
                        <w:tcW w:w="2614" w:type="dxa"/>
                      </w:tcPr>
                      <w:p w14:paraId="1841F623" w14:textId="77777777" w:rsidR="008E3936" w:rsidRPr="00987406" w:rsidRDefault="008E3936" w:rsidP="00E51355">
                        <w:pPr>
                          <w:pStyle w:val="Bulletpoints"/>
                          <w:numPr>
                            <w:ilvl w:val="0"/>
                            <w:numId w:val="0"/>
                          </w:numPr>
                          <w:rPr>
                            <w:rFonts w:cs="Arial"/>
                          </w:rPr>
                        </w:pPr>
                        <w:r w:rsidRPr="00987406">
                          <w:rPr>
                            <w:rFonts w:cs="Arial"/>
                          </w:rPr>
                          <w:t>Meeting/report</w:t>
                        </w:r>
                      </w:p>
                    </w:tc>
                    <w:tc>
                      <w:tcPr>
                        <w:tcW w:w="2614" w:type="dxa"/>
                      </w:tcPr>
                      <w:p w14:paraId="358C6120" w14:textId="77777777" w:rsidR="008E3936" w:rsidRPr="00987406" w:rsidRDefault="008E3936" w:rsidP="00E51355">
                        <w:pPr>
                          <w:pStyle w:val="Bulletpoints"/>
                          <w:numPr>
                            <w:ilvl w:val="0"/>
                            <w:numId w:val="0"/>
                          </w:numPr>
                          <w:rPr>
                            <w:rFonts w:cs="Arial"/>
                          </w:rPr>
                        </w:pPr>
                        <w:r w:rsidRPr="00987406">
                          <w:rPr>
                            <w:rFonts w:cs="Arial"/>
                          </w:rPr>
                          <w:t>Content</w:t>
                        </w:r>
                      </w:p>
                    </w:tc>
                    <w:tc>
                      <w:tcPr>
                        <w:tcW w:w="2614" w:type="dxa"/>
                      </w:tcPr>
                      <w:p w14:paraId="6576DC3E" w14:textId="77777777" w:rsidR="008E3936" w:rsidRPr="00987406" w:rsidRDefault="008E3936" w:rsidP="00E51355">
                        <w:pPr>
                          <w:pStyle w:val="Bulletpoints"/>
                          <w:numPr>
                            <w:ilvl w:val="0"/>
                            <w:numId w:val="0"/>
                          </w:numPr>
                          <w:rPr>
                            <w:rFonts w:cs="Arial"/>
                          </w:rPr>
                        </w:pPr>
                        <w:r w:rsidRPr="00987406">
                          <w:rPr>
                            <w:rFonts w:cs="Arial"/>
                          </w:rPr>
                          <w:t>Frequency</w:t>
                        </w:r>
                      </w:p>
                    </w:tc>
                    <w:tc>
                      <w:tcPr>
                        <w:tcW w:w="2614" w:type="dxa"/>
                      </w:tcPr>
                      <w:p w14:paraId="1BEC2BA4" w14:textId="77777777" w:rsidR="008E3936" w:rsidRPr="00987406" w:rsidRDefault="008E3936" w:rsidP="00E51355">
                        <w:pPr>
                          <w:pStyle w:val="Bulletpoints"/>
                          <w:numPr>
                            <w:ilvl w:val="0"/>
                            <w:numId w:val="0"/>
                          </w:numPr>
                          <w:rPr>
                            <w:rFonts w:cs="Arial"/>
                          </w:rPr>
                        </w:pPr>
                        <w:r w:rsidRPr="00987406">
                          <w:rPr>
                            <w:rFonts w:cs="Arial"/>
                          </w:rPr>
                          <w:t>Format</w:t>
                        </w:r>
                      </w:p>
                    </w:tc>
                  </w:tr>
                </w:tbl>
                <w:p w14:paraId="5CC39F18" w14:textId="77777777" w:rsidR="008E3936" w:rsidRPr="00987406" w:rsidRDefault="008E3936" w:rsidP="00E51355">
                  <w:pPr>
                    <w:rPr>
                      <w:rFonts w:ascii="Arial" w:eastAsia="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89"/>
                    <w:gridCol w:w="2417"/>
                    <w:gridCol w:w="2136"/>
                  </w:tblGrid>
                  <w:tr w:rsidR="008E3936" w:rsidRPr="00987406" w14:paraId="4B24180B" w14:textId="77777777" w:rsidTr="00E51355">
                    <w:trPr>
                      <w:trHeight w:val="300"/>
                    </w:trPr>
                    <w:tc>
                      <w:tcPr>
                        <w:tcW w:w="1917" w:type="dxa"/>
                      </w:tcPr>
                      <w:p w14:paraId="57BB3F39" w14:textId="77777777" w:rsidR="008E3936" w:rsidRPr="00987406" w:rsidRDefault="008E3936" w:rsidP="00E51355">
                        <w:pPr>
                          <w:pStyle w:val="Bulletpoints"/>
                          <w:numPr>
                            <w:ilvl w:val="0"/>
                            <w:numId w:val="0"/>
                          </w:numPr>
                          <w:rPr>
                            <w:rFonts w:cs="Arial"/>
                            <w:bCs/>
                          </w:rPr>
                        </w:pPr>
                        <w:r w:rsidRPr="00987406">
                          <w:rPr>
                            <w:rFonts w:cs="Arial"/>
                            <w:bCs/>
                          </w:rPr>
                          <w:t>Progress meetings</w:t>
                        </w:r>
                      </w:p>
                    </w:tc>
                    <w:tc>
                      <w:tcPr>
                        <w:tcW w:w="2089" w:type="dxa"/>
                      </w:tcPr>
                      <w:p w14:paraId="45754FF0" w14:textId="77777777" w:rsidR="008E3936" w:rsidRPr="00987406" w:rsidRDefault="008E3936" w:rsidP="00E51355">
                        <w:pPr>
                          <w:pStyle w:val="Bulletpoints"/>
                          <w:numPr>
                            <w:ilvl w:val="0"/>
                            <w:numId w:val="0"/>
                          </w:numPr>
                          <w:rPr>
                            <w:rFonts w:cs="Arial"/>
                            <w:bCs/>
                          </w:rPr>
                        </w:pPr>
                        <w:r w:rsidRPr="00987406">
                          <w:rPr>
                            <w:rFonts w:cs="Arial"/>
                            <w:bCs/>
                          </w:rPr>
                          <w:t xml:space="preserve">Contract performance ideas discussion. </w:t>
                        </w:r>
                      </w:p>
                    </w:tc>
                    <w:tc>
                      <w:tcPr>
                        <w:tcW w:w="2417" w:type="dxa"/>
                      </w:tcPr>
                      <w:p w14:paraId="4088890C" w14:textId="77777777" w:rsidR="008E3936" w:rsidRPr="00987406" w:rsidRDefault="008E3936" w:rsidP="00E51355">
                        <w:pPr>
                          <w:pStyle w:val="Bulletpoints"/>
                          <w:numPr>
                            <w:ilvl w:val="0"/>
                            <w:numId w:val="0"/>
                          </w:numPr>
                          <w:rPr>
                            <w:rFonts w:cs="Arial"/>
                            <w:bCs/>
                          </w:rPr>
                        </w:pPr>
                        <w:r w:rsidRPr="00987406">
                          <w:rPr>
                            <w:rFonts w:cs="Arial"/>
                            <w:bCs/>
                          </w:rPr>
                          <w:t xml:space="preserve">Fortnightly/monthly as required at different project stages. More frequent at start and as project concludes. </w:t>
                        </w:r>
                      </w:p>
                    </w:tc>
                    <w:tc>
                      <w:tcPr>
                        <w:tcW w:w="2136" w:type="dxa"/>
                      </w:tcPr>
                      <w:p w14:paraId="50FE698D" w14:textId="77777777" w:rsidR="008E3936" w:rsidRPr="00987406" w:rsidRDefault="008E3936" w:rsidP="00E51355">
                        <w:pPr>
                          <w:pStyle w:val="Bulletpoints"/>
                          <w:numPr>
                            <w:ilvl w:val="0"/>
                            <w:numId w:val="0"/>
                          </w:numPr>
                          <w:rPr>
                            <w:rFonts w:cs="Arial"/>
                            <w:bCs/>
                          </w:rPr>
                        </w:pPr>
                        <w:r w:rsidRPr="00987406">
                          <w:rPr>
                            <w:rFonts w:cs="Arial"/>
                            <w:bCs/>
                          </w:rPr>
                          <w:t>Virtual/hybrid</w:t>
                        </w:r>
                      </w:p>
                    </w:tc>
                  </w:tr>
                  <w:tr w:rsidR="008E3936" w:rsidRPr="00987406" w14:paraId="623E77F2" w14:textId="77777777" w:rsidTr="00E51355">
                    <w:tc>
                      <w:tcPr>
                        <w:tcW w:w="1917" w:type="dxa"/>
                      </w:tcPr>
                      <w:p w14:paraId="42BB4553" w14:textId="77777777" w:rsidR="008E3936" w:rsidRPr="00987406" w:rsidRDefault="008E3936" w:rsidP="00E51355">
                        <w:pPr>
                          <w:pStyle w:val="Bulletpoints"/>
                          <w:numPr>
                            <w:ilvl w:val="0"/>
                            <w:numId w:val="0"/>
                          </w:numPr>
                          <w:rPr>
                            <w:rFonts w:cs="Arial"/>
                          </w:rPr>
                        </w:pPr>
                        <w:r w:rsidRPr="00987406">
                          <w:rPr>
                            <w:rFonts w:cs="Arial"/>
                          </w:rPr>
                          <w:t xml:space="preserve">Wider steering group meeting  </w:t>
                        </w:r>
                      </w:p>
                    </w:tc>
                    <w:tc>
                      <w:tcPr>
                        <w:tcW w:w="2089" w:type="dxa"/>
                      </w:tcPr>
                      <w:p w14:paraId="255F4723" w14:textId="77777777" w:rsidR="008E3936" w:rsidRPr="00987406" w:rsidRDefault="008E3936" w:rsidP="00E51355">
                        <w:pPr>
                          <w:pStyle w:val="Bulletpoints"/>
                          <w:numPr>
                            <w:ilvl w:val="0"/>
                            <w:numId w:val="0"/>
                          </w:numPr>
                          <w:rPr>
                            <w:rFonts w:cs="Arial"/>
                          </w:rPr>
                        </w:pPr>
                        <w:r w:rsidRPr="00987406">
                          <w:rPr>
                            <w:rFonts w:cs="Arial"/>
                          </w:rPr>
                          <w:t>Projects inception</w:t>
                        </w:r>
                      </w:p>
                      <w:p w14:paraId="5338D637" w14:textId="77777777" w:rsidR="008E3936" w:rsidRPr="00987406" w:rsidRDefault="008E3936" w:rsidP="00E51355">
                        <w:pPr>
                          <w:pStyle w:val="Bulletpoints"/>
                          <w:numPr>
                            <w:ilvl w:val="0"/>
                            <w:numId w:val="0"/>
                          </w:numPr>
                          <w:rPr>
                            <w:rFonts w:cs="Arial"/>
                          </w:rPr>
                        </w:pPr>
                        <w:r w:rsidRPr="00987406">
                          <w:rPr>
                            <w:rFonts w:cs="Arial"/>
                          </w:rPr>
                          <w:t xml:space="preserve">Mid way progress report </w:t>
                        </w:r>
                      </w:p>
                      <w:p w14:paraId="467EE747" w14:textId="77777777" w:rsidR="008E3936" w:rsidRPr="00987406" w:rsidRDefault="008E3936" w:rsidP="00E51355">
                        <w:pPr>
                          <w:pStyle w:val="Bulletpoints"/>
                          <w:numPr>
                            <w:ilvl w:val="0"/>
                            <w:numId w:val="0"/>
                          </w:numPr>
                          <w:rPr>
                            <w:rFonts w:cs="Arial"/>
                          </w:rPr>
                        </w:pPr>
                        <w:r w:rsidRPr="00987406">
                          <w:rPr>
                            <w:rFonts w:cs="Arial"/>
                          </w:rPr>
                          <w:t>Interim draft of final report(s)</w:t>
                        </w:r>
                      </w:p>
                    </w:tc>
                    <w:tc>
                      <w:tcPr>
                        <w:tcW w:w="2417" w:type="dxa"/>
                      </w:tcPr>
                      <w:p w14:paraId="0D7B6CD5" w14:textId="77777777" w:rsidR="008E3936" w:rsidRPr="00987406" w:rsidRDefault="008E3936" w:rsidP="00E51355">
                        <w:pPr>
                          <w:pStyle w:val="Bulletpoints"/>
                          <w:numPr>
                            <w:ilvl w:val="0"/>
                            <w:numId w:val="0"/>
                          </w:numPr>
                          <w:rPr>
                            <w:rFonts w:cs="Arial"/>
                          </w:rPr>
                        </w:pPr>
                        <w:r w:rsidRPr="00987406">
                          <w:rPr>
                            <w:rFonts w:cs="Arial"/>
                          </w:rPr>
                          <w:t>Max 3 over the course of the project.</w:t>
                        </w:r>
                      </w:p>
                    </w:tc>
                    <w:tc>
                      <w:tcPr>
                        <w:tcW w:w="2136" w:type="dxa"/>
                      </w:tcPr>
                      <w:p w14:paraId="530AD948" w14:textId="77777777" w:rsidR="008E3936" w:rsidRPr="00987406" w:rsidRDefault="008E3936" w:rsidP="00E51355">
                        <w:pPr>
                          <w:pStyle w:val="Bulletpoints"/>
                          <w:numPr>
                            <w:ilvl w:val="0"/>
                            <w:numId w:val="0"/>
                          </w:numPr>
                          <w:rPr>
                            <w:rFonts w:cs="Arial"/>
                          </w:rPr>
                        </w:pPr>
                        <w:r w:rsidRPr="00987406">
                          <w:rPr>
                            <w:rFonts w:cs="Arial"/>
                          </w:rPr>
                          <w:t>Virtual/hybrid</w:t>
                        </w:r>
                      </w:p>
                    </w:tc>
                  </w:tr>
                  <w:tr w:rsidR="008E3936" w:rsidRPr="00987406" w14:paraId="519D059E" w14:textId="77777777" w:rsidTr="00E51355">
                    <w:tc>
                      <w:tcPr>
                        <w:tcW w:w="8559" w:type="dxa"/>
                        <w:gridSpan w:val="4"/>
                      </w:tcPr>
                      <w:p w14:paraId="118C621F" w14:textId="77777777" w:rsidR="008E3936" w:rsidRPr="00987406" w:rsidRDefault="008E3936" w:rsidP="00E51355">
                        <w:pPr>
                          <w:pStyle w:val="Bulletpoints"/>
                          <w:numPr>
                            <w:ilvl w:val="0"/>
                            <w:numId w:val="0"/>
                          </w:numPr>
                          <w:rPr>
                            <w:rFonts w:cs="Arial"/>
                          </w:rPr>
                        </w:pPr>
                        <w:r w:rsidRPr="00987406">
                          <w:rPr>
                            <w:rFonts w:cs="Arial"/>
                          </w:rPr>
                          <w:t>Reporting should be in DBT’s standard branded template. The latest DBT reporting template will be provided to the successful tenderer ahead of the reporting period.</w:t>
                        </w:r>
                      </w:p>
                    </w:tc>
                  </w:tr>
                </w:tbl>
                <w:p w14:paraId="0FED6DBF" w14:textId="77777777" w:rsidR="008E3936" w:rsidRPr="00987406" w:rsidRDefault="008E3936" w:rsidP="00E51355">
                  <w:pPr>
                    <w:rPr>
                      <w:rFonts w:ascii="Arial" w:eastAsia="Arial" w:hAnsi="Arial" w:cs="Arial"/>
                      <w:b/>
                      <w:bCs/>
                      <w:lang w:val="en-US"/>
                    </w:rPr>
                  </w:pPr>
                </w:p>
              </w:tc>
            </w:tr>
          </w:tbl>
          <w:p w14:paraId="38C79464" w14:textId="77777777" w:rsidR="008E3936" w:rsidRPr="00987406" w:rsidRDefault="008E3936" w:rsidP="00E51355">
            <w:pPr>
              <w:rPr>
                <w:rFonts w:ascii="Arial" w:hAnsi="Arial" w:cs="Arial"/>
                <w:b/>
                <w:bCs/>
                <w:sz w:val="22"/>
                <w:szCs w:val="22"/>
              </w:rPr>
            </w:pPr>
          </w:p>
        </w:tc>
      </w:tr>
    </w:tbl>
    <w:p w14:paraId="0360BFFA" w14:textId="77777777" w:rsidR="007E12FE" w:rsidRPr="00FB1F1B" w:rsidRDefault="007E12FE" w:rsidP="007E12FE">
      <w:pPr>
        <w:pStyle w:val="GPSL2NumberedBoldHeading"/>
        <w:numPr>
          <w:ilvl w:val="0"/>
          <w:numId w:val="0"/>
        </w:numPr>
        <w:jc w:val="left"/>
        <w:rPr>
          <w:rFonts w:ascii="Arial" w:hAnsi="Arial"/>
          <w:sz w:val="24"/>
          <w:highlight w:val="yellow"/>
        </w:rPr>
      </w:pPr>
    </w:p>
    <w:p w14:paraId="31B18B80" w14:textId="2FDD1E43" w:rsidR="007E12FE" w:rsidRPr="000C76ED" w:rsidRDefault="007E12FE" w:rsidP="007E12FE">
      <w:pPr>
        <w:pStyle w:val="GPSL2NumberedBoldHeading"/>
        <w:numPr>
          <w:ilvl w:val="0"/>
          <w:numId w:val="0"/>
        </w:numPr>
        <w:jc w:val="left"/>
        <w:rPr>
          <w:rFonts w:ascii="Arial" w:hAnsi="Arial"/>
          <w:b/>
          <w:sz w:val="24"/>
          <w:highlight w:val="yellow"/>
        </w:rPr>
      </w:pPr>
    </w:p>
    <w:p w14:paraId="03417164" w14:textId="77777777" w:rsidR="00D2581B" w:rsidRDefault="00D2581B" w:rsidP="00E86078">
      <w:pPr>
        <w:pStyle w:val="GPSL1CLAUSEHEADING"/>
        <w:numPr>
          <w:ilvl w:val="0"/>
          <w:numId w:val="0"/>
        </w:numPr>
        <w:rPr>
          <w:rFonts w:ascii="Arial" w:hAnsi="Arial"/>
          <w:b w:val="0"/>
          <w:sz w:val="24"/>
          <w:szCs w:val="24"/>
        </w:rPr>
      </w:pPr>
    </w:p>
    <w:p w14:paraId="00A7AC2D" w14:textId="77777777" w:rsidR="00D2581B" w:rsidRPr="00D2581B" w:rsidRDefault="00D2581B" w:rsidP="00D2581B">
      <w:pPr>
        <w:rPr>
          <w:lang w:eastAsia="zh-CN"/>
        </w:rPr>
      </w:pPr>
    </w:p>
    <w:p w14:paraId="3B84D939" w14:textId="77777777" w:rsidR="00D2581B" w:rsidRPr="00D2581B" w:rsidRDefault="00D2581B" w:rsidP="00D2581B">
      <w:pPr>
        <w:rPr>
          <w:lang w:eastAsia="zh-CN"/>
        </w:rPr>
      </w:pPr>
    </w:p>
    <w:p w14:paraId="728E23E2" w14:textId="77777777" w:rsidR="00D2581B" w:rsidRPr="00D2581B" w:rsidRDefault="00D2581B" w:rsidP="00D2581B">
      <w:pPr>
        <w:rPr>
          <w:lang w:eastAsia="zh-CN"/>
        </w:rPr>
      </w:pPr>
    </w:p>
    <w:p w14:paraId="52038D70" w14:textId="77777777" w:rsidR="00D2581B" w:rsidRPr="00D2581B" w:rsidRDefault="00D2581B" w:rsidP="00D2581B">
      <w:pPr>
        <w:rPr>
          <w:lang w:eastAsia="zh-CN"/>
        </w:rPr>
      </w:pPr>
    </w:p>
    <w:p w14:paraId="6D55D0BC" w14:textId="77777777" w:rsidR="00D2581B" w:rsidRPr="00D2581B" w:rsidRDefault="00D2581B" w:rsidP="00D2581B">
      <w:pPr>
        <w:rPr>
          <w:lang w:eastAsia="zh-CN"/>
        </w:rPr>
      </w:pPr>
    </w:p>
    <w:p w14:paraId="1035AE57" w14:textId="77777777" w:rsidR="00D2581B" w:rsidRPr="00D2581B" w:rsidRDefault="00D2581B" w:rsidP="00D2581B">
      <w:pPr>
        <w:rPr>
          <w:lang w:eastAsia="zh-CN"/>
        </w:rPr>
      </w:pPr>
    </w:p>
    <w:p w14:paraId="766E04C3" w14:textId="77777777" w:rsidR="00D2581B" w:rsidRPr="00D2581B" w:rsidRDefault="00D2581B" w:rsidP="00D2581B">
      <w:pPr>
        <w:rPr>
          <w:lang w:eastAsia="zh-CN"/>
        </w:rPr>
      </w:pPr>
    </w:p>
    <w:p w14:paraId="75B99FC7" w14:textId="77777777" w:rsidR="00D2581B" w:rsidRPr="00D2581B" w:rsidRDefault="00D2581B" w:rsidP="00D2581B">
      <w:pPr>
        <w:rPr>
          <w:lang w:eastAsia="zh-CN"/>
        </w:rPr>
      </w:pPr>
    </w:p>
    <w:p w14:paraId="6D3387B5" w14:textId="77777777" w:rsidR="00D2581B" w:rsidRPr="00D2581B" w:rsidRDefault="00D2581B" w:rsidP="00D2581B">
      <w:pPr>
        <w:rPr>
          <w:lang w:eastAsia="zh-CN"/>
        </w:rPr>
      </w:pPr>
    </w:p>
    <w:p w14:paraId="6CEA12AD" w14:textId="77777777" w:rsidR="00D2581B" w:rsidRPr="00D2581B" w:rsidRDefault="00D2581B" w:rsidP="00D2581B">
      <w:pPr>
        <w:rPr>
          <w:lang w:eastAsia="zh-CN"/>
        </w:rPr>
      </w:pPr>
    </w:p>
    <w:p w14:paraId="6ADB74A6" w14:textId="77777777" w:rsidR="00D2581B" w:rsidRPr="00D2581B" w:rsidRDefault="00D2581B" w:rsidP="00D2581B">
      <w:pPr>
        <w:rPr>
          <w:lang w:eastAsia="zh-CN"/>
        </w:rPr>
      </w:pPr>
    </w:p>
    <w:p w14:paraId="0017039D" w14:textId="77777777" w:rsidR="00D2581B" w:rsidRPr="00D2581B" w:rsidRDefault="00D2581B" w:rsidP="00D2581B">
      <w:pPr>
        <w:rPr>
          <w:lang w:eastAsia="zh-CN"/>
        </w:rPr>
      </w:pPr>
    </w:p>
    <w:p w14:paraId="0DF24287" w14:textId="77777777" w:rsidR="00D2581B" w:rsidRPr="00D2581B" w:rsidRDefault="00D2581B" w:rsidP="00D2581B">
      <w:pPr>
        <w:rPr>
          <w:lang w:eastAsia="zh-CN"/>
        </w:rPr>
      </w:pPr>
    </w:p>
    <w:p w14:paraId="21EEFA21" w14:textId="77777777" w:rsidR="00D2581B" w:rsidRPr="00D2581B" w:rsidRDefault="00D2581B" w:rsidP="00D2581B">
      <w:pPr>
        <w:rPr>
          <w:lang w:eastAsia="zh-CN"/>
        </w:rPr>
      </w:pPr>
    </w:p>
    <w:p w14:paraId="67FE9740" w14:textId="77777777" w:rsidR="00D2581B" w:rsidRDefault="00D2581B" w:rsidP="00D2581B">
      <w:pPr>
        <w:rPr>
          <w:lang w:eastAsia="zh-CN"/>
        </w:rPr>
      </w:pPr>
    </w:p>
    <w:p w14:paraId="2CFD6305" w14:textId="77777777" w:rsidR="00F00591" w:rsidRDefault="00D2581B" w:rsidP="00D2581B">
      <w:pPr>
        <w:tabs>
          <w:tab w:val="left" w:pos="1320"/>
        </w:tabs>
        <w:rPr>
          <w:lang w:eastAsia="zh-CN"/>
        </w:rPr>
      </w:pPr>
      <w:r>
        <w:rPr>
          <w:lang w:eastAsia="zh-CN"/>
        </w:rPr>
        <w:tab/>
      </w:r>
    </w:p>
    <w:p w14:paraId="0FCC7875" w14:textId="77777777" w:rsidR="00F00591" w:rsidRPr="00F00591" w:rsidRDefault="00F00591" w:rsidP="00F00591">
      <w:pPr>
        <w:rPr>
          <w:lang w:eastAsia="zh-CN"/>
        </w:rPr>
      </w:pPr>
    </w:p>
    <w:p w14:paraId="3235D87A" w14:textId="77777777" w:rsidR="00F00591" w:rsidRPr="00F00591" w:rsidRDefault="00F00591" w:rsidP="00F00591">
      <w:pPr>
        <w:rPr>
          <w:lang w:eastAsia="zh-CN"/>
        </w:rPr>
      </w:pPr>
    </w:p>
    <w:p w14:paraId="56BE8E18" w14:textId="77777777" w:rsidR="00F00591" w:rsidRPr="00F00591" w:rsidRDefault="00F00591" w:rsidP="00F00591">
      <w:pPr>
        <w:rPr>
          <w:lang w:eastAsia="zh-CN"/>
        </w:rPr>
      </w:pPr>
    </w:p>
    <w:p w14:paraId="675E1D63" w14:textId="77777777" w:rsidR="0081513E" w:rsidRPr="00F00591" w:rsidRDefault="00F00591" w:rsidP="00F00591">
      <w:pPr>
        <w:tabs>
          <w:tab w:val="left" w:pos="1460"/>
        </w:tabs>
        <w:rPr>
          <w:lang w:eastAsia="zh-CN"/>
        </w:rPr>
      </w:pPr>
      <w:r>
        <w:rPr>
          <w:lang w:eastAsia="zh-CN"/>
        </w:rPr>
        <w:tab/>
      </w:r>
    </w:p>
    <w:sectPr w:rsidR="0081513E" w:rsidRPr="00F0059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63D36" w14:textId="77777777" w:rsidR="00000008" w:rsidRDefault="00000008">
      <w:pPr>
        <w:spacing w:after="0" w:line="240" w:lineRule="auto"/>
      </w:pPr>
      <w:r>
        <w:separator/>
      </w:r>
    </w:p>
  </w:endnote>
  <w:endnote w:type="continuationSeparator" w:id="0">
    <w:p w14:paraId="7D47168E" w14:textId="77777777" w:rsidR="00000008" w:rsidRDefault="0000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CAC3" w14:textId="77777777" w:rsidR="00FB1F1B" w:rsidRDefault="00FB1F1B" w:rsidP="00597414">
    <w:pPr>
      <w:tabs>
        <w:tab w:val="center" w:pos="4513"/>
        <w:tab w:val="right" w:pos="9026"/>
      </w:tabs>
      <w:spacing w:after="0"/>
      <w:rPr>
        <w:rFonts w:ascii="Arial" w:hAnsi="Arial" w:cs="Arial"/>
        <w:sz w:val="20"/>
      </w:rPr>
    </w:pPr>
  </w:p>
  <w:p w14:paraId="06FF5A28" w14:textId="77777777"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0D3276AB" w14:textId="77777777"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14:paraId="63FF3232" w14:textId="77777777"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58B38" w14:textId="77777777" w:rsidR="00000008" w:rsidRDefault="00000008">
      <w:pPr>
        <w:spacing w:after="0" w:line="240" w:lineRule="auto"/>
      </w:pPr>
      <w:r>
        <w:separator/>
      </w:r>
    </w:p>
  </w:footnote>
  <w:footnote w:type="continuationSeparator" w:id="0">
    <w:p w14:paraId="312AC221" w14:textId="77777777" w:rsidR="00000008" w:rsidRDefault="00000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2D5C1" w14:textId="77777777"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14:paraId="286F36C4" w14:textId="77777777"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14:paraId="4D94B506" w14:textId="77777777" w:rsidR="005C04C4" w:rsidRPr="005C04C4" w:rsidRDefault="00F00591">
    <w:pPr>
      <w:pStyle w:val="Header"/>
      <w:rPr>
        <w:rFonts w:ascii="Arial" w:hAnsi="Arial" w:cs="Arial"/>
        <w:sz w:val="20"/>
        <w:szCs w:val="20"/>
      </w:rPr>
    </w:pPr>
    <w:r>
      <w:rPr>
        <w:rFonts w:ascii="Arial" w:hAnsi="Arial" w:cs="Arial"/>
        <w:sz w:val="20"/>
        <w:szCs w:val="20"/>
      </w:rPr>
      <w:t>Crown Copyright 2021</w:t>
    </w:r>
  </w:p>
  <w:p w14:paraId="5CF18D61"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0913E2"/>
    <w:multiLevelType w:val="hybridMultilevel"/>
    <w:tmpl w:val="10DE5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A0F2B1"/>
    <w:multiLevelType w:val="hybridMultilevel"/>
    <w:tmpl w:val="FE268426"/>
    <w:lvl w:ilvl="0" w:tplc="2250C800">
      <w:start w:val="1"/>
      <w:numFmt w:val="bullet"/>
      <w:lvlText w:val=""/>
      <w:lvlJc w:val="left"/>
      <w:pPr>
        <w:ind w:left="720" w:hanging="360"/>
      </w:pPr>
      <w:rPr>
        <w:rFonts w:ascii="Symbol" w:hAnsi="Symbol" w:hint="default"/>
      </w:rPr>
    </w:lvl>
    <w:lvl w:ilvl="1" w:tplc="33FC9A5A">
      <w:start w:val="1"/>
      <w:numFmt w:val="bullet"/>
      <w:lvlText w:val="o"/>
      <w:lvlJc w:val="left"/>
      <w:pPr>
        <w:ind w:left="1440" w:hanging="360"/>
      </w:pPr>
      <w:rPr>
        <w:rFonts w:ascii="Courier New" w:hAnsi="Courier New" w:hint="default"/>
      </w:rPr>
    </w:lvl>
    <w:lvl w:ilvl="2" w:tplc="1196052E">
      <w:start w:val="1"/>
      <w:numFmt w:val="bullet"/>
      <w:lvlText w:val=""/>
      <w:lvlJc w:val="left"/>
      <w:pPr>
        <w:ind w:left="2160" w:hanging="360"/>
      </w:pPr>
      <w:rPr>
        <w:rFonts w:ascii="Wingdings" w:hAnsi="Wingdings" w:hint="default"/>
      </w:rPr>
    </w:lvl>
    <w:lvl w:ilvl="3" w:tplc="FE080BD0">
      <w:start w:val="1"/>
      <w:numFmt w:val="bullet"/>
      <w:lvlText w:val=""/>
      <w:lvlJc w:val="left"/>
      <w:pPr>
        <w:ind w:left="2880" w:hanging="360"/>
      </w:pPr>
      <w:rPr>
        <w:rFonts w:ascii="Symbol" w:hAnsi="Symbol" w:hint="default"/>
      </w:rPr>
    </w:lvl>
    <w:lvl w:ilvl="4" w:tplc="74288224">
      <w:start w:val="1"/>
      <w:numFmt w:val="bullet"/>
      <w:lvlText w:val="o"/>
      <w:lvlJc w:val="left"/>
      <w:pPr>
        <w:ind w:left="3600" w:hanging="360"/>
      </w:pPr>
      <w:rPr>
        <w:rFonts w:ascii="Courier New" w:hAnsi="Courier New" w:hint="default"/>
      </w:rPr>
    </w:lvl>
    <w:lvl w:ilvl="5" w:tplc="3A80AFC8">
      <w:start w:val="1"/>
      <w:numFmt w:val="bullet"/>
      <w:lvlText w:val=""/>
      <w:lvlJc w:val="left"/>
      <w:pPr>
        <w:ind w:left="4320" w:hanging="360"/>
      </w:pPr>
      <w:rPr>
        <w:rFonts w:ascii="Wingdings" w:hAnsi="Wingdings" w:hint="default"/>
      </w:rPr>
    </w:lvl>
    <w:lvl w:ilvl="6" w:tplc="3FD2BED2">
      <w:start w:val="1"/>
      <w:numFmt w:val="bullet"/>
      <w:lvlText w:val=""/>
      <w:lvlJc w:val="left"/>
      <w:pPr>
        <w:ind w:left="5040" w:hanging="360"/>
      </w:pPr>
      <w:rPr>
        <w:rFonts w:ascii="Symbol" w:hAnsi="Symbol" w:hint="default"/>
      </w:rPr>
    </w:lvl>
    <w:lvl w:ilvl="7" w:tplc="22208A40">
      <w:start w:val="1"/>
      <w:numFmt w:val="bullet"/>
      <w:lvlText w:val="o"/>
      <w:lvlJc w:val="left"/>
      <w:pPr>
        <w:ind w:left="5760" w:hanging="360"/>
      </w:pPr>
      <w:rPr>
        <w:rFonts w:ascii="Courier New" w:hAnsi="Courier New" w:hint="default"/>
      </w:rPr>
    </w:lvl>
    <w:lvl w:ilvl="8" w:tplc="615A1F74">
      <w:start w:val="1"/>
      <w:numFmt w:val="bullet"/>
      <w:lvlText w:val=""/>
      <w:lvlJc w:val="left"/>
      <w:pPr>
        <w:ind w:left="6480" w:hanging="360"/>
      </w:pPr>
      <w:rPr>
        <w:rFonts w:ascii="Wingdings" w:hAnsi="Wingdings" w:hint="default"/>
      </w:rPr>
    </w:lvl>
  </w:abstractNum>
  <w:abstractNum w:abstractNumId="4"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05C519E"/>
    <w:multiLevelType w:val="hybridMultilevel"/>
    <w:tmpl w:val="7C7E5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2BB96A"/>
    <w:multiLevelType w:val="hybridMultilevel"/>
    <w:tmpl w:val="0C9E8B00"/>
    <w:lvl w:ilvl="0" w:tplc="220EE41C">
      <w:start w:val="1"/>
      <w:numFmt w:val="bullet"/>
      <w:lvlText w:val=""/>
      <w:lvlJc w:val="left"/>
      <w:pPr>
        <w:ind w:left="720" w:hanging="360"/>
      </w:pPr>
      <w:rPr>
        <w:rFonts w:ascii="Symbol" w:hAnsi="Symbol" w:hint="default"/>
      </w:rPr>
    </w:lvl>
    <w:lvl w:ilvl="1" w:tplc="A082333E">
      <w:start w:val="1"/>
      <w:numFmt w:val="bullet"/>
      <w:lvlText w:val="o"/>
      <w:lvlJc w:val="left"/>
      <w:pPr>
        <w:ind w:left="1440" w:hanging="360"/>
      </w:pPr>
      <w:rPr>
        <w:rFonts w:ascii="Courier New" w:hAnsi="Courier New" w:hint="default"/>
      </w:rPr>
    </w:lvl>
    <w:lvl w:ilvl="2" w:tplc="25967156">
      <w:start w:val="1"/>
      <w:numFmt w:val="bullet"/>
      <w:lvlText w:val=""/>
      <w:lvlJc w:val="left"/>
      <w:pPr>
        <w:ind w:left="2160" w:hanging="360"/>
      </w:pPr>
      <w:rPr>
        <w:rFonts w:ascii="Wingdings" w:hAnsi="Wingdings" w:hint="default"/>
      </w:rPr>
    </w:lvl>
    <w:lvl w:ilvl="3" w:tplc="8662DDF8">
      <w:start w:val="1"/>
      <w:numFmt w:val="bullet"/>
      <w:lvlText w:val=""/>
      <w:lvlJc w:val="left"/>
      <w:pPr>
        <w:ind w:left="2880" w:hanging="360"/>
      </w:pPr>
      <w:rPr>
        <w:rFonts w:ascii="Symbol" w:hAnsi="Symbol" w:hint="default"/>
      </w:rPr>
    </w:lvl>
    <w:lvl w:ilvl="4" w:tplc="284A1D46">
      <w:start w:val="1"/>
      <w:numFmt w:val="bullet"/>
      <w:lvlText w:val="o"/>
      <w:lvlJc w:val="left"/>
      <w:pPr>
        <w:ind w:left="3600" w:hanging="360"/>
      </w:pPr>
      <w:rPr>
        <w:rFonts w:ascii="Courier New" w:hAnsi="Courier New" w:hint="default"/>
      </w:rPr>
    </w:lvl>
    <w:lvl w:ilvl="5" w:tplc="6C208358">
      <w:start w:val="1"/>
      <w:numFmt w:val="bullet"/>
      <w:lvlText w:val=""/>
      <w:lvlJc w:val="left"/>
      <w:pPr>
        <w:ind w:left="4320" w:hanging="360"/>
      </w:pPr>
      <w:rPr>
        <w:rFonts w:ascii="Wingdings" w:hAnsi="Wingdings" w:hint="default"/>
      </w:rPr>
    </w:lvl>
    <w:lvl w:ilvl="6" w:tplc="42C01874">
      <w:start w:val="1"/>
      <w:numFmt w:val="bullet"/>
      <w:lvlText w:val=""/>
      <w:lvlJc w:val="left"/>
      <w:pPr>
        <w:ind w:left="5040" w:hanging="360"/>
      </w:pPr>
      <w:rPr>
        <w:rFonts w:ascii="Symbol" w:hAnsi="Symbol" w:hint="default"/>
      </w:rPr>
    </w:lvl>
    <w:lvl w:ilvl="7" w:tplc="A15824AC">
      <w:start w:val="1"/>
      <w:numFmt w:val="bullet"/>
      <w:lvlText w:val="o"/>
      <w:lvlJc w:val="left"/>
      <w:pPr>
        <w:ind w:left="5760" w:hanging="360"/>
      </w:pPr>
      <w:rPr>
        <w:rFonts w:ascii="Courier New" w:hAnsi="Courier New" w:hint="default"/>
      </w:rPr>
    </w:lvl>
    <w:lvl w:ilvl="8" w:tplc="46A6A800">
      <w:start w:val="1"/>
      <w:numFmt w:val="bullet"/>
      <w:lvlText w:val=""/>
      <w:lvlJc w:val="left"/>
      <w:pPr>
        <w:ind w:left="6480" w:hanging="360"/>
      </w:pPr>
      <w:rPr>
        <w:rFonts w:ascii="Wingdings" w:hAnsi="Wingdings" w:hint="default"/>
      </w:rPr>
    </w:lvl>
  </w:abstractNum>
  <w:abstractNum w:abstractNumId="9"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2" w15:restartNumberingAfterBreak="0">
    <w:nsid w:val="6E533CEF"/>
    <w:multiLevelType w:val="hybridMultilevel"/>
    <w:tmpl w:val="2BEC6DE6"/>
    <w:lvl w:ilvl="0" w:tplc="FFFFFFFF">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36386297">
    <w:abstractNumId w:val="15"/>
  </w:num>
  <w:num w:numId="2" w16cid:durableId="2022198677">
    <w:abstractNumId w:val="1"/>
  </w:num>
  <w:num w:numId="3" w16cid:durableId="2114280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535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651053">
    <w:abstractNumId w:val="0"/>
  </w:num>
  <w:num w:numId="6" w16cid:durableId="146556539">
    <w:abstractNumId w:val="15"/>
  </w:num>
  <w:num w:numId="7" w16cid:durableId="1563171670">
    <w:abstractNumId w:val="15"/>
  </w:num>
  <w:num w:numId="8" w16cid:durableId="402992390">
    <w:abstractNumId w:val="15"/>
  </w:num>
  <w:num w:numId="9" w16cid:durableId="612902979">
    <w:abstractNumId w:val="15"/>
  </w:num>
  <w:num w:numId="10" w16cid:durableId="2006273930">
    <w:abstractNumId w:val="15"/>
  </w:num>
  <w:num w:numId="11" w16cid:durableId="1113204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0657948">
    <w:abstractNumId w:val="4"/>
  </w:num>
  <w:num w:numId="13" w16cid:durableId="838274821">
    <w:abstractNumId w:val="15"/>
  </w:num>
  <w:num w:numId="14" w16cid:durableId="592127305">
    <w:abstractNumId w:val="15"/>
  </w:num>
  <w:num w:numId="15" w16cid:durableId="2076003721">
    <w:abstractNumId w:val="15"/>
  </w:num>
  <w:num w:numId="16" w16cid:durableId="1126123844">
    <w:abstractNumId w:val="15"/>
  </w:num>
  <w:num w:numId="17" w16cid:durableId="637805856">
    <w:abstractNumId w:val="15"/>
  </w:num>
  <w:num w:numId="18" w16cid:durableId="1749378787">
    <w:abstractNumId w:val="15"/>
  </w:num>
  <w:num w:numId="19" w16cid:durableId="120610379">
    <w:abstractNumId w:val="15"/>
  </w:num>
  <w:num w:numId="20" w16cid:durableId="460728333">
    <w:abstractNumId w:val="15"/>
  </w:num>
  <w:num w:numId="21" w16cid:durableId="960694632">
    <w:abstractNumId w:val="15"/>
  </w:num>
  <w:num w:numId="22" w16cid:durableId="1529487630">
    <w:abstractNumId w:val="15"/>
  </w:num>
  <w:num w:numId="23" w16cid:durableId="1921989337">
    <w:abstractNumId w:val="15"/>
  </w:num>
  <w:num w:numId="24" w16cid:durableId="228729049">
    <w:abstractNumId w:val="15"/>
  </w:num>
  <w:num w:numId="25" w16cid:durableId="867379370">
    <w:abstractNumId w:val="15"/>
  </w:num>
  <w:num w:numId="26" w16cid:durableId="1583300561">
    <w:abstractNumId w:val="15"/>
  </w:num>
  <w:num w:numId="27" w16cid:durableId="1631129814">
    <w:abstractNumId w:val="15"/>
  </w:num>
  <w:num w:numId="28" w16cid:durableId="1544058441">
    <w:abstractNumId w:val="15"/>
  </w:num>
  <w:num w:numId="29" w16cid:durableId="1602373568">
    <w:abstractNumId w:val="15"/>
  </w:num>
  <w:num w:numId="30" w16cid:durableId="720908849">
    <w:abstractNumId w:val="15"/>
  </w:num>
  <w:num w:numId="31" w16cid:durableId="2085108067">
    <w:abstractNumId w:val="15"/>
  </w:num>
  <w:num w:numId="32" w16cid:durableId="1192760887">
    <w:abstractNumId w:val="15"/>
  </w:num>
  <w:num w:numId="33" w16cid:durableId="1652755108">
    <w:abstractNumId w:val="15"/>
  </w:num>
  <w:num w:numId="34" w16cid:durableId="1770271606">
    <w:abstractNumId w:val="15"/>
  </w:num>
  <w:num w:numId="35" w16cid:durableId="1670254157">
    <w:abstractNumId w:val="15"/>
  </w:num>
  <w:num w:numId="36" w16cid:durableId="1630085556">
    <w:abstractNumId w:val="15"/>
  </w:num>
  <w:num w:numId="37" w16cid:durableId="1537504597">
    <w:abstractNumId w:val="15"/>
  </w:num>
  <w:num w:numId="38" w16cid:durableId="1376393082">
    <w:abstractNumId w:val="15"/>
  </w:num>
  <w:num w:numId="39" w16cid:durableId="111244702">
    <w:abstractNumId w:val="15"/>
  </w:num>
  <w:num w:numId="40" w16cid:durableId="528226924">
    <w:abstractNumId w:val="15"/>
  </w:num>
  <w:num w:numId="41" w16cid:durableId="361394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894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8528903">
    <w:abstractNumId w:val="15"/>
  </w:num>
  <w:num w:numId="44" w16cid:durableId="1886601280">
    <w:abstractNumId w:val="9"/>
  </w:num>
  <w:num w:numId="45" w16cid:durableId="1318604974">
    <w:abstractNumId w:val="15"/>
  </w:num>
  <w:num w:numId="46" w16cid:durableId="733088205">
    <w:abstractNumId w:val="15"/>
  </w:num>
  <w:num w:numId="47" w16cid:durableId="2003241365">
    <w:abstractNumId w:val="5"/>
  </w:num>
  <w:num w:numId="48" w16cid:durableId="371269890">
    <w:abstractNumId w:val="15"/>
  </w:num>
  <w:num w:numId="49" w16cid:durableId="1732343111">
    <w:abstractNumId w:val="15"/>
  </w:num>
  <w:num w:numId="50" w16cid:durableId="1378774829">
    <w:abstractNumId w:val="15"/>
  </w:num>
  <w:num w:numId="51" w16cid:durableId="900602578">
    <w:abstractNumId w:val="15"/>
  </w:num>
  <w:num w:numId="52" w16cid:durableId="1319722533">
    <w:abstractNumId w:val="15"/>
  </w:num>
  <w:num w:numId="53" w16cid:durableId="1979797183">
    <w:abstractNumId w:val="15"/>
  </w:num>
  <w:num w:numId="54" w16cid:durableId="965508067">
    <w:abstractNumId w:val="15"/>
  </w:num>
  <w:num w:numId="55" w16cid:durableId="785194003">
    <w:abstractNumId w:val="15"/>
  </w:num>
  <w:num w:numId="56" w16cid:durableId="243687692">
    <w:abstractNumId w:val="15"/>
  </w:num>
  <w:num w:numId="57" w16cid:durableId="1779521616">
    <w:abstractNumId w:val="15"/>
  </w:num>
  <w:num w:numId="58" w16cid:durableId="611740366">
    <w:abstractNumId w:val="15"/>
  </w:num>
  <w:num w:numId="59" w16cid:durableId="1622033762">
    <w:abstractNumId w:val="15"/>
  </w:num>
  <w:num w:numId="60" w16cid:durableId="1092891603">
    <w:abstractNumId w:val="15"/>
  </w:num>
  <w:num w:numId="61" w16cid:durableId="1360275930">
    <w:abstractNumId w:val="15"/>
  </w:num>
  <w:num w:numId="62" w16cid:durableId="1196307645">
    <w:abstractNumId w:val="15"/>
  </w:num>
  <w:num w:numId="63" w16cid:durableId="149489579">
    <w:abstractNumId w:val="15"/>
  </w:num>
  <w:num w:numId="64" w16cid:durableId="2042514312">
    <w:abstractNumId w:val="15"/>
  </w:num>
  <w:num w:numId="65" w16cid:durableId="2011447910">
    <w:abstractNumId w:val="15"/>
  </w:num>
  <w:num w:numId="66" w16cid:durableId="864057619">
    <w:abstractNumId w:val="15"/>
  </w:num>
  <w:num w:numId="67" w16cid:durableId="1431731601">
    <w:abstractNumId w:val="15"/>
  </w:num>
  <w:num w:numId="68" w16cid:durableId="111216310">
    <w:abstractNumId w:val="14"/>
  </w:num>
  <w:num w:numId="69" w16cid:durableId="1022248405">
    <w:abstractNumId w:val="15"/>
  </w:num>
  <w:num w:numId="70" w16cid:durableId="973099942">
    <w:abstractNumId w:val="1"/>
  </w:num>
  <w:num w:numId="71" w16cid:durableId="2142842264">
    <w:abstractNumId w:val="15"/>
  </w:num>
  <w:num w:numId="72" w16cid:durableId="144203456">
    <w:abstractNumId w:val="15"/>
  </w:num>
  <w:num w:numId="73" w16cid:durableId="1491599601">
    <w:abstractNumId w:val="15"/>
  </w:num>
  <w:num w:numId="74" w16cid:durableId="96105185">
    <w:abstractNumId w:val="15"/>
  </w:num>
  <w:num w:numId="75" w16cid:durableId="978069810">
    <w:abstractNumId w:val="15"/>
  </w:num>
  <w:num w:numId="76" w16cid:durableId="1788504140">
    <w:abstractNumId w:val="11"/>
  </w:num>
  <w:num w:numId="77" w16cid:durableId="409546247">
    <w:abstractNumId w:val="15"/>
  </w:num>
  <w:num w:numId="78" w16cid:durableId="664553373">
    <w:abstractNumId w:val="15"/>
  </w:num>
  <w:num w:numId="79" w16cid:durableId="646670008">
    <w:abstractNumId w:val="15"/>
  </w:num>
  <w:num w:numId="80" w16cid:durableId="973680875">
    <w:abstractNumId w:val="13"/>
  </w:num>
  <w:num w:numId="81" w16cid:durableId="954753776">
    <w:abstractNumId w:val="10"/>
  </w:num>
  <w:num w:numId="82" w16cid:durableId="1783529409">
    <w:abstractNumId w:val="7"/>
  </w:num>
  <w:num w:numId="83" w16cid:durableId="665060611">
    <w:abstractNumId w:val="15"/>
  </w:num>
  <w:num w:numId="84" w16cid:durableId="569119253">
    <w:abstractNumId w:val="2"/>
  </w:num>
  <w:num w:numId="85" w16cid:durableId="629944649">
    <w:abstractNumId w:val="6"/>
  </w:num>
  <w:num w:numId="86" w16cid:durableId="1192109287">
    <w:abstractNumId w:val="8"/>
  </w:num>
  <w:num w:numId="87" w16cid:durableId="954481036">
    <w:abstractNumId w:val="3"/>
  </w:num>
  <w:num w:numId="88" w16cid:durableId="841817170">
    <w:abstractNumId w:val="1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123B48"/>
    <w:rsid w:val="001649BE"/>
    <w:rsid w:val="00285462"/>
    <w:rsid w:val="002C0DA3"/>
    <w:rsid w:val="002E32B7"/>
    <w:rsid w:val="00322BDF"/>
    <w:rsid w:val="00336691"/>
    <w:rsid w:val="00346D75"/>
    <w:rsid w:val="00395C1A"/>
    <w:rsid w:val="00412D4E"/>
    <w:rsid w:val="004C111F"/>
    <w:rsid w:val="00562676"/>
    <w:rsid w:val="00597414"/>
    <w:rsid w:val="005B4E76"/>
    <w:rsid w:val="005C04C4"/>
    <w:rsid w:val="00616D25"/>
    <w:rsid w:val="00692171"/>
    <w:rsid w:val="006F1AFA"/>
    <w:rsid w:val="00717FD0"/>
    <w:rsid w:val="007335CD"/>
    <w:rsid w:val="007E12FE"/>
    <w:rsid w:val="0081513E"/>
    <w:rsid w:val="00826DDA"/>
    <w:rsid w:val="00880F36"/>
    <w:rsid w:val="008E3936"/>
    <w:rsid w:val="008F480A"/>
    <w:rsid w:val="009612FD"/>
    <w:rsid w:val="00987406"/>
    <w:rsid w:val="00A361CB"/>
    <w:rsid w:val="00A4427B"/>
    <w:rsid w:val="00A663BD"/>
    <w:rsid w:val="00BF1FD7"/>
    <w:rsid w:val="00BF3C87"/>
    <w:rsid w:val="00CE19F2"/>
    <w:rsid w:val="00D236B6"/>
    <w:rsid w:val="00D2581B"/>
    <w:rsid w:val="00D44FC1"/>
    <w:rsid w:val="00DC54C2"/>
    <w:rsid w:val="00E067A8"/>
    <w:rsid w:val="00E63C82"/>
    <w:rsid w:val="00E86078"/>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AEC503"/>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styleId="Hyperlink">
    <w:name w:val="Hyperlink"/>
    <w:basedOn w:val="DefaultParagraphFont"/>
    <w:uiPriority w:val="99"/>
    <w:unhideWhenUsed/>
    <w:rsid w:val="008E3936"/>
    <w:rPr>
      <w:color w:val="0000FF" w:themeColor="hyperlink"/>
      <w:u w:val="single"/>
    </w:rPr>
  </w:style>
  <w:style w:type="table" w:customStyle="1" w:styleId="Table3">
    <w:name w:val="Table 3"/>
    <w:basedOn w:val="TableNormal"/>
    <w:uiPriority w:val="99"/>
    <w:rsid w:val="008E3936"/>
    <w:pPr>
      <w:spacing w:before="120" w:after="120" w:line="259" w:lineRule="auto"/>
    </w:p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customStyle="1" w:styleId="Bulletpoints">
    <w:name w:val="Bullet points"/>
    <w:basedOn w:val="Normal"/>
    <w:link w:val="BulletpointsChar"/>
    <w:qFormat/>
    <w:rsid w:val="008E3936"/>
    <w:pPr>
      <w:numPr>
        <w:numId w:val="88"/>
      </w:numPr>
      <w:spacing w:after="160" w:line="259" w:lineRule="auto"/>
      <w:jc w:val="both"/>
    </w:pPr>
    <w:rPr>
      <w:rFonts w:ascii="Arial" w:eastAsiaTheme="minorHAnsi" w:hAnsi="Arial" w:cstheme="minorBidi"/>
    </w:rPr>
  </w:style>
  <w:style w:type="character" w:customStyle="1" w:styleId="BulletpointsChar">
    <w:name w:val="Bullet points Char"/>
    <w:basedOn w:val="DefaultParagraphFont"/>
    <w:link w:val="Bulletpoints"/>
    <w:rsid w:val="008E393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dvanced-manufacturing-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publications/uk-battery-strategy" TargetMode="External"/><Relationship Id="rId17" Type="http://schemas.openxmlformats.org/officeDocument/2006/relationships/hyperlink" Target="https://www.gov.uk/government/publications/the-green-book-appraisal-and-evaluation-in-central-governent" TargetMode="External"/><Relationship Id="rId2" Type="http://schemas.openxmlformats.org/officeDocument/2006/relationships/customXml" Target="../customXml/item2.xml"/><Relationship Id="rId16" Type="http://schemas.openxmlformats.org/officeDocument/2006/relationships/hyperlink" Target="https://www.mrs.org.uk/standards/code-of-condu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goverment-social-research-code-people-and-produc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magenta-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2024-04-09T14:28:28+00:00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W26THDA4EQ5Q-359970870-121197</_dlc_DocId>
    <_dlc_DocIdUrl xmlns="675feb15-d659-41c3-803e-6c5b49d6f474">
      <Url>https://dbis.sharepoint.com/sites/dit128/_layouts/15/DocIdRedir.aspx?ID=W26THDA4EQ5Q-359970870-121197</Url>
      <Description>W26THDA4EQ5Q-359970870-121197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FB30-D57B-423D-A26D-026CD97CF449}">
  <ds:schemaRefs>
    <ds:schemaRef ds:uri="http://purl.org/dc/terms/"/>
    <ds:schemaRef ds:uri="http://purl.org/dc/elements/1.1/"/>
    <ds:schemaRef ds:uri="a8f60570-4bd3-4f2b-950b-a996de8ab15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413c3fd-5a3b-4239-b985-69032e371c04"/>
    <ds:schemaRef ds:uri="http://schemas.microsoft.com/office/2006/documentManagement/types"/>
    <ds:schemaRef ds:uri="837ae434-8588-46ae-b499-eb8077131d9b"/>
    <ds:schemaRef ds:uri="675feb15-d659-41c3-803e-6c5b49d6f474"/>
    <ds:schemaRef ds:uri="aaacb922-5235-4a66-b188-303b9b46fbd7"/>
    <ds:schemaRef ds:uri="0063f72e-ace3-48fb-9c1f-5b513408b31f"/>
    <ds:schemaRef ds:uri="http://purl.org/dc/dcmitype/"/>
  </ds:schemaRefs>
</ds:datastoreItem>
</file>

<file path=customXml/itemProps2.xml><?xml version="1.0" encoding="utf-8"?>
<ds:datastoreItem xmlns:ds="http://schemas.openxmlformats.org/officeDocument/2006/customXml" ds:itemID="{40C10BB6-8837-46BF-A0CE-D2359954BC20}">
  <ds:schemaRefs>
    <ds:schemaRef ds:uri="http://schemas.microsoft.com/sharepoint/v3/contenttype/forms"/>
  </ds:schemaRefs>
</ds:datastoreItem>
</file>

<file path=customXml/itemProps3.xml><?xml version="1.0" encoding="utf-8"?>
<ds:datastoreItem xmlns:ds="http://schemas.openxmlformats.org/officeDocument/2006/customXml" ds:itemID="{1995E426-B872-4E73-A2DE-4858962619C6}">
  <ds:schemaRefs>
    <ds:schemaRef ds:uri="http://schemas.microsoft.com/sharepoint/events"/>
  </ds:schemaRefs>
</ds:datastoreItem>
</file>

<file path=customXml/itemProps4.xml><?xml version="1.0" encoding="utf-8"?>
<ds:datastoreItem xmlns:ds="http://schemas.openxmlformats.org/officeDocument/2006/customXml" ds:itemID="{050B480C-05DB-4178-8387-D91088F8E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95B53-42D8-474C-A794-E5C8C617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Jennifer SHEPHERD (DBT)</cp:lastModifiedBy>
  <cp:revision>11</cp:revision>
  <dcterms:created xsi:type="dcterms:W3CDTF">2019-04-10T22:54:00Z</dcterms:created>
  <dcterms:modified xsi:type="dcterms:W3CDTF">2024-06-14T10:35:00Z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649f77ab-9141-42e5-9965-c8224344eb08</vt:lpwstr>
  </property>
  <property fmtid="{D5CDD505-2E9C-101B-9397-08002B2CF9AE}" pid="6" name="MSIP_Label_c1c05e37-788c-4c59-b50e-5c98323c0a70_Enabled">
    <vt:lpwstr>true</vt:lpwstr>
  </property>
  <property fmtid="{D5CDD505-2E9C-101B-9397-08002B2CF9AE}" pid="7" name="MSIP_Label_c1c05e37-788c-4c59-b50e-5c98323c0a70_SetDate">
    <vt:lpwstr>2024-06-14T10:25:45Z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b039a1c8-d5b2-4f6f-8f25-d05fe20be64e</vt:lpwstr>
  </property>
  <property fmtid="{D5CDD505-2E9C-101B-9397-08002B2CF9AE}" pid="12" name="MSIP_Label_c1c05e37-788c-4c59-b50e-5c98323c0a70_ContentBits">
    <vt:lpwstr>0</vt:lpwstr>
  </property>
  <property fmtid="{D5CDD505-2E9C-101B-9397-08002B2CF9AE}" pid="13" name="MediaServiceImageTags">
    <vt:lpwstr/>
  </property>
</Properties>
</file>