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A06" w:rsidRDefault="0025546C">
      <w:pPr>
        <w:spacing w:after="0" w:line="240" w:lineRule="auto"/>
        <w:rPr>
          <w:rFonts w:ascii="Arial"/>
          <w:b/>
          <w:sz w:val="23"/>
        </w:rPr>
      </w:pPr>
      <w:r>
        <w:rPr>
          <w:rFonts w:ascii="Arial"/>
          <w:b/>
          <w:noProof/>
          <w:sz w:val="23"/>
        </w:rPr>
        <w:drawing>
          <wp:anchor distT="0" distB="0" distL="114300" distR="114300" simplePos="0" relativeHeight="251658240" behindDoc="0" locked="0" layoutInCell="1" allowOverlap="1">
            <wp:simplePos x="0" y="0"/>
            <wp:positionH relativeFrom="column">
              <wp:posOffset>4544730</wp:posOffset>
            </wp:positionH>
            <wp:positionV relativeFrom="paragraph">
              <wp:posOffset>-419275</wp:posOffset>
            </wp:positionV>
            <wp:extent cx="1849943" cy="884255"/>
            <wp:effectExtent l="19050" t="0" r="0" b="0"/>
            <wp:wrapNone/>
            <wp:docPr id="1" name="Picture 0" descr="SeafishMaster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fishMasterLogoRGB.jpg"/>
                    <pic:cNvPicPr/>
                  </pic:nvPicPr>
                  <pic:blipFill>
                    <a:blip r:embed="rId9" cstate="print"/>
                    <a:stretch>
                      <a:fillRect/>
                    </a:stretch>
                  </pic:blipFill>
                  <pic:spPr>
                    <a:xfrm>
                      <a:off x="0" y="0"/>
                      <a:ext cx="1849943" cy="884255"/>
                    </a:xfrm>
                    <a:prstGeom prst="rect">
                      <a:avLst/>
                    </a:prstGeom>
                  </pic:spPr>
                </pic:pic>
              </a:graphicData>
            </a:graphic>
          </wp:anchor>
        </w:drawing>
      </w:r>
    </w:p>
    <w:p w:rsidR="00810DA5" w:rsidRDefault="00810DA5" w:rsidP="0073729E">
      <w:pPr>
        <w:spacing w:after="0" w:line="240" w:lineRule="auto"/>
        <w:outlineLvl w:val="0"/>
        <w:rPr>
          <w:rFonts w:ascii="Arial"/>
          <w:b/>
          <w:sz w:val="28"/>
        </w:rPr>
      </w:pPr>
    </w:p>
    <w:p w:rsidR="00810DA5" w:rsidRDefault="00810DA5" w:rsidP="0073729E">
      <w:pPr>
        <w:spacing w:after="0" w:line="240" w:lineRule="auto"/>
        <w:outlineLvl w:val="0"/>
        <w:rPr>
          <w:rFonts w:ascii="Arial"/>
          <w:b/>
          <w:sz w:val="28"/>
        </w:rPr>
      </w:pPr>
    </w:p>
    <w:p w:rsidR="00B64486" w:rsidRDefault="00B64486" w:rsidP="00B64486">
      <w:pPr>
        <w:spacing w:after="0" w:line="240" w:lineRule="auto"/>
        <w:outlineLvl w:val="0"/>
        <w:rPr>
          <w:b/>
          <w:sz w:val="28"/>
        </w:rPr>
      </w:pPr>
    </w:p>
    <w:p w:rsidR="00B64486" w:rsidRDefault="00B64486" w:rsidP="00B64486">
      <w:pPr>
        <w:spacing w:after="0" w:line="240" w:lineRule="auto"/>
        <w:jc w:val="center"/>
        <w:outlineLvl w:val="0"/>
        <w:rPr>
          <w:b/>
          <w:sz w:val="28"/>
        </w:rPr>
      </w:pPr>
    </w:p>
    <w:p w:rsidR="00B64486" w:rsidRDefault="00B64486" w:rsidP="00B64486">
      <w:pPr>
        <w:spacing w:after="0" w:line="240" w:lineRule="auto"/>
        <w:jc w:val="center"/>
        <w:outlineLvl w:val="0"/>
        <w:rPr>
          <w:b/>
          <w:sz w:val="28"/>
        </w:rPr>
      </w:pPr>
    </w:p>
    <w:p w:rsidR="00B64486" w:rsidRDefault="00B64486" w:rsidP="00B64486">
      <w:pPr>
        <w:spacing w:after="0" w:line="240" w:lineRule="auto"/>
        <w:jc w:val="center"/>
        <w:outlineLvl w:val="0"/>
        <w:rPr>
          <w:b/>
          <w:sz w:val="28"/>
        </w:rPr>
      </w:pPr>
      <w:r>
        <w:rPr>
          <w:b/>
          <w:sz w:val="28"/>
        </w:rPr>
        <w:t>Sea Fish Industry Authority</w:t>
      </w:r>
    </w:p>
    <w:p w:rsidR="00B64486" w:rsidRDefault="00B64486" w:rsidP="00B64486">
      <w:pPr>
        <w:spacing w:after="0" w:line="240" w:lineRule="auto"/>
        <w:jc w:val="center"/>
        <w:outlineLvl w:val="0"/>
        <w:rPr>
          <w:b/>
          <w:sz w:val="28"/>
        </w:rPr>
      </w:pPr>
      <w:r>
        <w:rPr>
          <w:b/>
          <w:sz w:val="28"/>
        </w:rPr>
        <w:t>Invitation to Tender</w:t>
      </w:r>
    </w:p>
    <w:p w:rsidR="00B64486" w:rsidRDefault="00B64486" w:rsidP="00B64486">
      <w:pPr>
        <w:spacing w:after="0" w:line="240" w:lineRule="auto"/>
        <w:jc w:val="center"/>
        <w:outlineLvl w:val="0"/>
        <w:rPr>
          <w:b/>
          <w:sz w:val="28"/>
        </w:rPr>
      </w:pPr>
      <w:r>
        <w:rPr>
          <w:b/>
          <w:sz w:val="28"/>
        </w:rPr>
        <w:t>(Open Procedure)</w:t>
      </w:r>
    </w:p>
    <w:p w:rsidR="00B64486" w:rsidRDefault="00B64486" w:rsidP="00B64486">
      <w:pPr>
        <w:spacing w:after="0" w:line="240" w:lineRule="auto"/>
        <w:jc w:val="center"/>
        <w:outlineLvl w:val="0"/>
        <w:rPr>
          <w:b/>
          <w:sz w:val="28"/>
        </w:rPr>
      </w:pPr>
    </w:p>
    <w:p w:rsidR="00B64486" w:rsidRDefault="00B64486" w:rsidP="00B64486">
      <w:pPr>
        <w:spacing w:after="0" w:line="240" w:lineRule="auto"/>
        <w:jc w:val="center"/>
        <w:outlineLvl w:val="0"/>
        <w:rPr>
          <w:b/>
          <w:sz w:val="28"/>
        </w:rPr>
      </w:pPr>
    </w:p>
    <w:p w:rsidR="00B64486" w:rsidRDefault="00B64486" w:rsidP="00B64486">
      <w:pPr>
        <w:spacing w:after="0" w:line="240" w:lineRule="auto"/>
        <w:jc w:val="center"/>
        <w:outlineLvl w:val="0"/>
        <w:rPr>
          <w:b/>
          <w:sz w:val="28"/>
        </w:rPr>
      </w:pPr>
      <w:r w:rsidRPr="00356144">
        <w:rPr>
          <w:b/>
          <w:sz w:val="28"/>
        </w:rPr>
        <w:t xml:space="preserve">Seafish </w:t>
      </w:r>
      <w:r>
        <w:rPr>
          <w:b/>
          <w:sz w:val="28"/>
        </w:rPr>
        <w:t>International Trade Exhibition Support</w:t>
      </w:r>
    </w:p>
    <w:p w:rsidR="00B64486" w:rsidRDefault="00B64486" w:rsidP="00B64486">
      <w:pPr>
        <w:spacing w:after="0" w:line="240" w:lineRule="auto"/>
        <w:jc w:val="center"/>
        <w:outlineLvl w:val="0"/>
        <w:rPr>
          <w:b/>
          <w:sz w:val="28"/>
        </w:rPr>
      </w:pPr>
    </w:p>
    <w:p w:rsidR="00B64486" w:rsidRDefault="00B64486" w:rsidP="00B64486">
      <w:pPr>
        <w:spacing w:after="0" w:line="240" w:lineRule="auto"/>
        <w:jc w:val="center"/>
        <w:outlineLvl w:val="0"/>
        <w:rPr>
          <w:b/>
          <w:sz w:val="28"/>
        </w:rPr>
      </w:pPr>
    </w:p>
    <w:p w:rsidR="00B64486" w:rsidRDefault="00B64486" w:rsidP="00B64486">
      <w:pPr>
        <w:spacing w:after="0" w:line="240" w:lineRule="auto"/>
        <w:jc w:val="center"/>
        <w:outlineLvl w:val="0"/>
        <w:rPr>
          <w:b/>
          <w:sz w:val="28"/>
        </w:rPr>
      </w:pPr>
      <w:r>
        <w:rPr>
          <w:b/>
          <w:sz w:val="28"/>
        </w:rPr>
        <w:t>Issued on: 15</w:t>
      </w:r>
      <w:r w:rsidRPr="00114E00">
        <w:rPr>
          <w:b/>
          <w:sz w:val="28"/>
          <w:vertAlign w:val="superscript"/>
        </w:rPr>
        <w:t>th</w:t>
      </w:r>
      <w:r>
        <w:rPr>
          <w:b/>
          <w:sz w:val="28"/>
        </w:rPr>
        <w:t xml:space="preserve"> September 2017</w:t>
      </w:r>
    </w:p>
    <w:p w:rsidR="00B64486" w:rsidRPr="00356144" w:rsidRDefault="00B64486" w:rsidP="00B64486">
      <w:pPr>
        <w:spacing w:after="0" w:line="240" w:lineRule="auto"/>
        <w:jc w:val="center"/>
        <w:outlineLvl w:val="0"/>
        <w:rPr>
          <w:b/>
          <w:sz w:val="28"/>
        </w:rPr>
      </w:pPr>
      <w:r>
        <w:rPr>
          <w:b/>
          <w:sz w:val="28"/>
        </w:rPr>
        <w:t>Seafish Reference No: TD2017-005</w:t>
      </w:r>
    </w:p>
    <w:p w:rsidR="00B64486" w:rsidRDefault="00B64486" w:rsidP="00B64486">
      <w:pPr>
        <w:spacing w:after="0" w:line="240" w:lineRule="auto"/>
        <w:rPr>
          <w:b/>
          <w:sz w:val="28"/>
        </w:rPr>
      </w:pPr>
      <w:r>
        <w:rPr>
          <w:b/>
          <w:sz w:val="28"/>
        </w:rPr>
        <w:br w:type="page"/>
      </w:r>
    </w:p>
    <w:p w:rsidR="00B64486" w:rsidRDefault="00B64486">
      <w:pPr>
        <w:rPr>
          <w:b/>
          <w:sz w:val="28"/>
        </w:rPr>
      </w:pPr>
      <w:r>
        <w:rPr>
          <w:b/>
          <w:sz w:val="28"/>
        </w:rPr>
        <w:lastRenderedPageBreak/>
        <w:t>Contents</w:t>
      </w:r>
    </w:p>
    <w:tbl>
      <w:tblPr>
        <w:tblStyle w:val="TableGrid"/>
        <w:tblW w:w="0" w:type="auto"/>
        <w:tblLook w:val="04A0" w:firstRow="1" w:lastRow="0" w:firstColumn="1" w:lastColumn="0" w:noHBand="0" w:noVBand="1"/>
      </w:tblPr>
      <w:tblGrid>
        <w:gridCol w:w="2490"/>
        <w:gridCol w:w="6859"/>
      </w:tblGrid>
      <w:tr w:rsidR="00C42E76" w:rsidTr="00C42E76">
        <w:trPr>
          <w:trHeight w:val="346"/>
        </w:trPr>
        <w:tc>
          <w:tcPr>
            <w:tcW w:w="2490" w:type="dxa"/>
          </w:tcPr>
          <w:p w:rsidR="00C42E76" w:rsidRDefault="00C42E76">
            <w:pPr>
              <w:rPr>
                <w:b/>
                <w:sz w:val="28"/>
              </w:rPr>
            </w:pPr>
            <w:r>
              <w:rPr>
                <w:b/>
                <w:sz w:val="28"/>
              </w:rPr>
              <w:t>1.</w:t>
            </w:r>
          </w:p>
        </w:tc>
        <w:tc>
          <w:tcPr>
            <w:tcW w:w="6859" w:type="dxa"/>
          </w:tcPr>
          <w:p w:rsidR="00C42E76" w:rsidRDefault="00C42E76">
            <w:pPr>
              <w:rPr>
                <w:b/>
                <w:sz w:val="28"/>
              </w:rPr>
            </w:pPr>
            <w:r>
              <w:rPr>
                <w:b/>
                <w:sz w:val="28"/>
              </w:rPr>
              <w:t>Introduction</w:t>
            </w:r>
          </w:p>
        </w:tc>
      </w:tr>
      <w:tr w:rsidR="00C42E76" w:rsidTr="00C42E76">
        <w:trPr>
          <w:trHeight w:val="346"/>
        </w:trPr>
        <w:tc>
          <w:tcPr>
            <w:tcW w:w="2490" w:type="dxa"/>
          </w:tcPr>
          <w:p w:rsidR="00C42E76" w:rsidRDefault="00C42E76">
            <w:pPr>
              <w:rPr>
                <w:b/>
                <w:sz w:val="28"/>
              </w:rPr>
            </w:pPr>
            <w:r>
              <w:rPr>
                <w:b/>
                <w:sz w:val="28"/>
              </w:rPr>
              <w:t>2.</w:t>
            </w:r>
          </w:p>
        </w:tc>
        <w:tc>
          <w:tcPr>
            <w:tcW w:w="6859" w:type="dxa"/>
          </w:tcPr>
          <w:p w:rsidR="00C42E76" w:rsidRDefault="00C42E76">
            <w:pPr>
              <w:rPr>
                <w:b/>
                <w:sz w:val="28"/>
              </w:rPr>
            </w:pPr>
            <w:r>
              <w:rPr>
                <w:b/>
                <w:sz w:val="28"/>
              </w:rPr>
              <w:t>Statement of Requirements</w:t>
            </w:r>
          </w:p>
        </w:tc>
      </w:tr>
      <w:tr w:rsidR="00C42E76" w:rsidTr="00C42E76">
        <w:trPr>
          <w:trHeight w:val="346"/>
        </w:trPr>
        <w:tc>
          <w:tcPr>
            <w:tcW w:w="2490" w:type="dxa"/>
          </w:tcPr>
          <w:p w:rsidR="00C42E76" w:rsidRDefault="00C42E76">
            <w:pPr>
              <w:rPr>
                <w:b/>
                <w:sz w:val="28"/>
              </w:rPr>
            </w:pPr>
            <w:r>
              <w:rPr>
                <w:b/>
                <w:sz w:val="28"/>
              </w:rPr>
              <w:t>3.</w:t>
            </w:r>
          </w:p>
        </w:tc>
        <w:tc>
          <w:tcPr>
            <w:tcW w:w="6859" w:type="dxa"/>
          </w:tcPr>
          <w:p w:rsidR="00C42E76" w:rsidRDefault="00C42E76">
            <w:pPr>
              <w:rPr>
                <w:b/>
                <w:sz w:val="28"/>
              </w:rPr>
            </w:pPr>
            <w:r>
              <w:rPr>
                <w:b/>
                <w:sz w:val="28"/>
              </w:rPr>
              <w:t>Instructions for Tendering</w:t>
            </w:r>
          </w:p>
        </w:tc>
      </w:tr>
      <w:tr w:rsidR="00C42E76" w:rsidTr="00C42E76">
        <w:trPr>
          <w:trHeight w:val="1420"/>
        </w:trPr>
        <w:tc>
          <w:tcPr>
            <w:tcW w:w="2490" w:type="dxa"/>
          </w:tcPr>
          <w:p w:rsidR="00C42E76" w:rsidRDefault="00C42E76">
            <w:pPr>
              <w:rPr>
                <w:b/>
                <w:sz w:val="28"/>
              </w:rPr>
            </w:pPr>
            <w:r>
              <w:rPr>
                <w:b/>
                <w:sz w:val="28"/>
              </w:rPr>
              <w:t>Appendices</w:t>
            </w:r>
          </w:p>
        </w:tc>
        <w:tc>
          <w:tcPr>
            <w:tcW w:w="6859" w:type="dxa"/>
          </w:tcPr>
          <w:p w:rsidR="00C42E76" w:rsidRDefault="00C42E76">
            <w:pPr>
              <w:rPr>
                <w:b/>
                <w:sz w:val="28"/>
              </w:rPr>
            </w:pPr>
            <w:r>
              <w:rPr>
                <w:b/>
                <w:sz w:val="28"/>
              </w:rPr>
              <w:t>Appendix 1 – Declaration of Tenderer</w:t>
            </w:r>
          </w:p>
          <w:p w:rsidR="00C42E76" w:rsidRDefault="00C42E76">
            <w:pPr>
              <w:rPr>
                <w:b/>
                <w:sz w:val="28"/>
              </w:rPr>
            </w:pPr>
            <w:r>
              <w:rPr>
                <w:b/>
                <w:sz w:val="28"/>
              </w:rPr>
              <w:t>Appendix 2 – Pricing Schedule</w:t>
            </w:r>
          </w:p>
          <w:p w:rsidR="00C42E76" w:rsidRDefault="00C42E76">
            <w:pPr>
              <w:rPr>
                <w:b/>
                <w:sz w:val="28"/>
              </w:rPr>
            </w:pPr>
            <w:r>
              <w:rPr>
                <w:b/>
                <w:sz w:val="28"/>
              </w:rPr>
              <w:t>Appendix 3 – Award Questionnaire</w:t>
            </w:r>
          </w:p>
          <w:p w:rsidR="00C42E76" w:rsidRDefault="00C42E76">
            <w:pPr>
              <w:rPr>
                <w:b/>
                <w:sz w:val="28"/>
              </w:rPr>
            </w:pPr>
            <w:r>
              <w:rPr>
                <w:b/>
                <w:sz w:val="28"/>
              </w:rPr>
              <w:t>Appendix 4 – Conditions of Contract</w:t>
            </w:r>
          </w:p>
        </w:tc>
      </w:tr>
    </w:tbl>
    <w:p w:rsidR="00B64486" w:rsidRDefault="00B64486">
      <w:pPr>
        <w:rPr>
          <w:b/>
          <w:sz w:val="28"/>
        </w:rPr>
      </w:pPr>
      <w:r>
        <w:rPr>
          <w:b/>
          <w:sz w:val="28"/>
        </w:rPr>
        <w:br w:type="page"/>
      </w:r>
    </w:p>
    <w:p w:rsidR="00B64486" w:rsidRDefault="00B64486">
      <w:pPr>
        <w:rPr>
          <w:b/>
          <w:sz w:val="28"/>
        </w:rPr>
      </w:pPr>
    </w:p>
    <w:p w:rsidR="00592A06" w:rsidRPr="00356144" w:rsidRDefault="0025546C">
      <w:pPr>
        <w:spacing w:after="0" w:line="240" w:lineRule="auto"/>
        <w:outlineLvl w:val="0"/>
        <w:rPr>
          <w:b/>
          <w:sz w:val="24"/>
        </w:rPr>
      </w:pPr>
      <w:r w:rsidRPr="00356144">
        <w:rPr>
          <w:b/>
          <w:sz w:val="24"/>
        </w:rPr>
        <w:t xml:space="preserve">1. </w:t>
      </w:r>
      <w:r w:rsidR="00066360">
        <w:rPr>
          <w:b/>
          <w:sz w:val="24"/>
        </w:rPr>
        <w:tab/>
      </w:r>
      <w:r w:rsidR="00B64486">
        <w:rPr>
          <w:b/>
          <w:sz w:val="24"/>
        </w:rPr>
        <w:t>INTRODUCTON</w:t>
      </w:r>
    </w:p>
    <w:p w:rsidR="00592A06" w:rsidRPr="00356144" w:rsidRDefault="00592A06">
      <w:pPr>
        <w:spacing w:after="0" w:line="240" w:lineRule="auto"/>
        <w:rPr>
          <w:b/>
          <w:sz w:val="24"/>
        </w:rPr>
      </w:pPr>
    </w:p>
    <w:p w:rsidR="00592A06" w:rsidRPr="00356144" w:rsidRDefault="00810DA5" w:rsidP="00066360">
      <w:pPr>
        <w:spacing w:after="0" w:line="240" w:lineRule="auto"/>
        <w:ind w:left="720"/>
        <w:rPr>
          <w:sz w:val="24"/>
        </w:rPr>
      </w:pPr>
      <w:r w:rsidRPr="00356144">
        <w:rPr>
          <w:sz w:val="24"/>
        </w:rPr>
        <w:t xml:space="preserve">Funded by statutory levy, payable by industry, </w:t>
      </w:r>
      <w:r w:rsidR="00DE0677">
        <w:rPr>
          <w:sz w:val="24"/>
        </w:rPr>
        <w:t>the Sea Fish Industry Authority (</w:t>
      </w:r>
      <w:r w:rsidRPr="00356144">
        <w:rPr>
          <w:sz w:val="24"/>
        </w:rPr>
        <w:t>Seafish</w:t>
      </w:r>
      <w:r w:rsidR="00DE0677">
        <w:rPr>
          <w:sz w:val="24"/>
        </w:rPr>
        <w:t>)</w:t>
      </w:r>
      <w:r w:rsidRPr="00356144">
        <w:rPr>
          <w:sz w:val="24"/>
        </w:rPr>
        <w:t xml:space="preserve"> </w:t>
      </w:r>
      <w:r w:rsidR="008E66EB" w:rsidRPr="00356144">
        <w:rPr>
          <w:sz w:val="24"/>
        </w:rPr>
        <w:t>was established</w:t>
      </w:r>
      <w:r w:rsidRPr="00356144">
        <w:rPr>
          <w:sz w:val="24"/>
        </w:rPr>
        <w:t xml:space="preserve"> by the 1981 Fisheries Act. </w:t>
      </w:r>
      <w:r w:rsidR="00AB6880" w:rsidRPr="00356144">
        <w:rPr>
          <w:sz w:val="24"/>
        </w:rPr>
        <w:t>We are</w:t>
      </w:r>
      <w:r w:rsidRPr="00356144">
        <w:rPr>
          <w:sz w:val="24"/>
        </w:rPr>
        <w:t xml:space="preserve"> jointly sponsored by the four UK Fisheries Administrations as a</w:t>
      </w:r>
      <w:r w:rsidR="00AB6880" w:rsidRPr="00356144">
        <w:rPr>
          <w:sz w:val="24"/>
        </w:rPr>
        <w:t>n</w:t>
      </w:r>
      <w:r w:rsidRPr="00356144">
        <w:rPr>
          <w:sz w:val="24"/>
        </w:rPr>
        <w:t xml:space="preserve"> executive Non Departmental Public </w:t>
      </w:r>
      <w:r w:rsidR="008E66EB" w:rsidRPr="00356144">
        <w:rPr>
          <w:sz w:val="24"/>
        </w:rPr>
        <w:t>Body (</w:t>
      </w:r>
      <w:r w:rsidRPr="00356144">
        <w:rPr>
          <w:sz w:val="24"/>
        </w:rPr>
        <w:t>NDPB</w:t>
      </w:r>
      <w:r w:rsidR="008E66EB" w:rsidRPr="00356144">
        <w:rPr>
          <w:sz w:val="24"/>
        </w:rPr>
        <w:t>),</w:t>
      </w:r>
      <w:r w:rsidRPr="00356144">
        <w:rPr>
          <w:sz w:val="24"/>
        </w:rPr>
        <w:t xml:space="preserve"> that is, a body that is not a Government department, but is </w:t>
      </w:r>
      <w:r w:rsidR="008E66EB" w:rsidRPr="00356144">
        <w:rPr>
          <w:sz w:val="24"/>
        </w:rPr>
        <w:t>an organisation</w:t>
      </w:r>
      <w:r w:rsidRPr="00356144">
        <w:rPr>
          <w:sz w:val="24"/>
        </w:rPr>
        <w:t xml:space="preserve"> which carries out functions with technical expertise, impartiality and transparency, at arm’s length from Ministers. As with other executive NDPBs, Seafish is led and directed by an independent Board but Ministers remain accountable to their respective Parliament or Assembly for Seafish’s overall performance. The Seafish Board Chair, Deputy Chair and Members are appointed by the four Fisheries Ministers.</w:t>
      </w:r>
    </w:p>
    <w:p w:rsidR="00592A06" w:rsidRPr="00356144" w:rsidRDefault="00592A06">
      <w:pPr>
        <w:spacing w:after="0" w:line="240" w:lineRule="auto"/>
        <w:rPr>
          <w:sz w:val="24"/>
        </w:rPr>
      </w:pPr>
    </w:p>
    <w:p w:rsidR="00C12D62" w:rsidRPr="00356144" w:rsidRDefault="0025546C" w:rsidP="00066360">
      <w:pPr>
        <w:spacing w:after="0" w:line="240" w:lineRule="auto"/>
        <w:ind w:left="720"/>
        <w:rPr>
          <w:sz w:val="24"/>
        </w:rPr>
      </w:pPr>
      <w:r w:rsidRPr="00356144">
        <w:rPr>
          <w:sz w:val="24"/>
          <w:szCs w:val="24"/>
        </w:rPr>
        <w:t xml:space="preserve">Our </w:t>
      </w:r>
      <w:r w:rsidR="00810DA5" w:rsidRPr="00356144">
        <w:rPr>
          <w:sz w:val="24"/>
          <w:szCs w:val="24"/>
        </w:rPr>
        <w:t>purpose</w:t>
      </w:r>
      <w:r w:rsidR="00C12D62" w:rsidRPr="00356144">
        <w:rPr>
          <w:sz w:val="24"/>
          <w:szCs w:val="24"/>
        </w:rPr>
        <w:t xml:space="preserve"> is s</w:t>
      </w:r>
      <w:r w:rsidR="00810DA5" w:rsidRPr="00356144">
        <w:rPr>
          <w:rFonts w:cs="Arial"/>
          <w:sz w:val="24"/>
          <w:szCs w:val="24"/>
        </w:rPr>
        <w:t>ecuring a sustainable and profitable future for the UK seafood industry</w:t>
      </w:r>
      <w:r w:rsidR="00C12D62" w:rsidRPr="00356144">
        <w:rPr>
          <w:rFonts w:cs="Arial"/>
          <w:sz w:val="24"/>
          <w:szCs w:val="24"/>
        </w:rPr>
        <w:t xml:space="preserve"> and o</w:t>
      </w:r>
      <w:r w:rsidRPr="00356144">
        <w:rPr>
          <w:sz w:val="24"/>
        </w:rPr>
        <w:t xml:space="preserve">ur work cuts across all segments of the seafood value chain from production, through processing and manufacturing to retail and foodservice. </w:t>
      </w:r>
    </w:p>
    <w:p w:rsidR="00C12D62" w:rsidRPr="00356144" w:rsidRDefault="00C12D62">
      <w:pPr>
        <w:spacing w:after="0" w:line="240" w:lineRule="auto"/>
        <w:rPr>
          <w:sz w:val="24"/>
        </w:rPr>
      </w:pPr>
    </w:p>
    <w:p w:rsidR="00356144" w:rsidRDefault="00DD19F9" w:rsidP="00066360">
      <w:pPr>
        <w:spacing w:after="0" w:line="240" w:lineRule="auto"/>
        <w:ind w:left="720"/>
        <w:rPr>
          <w:sz w:val="24"/>
        </w:rPr>
      </w:pPr>
      <w:r>
        <w:rPr>
          <w:sz w:val="24"/>
        </w:rPr>
        <w:t>With circa 80% of the seafood consumed in the UK being imported and 60% of the domestic catch being exported it is clear that international trade is vital to all sectors of the industry.</w:t>
      </w:r>
      <w:r w:rsidR="00CC7ABD">
        <w:rPr>
          <w:sz w:val="24"/>
        </w:rPr>
        <w:t xml:space="preserve"> </w:t>
      </w:r>
    </w:p>
    <w:p w:rsidR="00CC7ABD" w:rsidRDefault="00CC7ABD">
      <w:pPr>
        <w:spacing w:after="0" w:line="240" w:lineRule="auto"/>
        <w:rPr>
          <w:sz w:val="24"/>
        </w:rPr>
      </w:pPr>
    </w:p>
    <w:p w:rsidR="00BE31ED" w:rsidRPr="00BE31ED" w:rsidRDefault="002B1AE5" w:rsidP="00066360">
      <w:pPr>
        <w:spacing w:after="0" w:line="240" w:lineRule="auto"/>
        <w:ind w:left="720"/>
        <w:rPr>
          <w:sz w:val="24"/>
        </w:rPr>
      </w:pPr>
      <w:r>
        <w:rPr>
          <w:sz w:val="24"/>
        </w:rPr>
        <w:t>We</w:t>
      </w:r>
      <w:r w:rsidR="00CC7ABD" w:rsidRPr="00BE31ED">
        <w:rPr>
          <w:sz w:val="24"/>
        </w:rPr>
        <w:t xml:space="preserve"> wish to appoint a full service exhibition contractor initially on a one year contract with an option to extend for a further two years. </w:t>
      </w:r>
      <w:r w:rsidR="00BE31ED" w:rsidRPr="00BE31ED">
        <w:rPr>
          <w:sz w:val="24"/>
        </w:rPr>
        <w:t xml:space="preserve">The successful bidder will be required to </w:t>
      </w:r>
      <w:r w:rsidR="00BE31ED">
        <w:rPr>
          <w:sz w:val="24"/>
        </w:rPr>
        <w:t>manage all aspects of the stand or pavilion</w:t>
      </w:r>
      <w:r w:rsidR="00BE31ED" w:rsidRPr="00BE31ED">
        <w:rPr>
          <w:sz w:val="24"/>
        </w:rPr>
        <w:t xml:space="preserve"> at the exhibition from booking space and stand construction to production of graphics. The supplier will not be expected to man the stand during exhibition hours but will be expected to ensure that it is clean and fit for purpose during the exhibition.</w:t>
      </w:r>
    </w:p>
    <w:p w:rsidR="00DD19F9" w:rsidRPr="00356144" w:rsidRDefault="00DD19F9">
      <w:pPr>
        <w:spacing w:after="0" w:line="240" w:lineRule="auto"/>
        <w:rPr>
          <w:sz w:val="24"/>
        </w:rPr>
      </w:pPr>
    </w:p>
    <w:p w:rsidR="00B64486" w:rsidRPr="00356144" w:rsidRDefault="00B64486" w:rsidP="00B64486">
      <w:pPr>
        <w:spacing w:after="0" w:line="240" w:lineRule="auto"/>
        <w:outlineLvl w:val="0"/>
        <w:rPr>
          <w:b/>
          <w:sz w:val="24"/>
        </w:rPr>
      </w:pPr>
      <w:r>
        <w:rPr>
          <w:b/>
          <w:sz w:val="24"/>
        </w:rPr>
        <w:t>1.2</w:t>
      </w:r>
      <w:r w:rsidRPr="00356144">
        <w:rPr>
          <w:b/>
          <w:sz w:val="24"/>
        </w:rPr>
        <w:t xml:space="preserve">. </w:t>
      </w:r>
      <w:r w:rsidR="00066360">
        <w:rPr>
          <w:b/>
          <w:sz w:val="24"/>
        </w:rPr>
        <w:tab/>
      </w:r>
      <w:r w:rsidRPr="00356144">
        <w:rPr>
          <w:b/>
          <w:sz w:val="24"/>
        </w:rPr>
        <w:t>The Need</w:t>
      </w:r>
    </w:p>
    <w:p w:rsidR="00B64486" w:rsidRPr="00102658" w:rsidRDefault="00B64486" w:rsidP="00B64486">
      <w:pPr>
        <w:spacing w:after="0" w:line="240" w:lineRule="auto"/>
        <w:rPr>
          <w:sz w:val="24"/>
        </w:rPr>
      </w:pPr>
    </w:p>
    <w:p w:rsidR="00B64486" w:rsidRDefault="00B64486" w:rsidP="00B64486">
      <w:pPr>
        <w:pStyle w:val="ListParagraph"/>
        <w:numPr>
          <w:ilvl w:val="0"/>
          <w:numId w:val="19"/>
        </w:numPr>
        <w:spacing w:after="0" w:line="240" w:lineRule="auto"/>
        <w:rPr>
          <w:sz w:val="24"/>
          <w:szCs w:val="24"/>
        </w:rPr>
      </w:pPr>
      <w:r>
        <w:rPr>
          <w:sz w:val="24"/>
          <w:szCs w:val="24"/>
        </w:rPr>
        <w:t>To assist UK seafood professionals in international trade.</w:t>
      </w:r>
    </w:p>
    <w:p w:rsidR="00B64486" w:rsidRDefault="00B64486" w:rsidP="00B64486">
      <w:pPr>
        <w:pStyle w:val="ListParagraph"/>
        <w:numPr>
          <w:ilvl w:val="0"/>
          <w:numId w:val="19"/>
        </w:numPr>
        <w:spacing w:after="0" w:line="240" w:lineRule="auto"/>
        <w:rPr>
          <w:sz w:val="24"/>
          <w:szCs w:val="24"/>
        </w:rPr>
      </w:pPr>
      <w:r>
        <w:rPr>
          <w:sz w:val="24"/>
          <w:szCs w:val="24"/>
        </w:rPr>
        <w:t>To provide information to international buyers on the quality, provenance and sustainability of UK seafood.</w:t>
      </w:r>
    </w:p>
    <w:p w:rsidR="00B64486" w:rsidRDefault="00B64486" w:rsidP="00B64486">
      <w:pPr>
        <w:pStyle w:val="ListParagraph"/>
        <w:numPr>
          <w:ilvl w:val="0"/>
          <w:numId w:val="19"/>
        </w:numPr>
        <w:spacing w:after="0" w:line="240" w:lineRule="auto"/>
        <w:rPr>
          <w:sz w:val="24"/>
          <w:szCs w:val="24"/>
        </w:rPr>
      </w:pPr>
      <w:r>
        <w:rPr>
          <w:sz w:val="24"/>
          <w:szCs w:val="24"/>
        </w:rPr>
        <w:t>To raise the profile of UK seafood on the international stage.</w:t>
      </w:r>
    </w:p>
    <w:p w:rsidR="00B64486" w:rsidRDefault="00B64486" w:rsidP="00B64486">
      <w:pPr>
        <w:spacing w:after="0" w:line="240" w:lineRule="auto"/>
        <w:rPr>
          <w:sz w:val="24"/>
          <w:szCs w:val="24"/>
        </w:rPr>
      </w:pPr>
    </w:p>
    <w:p w:rsidR="00B64486" w:rsidRPr="00356144" w:rsidRDefault="00B64486" w:rsidP="00B64486">
      <w:pPr>
        <w:spacing w:after="0" w:line="240" w:lineRule="auto"/>
        <w:outlineLvl w:val="0"/>
        <w:rPr>
          <w:b/>
          <w:sz w:val="24"/>
        </w:rPr>
      </w:pPr>
      <w:r>
        <w:rPr>
          <w:b/>
          <w:sz w:val="24"/>
        </w:rPr>
        <w:t>1.3</w:t>
      </w:r>
      <w:r w:rsidRPr="00356144">
        <w:rPr>
          <w:b/>
          <w:sz w:val="24"/>
        </w:rPr>
        <w:t xml:space="preserve"> </w:t>
      </w:r>
      <w:r w:rsidR="00066360">
        <w:rPr>
          <w:b/>
          <w:sz w:val="24"/>
        </w:rPr>
        <w:tab/>
      </w:r>
      <w:r w:rsidRPr="00356144">
        <w:rPr>
          <w:b/>
          <w:sz w:val="24"/>
        </w:rPr>
        <w:t>Budget</w:t>
      </w:r>
    </w:p>
    <w:p w:rsidR="00B64486" w:rsidRDefault="00B64486" w:rsidP="00066360">
      <w:pPr>
        <w:spacing w:after="0" w:line="240" w:lineRule="auto"/>
        <w:ind w:left="720"/>
        <w:rPr>
          <w:color w:val="000000"/>
          <w:sz w:val="24"/>
        </w:rPr>
      </w:pPr>
      <w:r w:rsidRPr="00356144">
        <w:rPr>
          <w:color w:val="000000"/>
          <w:sz w:val="24"/>
        </w:rPr>
        <w:t>The</w:t>
      </w:r>
      <w:r>
        <w:rPr>
          <w:color w:val="000000"/>
          <w:sz w:val="24"/>
        </w:rPr>
        <w:t xml:space="preserve"> budget will be allocated from show to show and will cover all graphics, stand space, construction costs, furniture and management fees and expenses. Stand sizes will vary from circa 27sqm to 90sqm. Whilst the budget is flexible according to the annual exhibition programme, it will not exceed £150,000 per year (inclusive of VAT and any local taxes). </w:t>
      </w:r>
    </w:p>
    <w:p w:rsidR="00B64486" w:rsidRDefault="00B64486" w:rsidP="00B64486">
      <w:pPr>
        <w:spacing w:after="0" w:line="240" w:lineRule="auto"/>
        <w:rPr>
          <w:color w:val="000000"/>
          <w:sz w:val="24"/>
        </w:rPr>
      </w:pPr>
    </w:p>
    <w:p w:rsidR="00066360" w:rsidRDefault="00066360">
      <w:pPr>
        <w:rPr>
          <w:color w:val="000000"/>
          <w:sz w:val="24"/>
        </w:rPr>
      </w:pPr>
      <w:r>
        <w:rPr>
          <w:color w:val="000000"/>
          <w:sz w:val="24"/>
        </w:rPr>
        <w:br w:type="page"/>
      </w:r>
    </w:p>
    <w:p w:rsidR="00B64486" w:rsidRDefault="00B64486" w:rsidP="00066360">
      <w:pPr>
        <w:spacing w:after="0" w:line="240" w:lineRule="auto"/>
        <w:ind w:left="720"/>
        <w:rPr>
          <w:color w:val="000000"/>
          <w:sz w:val="24"/>
        </w:rPr>
      </w:pPr>
      <w:r>
        <w:rPr>
          <w:color w:val="000000"/>
          <w:sz w:val="24"/>
        </w:rPr>
        <w:lastRenderedPageBreak/>
        <w:t>Please provide details of your approach to ensure successful delivery, stand design and construction and your management costs based on the two scenarios of a 27sqm information stand and a 90sqm pavilion providing meeting facilities for Seafish stakeholders.</w:t>
      </w:r>
    </w:p>
    <w:p w:rsidR="00B64486" w:rsidRDefault="00B64486" w:rsidP="00B64486">
      <w:pPr>
        <w:spacing w:after="0" w:line="240" w:lineRule="auto"/>
        <w:rPr>
          <w:color w:val="000000"/>
          <w:sz w:val="24"/>
        </w:rPr>
      </w:pPr>
    </w:p>
    <w:p w:rsidR="00B64486" w:rsidRDefault="00B64486" w:rsidP="00066360">
      <w:pPr>
        <w:spacing w:after="0" w:line="240" w:lineRule="auto"/>
        <w:ind w:left="720"/>
        <w:rPr>
          <w:color w:val="000000"/>
          <w:sz w:val="24"/>
        </w:rPr>
      </w:pPr>
      <w:r>
        <w:rPr>
          <w:color w:val="000000"/>
          <w:sz w:val="24"/>
        </w:rPr>
        <w:t>The contract will cover a twelve month programme commencing on 1</w:t>
      </w:r>
      <w:r w:rsidRPr="000518B8">
        <w:rPr>
          <w:color w:val="000000"/>
          <w:sz w:val="24"/>
          <w:vertAlign w:val="superscript"/>
        </w:rPr>
        <w:t>st</w:t>
      </w:r>
      <w:r>
        <w:rPr>
          <w:color w:val="000000"/>
          <w:sz w:val="24"/>
        </w:rPr>
        <w:t xml:space="preserve"> April 2018 with options to extend to a maximum of 36 months.</w:t>
      </w:r>
    </w:p>
    <w:p w:rsidR="00066360" w:rsidRDefault="00066360" w:rsidP="00066360">
      <w:pPr>
        <w:spacing w:after="0" w:line="240" w:lineRule="auto"/>
        <w:ind w:left="720"/>
        <w:rPr>
          <w:color w:val="000000"/>
          <w:sz w:val="24"/>
        </w:rPr>
      </w:pPr>
    </w:p>
    <w:p w:rsidR="00066360" w:rsidRDefault="00066360" w:rsidP="00066360">
      <w:pPr>
        <w:spacing w:after="0" w:line="240" w:lineRule="auto"/>
        <w:ind w:left="720"/>
        <w:rPr>
          <w:color w:val="000000"/>
          <w:sz w:val="24"/>
        </w:rPr>
      </w:pPr>
    </w:p>
    <w:p w:rsidR="00066360" w:rsidRDefault="00066360">
      <w:pPr>
        <w:rPr>
          <w:b/>
          <w:sz w:val="24"/>
        </w:rPr>
      </w:pPr>
      <w:r>
        <w:rPr>
          <w:b/>
          <w:sz w:val="24"/>
        </w:rPr>
        <w:br w:type="page"/>
      </w:r>
    </w:p>
    <w:p w:rsidR="00592A06" w:rsidRDefault="00B64486">
      <w:pPr>
        <w:spacing w:after="0" w:line="240" w:lineRule="auto"/>
        <w:outlineLvl w:val="0"/>
        <w:rPr>
          <w:b/>
          <w:sz w:val="24"/>
        </w:rPr>
      </w:pPr>
      <w:r>
        <w:rPr>
          <w:b/>
          <w:sz w:val="24"/>
        </w:rPr>
        <w:lastRenderedPageBreak/>
        <w:t xml:space="preserve">2. </w:t>
      </w:r>
      <w:r w:rsidR="00066360">
        <w:rPr>
          <w:b/>
          <w:sz w:val="24"/>
        </w:rPr>
        <w:tab/>
      </w:r>
      <w:r>
        <w:rPr>
          <w:b/>
          <w:sz w:val="24"/>
        </w:rPr>
        <w:t>STATEMENT OF REQUIREMENTS</w:t>
      </w:r>
    </w:p>
    <w:p w:rsidR="00DD19F9" w:rsidRPr="00B64486" w:rsidRDefault="00DD19F9" w:rsidP="00B64486">
      <w:pPr>
        <w:spacing w:after="0" w:line="240" w:lineRule="auto"/>
        <w:rPr>
          <w:sz w:val="24"/>
          <w:szCs w:val="24"/>
        </w:rPr>
      </w:pPr>
    </w:p>
    <w:p w:rsidR="00592A06" w:rsidRPr="00434459" w:rsidRDefault="00B64486">
      <w:pPr>
        <w:spacing w:after="0" w:line="240" w:lineRule="auto"/>
        <w:outlineLvl w:val="0"/>
        <w:rPr>
          <w:b/>
          <w:sz w:val="24"/>
          <w:szCs w:val="24"/>
        </w:rPr>
      </w:pPr>
      <w:r>
        <w:rPr>
          <w:b/>
          <w:sz w:val="24"/>
          <w:szCs w:val="24"/>
        </w:rPr>
        <w:t>2.1</w:t>
      </w:r>
      <w:r w:rsidR="0025546C" w:rsidRPr="00434459">
        <w:rPr>
          <w:b/>
          <w:sz w:val="24"/>
          <w:szCs w:val="24"/>
        </w:rPr>
        <w:t xml:space="preserve"> </w:t>
      </w:r>
      <w:r w:rsidR="00066360">
        <w:rPr>
          <w:b/>
          <w:sz w:val="24"/>
          <w:szCs w:val="24"/>
        </w:rPr>
        <w:tab/>
      </w:r>
      <w:r w:rsidR="0025546C" w:rsidRPr="00434459">
        <w:rPr>
          <w:b/>
          <w:sz w:val="24"/>
          <w:szCs w:val="24"/>
        </w:rPr>
        <w:t>Scope</w:t>
      </w:r>
    </w:p>
    <w:p w:rsidR="00592A06" w:rsidRPr="00434459" w:rsidRDefault="00592A06">
      <w:pPr>
        <w:spacing w:after="0" w:line="240" w:lineRule="auto"/>
        <w:rPr>
          <w:b/>
          <w:sz w:val="24"/>
          <w:szCs w:val="24"/>
        </w:rPr>
      </w:pPr>
    </w:p>
    <w:p w:rsidR="00E36227" w:rsidRDefault="0025546C" w:rsidP="00066360">
      <w:pPr>
        <w:spacing w:after="0" w:line="240" w:lineRule="auto"/>
        <w:ind w:firstLine="720"/>
        <w:rPr>
          <w:sz w:val="24"/>
        </w:rPr>
      </w:pPr>
      <w:r w:rsidRPr="00356144">
        <w:rPr>
          <w:sz w:val="24"/>
        </w:rPr>
        <w:t>Tenders are invited to</w:t>
      </w:r>
      <w:r w:rsidR="00356144">
        <w:rPr>
          <w:sz w:val="24"/>
        </w:rPr>
        <w:t>:</w:t>
      </w:r>
    </w:p>
    <w:p w:rsidR="00356144" w:rsidRDefault="00356144">
      <w:pPr>
        <w:spacing w:after="0" w:line="240" w:lineRule="auto"/>
        <w:rPr>
          <w:sz w:val="24"/>
        </w:rPr>
      </w:pPr>
    </w:p>
    <w:p w:rsidR="00356144" w:rsidRDefault="00DD19F9" w:rsidP="00356144">
      <w:pPr>
        <w:pStyle w:val="ListParagraph"/>
        <w:numPr>
          <w:ilvl w:val="0"/>
          <w:numId w:val="17"/>
        </w:numPr>
        <w:spacing w:after="0"/>
        <w:contextualSpacing w:val="0"/>
        <w:rPr>
          <w:rFonts w:cs="Arial"/>
          <w:sz w:val="24"/>
          <w:szCs w:val="24"/>
        </w:rPr>
      </w:pPr>
      <w:r>
        <w:rPr>
          <w:rFonts w:cs="Arial"/>
          <w:sz w:val="24"/>
          <w:szCs w:val="24"/>
        </w:rPr>
        <w:t>Plan</w:t>
      </w:r>
      <w:r w:rsidR="00DE0677">
        <w:rPr>
          <w:rFonts w:cs="Arial"/>
          <w:sz w:val="24"/>
          <w:szCs w:val="24"/>
        </w:rPr>
        <w:t>, design</w:t>
      </w:r>
      <w:r>
        <w:rPr>
          <w:rFonts w:cs="Arial"/>
          <w:sz w:val="24"/>
          <w:szCs w:val="24"/>
        </w:rPr>
        <w:t xml:space="preserve"> and manage </w:t>
      </w:r>
      <w:r w:rsidR="000518B8">
        <w:rPr>
          <w:rFonts w:cs="Arial"/>
          <w:sz w:val="24"/>
          <w:szCs w:val="24"/>
        </w:rPr>
        <w:t>Seafish</w:t>
      </w:r>
      <w:r>
        <w:rPr>
          <w:rFonts w:cs="Arial"/>
          <w:sz w:val="24"/>
          <w:szCs w:val="24"/>
        </w:rPr>
        <w:t xml:space="preserve"> informa</w:t>
      </w:r>
      <w:r w:rsidR="001439C7">
        <w:rPr>
          <w:rFonts w:cs="Arial"/>
          <w:sz w:val="24"/>
          <w:szCs w:val="24"/>
        </w:rPr>
        <w:t xml:space="preserve">tion </w:t>
      </w:r>
      <w:r w:rsidR="00CC7ABD">
        <w:rPr>
          <w:rFonts w:cs="Arial"/>
          <w:sz w:val="24"/>
          <w:szCs w:val="24"/>
        </w:rPr>
        <w:t xml:space="preserve">pavilions and </w:t>
      </w:r>
      <w:r w:rsidR="001439C7">
        <w:rPr>
          <w:rFonts w:cs="Arial"/>
          <w:sz w:val="24"/>
          <w:szCs w:val="24"/>
        </w:rPr>
        <w:t>stands/meeting points at</w:t>
      </w:r>
      <w:r>
        <w:rPr>
          <w:rFonts w:cs="Arial"/>
          <w:sz w:val="24"/>
          <w:szCs w:val="24"/>
        </w:rPr>
        <w:t xml:space="preserve"> international seafood exhibitio</w:t>
      </w:r>
      <w:r w:rsidR="003A2140">
        <w:rPr>
          <w:rFonts w:cs="Arial"/>
          <w:sz w:val="24"/>
          <w:szCs w:val="24"/>
        </w:rPr>
        <w:t>ns</w:t>
      </w:r>
      <w:r>
        <w:rPr>
          <w:rFonts w:cs="Arial"/>
          <w:sz w:val="24"/>
          <w:szCs w:val="24"/>
        </w:rPr>
        <w:t xml:space="preserve"> in for example: Boston, USA; </w:t>
      </w:r>
      <w:r w:rsidR="00762392">
        <w:rPr>
          <w:rFonts w:cs="Arial"/>
          <w:sz w:val="24"/>
          <w:szCs w:val="24"/>
        </w:rPr>
        <w:t>Brussels, Belgium, and Tokyo, Japan</w:t>
      </w:r>
    </w:p>
    <w:p w:rsidR="00AA6867" w:rsidRDefault="00271620" w:rsidP="00356144">
      <w:pPr>
        <w:pStyle w:val="ListParagraph"/>
        <w:numPr>
          <w:ilvl w:val="0"/>
          <w:numId w:val="17"/>
        </w:numPr>
        <w:spacing w:after="0"/>
        <w:contextualSpacing w:val="0"/>
        <w:rPr>
          <w:rFonts w:cs="Arial"/>
          <w:sz w:val="24"/>
          <w:szCs w:val="24"/>
        </w:rPr>
      </w:pPr>
      <w:r>
        <w:rPr>
          <w:rFonts w:cs="Arial"/>
          <w:sz w:val="24"/>
          <w:szCs w:val="24"/>
        </w:rPr>
        <w:t>Liaise with exh</w:t>
      </w:r>
      <w:r w:rsidR="00AA6867">
        <w:rPr>
          <w:rFonts w:cs="Arial"/>
          <w:sz w:val="24"/>
          <w:szCs w:val="24"/>
        </w:rPr>
        <w:t>ibition organisers on stand size and site within the exhibition to ensure the maximum impact.</w:t>
      </w:r>
    </w:p>
    <w:p w:rsidR="009E1C89" w:rsidRDefault="00AA6867" w:rsidP="00356144">
      <w:pPr>
        <w:pStyle w:val="ListParagraph"/>
        <w:numPr>
          <w:ilvl w:val="0"/>
          <w:numId w:val="17"/>
        </w:numPr>
        <w:spacing w:after="0"/>
        <w:contextualSpacing w:val="0"/>
        <w:rPr>
          <w:rFonts w:cs="Arial"/>
          <w:sz w:val="24"/>
          <w:szCs w:val="24"/>
        </w:rPr>
      </w:pPr>
      <w:r>
        <w:rPr>
          <w:rFonts w:cs="Arial"/>
          <w:sz w:val="24"/>
          <w:szCs w:val="24"/>
        </w:rPr>
        <w:t>B</w:t>
      </w:r>
      <w:r w:rsidR="009E1C89">
        <w:rPr>
          <w:rFonts w:cs="Arial"/>
          <w:sz w:val="24"/>
          <w:szCs w:val="24"/>
        </w:rPr>
        <w:t>ook adequate stand space</w:t>
      </w:r>
      <w:r>
        <w:rPr>
          <w:rFonts w:cs="Arial"/>
          <w:sz w:val="24"/>
          <w:szCs w:val="24"/>
        </w:rPr>
        <w:t xml:space="preserve"> and</w:t>
      </w:r>
      <w:r w:rsidR="00EF1D22">
        <w:rPr>
          <w:rFonts w:cs="Arial"/>
          <w:sz w:val="24"/>
          <w:szCs w:val="24"/>
        </w:rPr>
        <w:t xml:space="preserve"> </w:t>
      </w:r>
      <w:r w:rsidR="009E1C89">
        <w:rPr>
          <w:rFonts w:cs="Arial"/>
          <w:sz w:val="24"/>
          <w:szCs w:val="24"/>
        </w:rPr>
        <w:t>arrange stand lighting, furniture and refreshment facilities such as tea, coffee and soft drinks.</w:t>
      </w:r>
    </w:p>
    <w:p w:rsidR="009E1C89" w:rsidRDefault="00AA6867" w:rsidP="00356144">
      <w:pPr>
        <w:pStyle w:val="ListParagraph"/>
        <w:numPr>
          <w:ilvl w:val="0"/>
          <w:numId w:val="17"/>
        </w:numPr>
        <w:spacing w:after="0"/>
        <w:contextualSpacing w:val="0"/>
        <w:rPr>
          <w:rFonts w:cs="Arial"/>
          <w:sz w:val="24"/>
          <w:szCs w:val="24"/>
        </w:rPr>
      </w:pPr>
      <w:r>
        <w:rPr>
          <w:rFonts w:cs="Arial"/>
          <w:sz w:val="24"/>
          <w:szCs w:val="24"/>
        </w:rPr>
        <w:t>Arrange for the</w:t>
      </w:r>
      <w:r w:rsidR="009E1C89">
        <w:rPr>
          <w:rFonts w:cs="Arial"/>
          <w:sz w:val="24"/>
          <w:szCs w:val="24"/>
        </w:rPr>
        <w:t xml:space="preserve"> print</w:t>
      </w:r>
      <w:r>
        <w:rPr>
          <w:rFonts w:cs="Arial"/>
          <w:sz w:val="24"/>
          <w:szCs w:val="24"/>
        </w:rPr>
        <w:t>ing of</w:t>
      </w:r>
      <w:r w:rsidR="009E1C89">
        <w:rPr>
          <w:rFonts w:cs="Arial"/>
          <w:sz w:val="24"/>
          <w:szCs w:val="24"/>
        </w:rPr>
        <w:t xml:space="preserve"> graphics</w:t>
      </w:r>
      <w:r w:rsidR="00EF1D22">
        <w:rPr>
          <w:rFonts w:cs="Arial"/>
          <w:sz w:val="24"/>
          <w:szCs w:val="24"/>
        </w:rPr>
        <w:t xml:space="preserve"> </w:t>
      </w:r>
      <w:r>
        <w:rPr>
          <w:rFonts w:cs="Arial"/>
          <w:sz w:val="24"/>
          <w:szCs w:val="24"/>
        </w:rPr>
        <w:t>as required</w:t>
      </w:r>
      <w:r w:rsidR="009E1C89">
        <w:rPr>
          <w:rFonts w:cs="Arial"/>
          <w:sz w:val="24"/>
          <w:szCs w:val="24"/>
        </w:rPr>
        <w:t>.</w:t>
      </w:r>
    </w:p>
    <w:p w:rsidR="00AA6867" w:rsidRDefault="009E1C89" w:rsidP="00356144">
      <w:pPr>
        <w:pStyle w:val="ListParagraph"/>
        <w:numPr>
          <w:ilvl w:val="0"/>
          <w:numId w:val="17"/>
        </w:numPr>
        <w:spacing w:after="0"/>
        <w:contextualSpacing w:val="0"/>
        <w:rPr>
          <w:rFonts w:cs="Arial"/>
          <w:sz w:val="24"/>
          <w:szCs w:val="24"/>
        </w:rPr>
      </w:pPr>
      <w:r>
        <w:rPr>
          <w:rFonts w:cs="Arial"/>
          <w:sz w:val="24"/>
          <w:szCs w:val="24"/>
        </w:rPr>
        <w:t>Build stand before the exhibition</w:t>
      </w:r>
      <w:r w:rsidR="00AA6867">
        <w:rPr>
          <w:rFonts w:cs="Arial"/>
          <w:sz w:val="24"/>
          <w:szCs w:val="24"/>
        </w:rPr>
        <w:t>, hang graphics and ensure it is fit for purpose for the duration of the exhibition.</w:t>
      </w:r>
    </w:p>
    <w:p w:rsidR="009E1C89" w:rsidRDefault="00AA6867" w:rsidP="00356144">
      <w:pPr>
        <w:pStyle w:val="ListParagraph"/>
        <w:numPr>
          <w:ilvl w:val="0"/>
          <w:numId w:val="17"/>
        </w:numPr>
        <w:spacing w:after="0"/>
        <w:contextualSpacing w:val="0"/>
        <w:rPr>
          <w:rFonts w:cs="Arial"/>
          <w:sz w:val="24"/>
          <w:szCs w:val="24"/>
        </w:rPr>
      </w:pPr>
      <w:r>
        <w:rPr>
          <w:rFonts w:cs="Arial"/>
          <w:sz w:val="24"/>
          <w:szCs w:val="24"/>
        </w:rPr>
        <w:t>D</w:t>
      </w:r>
      <w:r w:rsidR="009E1C89">
        <w:rPr>
          <w:rFonts w:cs="Arial"/>
          <w:sz w:val="24"/>
          <w:szCs w:val="24"/>
        </w:rPr>
        <w:t>ismantle</w:t>
      </w:r>
      <w:r w:rsidR="00762392">
        <w:rPr>
          <w:rFonts w:cs="Arial"/>
          <w:sz w:val="24"/>
          <w:szCs w:val="24"/>
        </w:rPr>
        <w:t xml:space="preserve"> and store</w:t>
      </w:r>
      <w:r w:rsidR="009E1C89">
        <w:rPr>
          <w:rFonts w:cs="Arial"/>
          <w:sz w:val="24"/>
          <w:szCs w:val="24"/>
        </w:rPr>
        <w:t xml:space="preserve"> at the conclusion.</w:t>
      </w:r>
    </w:p>
    <w:p w:rsidR="00BE31ED" w:rsidRDefault="009E1C89" w:rsidP="00BE31ED">
      <w:pPr>
        <w:pStyle w:val="ListParagraph"/>
        <w:numPr>
          <w:ilvl w:val="0"/>
          <w:numId w:val="17"/>
        </w:numPr>
        <w:spacing w:after="0"/>
        <w:contextualSpacing w:val="0"/>
        <w:rPr>
          <w:rFonts w:cs="Arial"/>
          <w:sz w:val="24"/>
          <w:szCs w:val="24"/>
        </w:rPr>
      </w:pPr>
      <w:r>
        <w:rPr>
          <w:rFonts w:cs="Arial"/>
          <w:sz w:val="24"/>
          <w:szCs w:val="24"/>
        </w:rPr>
        <w:t>Where appropriate store graphics for use at subsequent exhibitions.</w:t>
      </w:r>
    </w:p>
    <w:p w:rsidR="00B64486" w:rsidRDefault="00B64486" w:rsidP="00B64486">
      <w:pPr>
        <w:spacing w:after="0"/>
        <w:rPr>
          <w:rFonts w:cs="Arial"/>
          <w:sz w:val="24"/>
          <w:szCs w:val="24"/>
        </w:rPr>
      </w:pPr>
    </w:p>
    <w:p w:rsidR="00B64486" w:rsidRDefault="00B64486" w:rsidP="00B64486">
      <w:pPr>
        <w:spacing w:after="0"/>
        <w:rPr>
          <w:rFonts w:cs="Arial"/>
          <w:b/>
          <w:sz w:val="24"/>
          <w:szCs w:val="24"/>
        </w:rPr>
      </w:pPr>
      <w:r w:rsidRPr="00B64486">
        <w:rPr>
          <w:rFonts w:cs="Arial"/>
          <w:b/>
          <w:sz w:val="24"/>
          <w:szCs w:val="24"/>
        </w:rPr>
        <w:t xml:space="preserve">2.2 </w:t>
      </w:r>
      <w:r w:rsidR="00066360">
        <w:rPr>
          <w:rFonts w:cs="Arial"/>
          <w:b/>
          <w:sz w:val="24"/>
          <w:szCs w:val="24"/>
        </w:rPr>
        <w:tab/>
      </w:r>
      <w:r w:rsidRPr="00B64486">
        <w:rPr>
          <w:rFonts w:cs="Arial"/>
          <w:b/>
          <w:sz w:val="24"/>
          <w:szCs w:val="24"/>
        </w:rPr>
        <w:t xml:space="preserve">Responsibilities of the contractor </w:t>
      </w:r>
    </w:p>
    <w:p w:rsidR="00AF6E2D" w:rsidRPr="00B64486" w:rsidRDefault="00AF6E2D" w:rsidP="00B64486">
      <w:pPr>
        <w:spacing w:after="0"/>
        <w:rPr>
          <w:rFonts w:cs="Arial"/>
          <w:b/>
          <w:sz w:val="24"/>
          <w:szCs w:val="24"/>
        </w:rPr>
      </w:pPr>
    </w:p>
    <w:p w:rsidR="00B64486" w:rsidRDefault="00AF6E2D" w:rsidP="00AF6E2D">
      <w:pPr>
        <w:spacing w:after="0"/>
        <w:ind w:left="720"/>
        <w:rPr>
          <w:rFonts w:cs="Arial"/>
          <w:sz w:val="24"/>
          <w:szCs w:val="24"/>
        </w:rPr>
      </w:pPr>
      <w:r>
        <w:rPr>
          <w:rFonts w:cs="Arial"/>
          <w:sz w:val="24"/>
          <w:szCs w:val="24"/>
        </w:rPr>
        <w:t>The contractor will advise the Seafish Project manager on all the logistics of the pavilion/stand at the agreed exhibitions.</w:t>
      </w:r>
    </w:p>
    <w:p w:rsidR="008C6F2E" w:rsidRDefault="008C6F2E" w:rsidP="00AF6E2D">
      <w:pPr>
        <w:spacing w:after="0"/>
        <w:ind w:left="720"/>
        <w:rPr>
          <w:rFonts w:cs="Arial"/>
          <w:sz w:val="24"/>
          <w:szCs w:val="24"/>
        </w:rPr>
      </w:pPr>
    </w:p>
    <w:p w:rsidR="008C6F2E" w:rsidRDefault="008C6F2E" w:rsidP="00AF6E2D">
      <w:pPr>
        <w:spacing w:after="0"/>
        <w:ind w:left="720"/>
        <w:rPr>
          <w:rFonts w:cs="Arial"/>
          <w:sz w:val="24"/>
          <w:szCs w:val="24"/>
        </w:rPr>
      </w:pPr>
      <w:r>
        <w:rPr>
          <w:rFonts w:cs="Arial"/>
          <w:sz w:val="24"/>
          <w:szCs w:val="24"/>
        </w:rPr>
        <w:t>The contactor will be responsible for appointing, managing and paying any subcontractors deemed necessary to the successful delivery of the agreed stands and pavilions.</w:t>
      </w:r>
    </w:p>
    <w:p w:rsidR="008C6F2E" w:rsidRDefault="008C6F2E" w:rsidP="00AF6E2D">
      <w:pPr>
        <w:spacing w:after="0"/>
        <w:ind w:left="720"/>
        <w:rPr>
          <w:rFonts w:cs="Arial"/>
          <w:sz w:val="24"/>
          <w:szCs w:val="24"/>
        </w:rPr>
      </w:pPr>
    </w:p>
    <w:p w:rsidR="008C6F2E" w:rsidRDefault="008C6F2E" w:rsidP="00AF6E2D">
      <w:pPr>
        <w:spacing w:after="0"/>
        <w:ind w:left="720"/>
        <w:rPr>
          <w:rFonts w:cs="Arial"/>
          <w:sz w:val="24"/>
          <w:szCs w:val="24"/>
        </w:rPr>
      </w:pPr>
      <w:r>
        <w:rPr>
          <w:rFonts w:cs="Arial"/>
          <w:sz w:val="24"/>
          <w:szCs w:val="24"/>
        </w:rPr>
        <w:t>The contractor will be responsible for advising the Seafish Project Manager on siting and booking the necessary space.</w:t>
      </w:r>
    </w:p>
    <w:p w:rsidR="008C6F2E" w:rsidRDefault="008C6F2E" w:rsidP="00AF6E2D">
      <w:pPr>
        <w:spacing w:after="0"/>
        <w:ind w:left="720"/>
        <w:rPr>
          <w:rFonts w:cs="Arial"/>
          <w:sz w:val="24"/>
          <w:szCs w:val="24"/>
        </w:rPr>
      </w:pPr>
    </w:p>
    <w:p w:rsidR="008C6F2E" w:rsidRDefault="008C6F2E" w:rsidP="00AF6E2D">
      <w:pPr>
        <w:spacing w:after="0"/>
        <w:ind w:left="720"/>
        <w:rPr>
          <w:rFonts w:cs="Arial"/>
          <w:sz w:val="24"/>
          <w:szCs w:val="24"/>
        </w:rPr>
      </w:pPr>
      <w:r>
        <w:rPr>
          <w:rFonts w:cs="Arial"/>
          <w:sz w:val="24"/>
          <w:szCs w:val="24"/>
        </w:rPr>
        <w:t>The contactor will manage all the logistics of the stand construction, dismantling and storage.</w:t>
      </w:r>
    </w:p>
    <w:p w:rsidR="008C6F2E" w:rsidRDefault="008C6F2E" w:rsidP="00AF6E2D">
      <w:pPr>
        <w:spacing w:after="0"/>
        <w:ind w:left="720"/>
        <w:rPr>
          <w:rFonts w:cs="Arial"/>
          <w:sz w:val="24"/>
          <w:szCs w:val="24"/>
        </w:rPr>
      </w:pPr>
    </w:p>
    <w:p w:rsidR="008C6F2E" w:rsidRDefault="008C6F2E" w:rsidP="00AF6E2D">
      <w:pPr>
        <w:spacing w:after="0"/>
        <w:ind w:left="720"/>
        <w:rPr>
          <w:rFonts w:cs="Arial"/>
          <w:sz w:val="24"/>
          <w:szCs w:val="24"/>
        </w:rPr>
      </w:pPr>
      <w:r>
        <w:rPr>
          <w:rFonts w:cs="Arial"/>
          <w:sz w:val="24"/>
          <w:szCs w:val="24"/>
        </w:rPr>
        <w:t>The contactor will be responsible for ensuring the stand or pavilion is clean and tidy at the start of each day of the exhibition.</w:t>
      </w:r>
    </w:p>
    <w:p w:rsidR="008C6F2E" w:rsidRDefault="008C6F2E" w:rsidP="00AF6E2D">
      <w:pPr>
        <w:spacing w:after="0"/>
        <w:ind w:left="720"/>
        <w:rPr>
          <w:rFonts w:cs="Arial"/>
          <w:sz w:val="24"/>
          <w:szCs w:val="24"/>
        </w:rPr>
      </w:pPr>
    </w:p>
    <w:p w:rsidR="008C6F2E" w:rsidRDefault="008C6F2E" w:rsidP="00AF6E2D">
      <w:pPr>
        <w:spacing w:after="0"/>
        <w:ind w:left="720"/>
        <w:rPr>
          <w:rFonts w:cs="Arial"/>
          <w:sz w:val="24"/>
          <w:szCs w:val="24"/>
        </w:rPr>
      </w:pPr>
      <w:r>
        <w:rPr>
          <w:rFonts w:cs="Arial"/>
          <w:sz w:val="24"/>
          <w:szCs w:val="24"/>
        </w:rPr>
        <w:t>The contractor will be responsible for shipping the stand and any samples deemed necessary by the Seafish Project Manager.</w:t>
      </w:r>
    </w:p>
    <w:p w:rsidR="00AF6E2D" w:rsidRDefault="00AF6E2D" w:rsidP="008C6F2E">
      <w:pPr>
        <w:spacing w:after="0"/>
        <w:ind w:left="720"/>
        <w:rPr>
          <w:rFonts w:cs="Arial"/>
          <w:sz w:val="24"/>
          <w:szCs w:val="24"/>
        </w:rPr>
      </w:pPr>
    </w:p>
    <w:p w:rsidR="00C66DA8" w:rsidRDefault="00C66DA8" w:rsidP="008C6F2E">
      <w:pPr>
        <w:spacing w:after="0"/>
        <w:ind w:left="720"/>
        <w:rPr>
          <w:rFonts w:cs="Arial"/>
          <w:sz w:val="24"/>
          <w:szCs w:val="24"/>
        </w:rPr>
      </w:pPr>
    </w:p>
    <w:p w:rsidR="00C66DA8" w:rsidRDefault="00C66DA8" w:rsidP="008C6F2E">
      <w:pPr>
        <w:spacing w:after="0"/>
        <w:ind w:left="720"/>
        <w:rPr>
          <w:rFonts w:cs="Arial"/>
          <w:sz w:val="24"/>
          <w:szCs w:val="24"/>
        </w:rPr>
      </w:pPr>
    </w:p>
    <w:p w:rsidR="00B64486" w:rsidRPr="00B64486" w:rsidRDefault="00B64486" w:rsidP="00AA6867">
      <w:pPr>
        <w:spacing w:after="0"/>
        <w:ind w:firstLine="720"/>
        <w:rPr>
          <w:rFonts w:cs="Arial"/>
          <w:b/>
          <w:sz w:val="24"/>
          <w:szCs w:val="24"/>
        </w:rPr>
      </w:pPr>
      <w:r w:rsidRPr="00B64486">
        <w:rPr>
          <w:rFonts w:cs="Arial"/>
          <w:b/>
          <w:sz w:val="24"/>
          <w:szCs w:val="24"/>
        </w:rPr>
        <w:lastRenderedPageBreak/>
        <w:t xml:space="preserve">2.3 </w:t>
      </w:r>
      <w:r w:rsidR="00066360">
        <w:rPr>
          <w:rFonts w:cs="Arial"/>
          <w:b/>
          <w:sz w:val="24"/>
          <w:szCs w:val="24"/>
        </w:rPr>
        <w:tab/>
      </w:r>
      <w:r w:rsidRPr="00B64486">
        <w:rPr>
          <w:rFonts w:cs="Arial"/>
          <w:b/>
          <w:sz w:val="24"/>
          <w:szCs w:val="24"/>
        </w:rPr>
        <w:t xml:space="preserve">Contract Management </w:t>
      </w:r>
    </w:p>
    <w:p w:rsidR="00B64486" w:rsidRPr="00B64486" w:rsidRDefault="00B64486" w:rsidP="00B64486">
      <w:pPr>
        <w:spacing w:after="0"/>
        <w:rPr>
          <w:rFonts w:cs="Arial"/>
          <w:sz w:val="24"/>
          <w:szCs w:val="24"/>
        </w:rPr>
      </w:pPr>
    </w:p>
    <w:p w:rsidR="00B64486" w:rsidRPr="00B64486" w:rsidRDefault="00B64486" w:rsidP="00066360">
      <w:pPr>
        <w:spacing w:after="0"/>
        <w:ind w:left="720"/>
        <w:rPr>
          <w:rFonts w:cs="Arial"/>
          <w:sz w:val="24"/>
          <w:szCs w:val="24"/>
        </w:rPr>
      </w:pPr>
      <w:r w:rsidRPr="00B64486">
        <w:rPr>
          <w:rFonts w:cs="Arial"/>
          <w:sz w:val="24"/>
          <w:szCs w:val="24"/>
        </w:rPr>
        <w:t xml:space="preserve">The contract will be managed by </w:t>
      </w:r>
      <w:r>
        <w:rPr>
          <w:rFonts w:cs="Arial"/>
          <w:sz w:val="24"/>
          <w:szCs w:val="24"/>
        </w:rPr>
        <w:t>Malcolm Large</w:t>
      </w:r>
      <w:r w:rsidR="008C6F2E">
        <w:rPr>
          <w:rFonts w:cs="Arial"/>
          <w:sz w:val="24"/>
          <w:szCs w:val="24"/>
        </w:rPr>
        <w:t xml:space="preserve"> or an alternative Seafish appointed Project Manager</w:t>
      </w:r>
      <w:r w:rsidRPr="00B64486">
        <w:rPr>
          <w:rFonts w:cs="Arial"/>
          <w:sz w:val="24"/>
          <w:szCs w:val="24"/>
        </w:rPr>
        <w:t xml:space="preserve"> who will be responsible for final versions of questionnaires and outputs.</w:t>
      </w:r>
    </w:p>
    <w:p w:rsidR="00BE31ED" w:rsidRPr="00BE31ED" w:rsidRDefault="00BE31ED" w:rsidP="00BE31ED">
      <w:pPr>
        <w:pStyle w:val="ListParagraph"/>
        <w:spacing w:after="0"/>
        <w:ind w:left="360"/>
        <w:contextualSpacing w:val="0"/>
        <w:rPr>
          <w:rFonts w:cs="Arial"/>
          <w:sz w:val="24"/>
          <w:szCs w:val="24"/>
        </w:rPr>
      </w:pPr>
    </w:p>
    <w:p w:rsidR="00B64486" w:rsidRDefault="00B64486">
      <w:pPr>
        <w:rPr>
          <w:b/>
          <w:color w:val="000000"/>
          <w:sz w:val="24"/>
        </w:rPr>
      </w:pPr>
      <w:r>
        <w:rPr>
          <w:b/>
          <w:color w:val="000000"/>
          <w:sz w:val="24"/>
        </w:rPr>
        <w:br w:type="page"/>
      </w:r>
    </w:p>
    <w:p w:rsidR="00B64486" w:rsidRDefault="00B64486">
      <w:pPr>
        <w:spacing w:after="0" w:line="240" w:lineRule="auto"/>
        <w:rPr>
          <w:b/>
          <w:color w:val="000000"/>
          <w:sz w:val="24"/>
        </w:rPr>
      </w:pPr>
      <w:r>
        <w:rPr>
          <w:b/>
          <w:color w:val="000000"/>
          <w:sz w:val="24"/>
        </w:rPr>
        <w:lastRenderedPageBreak/>
        <w:t xml:space="preserve">3. </w:t>
      </w:r>
      <w:r w:rsidR="00066360">
        <w:rPr>
          <w:b/>
          <w:color w:val="000000"/>
          <w:sz w:val="24"/>
        </w:rPr>
        <w:tab/>
        <w:t>INSTRUCTIONS FOR TENDERING</w:t>
      </w:r>
    </w:p>
    <w:p w:rsidR="00B64486" w:rsidRDefault="00B64486">
      <w:pPr>
        <w:spacing w:after="0" w:line="240" w:lineRule="auto"/>
        <w:rPr>
          <w:b/>
          <w:color w:val="000000"/>
          <w:sz w:val="24"/>
        </w:rPr>
      </w:pPr>
    </w:p>
    <w:p w:rsidR="00B64486" w:rsidRDefault="00B64486">
      <w:pPr>
        <w:spacing w:after="0" w:line="240" w:lineRule="auto"/>
        <w:rPr>
          <w:b/>
          <w:color w:val="000000"/>
          <w:sz w:val="24"/>
        </w:rPr>
      </w:pPr>
      <w:r>
        <w:rPr>
          <w:b/>
          <w:color w:val="000000"/>
          <w:sz w:val="24"/>
        </w:rPr>
        <w:t xml:space="preserve">3.1 </w:t>
      </w:r>
      <w:r w:rsidR="00066360">
        <w:rPr>
          <w:b/>
          <w:color w:val="000000"/>
          <w:sz w:val="24"/>
        </w:rPr>
        <w:tab/>
      </w:r>
      <w:r>
        <w:rPr>
          <w:b/>
          <w:color w:val="000000"/>
          <w:sz w:val="24"/>
        </w:rPr>
        <w:t>Invitation to Tender Structure</w:t>
      </w:r>
    </w:p>
    <w:p w:rsidR="00B64486" w:rsidRDefault="00B64486">
      <w:pPr>
        <w:spacing w:after="0" w:line="240" w:lineRule="auto"/>
        <w:rPr>
          <w:b/>
          <w:color w:val="000000"/>
          <w:sz w:val="24"/>
        </w:rPr>
      </w:pPr>
    </w:p>
    <w:p w:rsidR="00B64486" w:rsidRPr="00DD7B8F" w:rsidRDefault="00B64486" w:rsidP="00066360">
      <w:pPr>
        <w:pStyle w:val="ListParagraph"/>
        <w:numPr>
          <w:ilvl w:val="0"/>
          <w:numId w:val="23"/>
        </w:numPr>
        <w:spacing w:after="0" w:line="240" w:lineRule="auto"/>
        <w:ind w:hanging="11"/>
        <w:rPr>
          <w:color w:val="000000"/>
          <w:sz w:val="24"/>
        </w:rPr>
      </w:pPr>
      <w:r w:rsidRPr="00DD7B8F">
        <w:rPr>
          <w:color w:val="000000"/>
          <w:sz w:val="24"/>
        </w:rPr>
        <w:t>Section 1 – Introduction</w:t>
      </w:r>
    </w:p>
    <w:p w:rsidR="00B64486" w:rsidRPr="00DD7B8F" w:rsidRDefault="00B64486" w:rsidP="00066360">
      <w:pPr>
        <w:pStyle w:val="ListParagraph"/>
        <w:numPr>
          <w:ilvl w:val="0"/>
          <w:numId w:val="23"/>
        </w:numPr>
        <w:spacing w:after="0" w:line="240" w:lineRule="auto"/>
        <w:ind w:hanging="11"/>
        <w:rPr>
          <w:color w:val="000000"/>
          <w:sz w:val="24"/>
        </w:rPr>
      </w:pPr>
      <w:r w:rsidRPr="00DD7B8F">
        <w:rPr>
          <w:color w:val="000000"/>
          <w:sz w:val="24"/>
        </w:rPr>
        <w:t>Section 2 – Statement of Requirements</w:t>
      </w:r>
    </w:p>
    <w:p w:rsidR="00B64486" w:rsidRPr="00DD7B8F" w:rsidRDefault="00B64486" w:rsidP="00066360">
      <w:pPr>
        <w:pStyle w:val="ListParagraph"/>
        <w:numPr>
          <w:ilvl w:val="0"/>
          <w:numId w:val="23"/>
        </w:numPr>
        <w:spacing w:after="0" w:line="240" w:lineRule="auto"/>
        <w:ind w:hanging="11"/>
        <w:rPr>
          <w:color w:val="000000"/>
          <w:sz w:val="24"/>
        </w:rPr>
      </w:pPr>
      <w:r w:rsidRPr="00DD7B8F">
        <w:rPr>
          <w:color w:val="000000"/>
          <w:sz w:val="24"/>
        </w:rPr>
        <w:t>Section 3 – Instructions for Tendering</w:t>
      </w:r>
    </w:p>
    <w:p w:rsidR="00B64486" w:rsidRPr="00DD7B8F" w:rsidRDefault="009C3C6E" w:rsidP="00066360">
      <w:pPr>
        <w:pStyle w:val="ListParagraph"/>
        <w:numPr>
          <w:ilvl w:val="0"/>
          <w:numId w:val="23"/>
        </w:numPr>
        <w:spacing w:after="0" w:line="240" w:lineRule="auto"/>
        <w:ind w:hanging="11"/>
        <w:rPr>
          <w:color w:val="000000"/>
          <w:sz w:val="24"/>
        </w:rPr>
      </w:pPr>
      <w:r>
        <w:rPr>
          <w:color w:val="000000"/>
          <w:sz w:val="24"/>
        </w:rPr>
        <w:t>Appendix 1</w:t>
      </w:r>
      <w:r w:rsidR="00B64486" w:rsidRPr="00DD7B8F">
        <w:rPr>
          <w:color w:val="000000"/>
          <w:sz w:val="24"/>
        </w:rPr>
        <w:t xml:space="preserve"> – Declaration</w:t>
      </w:r>
    </w:p>
    <w:p w:rsidR="00B64486" w:rsidRPr="00DD7B8F" w:rsidRDefault="009C3C6E" w:rsidP="00066360">
      <w:pPr>
        <w:pStyle w:val="ListParagraph"/>
        <w:numPr>
          <w:ilvl w:val="0"/>
          <w:numId w:val="23"/>
        </w:numPr>
        <w:spacing w:after="0" w:line="240" w:lineRule="auto"/>
        <w:ind w:hanging="11"/>
        <w:rPr>
          <w:color w:val="000000"/>
          <w:sz w:val="24"/>
        </w:rPr>
      </w:pPr>
      <w:r>
        <w:rPr>
          <w:color w:val="000000"/>
          <w:sz w:val="24"/>
        </w:rPr>
        <w:t>Appendix 2</w:t>
      </w:r>
      <w:r w:rsidR="00B64486" w:rsidRPr="00DD7B8F">
        <w:rPr>
          <w:color w:val="000000"/>
          <w:sz w:val="24"/>
        </w:rPr>
        <w:t xml:space="preserve"> – Pricing Schedule</w:t>
      </w:r>
    </w:p>
    <w:p w:rsidR="00B64486" w:rsidRPr="00DD7B8F" w:rsidRDefault="009C3C6E" w:rsidP="00066360">
      <w:pPr>
        <w:pStyle w:val="ListParagraph"/>
        <w:numPr>
          <w:ilvl w:val="0"/>
          <w:numId w:val="23"/>
        </w:numPr>
        <w:spacing w:after="0" w:line="240" w:lineRule="auto"/>
        <w:ind w:hanging="11"/>
        <w:rPr>
          <w:color w:val="000000"/>
          <w:sz w:val="24"/>
        </w:rPr>
      </w:pPr>
      <w:r>
        <w:rPr>
          <w:color w:val="000000"/>
          <w:sz w:val="24"/>
        </w:rPr>
        <w:t>Appendix 3</w:t>
      </w:r>
      <w:r w:rsidR="00B64486" w:rsidRPr="00DD7B8F">
        <w:rPr>
          <w:color w:val="000000"/>
          <w:sz w:val="24"/>
        </w:rPr>
        <w:t xml:space="preserve"> – Award Questionnaire</w:t>
      </w:r>
    </w:p>
    <w:p w:rsidR="00B64486" w:rsidRPr="00DD7B8F" w:rsidRDefault="00B64486" w:rsidP="00066360">
      <w:pPr>
        <w:pStyle w:val="ListParagraph"/>
        <w:numPr>
          <w:ilvl w:val="0"/>
          <w:numId w:val="23"/>
        </w:numPr>
        <w:spacing w:after="0" w:line="240" w:lineRule="auto"/>
        <w:ind w:hanging="11"/>
        <w:rPr>
          <w:color w:val="000000"/>
          <w:sz w:val="24"/>
        </w:rPr>
      </w:pPr>
      <w:r w:rsidRPr="00DD7B8F">
        <w:rPr>
          <w:color w:val="000000"/>
          <w:sz w:val="24"/>
        </w:rPr>
        <w:t>Appen</w:t>
      </w:r>
      <w:r w:rsidR="009C3C6E">
        <w:rPr>
          <w:color w:val="000000"/>
          <w:sz w:val="24"/>
        </w:rPr>
        <w:t>dix 4</w:t>
      </w:r>
      <w:r w:rsidRPr="00DD7B8F">
        <w:rPr>
          <w:color w:val="000000"/>
          <w:sz w:val="24"/>
        </w:rPr>
        <w:t xml:space="preserve"> – Conditions of Contract</w:t>
      </w:r>
    </w:p>
    <w:p w:rsidR="00B64486" w:rsidRDefault="00B64486" w:rsidP="00B64486">
      <w:pPr>
        <w:spacing w:after="0" w:line="240" w:lineRule="auto"/>
        <w:rPr>
          <w:b/>
          <w:color w:val="000000"/>
          <w:sz w:val="24"/>
        </w:rPr>
      </w:pPr>
    </w:p>
    <w:p w:rsidR="00B64486" w:rsidRDefault="00B64486" w:rsidP="00B64486">
      <w:pPr>
        <w:spacing w:after="0" w:line="240" w:lineRule="auto"/>
        <w:rPr>
          <w:b/>
          <w:color w:val="000000"/>
          <w:sz w:val="24"/>
        </w:rPr>
      </w:pPr>
      <w:r>
        <w:rPr>
          <w:b/>
          <w:color w:val="000000"/>
          <w:sz w:val="24"/>
        </w:rPr>
        <w:t xml:space="preserve">3.2 </w:t>
      </w:r>
      <w:r w:rsidR="009C3C6E">
        <w:rPr>
          <w:b/>
          <w:color w:val="000000"/>
          <w:sz w:val="24"/>
        </w:rPr>
        <w:tab/>
      </w:r>
      <w:r>
        <w:rPr>
          <w:b/>
          <w:color w:val="000000"/>
          <w:sz w:val="24"/>
        </w:rPr>
        <w:t>Format of Response</w:t>
      </w:r>
    </w:p>
    <w:p w:rsidR="00B64486" w:rsidRDefault="00B64486" w:rsidP="00B64486">
      <w:pPr>
        <w:spacing w:after="0" w:line="240" w:lineRule="auto"/>
        <w:rPr>
          <w:b/>
          <w:color w:val="000000"/>
          <w:sz w:val="24"/>
        </w:rPr>
      </w:pPr>
    </w:p>
    <w:p w:rsidR="00B64486" w:rsidRPr="00DD7B8F" w:rsidRDefault="00B64486" w:rsidP="009C3C6E">
      <w:pPr>
        <w:spacing w:after="0" w:line="240" w:lineRule="auto"/>
        <w:ind w:left="709"/>
        <w:rPr>
          <w:color w:val="000000"/>
          <w:sz w:val="24"/>
        </w:rPr>
      </w:pPr>
      <w:r w:rsidRPr="00DD7B8F">
        <w:rPr>
          <w:color w:val="000000"/>
          <w:sz w:val="24"/>
        </w:rPr>
        <w:t>Tenderers are required to submit the following:</w:t>
      </w:r>
    </w:p>
    <w:p w:rsidR="00B64486" w:rsidRPr="009C3C6E" w:rsidRDefault="00B64486" w:rsidP="009C3C6E">
      <w:pPr>
        <w:spacing w:after="0" w:line="240" w:lineRule="auto"/>
        <w:rPr>
          <w:color w:val="000000"/>
          <w:sz w:val="24"/>
        </w:rPr>
      </w:pPr>
    </w:p>
    <w:p w:rsidR="00B64486" w:rsidRPr="00DD7B8F" w:rsidRDefault="00B64486" w:rsidP="009C3C6E">
      <w:pPr>
        <w:pStyle w:val="ListParagraph"/>
        <w:numPr>
          <w:ilvl w:val="0"/>
          <w:numId w:val="24"/>
        </w:numPr>
        <w:spacing w:after="0" w:line="240" w:lineRule="auto"/>
        <w:ind w:left="709" w:firstLine="0"/>
        <w:rPr>
          <w:color w:val="000000"/>
          <w:sz w:val="24"/>
        </w:rPr>
      </w:pPr>
      <w:r w:rsidRPr="00DD7B8F">
        <w:rPr>
          <w:color w:val="000000"/>
          <w:sz w:val="24"/>
        </w:rPr>
        <w:t>Completed Declaration</w:t>
      </w:r>
      <w:r w:rsidR="00323DA0">
        <w:rPr>
          <w:color w:val="000000"/>
          <w:sz w:val="24"/>
        </w:rPr>
        <w:t xml:space="preserve"> (Appendix 1)</w:t>
      </w:r>
    </w:p>
    <w:p w:rsidR="00B64486" w:rsidRPr="00DD7B8F" w:rsidRDefault="00B64486" w:rsidP="009C3C6E">
      <w:pPr>
        <w:pStyle w:val="ListParagraph"/>
        <w:numPr>
          <w:ilvl w:val="0"/>
          <w:numId w:val="24"/>
        </w:numPr>
        <w:spacing w:after="0" w:line="240" w:lineRule="auto"/>
        <w:ind w:left="709" w:firstLine="0"/>
        <w:rPr>
          <w:color w:val="000000"/>
          <w:sz w:val="24"/>
        </w:rPr>
      </w:pPr>
      <w:r w:rsidRPr="00DD7B8F">
        <w:rPr>
          <w:color w:val="000000"/>
          <w:sz w:val="24"/>
        </w:rPr>
        <w:t>Completed Pricing Schedule</w:t>
      </w:r>
      <w:r w:rsidR="00323DA0">
        <w:rPr>
          <w:color w:val="000000"/>
          <w:sz w:val="24"/>
        </w:rPr>
        <w:t xml:space="preserve"> (Appendix 2)</w:t>
      </w:r>
    </w:p>
    <w:p w:rsidR="00B64486" w:rsidRPr="00DD7B8F" w:rsidRDefault="00B64486" w:rsidP="009C3C6E">
      <w:pPr>
        <w:pStyle w:val="ListParagraph"/>
        <w:numPr>
          <w:ilvl w:val="0"/>
          <w:numId w:val="24"/>
        </w:numPr>
        <w:spacing w:after="0" w:line="240" w:lineRule="auto"/>
        <w:ind w:left="709" w:firstLine="0"/>
        <w:rPr>
          <w:color w:val="000000"/>
          <w:sz w:val="24"/>
        </w:rPr>
      </w:pPr>
      <w:r w:rsidRPr="00DD7B8F">
        <w:rPr>
          <w:color w:val="000000"/>
          <w:sz w:val="24"/>
        </w:rPr>
        <w:t>Completed Award Questionnaire</w:t>
      </w:r>
      <w:r w:rsidR="00323DA0">
        <w:rPr>
          <w:color w:val="000000"/>
          <w:sz w:val="24"/>
        </w:rPr>
        <w:t xml:space="preserve"> (Appendix 3)</w:t>
      </w:r>
    </w:p>
    <w:p w:rsidR="00B64486" w:rsidRPr="00DD7B8F" w:rsidRDefault="00B64486" w:rsidP="009C3C6E">
      <w:pPr>
        <w:spacing w:after="0" w:line="240" w:lineRule="auto"/>
        <w:ind w:left="709"/>
        <w:rPr>
          <w:color w:val="000000"/>
          <w:sz w:val="24"/>
        </w:rPr>
      </w:pPr>
    </w:p>
    <w:p w:rsidR="00B64486" w:rsidRPr="00DD7B8F" w:rsidRDefault="00DD7B8F" w:rsidP="009C3C6E">
      <w:pPr>
        <w:spacing w:after="0" w:line="240" w:lineRule="auto"/>
        <w:ind w:left="709"/>
        <w:rPr>
          <w:color w:val="000000"/>
          <w:sz w:val="24"/>
        </w:rPr>
      </w:pPr>
      <w:r w:rsidRPr="00DD7B8F">
        <w:rPr>
          <w:color w:val="000000"/>
          <w:sz w:val="24"/>
        </w:rPr>
        <w:t>Seafish reserves the right to reject any response which fails to meet any requirement set out in this ITT.</w:t>
      </w:r>
    </w:p>
    <w:p w:rsidR="00DD7B8F" w:rsidRDefault="00DD7B8F">
      <w:pPr>
        <w:spacing w:after="0" w:line="240" w:lineRule="auto"/>
        <w:rPr>
          <w:b/>
          <w:color w:val="000000"/>
          <w:sz w:val="24"/>
        </w:rPr>
      </w:pPr>
    </w:p>
    <w:p w:rsidR="00DD7B8F" w:rsidRDefault="00DD7B8F">
      <w:pPr>
        <w:spacing w:after="0" w:line="240" w:lineRule="auto"/>
        <w:rPr>
          <w:b/>
          <w:color w:val="000000"/>
          <w:sz w:val="24"/>
        </w:rPr>
      </w:pPr>
      <w:r>
        <w:rPr>
          <w:b/>
          <w:color w:val="000000"/>
          <w:sz w:val="24"/>
        </w:rPr>
        <w:t xml:space="preserve">3.3 </w:t>
      </w:r>
      <w:r w:rsidR="009C3C6E">
        <w:rPr>
          <w:b/>
          <w:color w:val="000000"/>
          <w:sz w:val="24"/>
        </w:rPr>
        <w:tab/>
      </w:r>
      <w:r>
        <w:rPr>
          <w:b/>
          <w:color w:val="000000"/>
          <w:sz w:val="24"/>
        </w:rPr>
        <w:t>Tender Return Date</w:t>
      </w:r>
    </w:p>
    <w:p w:rsidR="00DD7B8F" w:rsidRDefault="00DD7B8F">
      <w:pPr>
        <w:spacing w:after="0" w:line="240" w:lineRule="auto"/>
        <w:rPr>
          <w:b/>
          <w:color w:val="000000"/>
          <w:sz w:val="24"/>
        </w:rPr>
      </w:pPr>
    </w:p>
    <w:p w:rsidR="00DD7B8F" w:rsidRPr="00DD7B8F" w:rsidRDefault="00DD7B8F" w:rsidP="009C3C6E">
      <w:pPr>
        <w:spacing w:after="0" w:line="240" w:lineRule="auto"/>
        <w:ind w:left="709"/>
        <w:rPr>
          <w:color w:val="000000"/>
          <w:sz w:val="24"/>
        </w:rPr>
      </w:pPr>
      <w:r w:rsidRPr="00DD7B8F">
        <w:rPr>
          <w:color w:val="000000"/>
          <w:sz w:val="24"/>
        </w:rPr>
        <w:t>Tenders should be re</w:t>
      </w:r>
      <w:r w:rsidR="008114E7">
        <w:rPr>
          <w:color w:val="000000"/>
          <w:sz w:val="24"/>
        </w:rPr>
        <w:t>turned no later than 17:00 on 20</w:t>
      </w:r>
      <w:bookmarkStart w:id="0" w:name="_GoBack"/>
      <w:bookmarkEnd w:id="0"/>
      <w:r w:rsidRPr="00DD7B8F">
        <w:rPr>
          <w:color w:val="000000"/>
          <w:sz w:val="24"/>
          <w:vertAlign w:val="superscript"/>
        </w:rPr>
        <w:t>th</w:t>
      </w:r>
      <w:r w:rsidRPr="00DD7B8F">
        <w:rPr>
          <w:color w:val="000000"/>
          <w:sz w:val="24"/>
        </w:rPr>
        <w:t xml:space="preserve"> October 2017. </w:t>
      </w:r>
    </w:p>
    <w:p w:rsidR="00DD7B8F" w:rsidRDefault="00DD7B8F">
      <w:pPr>
        <w:spacing w:after="0" w:line="240" w:lineRule="auto"/>
        <w:rPr>
          <w:b/>
          <w:color w:val="000000"/>
          <w:sz w:val="24"/>
        </w:rPr>
      </w:pPr>
    </w:p>
    <w:p w:rsidR="00DD7B8F" w:rsidRDefault="00DD7B8F">
      <w:pPr>
        <w:rPr>
          <w:b/>
          <w:color w:val="000000"/>
          <w:sz w:val="24"/>
        </w:rPr>
      </w:pPr>
      <w:r>
        <w:rPr>
          <w:b/>
          <w:color w:val="000000"/>
          <w:sz w:val="24"/>
        </w:rPr>
        <w:t xml:space="preserve">3.4 </w:t>
      </w:r>
      <w:r w:rsidR="009C3C6E">
        <w:rPr>
          <w:b/>
          <w:color w:val="000000"/>
          <w:sz w:val="24"/>
        </w:rPr>
        <w:tab/>
      </w:r>
      <w:r>
        <w:rPr>
          <w:b/>
          <w:color w:val="000000"/>
          <w:sz w:val="24"/>
        </w:rPr>
        <w:t>Submission Details</w:t>
      </w:r>
    </w:p>
    <w:p w:rsidR="00DD7B8F" w:rsidRPr="00DD7B8F" w:rsidRDefault="00DD7B8F" w:rsidP="009C3C6E">
      <w:pPr>
        <w:ind w:left="709"/>
        <w:rPr>
          <w:color w:val="000000"/>
          <w:sz w:val="24"/>
        </w:rPr>
      </w:pPr>
      <w:r w:rsidRPr="00DD7B8F">
        <w:rPr>
          <w:color w:val="000000"/>
          <w:sz w:val="24"/>
        </w:rPr>
        <w:t>Responses must be submitted to the below details. Electronic submissions are accepted and encouraged.</w:t>
      </w:r>
    </w:p>
    <w:p w:rsidR="00DD7B8F" w:rsidRDefault="00DD7B8F" w:rsidP="009C3C6E">
      <w:pPr>
        <w:spacing w:after="0" w:line="240" w:lineRule="auto"/>
        <w:ind w:left="1985"/>
        <w:rPr>
          <w:sz w:val="24"/>
        </w:rPr>
      </w:pPr>
      <w:r w:rsidRPr="005D1608">
        <w:rPr>
          <w:sz w:val="24"/>
        </w:rPr>
        <w:t>Malcolm Large</w:t>
      </w:r>
    </w:p>
    <w:p w:rsidR="00DD7B8F" w:rsidRDefault="00DD7B8F" w:rsidP="009C3C6E">
      <w:pPr>
        <w:spacing w:after="0" w:line="240" w:lineRule="auto"/>
        <w:ind w:left="1985"/>
        <w:rPr>
          <w:sz w:val="24"/>
        </w:rPr>
      </w:pPr>
      <w:r>
        <w:rPr>
          <w:sz w:val="24"/>
        </w:rPr>
        <w:t>Head of International Trade &amp; Regions</w:t>
      </w:r>
    </w:p>
    <w:p w:rsidR="00DD7B8F" w:rsidRDefault="00DD7B8F" w:rsidP="009C3C6E">
      <w:pPr>
        <w:spacing w:after="0" w:line="240" w:lineRule="auto"/>
        <w:ind w:left="1985"/>
        <w:rPr>
          <w:sz w:val="24"/>
        </w:rPr>
      </w:pPr>
      <w:r>
        <w:rPr>
          <w:sz w:val="24"/>
        </w:rPr>
        <w:t>Seafish, 18 Logie Mill, Logie Green Road, Edinburgh EH7 4HG</w:t>
      </w:r>
    </w:p>
    <w:p w:rsidR="00DD7B8F" w:rsidRDefault="00DD7B8F" w:rsidP="009C3C6E">
      <w:pPr>
        <w:spacing w:after="0" w:line="240" w:lineRule="auto"/>
        <w:ind w:left="1985"/>
        <w:rPr>
          <w:sz w:val="24"/>
        </w:rPr>
      </w:pPr>
    </w:p>
    <w:p w:rsidR="00DD7B8F" w:rsidRPr="005D1608" w:rsidRDefault="00DD7B8F" w:rsidP="009C3C6E">
      <w:pPr>
        <w:spacing w:after="0" w:line="240" w:lineRule="auto"/>
        <w:ind w:left="1985"/>
        <w:rPr>
          <w:sz w:val="24"/>
        </w:rPr>
      </w:pPr>
      <w:r>
        <w:t xml:space="preserve">E: </w:t>
      </w:r>
      <w:r>
        <w:tab/>
      </w:r>
      <w:hyperlink r:id="rId10" w:history="1">
        <w:r w:rsidRPr="005D2759">
          <w:rPr>
            <w:rStyle w:val="Hyperlink"/>
            <w:sz w:val="24"/>
          </w:rPr>
          <w:t>Malcolm.Large@seafish.co.uk</w:t>
        </w:r>
      </w:hyperlink>
      <w:r>
        <w:rPr>
          <w:sz w:val="24"/>
        </w:rPr>
        <w:t xml:space="preserve"> </w:t>
      </w:r>
    </w:p>
    <w:p w:rsidR="00DD7B8F" w:rsidRDefault="00DD7B8F" w:rsidP="009C3C6E">
      <w:pPr>
        <w:spacing w:after="0" w:line="240" w:lineRule="auto"/>
        <w:ind w:left="1985"/>
        <w:rPr>
          <w:sz w:val="24"/>
        </w:rPr>
      </w:pPr>
      <w:r>
        <w:rPr>
          <w:sz w:val="24"/>
        </w:rPr>
        <w:t xml:space="preserve">T: </w:t>
      </w:r>
      <w:r>
        <w:rPr>
          <w:sz w:val="24"/>
        </w:rPr>
        <w:tab/>
        <w:t>+44 (0) 1772 798924</w:t>
      </w:r>
    </w:p>
    <w:p w:rsidR="00DD7B8F" w:rsidRPr="005D1608" w:rsidRDefault="00DD7B8F" w:rsidP="009C3C6E">
      <w:pPr>
        <w:spacing w:after="0" w:line="240" w:lineRule="auto"/>
        <w:ind w:left="1985"/>
        <w:rPr>
          <w:sz w:val="24"/>
        </w:rPr>
      </w:pPr>
      <w:r w:rsidRPr="005D1608">
        <w:rPr>
          <w:sz w:val="24"/>
        </w:rPr>
        <w:t xml:space="preserve">M: </w:t>
      </w:r>
      <w:r>
        <w:rPr>
          <w:sz w:val="24"/>
        </w:rPr>
        <w:tab/>
      </w:r>
      <w:r w:rsidRPr="005D1608">
        <w:rPr>
          <w:sz w:val="24"/>
        </w:rPr>
        <w:t xml:space="preserve">+44 (0) 787 603 5729 </w:t>
      </w:r>
    </w:p>
    <w:p w:rsidR="00DD7B8F" w:rsidRDefault="00DD7B8F">
      <w:pPr>
        <w:rPr>
          <w:b/>
          <w:color w:val="000000"/>
          <w:sz w:val="24"/>
        </w:rPr>
      </w:pPr>
      <w:r>
        <w:rPr>
          <w:b/>
          <w:color w:val="000000"/>
          <w:sz w:val="24"/>
        </w:rPr>
        <w:br w:type="page"/>
      </w:r>
    </w:p>
    <w:p w:rsidR="00DD7B8F" w:rsidRDefault="00DD7B8F">
      <w:pPr>
        <w:spacing w:after="0" w:line="240" w:lineRule="auto"/>
        <w:rPr>
          <w:b/>
          <w:color w:val="000000"/>
          <w:sz w:val="24"/>
        </w:rPr>
      </w:pPr>
      <w:r>
        <w:rPr>
          <w:b/>
          <w:color w:val="000000"/>
          <w:sz w:val="24"/>
        </w:rPr>
        <w:lastRenderedPageBreak/>
        <w:t xml:space="preserve">3.5 </w:t>
      </w:r>
      <w:r w:rsidR="009C3C6E">
        <w:rPr>
          <w:b/>
          <w:color w:val="000000"/>
          <w:sz w:val="24"/>
        </w:rPr>
        <w:tab/>
      </w:r>
      <w:r>
        <w:rPr>
          <w:b/>
          <w:color w:val="000000"/>
          <w:sz w:val="24"/>
        </w:rPr>
        <w:t>Timeline of Tender Process</w:t>
      </w:r>
    </w:p>
    <w:p w:rsidR="00DD7B8F" w:rsidRDefault="00DD7B8F">
      <w:pPr>
        <w:spacing w:after="0" w:line="240" w:lineRule="auto"/>
        <w:rPr>
          <w:b/>
          <w:color w:val="000000"/>
          <w:sz w:val="24"/>
        </w:rPr>
      </w:pPr>
    </w:p>
    <w:p w:rsidR="00DD7B8F" w:rsidRPr="00D06BBA" w:rsidRDefault="00DD7B8F" w:rsidP="009C3C6E">
      <w:pPr>
        <w:ind w:firstLine="709"/>
        <w:rPr>
          <w:sz w:val="24"/>
          <w:szCs w:val="24"/>
        </w:rPr>
      </w:pPr>
      <w:r w:rsidRPr="00D06BBA">
        <w:rPr>
          <w:sz w:val="24"/>
          <w:szCs w:val="24"/>
        </w:rPr>
        <w:t>The tender process timetable is as follows;</w:t>
      </w:r>
    </w:p>
    <w:tbl>
      <w:tblPr>
        <w:tblW w:w="9134"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613"/>
      </w:tblGrid>
      <w:tr w:rsidR="00DD7B8F" w:rsidRPr="00D06BBA" w:rsidTr="00A264D0">
        <w:tc>
          <w:tcPr>
            <w:tcW w:w="0" w:type="auto"/>
            <w:vAlign w:val="center"/>
          </w:tcPr>
          <w:p w:rsidR="00DD7B8F" w:rsidRPr="00D06BBA" w:rsidRDefault="00DD7B8F" w:rsidP="00A264D0">
            <w:pPr>
              <w:rPr>
                <w:rFonts w:eastAsia="Times New Roman" w:cs="Times New Roman"/>
                <w:sz w:val="24"/>
                <w:szCs w:val="24"/>
                <w:lang w:val="en-US"/>
              </w:rPr>
            </w:pPr>
            <w:r w:rsidRPr="00D06BBA">
              <w:rPr>
                <w:rFonts w:eastAsia="Times New Roman" w:cs="Times New Roman"/>
                <w:sz w:val="24"/>
                <w:szCs w:val="24"/>
                <w:lang w:val="en-US"/>
              </w:rPr>
              <w:t>Actions</w:t>
            </w:r>
          </w:p>
        </w:tc>
        <w:tc>
          <w:tcPr>
            <w:tcW w:w="0" w:type="auto"/>
            <w:vAlign w:val="center"/>
          </w:tcPr>
          <w:p w:rsidR="00DD7B8F" w:rsidRPr="00D06BBA" w:rsidRDefault="00DD7B8F" w:rsidP="00A264D0">
            <w:pPr>
              <w:rPr>
                <w:rFonts w:eastAsia="Times New Roman" w:cs="Times New Roman"/>
                <w:sz w:val="24"/>
                <w:szCs w:val="24"/>
                <w:lang w:val="en-US"/>
              </w:rPr>
            </w:pPr>
            <w:r w:rsidRPr="00D06BBA">
              <w:rPr>
                <w:rFonts w:eastAsia="Times New Roman" w:cs="Times New Roman"/>
                <w:sz w:val="24"/>
                <w:szCs w:val="24"/>
                <w:lang w:val="en-US"/>
              </w:rPr>
              <w:t>Date(s)</w:t>
            </w:r>
          </w:p>
        </w:tc>
      </w:tr>
      <w:tr w:rsidR="00DD7B8F" w:rsidRPr="00D06BBA" w:rsidTr="00A264D0">
        <w:tc>
          <w:tcPr>
            <w:tcW w:w="0" w:type="auto"/>
            <w:vAlign w:val="center"/>
          </w:tcPr>
          <w:p w:rsidR="00DD7B8F" w:rsidRPr="00D06BBA" w:rsidRDefault="00DD7B8F" w:rsidP="00A264D0">
            <w:pPr>
              <w:rPr>
                <w:rFonts w:eastAsia="Times New Roman" w:cs="Times New Roman"/>
                <w:sz w:val="24"/>
                <w:szCs w:val="24"/>
                <w:lang w:val="en-US"/>
              </w:rPr>
            </w:pPr>
            <w:r w:rsidRPr="00D06BBA">
              <w:rPr>
                <w:rFonts w:eastAsia="Times New Roman" w:cs="Times New Roman"/>
                <w:sz w:val="24"/>
                <w:szCs w:val="24"/>
                <w:lang w:val="en-US"/>
              </w:rPr>
              <w:t>Distribution of application to tender document</w:t>
            </w:r>
          </w:p>
        </w:tc>
        <w:tc>
          <w:tcPr>
            <w:tcW w:w="0" w:type="auto"/>
            <w:vAlign w:val="center"/>
          </w:tcPr>
          <w:p w:rsidR="00DD7B8F" w:rsidRPr="00D06BBA" w:rsidRDefault="00DD7B8F" w:rsidP="00A264D0">
            <w:pPr>
              <w:rPr>
                <w:rFonts w:eastAsia="Times New Roman" w:cs="Times New Roman"/>
                <w:sz w:val="24"/>
                <w:szCs w:val="24"/>
                <w:lang w:val="en-US"/>
              </w:rPr>
            </w:pPr>
            <w:r>
              <w:rPr>
                <w:rFonts w:eastAsia="Times New Roman" w:cs="Times New Roman"/>
                <w:sz w:val="24"/>
                <w:szCs w:val="24"/>
                <w:lang w:val="en-US"/>
              </w:rPr>
              <w:t>15</w:t>
            </w:r>
            <w:r w:rsidRPr="00D06BBA">
              <w:rPr>
                <w:rFonts w:eastAsia="Times New Roman" w:cs="Times New Roman"/>
                <w:sz w:val="24"/>
                <w:szCs w:val="24"/>
                <w:lang w:val="en-US"/>
              </w:rPr>
              <w:t>th</w:t>
            </w:r>
            <w:r>
              <w:rPr>
                <w:rFonts w:eastAsia="Times New Roman" w:cs="Times New Roman"/>
                <w:sz w:val="24"/>
                <w:szCs w:val="24"/>
                <w:lang w:val="en-US"/>
              </w:rPr>
              <w:t xml:space="preserve"> Sept</w:t>
            </w:r>
            <w:r w:rsidRPr="00D06BBA">
              <w:rPr>
                <w:rFonts w:eastAsia="Times New Roman" w:cs="Times New Roman"/>
                <w:sz w:val="24"/>
                <w:szCs w:val="24"/>
                <w:lang w:val="en-US"/>
              </w:rPr>
              <w:t xml:space="preserve"> 2017</w:t>
            </w:r>
          </w:p>
        </w:tc>
      </w:tr>
      <w:tr w:rsidR="00DD7B8F" w:rsidRPr="00D06BBA" w:rsidTr="00A264D0">
        <w:tc>
          <w:tcPr>
            <w:tcW w:w="0" w:type="auto"/>
            <w:vAlign w:val="center"/>
          </w:tcPr>
          <w:p w:rsidR="00DD7B8F" w:rsidRPr="00D06BBA" w:rsidRDefault="00DD7B8F" w:rsidP="00A264D0">
            <w:pPr>
              <w:rPr>
                <w:rFonts w:eastAsia="Times New Roman" w:cs="Times New Roman"/>
                <w:sz w:val="24"/>
                <w:szCs w:val="24"/>
                <w:lang w:val="en-US"/>
              </w:rPr>
            </w:pPr>
            <w:r w:rsidRPr="00D06BBA">
              <w:rPr>
                <w:rFonts w:eastAsia="Times New Roman" w:cs="Times New Roman"/>
                <w:sz w:val="24"/>
                <w:szCs w:val="24"/>
                <w:lang w:val="en-US"/>
              </w:rPr>
              <w:t>Last date for receipt of tender document submission</w:t>
            </w:r>
          </w:p>
        </w:tc>
        <w:tc>
          <w:tcPr>
            <w:tcW w:w="0" w:type="auto"/>
            <w:vAlign w:val="center"/>
          </w:tcPr>
          <w:p w:rsidR="00DD7B8F" w:rsidRPr="00D06BBA" w:rsidRDefault="00B56406" w:rsidP="00A264D0">
            <w:pPr>
              <w:rPr>
                <w:rFonts w:eastAsia="Times New Roman" w:cs="Times New Roman"/>
                <w:sz w:val="24"/>
                <w:szCs w:val="24"/>
                <w:lang w:val="en-US"/>
              </w:rPr>
            </w:pPr>
            <w:r>
              <w:rPr>
                <w:rFonts w:eastAsia="Times New Roman" w:cs="Times New Roman"/>
                <w:sz w:val="24"/>
                <w:szCs w:val="24"/>
                <w:lang w:val="en-US"/>
              </w:rPr>
              <w:t>20</w:t>
            </w:r>
            <w:r w:rsidR="00DD7B8F" w:rsidRPr="00D06BBA">
              <w:rPr>
                <w:rFonts w:eastAsia="Times New Roman" w:cs="Times New Roman"/>
                <w:sz w:val="24"/>
                <w:szCs w:val="24"/>
                <w:vertAlign w:val="superscript"/>
                <w:lang w:val="en-US"/>
              </w:rPr>
              <w:t>th</w:t>
            </w:r>
            <w:r w:rsidR="00DD7B8F">
              <w:rPr>
                <w:rFonts w:eastAsia="Times New Roman" w:cs="Times New Roman"/>
                <w:sz w:val="24"/>
                <w:szCs w:val="24"/>
                <w:lang w:val="en-US"/>
              </w:rPr>
              <w:t xml:space="preserve"> Oct</w:t>
            </w:r>
            <w:r w:rsidR="00DD7B8F" w:rsidRPr="00D06BBA">
              <w:rPr>
                <w:rFonts w:eastAsia="Times New Roman" w:cs="Times New Roman"/>
                <w:sz w:val="24"/>
                <w:szCs w:val="24"/>
                <w:lang w:val="en-US"/>
              </w:rPr>
              <w:t xml:space="preserve"> 2017</w:t>
            </w:r>
          </w:p>
        </w:tc>
      </w:tr>
      <w:tr w:rsidR="00DD7B8F" w:rsidRPr="00D06BBA" w:rsidTr="00A264D0">
        <w:tc>
          <w:tcPr>
            <w:tcW w:w="0" w:type="auto"/>
            <w:vAlign w:val="center"/>
          </w:tcPr>
          <w:p w:rsidR="00DD7B8F" w:rsidRPr="00D06BBA" w:rsidRDefault="00DD7B8F" w:rsidP="00A264D0">
            <w:pPr>
              <w:rPr>
                <w:rFonts w:eastAsia="Times New Roman" w:cs="Times New Roman"/>
                <w:sz w:val="24"/>
                <w:szCs w:val="24"/>
                <w:lang w:val="en-US"/>
              </w:rPr>
            </w:pPr>
            <w:r>
              <w:rPr>
                <w:rFonts w:eastAsia="Times New Roman" w:cs="Times New Roman"/>
                <w:sz w:val="24"/>
                <w:szCs w:val="24"/>
                <w:lang w:val="en-US"/>
              </w:rPr>
              <w:t>Assessment of tenders received and follow up as required</w:t>
            </w:r>
          </w:p>
        </w:tc>
        <w:tc>
          <w:tcPr>
            <w:tcW w:w="0" w:type="auto"/>
            <w:vAlign w:val="center"/>
          </w:tcPr>
          <w:p w:rsidR="00DD7B8F" w:rsidRPr="00D06BBA" w:rsidRDefault="00996E04" w:rsidP="00996E04">
            <w:pPr>
              <w:rPr>
                <w:rFonts w:eastAsia="Times New Roman" w:cs="Times New Roman"/>
                <w:sz w:val="24"/>
                <w:szCs w:val="24"/>
                <w:lang w:val="en-US"/>
              </w:rPr>
            </w:pPr>
            <w:r>
              <w:rPr>
                <w:rFonts w:eastAsia="Times New Roman" w:cs="Times New Roman"/>
                <w:sz w:val="24"/>
                <w:szCs w:val="24"/>
                <w:lang w:val="en-US"/>
              </w:rPr>
              <w:t>23rd to 27</w:t>
            </w:r>
            <w:r w:rsidRPr="00996E04">
              <w:rPr>
                <w:rFonts w:eastAsia="Times New Roman" w:cs="Times New Roman"/>
                <w:sz w:val="24"/>
                <w:szCs w:val="24"/>
                <w:vertAlign w:val="superscript"/>
                <w:lang w:val="en-US"/>
              </w:rPr>
              <w:t>th</w:t>
            </w:r>
            <w:r w:rsidR="00DD7B8F">
              <w:rPr>
                <w:rFonts w:eastAsia="Times New Roman" w:cs="Times New Roman"/>
                <w:sz w:val="24"/>
                <w:szCs w:val="24"/>
                <w:lang w:val="en-US"/>
              </w:rPr>
              <w:t xml:space="preserve"> October</w:t>
            </w:r>
          </w:p>
        </w:tc>
      </w:tr>
      <w:tr w:rsidR="00DD7B8F" w:rsidRPr="00D06BBA" w:rsidTr="00A264D0">
        <w:tc>
          <w:tcPr>
            <w:tcW w:w="0" w:type="auto"/>
            <w:vAlign w:val="center"/>
          </w:tcPr>
          <w:p w:rsidR="00DD7B8F" w:rsidRPr="00D06BBA" w:rsidRDefault="00DD7B8F" w:rsidP="00A264D0">
            <w:pPr>
              <w:rPr>
                <w:rFonts w:eastAsia="Times New Roman" w:cs="Times New Roman"/>
                <w:sz w:val="24"/>
                <w:szCs w:val="24"/>
                <w:lang w:val="en-US"/>
              </w:rPr>
            </w:pPr>
            <w:r w:rsidRPr="00D06BBA">
              <w:rPr>
                <w:rFonts w:eastAsia="Times New Roman" w:cs="Times New Roman"/>
                <w:sz w:val="24"/>
                <w:szCs w:val="24"/>
                <w:lang w:val="en-US"/>
              </w:rPr>
              <w:t>Letter to successful applicant of intent to award contract</w:t>
            </w:r>
          </w:p>
        </w:tc>
        <w:tc>
          <w:tcPr>
            <w:tcW w:w="0" w:type="auto"/>
            <w:vAlign w:val="center"/>
          </w:tcPr>
          <w:p w:rsidR="00DD7B8F" w:rsidRPr="00D06BBA" w:rsidRDefault="00996E04" w:rsidP="00996E04">
            <w:pPr>
              <w:rPr>
                <w:rFonts w:eastAsia="Times New Roman" w:cs="Times New Roman"/>
                <w:sz w:val="24"/>
                <w:szCs w:val="24"/>
                <w:lang w:val="en-US"/>
              </w:rPr>
            </w:pPr>
            <w:r>
              <w:rPr>
                <w:rFonts w:eastAsia="Times New Roman" w:cs="Times New Roman"/>
                <w:sz w:val="24"/>
                <w:szCs w:val="24"/>
                <w:lang w:val="en-US"/>
              </w:rPr>
              <w:t>30</w:t>
            </w:r>
            <w:r w:rsidRPr="00996E04">
              <w:rPr>
                <w:rFonts w:eastAsia="Times New Roman" w:cs="Times New Roman"/>
                <w:sz w:val="24"/>
                <w:szCs w:val="24"/>
                <w:vertAlign w:val="superscript"/>
                <w:lang w:val="en-US"/>
              </w:rPr>
              <w:t>th</w:t>
            </w:r>
            <w:r>
              <w:rPr>
                <w:rFonts w:eastAsia="Times New Roman" w:cs="Times New Roman"/>
                <w:sz w:val="24"/>
                <w:szCs w:val="24"/>
                <w:lang w:val="en-US"/>
              </w:rPr>
              <w:t xml:space="preserve"> </w:t>
            </w:r>
            <w:r w:rsidR="00DD7B8F">
              <w:rPr>
                <w:rFonts w:eastAsia="Times New Roman" w:cs="Times New Roman"/>
                <w:sz w:val="24"/>
                <w:szCs w:val="24"/>
                <w:lang w:val="en-US"/>
              </w:rPr>
              <w:t xml:space="preserve"> October</w:t>
            </w:r>
            <w:r w:rsidR="00DD7B8F" w:rsidRPr="00D06BBA">
              <w:rPr>
                <w:rFonts w:eastAsia="Times New Roman" w:cs="Times New Roman"/>
                <w:sz w:val="24"/>
                <w:szCs w:val="24"/>
                <w:lang w:val="en-US"/>
              </w:rPr>
              <w:t xml:space="preserve"> 2017</w:t>
            </w:r>
          </w:p>
        </w:tc>
      </w:tr>
      <w:tr w:rsidR="00DD7B8F" w:rsidRPr="00D06BBA" w:rsidTr="00A264D0">
        <w:tc>
          <w:tcPr>
            <w:tcW w:w="0" w:type="auto"/>
            <w:vAlign w:val="center"/>
          </w:tcPr>
          <w:p w:rsidR="00DD7B8F" w:rsidRPr="00D06BBA" w:rsidRDefault="00DD7B8F" w:rsidP="00A264D0">
            <w:pPr>
              <w:rPr>
                <w:rFonts w:eastAsia="Times New Roman" w:cs="Times New Roman"/>
                <w:sz w:val="24"/>
                <w:szCs w:val="24"/>
                <w:lang w:val="en-US"/>
              </w:rPr>
            </w:pPr>
            <w:r w:rsidRPr="00D06BBA">
              <w:rPr>
                <w:rFonts w:eastAsia="Times New Roman" w:cs="Times New Roman"/>
                <w:sz w:val="24"/>
                <w:szCs w:val="24"/>
                <w:lang w:val="en-US"/>
              </w:rPr>
              <w:t>Notification to unsuccessful applicants</w:t>
            </w:r>
          </w:p>
        </w:tc>
        <w:tc>
          <w:tcPr>
            <w:tcW w:w="0" w:type="auto"/>
            <w:vAlign w:val="center"/>
          </w:tcPr>
          <w:p w:rsidR="00DD7B8F" w:rsidRPr="00D06BBA" w:rsidRDefault="00DD7B8F" w:rsidP="00A264D0">
            <w:pPr>
              <w:rPr>
                <w:rFonts w:eastAsia="Times New Roman" w:cs="Times New Roman"/>
                <w:sz w:val="24"/>
                <w:szCs w:val="24"/>
                <w:lang w:val="en-US"/>
              </w:rPr>
            </w:pPr>
            <w:r>
              <w:rPr>
                <w:rFonts w:eastAsia="Times New Roman" w:cs="Times New Roman"/>
                <w:sz w:val="24"/>
                <w:szCs w:val="24"/>
                <w:lang w:val="en-US"/>
              </w:rPr>
              <w:t>3</w:t>
            </w:r>
            <w:r w:rsidR="00996E04">
              <w:rPr>
                <w:rFonts w:eastAsia="Times New Roman" w:cs="Times New Roman"/>
                <w:sz w:val="24"/>
                <w:szCs w:val="24"/>
                <w:lang w:val="en-US"/>
              </w:rPr>
              <w:t>0</w:t>
            </w:r>
            <w:r w:rsidR="00996E04">
              <w:rPr>
                <w:rFonts w:eastAsia="Times New Roman" w:cs="Times New Roman"/>
                <w:sz w:val="24"/>
                <w:szCs w:val="24"/>
                <w:vertAlign w:val="superscript"/>
                <w:lang w:val="en-US"/>
              </w:rPr>
              <w:t>th</w:t>
            </w:r>
            <w:r>
              <w:rPr>
                <w:rFonts w:eastAsia="Times New Roman" w:cs="Times New Roman"/>
                <w:sz w:val="24"/>
                <w:szCs w:val="24"/>
                <w:lang w:val="en-US"/>
              </w:rPr>
              <w:t xml:space="preserve"> October</w:t>
            </w:r>
            <w:r w:rsidRPr="00D06BBA">
              <w:rPr>
                <w:rFonts w:eastAsia="Times New Roman" w:cs="Times New Roman"/>
                <w:sz w:val="24"/>
                <w:szCs w:val="24"/>
                <w:lang w:val="en-US"/>
              </w:rPr>
              <w:t xml:space="preserve"> 2017</w:t>
            </w:r>
          </w:p>
        </w:tc>
      </w:tr>
      <w:tr w:rsidR="00DD7B8F" w:rsidRPr="00D06BBA" w:rsidTr="00A264D0">
        <w:tc>
          <w:tcPr>
            <w:tcW w:w="0" w:type="auto"/>
            <w:vAlign w:val="center"/>
          </w:tcPr>
          <w:p w:rsidR="00DD7B8F" w:rsidRPr="00D06BBA" w:rsidRDefault="00DD7B8F" w:rsidP="00A264D0">
            <w:pPr>
              <w:rPr>
                <w:rFonts w:eastAsia="Times New Roman" w:cs="Times New Roman"/>
                <w:sz w:val="24"/>
                <w:szCs w:val="24"/>
                <w:lang w:val="en-US"/>
              </w:rPr>
            </w:pPr>
            <w:r>
              <w:rPr>
                <w:rFonts w:eastAsia="Times New Roman" w:cs="Times New Roman"/>
                <w:sz w:val="24"/>
                <w:szCs w:val="24"/>
                <w:lang w:val="en-US"/>
              </w:rPr>
              <w:t>Contract</w:t>
            </w:r>
            <w:r w:rsidRPr="00D06BBA">
              <w:rPr>
                <w:rFonts w:eastAsia="Times New Roman" w:cs="Times New Roman"/>
                <w:sz w:val="24"/>
                <w:szCs w:val="24"/>
                <w:lang w:val="en-US"/>
              </w:rPr>
              <w:t xml:space="preserve"> commencement date</w:t>
            </w:r>
          </w:p>
        </w:tc>
        <w:tc>
          <w:tcPr>
            <w:tcW w:w="0" w:type="auto"/>
            <w:vAlign w:val="center"/>
          </w:tcPr>
          <w:p w:rsidR="00DD7B8F" w:rsidRPr="00D06BBA" w:rsidRDefault="00DD7B8F" w:rsidP="00A264D0">
            <w:pPr>
              <w:rPr>
                <w:rFonts w:eastAsia="Times New Roman" w:cs="Times New Roman"/>
                <w:sz w:val="24"/>
                <w:szCs w:val="24"/>
                <w:lang w:val="en-US"/>
              </w:rPr>
            </w:pPr>
            <w:r w:rsidRPr="00D06BBA">
              <w:rPr>
                <w:rFonts w:eastAsia="Times New Roman" w:cs="Times New Roman"/>
                <w:sz w:val="24"/>
                <w:szCs w:val="24"/>
                <w:lang w:val="en-US"/>
              </w:rPr>
              <w:t>1</w:t>
            </w:r>
            <w:r>
              <w:rPr>
                <w:rFonts w:eastAsia="Times New Roman" w:cs="Times New Roman"/>
                <w:sz w:val="24"/>
                <w:szCs w:val="24"/>
                <w:vertAlign w:val="superscript"/>
                <w:lang w:val="en-US"/>
              </w:rPr>
              <w:t>st</w:t>
            </w:r>
            <w:r>
              <w:rPr>
                <w:rFonts w:eastAsia="Times New Roman" w:cs="Times New Roman"/>
                <w:sz w:val="24"/>
                <w:szCs w:val="24"/>
                <w:lang w:val="en-US"/>
              </w:rPr>
              <w:t xml:space="preserve"> April 2018</w:t>
            </w:r>
          </w:p>
        </w:tc>
      </w:tr>
      <w:tr w:rsidR="00DD7B8F" w:rsidRPr="00D06BBA" w:rsidTr="00A264D0">
        <w:tc>
          <w:tcPr>
            <w:tcW w:w="0" w:type="auto"/>
            <w:vAlign w:val="center"/>
          </w:tcPr>
          <w:p w:rsidR="00DD7B8F" w:rsidRPr="00D06BBA" w:rsidRDefault="00DD7B8F" w:rsidP="00A264D0">
            <w:pPr>
              <w:rPr>
                <w:rFonts w:eastAsia="Times New Roman" w:cs="Times New Roman"/>
                <w:sz w:val="24"/>
                <w:szCs w:val="24"/>
                <w:lang w:val="en-US"/>
              </w:rPr>
            </w:pPr>
            <w:r>
              <w:rPr>
                <w:rFonts w:eastAsia="Times New Roman" w:cs="Times New Roman"/>
                <w:sz w:val="24"/>
                <w:szCs w:val="24"/>
                <w:lang w:val="en-US"/>
              </w:rPr>
              <w:t>Seafood Expo Global, Brussels</w:t>
            </w:r>
          </w:p>
        </w:tc>
        <w:tc>
          <w:tcPr>
            <w:tcW w:w="0" w:type="auto"/>
            <w:vAlign w:val="center"/>
          </w:tcPr>
          <w:p w:rsidR="00DD7B8F" w:rsidRPr="00D06BBA" w:rsidRDefault="00DD7B8F" w:rsidP="00A264D0">
            <w:pPr>
              <w:rPr>
                <w:rFonts w:eastAsia="Times New Roman" w:cs="Times New Roman"/>
                <w:sz w:val="24"/>
                <w:szCs w:val="24"/>
                <w:lang w:val="en-US"/>
              </w:rPr>
            </w:pPr>
            <w:r>
              <w:rPr>
                <w:rFonts w:eastAsia="Times New Roman" w:cs="Times New Roman"/>
                <w:sz w:val="24"/>
                <w:szCs w:val="24"/>
                <w:lang w:val="en-US"/>
              </w:rPr>
              <w:t>24</w:t>
            </w:r>
            <w:r w:rsidRPr="00265137">
              <w:rPr>
                <w:rFonts w:eastAsia="Times New Roman" w:cs="Times New Roman"/>
                <w:sz w:val="24"/>
                <w:szCs w:val="24"/>
                <w:vertAlign w:val="superscript"/>
                <w:lang w:val="en-US"/>
              </w:rPr>
              <w:t>th</w:t>
            </w:r>
            <w:r>
              <w:rPr>
                <w:rFonts w:eastAsia="Times New Roman" w:cs="Times New Roman"/>
                <w:sz w:val="24"/>
                <w:szCs w:val="24"/>
                <w:lang w:val="en-US"/>
              </w:rPr>
              <w:t xml:space="preserve"> to 26</w:t>
            </w:r>
            <w:r w:rsidRPr="00265137">
              <w:rPr>
                <w:rFonts w:eastAsia="Times New Roman" w:cs="Times New Roman"/>
                <w:sz w:val="24"/>
                <w:szCs w:val="24"/>
                <w:vertAlign w:val="superscript"/>
                <w:lang w:val="en-US"/>
              </w:rPr>
              <w:t>th</w:t>
            </w:r>
            <w:r>
              <w:rPr>
                <w:rFonts w:eastAsia="Times New Roman" w:cs="Times New Roman"/>
                <w:sz w:val="24"/>
                <w:szCs w:val="24"/>
                <w:lang w:val="en-US"/>
              </w:rPr>
              <w:t xml:space="preserve"> April</w:t>
            </w:r>
            <w:r w:rsidRPr="00D06BBA">
              <w:rPr>
                <w:rFonts w:eastAsia="Times New Roman" w:cs="Times New Roman"/>
                <w:sz w:val="24"/>
                <w:szCs w:val="24"/>
                <w:lang w:val="en-US"/>
              </w:rPr>
              <w:t xml:space="preserve"> 2018</w:t>
            </w:r>
          </w:p>
        </w:tc>
      </w:tr>
    </w:tbl>
    <w:p w:rsidR="00DD7B8F" w:rsidRDefault="00DD7B8F">
      <w:pPr>
        <w:spacing w:after="0" w:line="240" w:lineRule="auto"/>
        <w:rPr>
          <w:b/>
          <w:color w:val="000000"/>
          <w:sz w:val="24"/>
        </w:rPr>
      </w:pPr>
    </w:p>
    <w:p w:rsidR="00DD7B8F" w:rsidRDefault="00DD7B8F">
      <w:pPr>
        <w:spacing w:after="0" w:line="240" w:lineRule="auto"/>
        <w:rPr>
          <w:b/>
          <w:color w:val="000000"/>
          <w:sz w:val="24"/>
        </w:rPr>
      </w:pPr>
    </w:p>
    <w:p w:rsidR="00592A06" w:rsidRPr="00356144" w:rsidRDefault="00DD7B8F">
      <w:pPr>
        <w:spacing w:after="0" w:line="240" w:lineRule="auto"/>
        <w:rPr>
          <w:b/>
          <w:sz w:val="24"/>
        </w:rPr>
      </w:pPr>
      <w:r>
        <w:rPr>
          <w:b/>
          <w:color w:val="000000"/>
          <w:sz w:val="24"/>
        </w:rPr>
        <w:t>3.</w:t>
      </w:r>
      <w:r w:rsidR="009C3C6E">
        <w:rPr>
          <w:b/>
          <w:color w:val="000000"/>
          <w:sz w:val="24"/>
        </w:rPr>
        <w:t>6</w:t>
      </w:r>
      <w:r w:rsidR="0025546C" w:rsidRPr="00356144">
        <w:rPr>
          <w:b/>
          <w:color w:val="000000"/>
          <w:sz w:val="24"/>
        </w:rPr>
        <w:t xml:space="preserve"> </w:t>
      </w:r>
      <w:r w:rsidR="009C3C6E">
        <w:rPr>
          <w:b/>
          <w:color w:val="000000"/>
          <w:sz w:val="24"/>
        </w:rPr>
        <w:tab/>
      </w:r>
      <w:r w:rsidR="0025546C" w:rsidRPr="00356144">
        <w:rPr>
          <w:b/>
          <w:sz w:val="24"/>
        </w:rPr>
        <w:t>Awarding Criteria</w:t>
      </w:r>
    </w:p>
    <w:p w:rsidR="00592A06" w:rsidRDefault="00592A06">
      <w:pPr>
        <w:spacing w:after="0" w:line="240" w:lineRule="auto"/>
        <w:rPr>
          <w:b/>
          <w:sz w:val="24"/>
        </w:rPr>
      </w:pPr>
    </w:p>
    <w:p w:rsidR="00DD7B8F" w:rsidRPr="00E84AE9" w:rsidRDefault="00DD7B8F" w:rsidP="009C3C6E">
      <w:pPr>
        <w:ind w:left="709"/>
      </w:pPr>
      <w:r w:rsidRPr="00E84AE9">
        <w:t>We will award the work to the company which offers the most advantageous prop</w:t>
      </w:r>
      <w:r>
        <w:t>osal to Seafish in terms value-</w:t>
      </w:r>
      <w:r w:rsidRPr="00E84AE9">
        <w:t>for-money, functionality and other factors as sp</w:t>
      </w:r>
      <w:r>
        <w:t>ecified within this document.</w:t>
      </w:r>
      <w:r w:rsidRPr="00E84AE9">
        <w:t xml:space="preserve"> </w:t>
      </w:r>
      <w:r>
        <w:t>I</w:t>
      </w:r>
      <w:r w:rsidRPr="00E84AE9">
        <w:t xml:space="preserve">n the interest of ascertaining the highest level of transparency, fairness and competition the </w:t>
      </w:r>
      <w:r>
        <w:t xml:space="preserve">below </w:t>
      </w:r>
      <w:r w:rsidRPr="00E84AE9">
        <w:t xml:space="preserve">evaluation matrix will </w:t>
      </w:r>
      <w:r>
        <w:t>be used to score each tender.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136"/>
      </w:tblGrid>
      <w:tr w:rsidR="008A3948" w:rsidRPr="00E84AE9" w:rsidTr="009C3C6E">
        <w:tc>
          <w:tcPr>
            <w:tcW w:w="6912" w:type="dxa"/>
            <w:shd w:val="clear" w:color="auto" w:fill="auto"/>
          </w:tcPr>
          <w:p w:rsidR="008A3948" w:rsidRPr="00D06BBA" w:rsidRDefault="008A3948" w:rsidP="0081766E">
            <w:pPr>
              <w:rPr>
                <w:sz w:val="24"/>
                <w:szCs w:val="24"/>
              </w:rPr>
            </w:pPr>
            <w:r w:rsidRPr="00D06BBA">
              <w:rPr>
                <w:sz w:val="24"/>
                <w:szCs w:val="24"/>
              </w:rPr>
              <w:t>Criteria</w:t>
            </w:r>
          </w:p>
        </w:tc>
        <w:tc>
          <w:tcPr>
            <w:tcW w:w="2136" w:type="dxa"/>
            <w:shd w:val="clear" w:color="auto" w:fill="auto"/>
          </w:tcPr>
          <w:p w:rsidR="008A3948" w:rsidRPr="00D06BBA" w:rsidRDefault="008A3948" w:rsidP="00C42E76">
            <w:pPr>
              <w:jc w:val="center"/>
              <w:rPr>
                <w:sz w:val="24"/>
                <w:szCs w:val="24"/>
              </w:rPr>
            </w:pPr>
            <w:r w:rsidRPr="00D06BBA">
              <w:rPr>
                <w:sz w:val="24"/>
                <w:szCs w:val="24"/>
              </w:rPr>
              <w:t>Weighting (%)</w:t>
            </w:r>
          </w:p>
        </w:tc>
      </w:tr>
      <w:tr w:rsidR="008A3948" w:rsidRPr="00E84AE9" w:rsidTr="009C3C6E">
        <w:tc>
          <w:tcPr>
            <w:tcW w:w="6912" w:type="dxa"/>
            <w:shd w:val="clear" w:color="auto" w:fill="auto"/>
          </w:tcPr>
          <w:p w:rsidR="008A3948" w:rsidRPr="00D06BBA" w:rsidRDefault="008A3948" w:rsidP="00BE31ED">
            <w:pPr>
              <w:spacing w:after="0" w:line="240" w:lineRule="auto"/>
              <w:rPr>
                <w:sz w:val="24"/>
                <w:szCs w:val="24"/>
              </w:rPr>
            </w:pPr>
            <w:r w:rsidRPr="00D06BBA">
              <w:rPr>
                <w:i/>
                <w:sz w:val="24"/>
                <w:szCs w:val="24"/>
                <w:u w:val="single"/>
              </w:rPr>
              <w:t>Expertise</w:t>
            </w:r>
            <w:r w:rsidRPr="00D06BBA">
              <w:rPr>
                <w:sz w:val="24"/>
                <w:szCs w:val="24"/>
              </w:rPr>
              <w:t xml:space="preserve"> We are looking for companies that are suitably qualified in exhibition support and stand design and management. Demonstrable experience of having worked with or on behalf of UK seafood companies would be an advantage.</w:t>
            </w:r>
          </w:p>
        </w:tc>
        <w:tc>
          <w:tcPr>
            <w:tcW w:w="2136" w:type="dxa"/>
            <w:shd w:val="clear" w:color="auto" w:fill="auto"/>
          </w:tcPr>
          <w:p w:rsidR="008A3948" w:rsidRPr="00D06BBA" w:rsidRDefault="00DC6170" w:rsidP="00C42E76">
            <w:pPr>
              <w:jc w:val="center"/>
              <w:rPr>
                <w:sz w:val="24"/>
                <w:szCs w:val="24"/>
              </w:rPr>
            </w:pPr>
            <w:r>
              <w:rPr>
                <w:sz w:val="24"/>
                <w:szCs w:val="24"/>
              </w:rPr>
              <w:t>4</w:t>
            </w:r>
            <w:r w:rsidR="008A3948" w:rsidRPr="00D06BBA">
              <w:rPr>
                <w:sz w:val="24"/>
                <w:szCs w:val="24"/>
              </w:rPr>
              <w:t>0%</w:t>
            </w:r>
          </w:p>
        </w:tc>
      </w:tr>
      <w:tr w:rsidR="008A3948" w:rsidRPr="00E84AE9" w:rsidTr="009C3C6E">
        <w:tc>
          <w:tcPr>
            <w:tcW w:w="6912" w:type="dxa"/>
            <w:shd w:val="clear" w:color="auto" w:fill="auto"/>
          </w:tcPr>
          <w:p w:rsidR="008A3948" w:rsidRPr="00D06BBA" w:rsidRDefault="008A3948" w:rsidP="008A3948">
            <w:pPr>
              <w:rPr>
                <w:sz w:val="24"/>
                <w:szCs w:val="24"/>
              </w:rPr>
            </w:pPr>
            <w:r w:rsidRPr="00D06BBA">
              <w:rPr>
                <w:i/>
                <w:sz w:val="24"/>
                <w:szCs w:val="24"/>
                <w:u w:val="single"/>
              </w:rPr>
              <w:t>Interpretation</w:t>
            </w:r>
            <w:r w:rsidRPr="00D06BBA">
              <w:rPr>
                <w:sz w:val="24"/>
                <w:szCs w:val="24"/>
                <w:u w:val="single"/>
              </w:rPr>
              <w:t xml:space="preserve"> </w:t>
            </w:r>
            <w:r w:rsidRPr="00D06BBA">
              <w:rPr>
                <w:i/>
                <w:sz w:val="24"/>
                <w:szCs w:val="24"/>
                <w:u w:val="single"/>
              </w:rPr>
              <w:t>of the brief</w:t>
            </w:r>
            <w:r w:rsidRPr="00D06BBA">
              <w:rPr>
                <w:sz w:val="24"/>
                <w:szCs w:val="24"/>
              </w:rPr>
              <w:t xml:space="preserve"> evaluation of the approach and proposed design format and content</w:t>
            </w:r>
            <w:r w:rsidR="00BE31ED" w:rsidRPr="00D06BBA">
              <w:rPr>
                <w:sz w:val="24"/>
                <w:szCs w:val="24"/>
              </w:rPr>
              <w:t>.</w:t>
            </w:r>
          </w:p>
        </w:tc>
        <w:tc>
          <w:tcPr>
            <w:tcW w:w="2136" w:type="dxa"/>
            <w:shd w:val="clear" w:color="auto" w:fill="auto"/>
          </w:tcPr>
          <w:p w:rsidR="008A3948" w:rsidRPr="00D06BBA" w:rsidRDefault="008A3948" w:rsidP="00C42E76">
            <w:pPr>
              <w:jc w:val="center"/>
              <w:rPr>
                <w:sz w:val="24"/>
                <w:szCs w:val="24"/>
              </w:rPr>
            </w:pPr>
            <w:r w:rsidRPr="00D06BBA">
              <w:rPr>
                <w:sz w:val="24"/>
                <w:szCs w:val="24"/>
              </w:rPr>
              <w:t>25%</w:t>
            </w:r>
          </w:p>
        </w:tc>
      </w:tr>
      <w:tr w:rsidR="008A3948" w:rsidRPr="00E84AE9" w:rsidTr="009C3C6E">
        <w:tc>
          <w:tcPr>
            <w:tcW w:w="6912" w:type="dxa"/>
            <w:shd w:val="clear" w:color="auto" w:fill="auto"/>
          </w:tcPr>
          <w:p w:rsidR="008A3948" w:rsidRDefault="008A3948" w:rsidP="006D1ED6">
            <w:pPr>
              <w:spacing w:after="0" w:line="240" w:lineRule="auto"/>
              <w:rPr>
                <w:sz w:val="24"/>
                <w:szCs w:val="24"/>
              </w:rPr>
            </w:pPr>
            <w:r w:rsidRPr="00D06BBA">
              <w:rPr>
                <w:i/>
                <w:sz w:val="24"/>
                <w:szCs w:val="24"/>
                <w:u w:val="single"/>
              </w:rPr>
              <w:t>Service Level</w:t>
            </w:r>
            <w:r w:rsidRPr="00D06BBA">
              <w:rPr>
                <w:i/>
                <w:sz w:val="24"/>
                <w:szCs w:val="24"/>
              </w:rPr>
              <w:t xml:space="preserve"> </w:t>
            </w:r>
            <w:r w:rsidRPr="00D06BBA">
              <w:rPr>
                <w:sz w:val="24"/>
                <w:szCs w:val="24"/>
              </w:rPr>
              <w:t>How will you deliver this? How will you ensure that we are getting the best from you?</w:t>
            </w:r>
          </w:p>
          <w:p w:rsidR="006D1ED6" w:rsidRPr="00D06BBA" w:rsidRDefault="006D1ED6" w:rsidP="006D1ED6">
            <w:pPr>
              <w:spacing w:after="0" w:line="240" w:lineRule="auto"/>
              <w:rPr>
                <w:sz w:val="24"/>
                <w:szCs w:val="24"/>
              </w:rPr>
            </w:pPr>
          </w:p>
        </w:tc>
        <w:tc>
          <w:tcPr>
            <w:tcW w:w="2136" w:type="dxa"/>
            <w:shd w:val="clear" w:color="auto" w:fill="auto"/>
          </w:tcPr>
          <w:p w:rsidR="008A3948" w:rsidRPr="00D06BBA" w:rsidRDefault="00DC6170" w:rsidP="00C42E76">
            <w:pPr>
              <w:jc w:val="center"/>
              <w:rPr>
                <w:sz w:val="24"/>
                <w:szCs w:val="24"/>
              </w:rPr>
            </w:pPr>
            <w:r>
              <w:rPr>
                <w:sz w:val="24"/>
                <w:szCs w:val="24"/>
              </w:rPr>
              <w:t>2</w:t>
            </w:r>
            <w:r w:rsidR="008A3948" w:rsidRPr="00D06BBA">
              <w:rPr>
                <w:sz w:val="24"/>
                <w:szCs w:val="24"/>
              </w:rPr>
              <w:t>0%</w:t>
            </w:r>
          </w:p>
        </w:tc>
      </w:tr>
      <w:tr w:rsidR="008A3948" w:rsidRPr="00E84AE9" w:rsidTr="009C3C6E">
        <w:tc>
          <w:tcPr>
            <w:tcW w:w="6912" w:type="dxa"/>
            <w:shd w:val="clear" w:color="auto" w:fill="auto"/>
          </w:tcPr>
          <w:p w:rsidR="00BE31ED" w:rsidRPr="00D06BBA" w:rsidRDefault="008A3948" w:rsidP="0081766E">
            <w:pPr>
              <w:rPr>
                <w:sz w:val="24"/>
                <w:szCs w:val="24"/>
              </w:rPr>
            </w:pPr>
            <w:r w:rsidRPr="00D06BBA">
              <w:rPr>
                <w:i/>
                <w:sz w:val="24"/>
                <w:szCs w:val="24"/>
                <w:u w:val="single"/>
              </w:rPr>
              <w:t>Previous experience</w:t>
            </w:r>
            <w:r w:rsidRPr="00D06BBA">
              <w:rPr>
                <w:sz w:val="24"/>
                <w:szCs w:val="24"/>
              </w:rPr>
              <w:t xml:space="preserve"> and associated client references</w:t>
            </w:r>
            <w:r w:rsidR="00BE31ED" w:rsidRPr="00D06BBA">
              <w:rPr>
                <w:sz w:val="24"/>
                <w:szCs w:val="24"/>
              </w:rPr>
              <w:t>.</w:t>
            </w:r>
          </w:p>
        </w:tc>
        <w:tc>
          <w:tcPr>
            <w:tcW w:w="2136" w:type="dxa"/>
            <w:shd w:val="clear" w:color="auto" w:fill="auto"/>
          </w:tcPr>
          <w:p w:rsidR="008A3948" w:rsidRPr="00D06BBA" w:rsidRDefault="008A3948" w:rsidP="00C42E76">
            <w:pPr>
              <w:jc w:val="center"/>
              <w:rPr>
                <w:sz w:val="24"/>
                <w:szCs w:val="24"/>
              </w:rPr>
            </w:pPr>
            <w:r w:rsidRPr="00D06BBA">
              <w:rPr>
                <w:sz w:val="24"/>
                <w:szCs w:val="24"/>
              </w:rPr>
              <w:t>15%</w:t>
            </w:r>
          </w:p>
        </w:tc>
      </w:tr>
    </w:tbl>
    <w:p w:rsidR="008A3948" w:rsidRDefault="008A3948">
      <w:pPr>
        <w:spacing w:after="0" w:line="240" w:lineRule="auto"/>
        <w:rPr>
          <w:sz w:val="24"/>
        </w:rPr>
      </w:pPr>
    </w:p>
    <w:p w:rsidR="009C3C6E" w:rsidRDefault="009C3C6E" w:rsidP="00D06BBA">
      <w:pPr>
        <w:rPr>
          <w:b/>
          <w:sz w:val="24"/>
          <w:szCs w:val="24"/>
        </w:rPr>
      </w:pPr>
    </w:p>
    <w:p w:rsidR="009C3C6E" w:rsidRDefault="009C3C6E" w:rsidP="00D06BBA">
      <w:pPr>
        <w:rPr>
          <w:b/>
          <w:sz w:val="24"/>
          <w:szCs w:val="24"/>
        </w:rPr>
      </w:pPr>
    </w:p>
    <w:p w:rsidR="009C3C6E" w:rsidRPr="009C3C6E" w:rsidRDefault="009C3C6E" w:rsidP="00D06BBA">
      <w:pPr>
        <w:rPr>
          <w:b/>
          <w:sz w:val="24"/>
          <w:szCs w:val="24"/>
        </w:rPr>
      </w:pPr>
      <w:r w:rsidRPr="009C3C6E">
        <w:rPr>
          <w:b/>
          <w:sz w:val="24"/>
          <w:szCs w:val="24"/>
        </w:rPr>
        <w:lastRenderedPageBreak/>
        <w:t xml:space="preserve">3.6 </w:t>
      </w:r>
      <w:r w:rsidR="00066360">
        <w:rPr>
          <w:b/>
          <w:sz w:val="24"/>
          <w:szCs w:val="24"/>
        </w:rPr>
        <w:tab/>
      </w:r>
      <w:r w:rsidRPr="009C3C6E">
        <w:rPr>
          <w:b/>
          <w:sz w:val="24"/>
          <w:szCs w:val="24"/>
        </w:rPr>
        <w:t>Recovery of Costs</w:t>
      </w:r>
    </w:p>
    <w:p w:rsidR="00D06BBA" w:rsidRDefault="00D06BBA" w:rsidP="00066360">
      <w:pPr>
        <w:ind w:left="720"/>
        <w:rPr>
          <w:sz w:val="24"/>
          <w:szCs w:val="24"/>
        </w:rPr>
      </w:pPr>
      <w:r w:rsidRPr="00D06BBA">
        <w:rPr>
          <w:sz w:val="24"/>
          <w:szCs w:val="24"/>
        </w:rPr>
        <w:t>An applicant is not entitled to claim from Seafish any costs or expenses incurred in preparing the tender document whether or not it is successful.</w:t>
      </w:r>
    </w:p>
    <w:p w:rsidR="00323DA0" w:rsidRPr="001B56E5" w:rsidRDefault="00323DA0" w:rsidP="00323DA0">
      <w:pPr>
        <w:rPr>
          <w:b/>
          <w:sz w:val="24"/>
          <w:szCs w:val="24"/>
        </w:rPr>
      </w:pPr>
      <w:r w:rsidRPr="001B56E5">
        <w:rPr>
          <w:b/>
          <w:sz w:val="24"/>
          <w:szCs w:val="24"/>
        </w:rPr>
        <w:t>3.7</w:t>
      </w:r>
      <w:r w:rsidRPr="001B56E5">
        <w:rPr>
          <w:b/>
          <w:sz w:val="24"/>
          <w:szCs w:val="24"/>
        </w:rPr>
        <w:tab/>
      </w:r>
      <w:r w:rsidR="001B56E5">
        <w:rPr>
          <w:b/>
          <w:sz w:val="24"/>
          <w:szCs w:val="24"/>
        </w:rPr>
        <w:t>Terms of Supplier Contract</w:t>
      </w:r>
    </w:p>
    <w:p w:rsidR="001B56E5" w:rsidRDefault="001B56E5" w:rsidP="001B56E5">
      <w:pPr>
        <w:ind w:left="720"/>
        <w:rPr>
          <w:sz w:val="24"/>
          <w:szCs w:val="24"/>
        </w:rPr>
      </w:pPr>
      <w:r w:rsidRPr="001B56E5">
        <w:rPr>
          <w:sz w:val="24"/>
          <w:szCs w:val="24"/>
        </w:rPr>
        <w:t xml:space="preserve">It is a condition of participation in this Procurement Exercise that the Tenderer accepts the Seafish Terms and Conditions attached in </w:t>
      </w:r>
      <w:r>
        <w:rPr>
          <w:sz w:val="24"/>
          <w:szCs w:val="24"/>
        </w:rPr>
        <w:t>Appendix 4</w:t>
      </w:r>
      <w:r w:rsidRPr="001B56E5">
        <w:rPr>
          <w:sz w:val="24"/>
          <w:szCs w:val="24"/>
        </w:rPr>
        <w:t>.</w:t>
      </w:r>
    </w:p>
    <w:p w:rsidR="001B56E5" w:rsidRPr="001B56E5" w:rsidRDefault="001B56E5" w:rsidP="001B56E5">
      <w:pPr>
        <w:rPr>
          <w:b/>
          <w:sz w:val="24"/>
          <w:szCs w:val="24"/>
        </w:rPr>
      </w:pPr>
      <w:r w:rsidRPr="001B56E5">
        <w:rPr>
          <w:b/>
          <w:sz w:val="24"/>
          <w:szCs w:val="24"/>
        </w:rPr>
        <w:t>3.8</w:t>
      </w:r>
      <w:r w:rsidRPr="001B56E5">
        <w:rPr>
          <w:b/>
          <w:sz w:val="24"/>
          <w:szCs w:val="24"/>
        </w:rPr>
        <w:tab/>
        <w:t>Exit Management</w:t>
      </w:r>
    </w:p>
    <w:p w:rsidR="001B56E5" w:rsidRPr="00D06BBA" w:rsidRDefault="001B56E5" w:rsidP="001B56E5">
      <w:pPr>
        <w:rPr>
          <w:sz w:val="24"/>
          <w:szCs w:val="24"/>
        </w:rPr>
      </w:pPr>
      <w:r>
        <w:rPr>
          <w:sz w:val="24"/>
          <w:szCs w:val="24"/>
        </w:rPr>
        <w:tab/>
        <w:t>Please refer to Appendix 4, section 9.</w:t>
      </w:r>
    </w:p>
    <w:p w:rsidR="009C3C6E" w:rsidRDefault="009C3C6E">
      <w:pPr>
        <w:rPr>
          <w:sz w:val="24"/>
        </w:rPr>
      </w:pPr>
      <w:r>
        <w:rPr>
          <w:sz w:val="24"/>
        </w:rPr>
        <w:br w:type="page"/>
      </w:r>
    </w:p>
    <w:p w:rsidR="00592A06" w:rsidRDefault="009C3C6E">
      <w:pPr>
        <w:spacing w:after="0" w:line="240" w:lineRule="auto"/>
        <w:rPr>
          <w:sz w:val="24"/>
        </w:rPr>
      </w:pPr>
      <w:r>
        <w:rPr>
          <w:sz w:val="24"/>
        </w:rPr>
        <w:lastRenderedPageBreak/>
        <w:t xml:space="preserve">Appendix 1 </w:t>
      </w:r>
      <w:r w:rsidR="00D6360C">
        <w:rPr>
          <w:sz w:val="24"/>
        </w:rPr>
        <w:t>–</w:t>
      </w:r>
      <w:r>
        <w:rPr>
          <w:sz w:val="24"/>
        </w:rPr>
        <w:t xml:space="preserve"> Declaration</w:t>
      </w:r>
      <w:r w:rsidR="00D6360C">
        <w:rPr>
          <w:sz w:val="24"/>
        </w:rPr>
        <w:t xml:space="preserve"> of Tenderer</w:t>
      </w:r>
    </w:p>
    <w:p w:rsidR="00D6360C" w:rsidRDefault="00D6360C">
      <w:pPr>
        <w:spacing w:after="0" w:line="240" w:lineRule="auto"/>
        <w:rPr>
          <w:sz w:val="24"/>
        </w:rPr>
      </w:pPr>
    </w:p>
    <w:p w:rsidR="00D6360C" w:rsidRPr="009F53F7" w:rsidRDefault="00D6360C" w:rsidP="00D6360C">
      <w:pPr>
        <w:jc w:val="both"/>
        <w:rPr>
          <w:rFonts w:cs="Arial"/>
        </w:rPr>
      </w:pPr>
      <w:r w:rsidRPr="009F53F7">
        <w:rPr>
          <w:rFonts w:cs="Arial"/>
        </w:rPr>
        <w:t>*I/We the undersigned do hereby contract and agree on the</w:t>
      </w:r>
      <w:r>
        <w:rPr>
          <w:rFonts w:cs="Arial"/>
        </w:rPr>
        <w:t xml:space="preserve"> acceptance of the Tender by Seafish </w:t>
      </w:r>
      <w:r w:rsidRPr="009F53F7">
        <w:rPr>
          <w:rFonts w:cs="Arial"/>
        </w:rPr>
        <w:t xml:space="preserve">, to provide the goods and/or services in the Specification in accordance with the Schedules, at the accordance with the </w:t>
      </w:r>
      <w:r>
        <w:rPr>
          <w:rFonts w:cs="Arial"/>
        </w:rPr>
        <w:t xml:space="preserve">Seafish </w:t>
      </w:r>
      <w:r w:rsidRPr="009F53F7">
        <w:rPr>
          <w:rFonts w:cs="Arial"/>
        </w:rPr>
        <w:t>Terms and Conditions of Contract which appear in this set of documents.</w:t>
      </w:r>
    </w:p>
    <w:p w:rsidR="00D6360C" w:rsidRPr="009F53F7" w:rsidRDefault="00D6360C" w:rsidP="00D6360C">
      <w:pPr>
        <w:jc w:val="both"/>
        <w:rPr>
          <w:rFonts w:cs="Arial"/>
        </w:rPr>
      </w:pPr>
      <w:r w:rsidRPr="009F53F7">
        <w:rPr>
          <w:rFonts w:cs="Arial"/>
        </w:rPr>
        <w:t>*I/We the undersigned undertake to submit a tender in accordance with the following documents:</w:t>
      </w:r>
    </w:p>
    <w:p w:rsidR="00D6360C" w:rsidRPr="00DD7B8F" w:rsidRDefault="00D6360C" w:rsidP="00D6360C">
      <w:pPr>
        <w:pStyle w:val="ListParagraph"/>
        <w:numPr>
          <w:ilvl w:val="0"/>
          <w:numId w:val="27"/>
        </w:numPr>
        <w:spacing w:after="0" w:line="240" w:lineRule="auto"/>
        <w:rPr>
          <w:color w:val="000000"/>
          <w:sz w:val="24"/>
        </w:rPr>
      </w:pPr>
      <w:r w:rsidRPr="00DD7B8F">
        <w:rPr>
          <w:color w:val="000000"/>
          <w:sz w:val="24"/>
        </w:rPr>
        <w:t>Declaration</w:t>
      </w:r>
      <w:r>
        <w:rPr>
          <w:color w:val="000000"/>
          <w:sz w:val="24"/>
        </w:rPr>
        <w:t xml:space="preserve"> of Tenderer</w:t>
      </w:r>
    </w:p>
    <w:p w:rsidR="00D6360C" w:rsidRPr="00DD7B8F" w:rsidRDefault="00D6360C" w:rsidP="00D6360C">
      <w:pPr>
        <w:pStyle w:val="ListParagraph"/>
        <w:numPr>
          <w:ilvl w:val="0"/>
          <w:numId w:val="27"/>
        </w:numPr>
        <w:spacing w:after="0" w:line="240" w:lineRule="auto"/>
        <w:rPr>
          <w:color w:val="000000"/>
          <w:sz w:val="24"/>
        </w:rPr>
      </w:pPr>
      <w:r>
        <w:rPr>
          <w:color w:val="000000"/>
          <w:sz w:val="24"/>
        </w:rPr>
        <w:t>P</w:t>
      </w:r>
      <w:r w:rsidRPr="00DD7B8F">
        <w:rPr>
          <w:color w:val="000000"/>
          <w:sz w:val="24"/>
        </w:rPr>
        <w:t>ricing Schedule</w:t>
      </w:r>
    </w:p>
    <w:p w:rsidR="00D6360C" w:rsidRPr="00DD7B8F" w:rsidRDefault="00D6360C" w:rsidP="00D6360C">
      <w:pPr>
        <w:pStyle w:val="ListParagraph"/>
        <w:numPr>
          <w:ilvl w:val="0"/>
          <w:numId w:val="27"/>
        </w:numPr>
        <w:spacing w:after="0" w:line="240" w:lineRule="auto"/>
        <w:rPr>
          <w:color w:val="000000"/>
          <w:sz w:val="24"/>
        </w:rPr>
      </w:pPr>
      <w:r w:rsidRPr="00DD7B8F">
        <w:rPr>
          <w:color w:val="000000"/>
          <w:sz w:val="24"/>
        </w:rPr>
        <w:t>Award Questionnaire</w:t>
      </w:r>
    </w:p>
    <w:p w:rsidR="00D6360C" w:rsidRDefault="00D6360C" w:rsidP="00D6360C">
      <w:pPr>
        <w:jc w:val="both"/>
        <w:rPr>
          <w:rFonts w:cs="Arial"/>
        </w:rPr>
      </w:pPr>
    </w:p>
    <w:p w:rsidR="00D6360C" w:rsidRPr="009F53F7" w:rsidRDefault="00D6360C" w:rsidP="00D6360C">
      <w:pPr>
        <w:jc w:val="both"/>
        <w:rPr>
          <w:rFonts w:cs="Arial"/>
        </w:rPr>
      </w:pPr>
      <w:r w:rsidRPr="009F53F7">
        <w:rPr>
          <w:rFonts w:cs="Arial"/>
        </w:rPr>
        <w:t xml:space="preserve">*I/We agree to abide by this tender from </w:t>
      </w:r>
      <w:r>
        <w:rPr>
          <w:rFonts w:cs="Arial"/>
          <w:b/>
        </w:rPr>
        <w:t>17</w:t>
      </w:r>
      <w:r w:rsidRPr="009F53F7">
        <w:rPr>
          <w:rFonts w:cs="Arial"/>
          <w:b/>
        </w:rPr>
        <w:t xml:space="preserve">:00 hours on </w:t>
      </w:r>
      <w:r>
        <w:rPr>
          <w:rFonts w:cs="Arial"/>
          <w:b/>
        </w:rPr>
        <w:t>13</w:t>
      </w:r>
      <w:r w:rsidRPr="00D6360C">
        <w:rPr>
          <w:rFonts w:cs="Arial"/>
          <w:b/>
          <w:vertAlign w:val="superscript"/>
        </w:rPr>
        <w:t>th</w:t>
      </w:r>
      <w:r>
        <w:rPr>
          <w:rFonts w:cs="Arial"/>
          <w:b/>
        </w:rPr>
        <w:t xml:space="preserve"> October </w:t>
      </w:r>
      <w:r w:rsidRPr="009F53F7">
        <w:rPr>
          <w:rFonts w:cs="Arial"/>
          <w:b/>
        </w:rPr>
        <w:t>2017</w:t>
      </w:r>
      <w:r w:rsidRPr="009F53F7">
        <w:rPr>
          <w:rFonts w:cs="Arial"/>
        </w:rPr>
        <w:t xml:space="preserve"> the date fixed for receiving tenders, until the Award of Contract.</w:t>
      </w:r>
    </w:p>
    <w:p w:rsidR="00D6360C" w:rsidRPr="009F53F7" w:rsidRDefault="00D6360C" w:rsidP="00D6360C">
      <w:pPr>
        <w:jc w:val="both"/>
        <w:rPr>
          <w:rFonts w:cs="Arial"/>
        </w:rPr>
      </w:pPr>
      <w:r w:rsidRPr="009F53F7">
        <w:rPr>
          <w:rFonts w:cs="Arial"/>
        </w:rPr>
        <w:t xml:space="preserve">*I/We understand that </w:t>
      </w:r>
      <w:r>
        <w:rPr>
          <w:rFonts w:cs="Arial"/>
        </w:rPr>
        <w:t xml:space="preserve">Seafish is </w:t>
      </w:r>
      <w:r w:rsidRPr="009F53F7">
        <w:rPr>
          <w:rFonts w:cs="Arial"/>
        </w:rPr>
        <w:t>not bound to accept the lowest or any tender and shall not be bound to use the contractor as a sole supplier.</w:t>
      </w:r>
    </w:p>
    <w:p w:rsidR="00D6360C" w:rsidRPr="009F53F7" w:rsidRDefault="00D6360C" w:rsidP="00D6360C">
      <w:pPr>
        <w:pStyle w:val="Paraletter"/>
        <w:tabs>
          <w:tab w:val="clear" w:pos="720"/>
          <w:tab w:val="clear" w:pos="1440"/>
          <w:tab w:val="clear" w:pos="2160"/>
          <w:tab w:val="clear" w:pos="2880"/>
          <w:tab w:val="clear" w:pos="4507"/>
          <w:tab w:val="clear" w:pos="9000"/>
        </w:tabs>
        <w:rPr>
          <w:rFonts w:asciiTheme="minorHAnsi" w:hAnsiTheme="minorHAnsi" w:cs="Arial"/>
          <w:sz w:val="22"/>
          <w:szCs w:val="22"/>
        </w:rPr>
      </w:pPr>
      <w:r w:rsidRPr="009F53F7">
        <w:rPr>
          <w:rFonts w:asciiTheme="minorHAnsi" w:hAnsiTheme="minorHAnsi" w:cs="Arial"/>
          <w:sz w:val="22"/>
          <w:szCs w:val="22"/>
        </w:rPr>
        <w:t xml:space="preserve">*I/We understand that the service provision will commence on the dates specified, unless the Contract is terminated in accordance with the provision of </w:t>
      </w:r>
      <w:r>
        <w:rPr>
          <w:rFonts w:asciiTheme="minorHAnsi" w:hAnsiTheme="minorHAnsi" w:cs="Arial"/>
          <w:sz w:val="22"/>
          <w:szCs w:val="22"/>
        </w:rPr>
        <w:t xml:space="preserve">Seafish </w:t>
      </w:r>
      <w:r w:rsidRPr="009F53F7">
        <w:rPr>
          <w:rFonts w:asciiTheme="minorHAnsi" w:hAnsiTheme="minorHAnsi" w:cs="Arial"/>
          <w:sz w:val="22"/>
          <w:szCs w:val="22"/>
        </w:rPr>
        <w:t>terms and conditions of contract.</w:t>
      </w:r>
    </w:p>
    <w:p w:rsidR="00D6360C" w:rsidRDefault="00D6360C" w:rsidP="00D6360C">
      <w:pPr>
        <w:jc w:val="both"/>
        <w:rPr>
          <w:rFonts w:cs="Arial"/>
        </w:rPr>
      </w:pPr>
    </w:p>
    <w:p w:rsidR="00D6360C" w:rsidRPr="009F53F7" w:rsidRDefault="00D6360C" w:rsidP="00D6360C">
      <w:pPr>
        <w:jc w:val="both"/>
        <w:rPr>
          <w:rFonts w:cs="Arial"/>
        </w:rPr>
      </w:pPr>
    </w:p>
    <w:tbl>
      <w:tblPr>
        <w:tblW w:w="0" w:type="auto"/>
        <w:tblLayout w:type="fixed"/>
        <w:tblLook w:val="0000" w:firstRow="0" w:lastRow="0" w:firstColumn="0" w:lastColumn="0" w:noHBand="0" w:noVBand="0"/>
      </w:tblPr>
      <w:tblGrid>
        <w:gridCol w:w="1098"/>
        <w:gridCol w:w="428"/>
        <w:gridCol w:w="22"/>
        <w:gridCol w:w="3423"/>
        <w:gridCol w:w="1707"/>
        <w:gridCol w:w="2566"/>
      </w:tblGrid>
      <w:tr w:rsidR="00D6360C" w:rsidRPr="009F53F7" w:rsidTr="00A264D0">
        <w:trPr>
          <w:gridAfter w:val="1"/>
          <w:wAfter w:w="2566" w:type="dxa"/>
        </w:trPr>
        <w:tc>
          <w:tcPr>
            <w:tcW w:w="1526" w:type="dxa"/>
            <w:gridSpan w:val="2"/>
            <w:shd w:val="clear" w:color="auto" w:fill="auto"/>
          </w:tcPr>
          <w:p w:rsidR="00D6360C" w:rsidRPr="009F53F7" w:rsidRDefault="00D6360C" w:rsidP="00A264D0">
            <w:pPr>
              <w:spacing w:before="60" w:after="60"/>
              <w:jc w:val="both"/>
              <w:rPr>
                <w:rFonts w:cs="Arial"/>
              </w:rPr>
            </w:pPr>
            <w:r w:rsidRPr="009F53F7">
              <w:rPr>
                <w:rFonts w:cs="Arial"/>
              </w:rPr>
              <w:t>Signature:</w:t>
            </w:r>
            <w:r w:rsidRPr="009F53F7">
              <w:rPr>
                <w:rFonts w:cs="Arial"/>
              </w:rPr>
              <w:tab/>
            </w:r>
            <w:r w:rsidRPr="009F53F7">
              <w:rPr>
                <w:rFonts w:cs="Arial"/>
              </w:rPr>
              <w:tab/>
            </w:r>
          </w:p>
        </w:tc>
        <w:tc>
          <w:tcPr>
            <w:tcW w:w="5152" w:type="dxa"/>
            <w:gridSpan w:val="3"/>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tc>
      </w:tr>
      <w:tr w:rsidR="00D6360C" w:rsidRPr="009F53F7" w:rsidTr="00A264D0">
        <w:trPr>
          <w:trHeight w:val="120"/>
        </w:trPr>
        <w:tc>
          <w:tcPr>
            <w:tcW w:w="1098" w:type="dxa"/>
            <w:shd w:val="clear" w:color="auto" w:fill="auto"/>
          </w:tcPr>
          <w:p w:rsidR="00D6360C" w:rsidRPr="009F53F7" w:rsidRDefault="00D6360C" w:rsidP="00A264D0">
            <w:pPr>
              <w:spacing w:before="60" w:after="60"/>
              <w:jc w:val="both"/>
              <w:rPr>
                <w:rFonts w:cs="Arial"/>
              </w:rPr>
            </w:pPr>
          </w:p>
        </w:tc>
        <w:tc>
          <w:tcPr>
            <w:tcW w:w="3873" w:type="dxa"/>
            <w:gridSpan w:val="3"/>
            <w:shd w:val="clear" w:color="auto" w:fill="auto"/>
          </w:tcPr>
          <w:p w:rsidR="00D6360C" w:rsidRPr="009F53F7" w:rsidRDefault="00D6360C" w:rsidP="00A264D0">
            <w:pPr>
              <w:spacing w:before="60" w:after="60"/>
              <w:jc w:val="both"/>
              <w:rPr>
                <w:rFonts w:cs="Arial"/>
              </w:rPr>
            </w:pPr>
          </w:p>
        </w:tc>
        <w:tc>
          <w:tcPr>
            <w:tcW w:w="4273" w:type="dxa"/>
            <w:gridSpan w:val="2"/>
            <w:shd w:val="clear" w:color="auto" w:fill="auto"/>
          </w:tcPr>
          <w:p w:rsidR="00D6360C" w:rsidRPr="009F53F7" w:rsidRDefault="00D6360C" w:rsidP="00A264D0">
            <w:pPr>
              <w:spacing w:before="60" w:after="60"/>
              <w:jc w:val="both"/>
              <w:rPr>
                <w:rFonts w:cs="Arial"/>
                <w:b/>
              </w:rPr>
            </w:pPr>
          </w:p>
        </w:tc>
      </w:tr>
      <w:tr w:rsidR="00D6360C" w:rsidRPr="009F53F7" w:rsidTr="00A264D0">
        <w:tc>
          <w:tcPr>
            <w:tcW w:w="1526" w:type="dxa"/>
            <w:gridSpan w:val="2"/>
            <w:shd w:val="clear" w:color="auto" w:fill="auto"/>
          </w:tcPr>
          <w:p w:rsidR="00D6360C" w:rsidRPr="009F53F7" w:rsidRDefault="00D6360C" w:rsidP="00A264D0">
            <w:pPr>
              <w:spacing w:before="60" w:after="60"/>
              <w:jc w:val="both"/>
              <w:rPr>
                <w:rFonts w:cs="Arial"/>
              </w:rPr>
            </w:pPr>
            <w:r w:rsidRPr="009F53F7">
              <w:rPr>
                <w:rFonts w:cs="Arial"/>
              </w:rPr>
              <w:t>Name:</w:t>
            </w:r>
          </w:p>
        </w:tc>
        <w:tc>
          <w:tcPr>
            <w:tcW w:w="5152" w:type="dxa"/>
            <w:gridSpan w:val="3"/>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tc>
        <w:tc>
          <w:tcPr>
            <w:tcW w:w="2566" w:type="dxa"/>
            <w:shd w:val="clear" w:color="auto" w:fill="auto"/>
          </w:tcPr>
          <w:p w:rsidR="00D6360C" w:rsidRPr="009F53F7" w:rsidRDefault="00D6360C" w:rsidP="00A264D0">
            <w:pPr>
              <w:spacing w:before="60" w:after="60"/>
              <w:jc w:val="both"/>
              <w:rPr>
                <w:rFonts w:cs="Arial"/>
                <w:b/>
              </w:rPr>
            </w:pPr>
            <w:r w:rsidRPr="009F53F7">
              <w:rPr>
                <w:rFonts w:cs="Arial"/>
                <w:b/>
              </w:rPr>
              <w:t>(BLOCK CAPITALS)</w:t>
            </w:r>
          </w:p>
        </w:tc>
      </w:tr>
      <w:tr w:rsidR="00D6360C" w:rsidRPr="009F53F7" w:rsidTr="00A264D0">
        <w:trPr>
          <w:trHeight w:val="120"/>
        </w:trPr>
        <w:tc>
          <w:tcPr>
            <w:tcW w:w="1098" w:type="dxa"/>
            <w:shd w:val="clear" w:color="auto" w:fill="auto"/>
          </w:tcPr>
          <w:p w:rsidR="00D6360C" w:rsidRPr="009F53F7" w:rsidRDefault="00D6360C" w:rsidP="00A264D0">
            <w:pPr>
              <w:spacing w:before="60" w:after="60"/>
              <w:jc w:val="both"/>
              <w:rPr>
                <w:rFonts w:cs="Arial"/>
              </w:rPr>
            </w:pPr>
          </w:p>
        </w:tc>
        <w:tc>
          <w:tcPr>
            <w:tcW w:w="3873" w:type="dxa"/>
            <w:gridSpan w:val="3"/>
            <w:shd w:val="clear" w:color="auto" w:fill="auto"/>
          </w:tcPr>
          <w:p w:rsidR="00D6360C" w:rsidRPr="009F53F7" w:rsidRDefault="00D6360C" w:rsidP="00A264D0">
            <w:pPr>
              <w:spacing w:before="60" w:after="60"/>
              <w:jc w:val="both"/>
              <w:rPr>
                <w:rFonts w:cs="Arial"/>
              </w:rPr>
            </w:pPr>
          </w:p>
        </w:tc>
        <w:tc>
          <w:tcPr>
            <w:tcW w:w="4273" w:type="dxa"/>
            <w:gridSpan w:val="2"/>
            <w:shd w:val="clear" w:color="auto" w:fill="auto"/>
          </w:tcPr>
          <w:p w:rsidR="00D6360C" w:rsidRPr="009F53F7" w:rsidRDefault="00D6360C" w:rsidP="00A264D0">
            <w:pPr>
              <w:spacing w:before="60" w:after="60"/>
              <w:jc w:val="both"/>
              <w:rPr>
                <w:rFonts w:cs="Arial"/>
                <w:b/>
              </w:rPr>
            </w:pPr>
          </w:p>
        </w:tc>
      </w:tr>
      <w:tr w:rsidR="00D6360C" w:rsidRPr="009F53F7" w:rsidTr="00A264D0">
        <w:tc>
          <w:tcPr>
            <w:tcW w:w="1548" w:type="dxa"/>
            <w:gridSpan w:val="3"/>
            <w:shd w:val="clear" w:color="auto" w:fill="auto"/>
          </w:tcPr>
          <w:p w:rsidR="00D6360C" w:rsidRPr="009F53F7" w:rsidRDefault="00D6360C" w:rsidP="00A264D0">
            <w:pPr>
              <w:spacing w:before="60" w:after="60"/>
              <w:jc w:val="both"/>
              <w:rPr>
                <w:rFonts w:cs="Arial"/>
              </w:rPr>
            </w:pPr>
            <w:r w:rsidRPr="009F53F7">
              <w:rPr>
                <w:rFonts w:cs="Arial"/>
              </w:rPr>
              <w:t>Designation:</w:t>
            </w:r>
          </w:p>
        </w:tc>
        <w:tc>
          <w:tcPr>
            <w:tcW w:w="7696" w:type="dxa"/>
            <w:gridSpan w:val="3"/>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tc>
      </w:tr>
    </w:tbl>
    <w:p w:rsidR="00D6360C" w:rsidRPr="009F53F7" w:rsidRDefault="00D6360C" w:rsidP="00D6360C">
      <w:pPr>
        <w:jc w:val="both"/>
        <w:rPr>
          <w:rFonts w:cs="Arial"/>
        </w:rPr>
      </w:pPr>
      <w:r w:rsidRPr="009F53F7">
        <w:rPr>
          <w:rFonts w:cs="Arial"/>
        </w:rPr>
        <w:tab/>
      </w:r>
      <w:r w:rsidRPr="009F53F7">
        <w:rPr>
          <w:rFonts w:cs="Arial"/>
        </w:rPr>
        <w:tab/>
      </w:r>
    </w:p>
    <w:p w:rsidR="00D6360C" w:rsidRDefault="00D6360C">
      <w:pPr>
        <w:rPr>
          <w:rFonts w:cs="Arial"/>
        </w:rPr>
      </w:pPr>
    </w:p>
    <w:p w:rsidR="00D6360C" w:rsidRPr="009F53F7" w:rsidRDefault="00D6360C" w:rsidP="00D6360C">
      <w:pPr>
        <w:jc w:val="both"/>
        <w:rPr>
          <w:rFonts w:cs="Arial"/>
        </w:rPr>
      </w:pPr>
      <w:r w:rsidRPr="009F53F7">
        <w:rPr>
          <w:rFonts w:cs="Arial"/>
        </w:rPr>
        <w:t>Duly authorised to sign Tenders for and on behalf of:</w:t>
      </w:r>
    </w:p>
    <w:tbl>
      <w:tblPr>
        <w:tblW w:w="0" w:type="auto"/>
        <w:tblLayout w:type="fixed"/>
        <w:tblLook w:val="0000" w:firstRow="0" w:lastRow="0" w:firstColumn="0" w:lastColumn="0" w:noHBand="0" w:noVBand="0"/>
      </w:tblPr>
      <w:tblGrid>
        <w:gridCol w:w="1998"/>
        <w:gridCol w:w="270"/>
        <w:gridCol w:w="3330"/>
        <w:gridCol w:w="1031"/>
        <w:gridCol w:w="2569"/>
        <w:gridCol w:w="46"/>
      </w:tblGrid>
      <w:tr w:rsidR="00D6360C" w:rsidRPr="009F53F7" w:rsidTr="00A264D0">
        <w:tc>
          <w:tcPr>
            <w:tcW w:w="2268" w:type="dxa"/>
            <w:gridSpan w:val="2"/>
            <w:shd w:val="clear" w:color="auto" w:fill="auto"/>
          </w:tcPr>
          <w:p w:rsidR="00D6360C" w:rsidRPr="009F53F7" w:rsidRDefault="00D6360C" w:rsidP="00A264D0">
            <w:pPr>
              <w:spacing w:before="60" w:after="60"/>
              <w:jc w:val="both"/>
              <w:rPr>
                <w:rFonts w:cs="Arial"/>
              </w:rPr>
            </w:pPr>
            <w:r w:rsidRPr="009F53F7">
              <w:rPr>
                <w:rFonts w:cs="Arial"/>
              </w:rPr>
              <w:t>Name of Tenderer</w:t>
            </w:r>
            <w:r w:rsidRPr="009F53F7">
              <w:rPr>
                <w:rFonts w:cs="Arial"/>
              </w:rPr>
              <w:tab/>
            </w:r>
          </w:p>
        </w:tc>
        <w:tc>
          <w:tcPr>
            <w:tcW w:w="6976" w:type="dxa"/>
            <w:gridSpan w:val="4"/>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tc>
      </w:tr>
      <w:tr w:rsidR="00D6360C" w:rsidRPr="009F53F7" w:rsidTr="00A264D0">
        <w:trPr>
          <w:trHeight w:val="120"/>
        </w:trPr>
        <w:tc>
          <w:tcPr>
            <w:tcW w:w="1998" w:type="dxa"/>
            <w:shd w:val="clear" w:color="auto" w:fill="auto"/>
          </w:tcPr>
          <w:p w:rsidR="00D6360C" w:rsidRPr="009F53F7" w:rsidRDefault="00D6360C" w:rsidP="00A264D0">
            <w:pPr>
              <w:spacing w:before="60" w:after="60"/>
              <w:jc w:val="both"/>
              <w:rPr>
                <w:rFonts w:cs="Arial"/>
              </w:rPr>
            </w:pPr>
          </w:p>
        </w:tc>
        <w:tc>
          <w:tcPr>
            <w:tcW w:w="7246" w:type="dxa"/>
            <w:gridSpan w:val="5"/>
            <w:shd w:val="clear" w:color="auto" w:fill="auto"/>
          </w:tcPr>
          <w:p w:rsidR="00D6360C" w:rsidRPr="009F53F7" w:rsidRDefault="00D6360C" w:rsidP="00A264D0">
            <w:pPr>
              <w:spacing w:before="60" w:after="60"/>
              <w:jc w:val="both"/>
              <w:rPr>
                <w:rFonts w:cs="Arial"/>
              </w:rPr>
            </w:pPr>
          </w:p>
        </w:tc>
      </w:tr>
      <w:tr w:rsidR="00D6360C" w:rsidRPr="009F53F7" w:rsidTr="00A264D0">
        <w:tc>
          <w:tcPr>
            <w:tcW w:w="2268" w:type="dxa"/>
            <w:gridSpan w:val="2"/>
            <w:shd w:val="clear" w:color="auto" w:fill="auto"/>
          </w:tcPr>
          <w:p w:rsidR="00D6360C" w:rsidRPr="009F53F7" w:rsidRDefault="00D6360C" w:rsidP="00A264D0">
            <w:pPr>
              <w:spacing w:before="60" w:after="60"/>
              <w:jc w:val="both"/>
              <w:rPr>
                <w:rFonts w:cs="Arial"/>
              </w:rPr>
            </w:pPr>
            <w:r w:rsidRPr="009F53F7">
              <w:rPr>
                <w:rFonts w:cs="Arial"/>
              </w:rPr>
              <w:t>Nature of Firm</w:t>
            </w:r>
            <w:r w:rsidRPr="009F53F7">
              <w:rPr>
                <w:rFonts w:cs="Arial"/>
              </w:rPr>
              <w:tab/>
            </w:r>
          </w:p>
        </w:tc>
        <w:tc>
          <w:tcPr>
            <w:tcW w:w="6976" w:type="dxa"/>
            <w:gridSpan w:val="4"/>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tc>
      </w:tr>
      <w:tr w:rsidR="00D6360C" w:rsidRPr="009F53F7" w:rsidTr="00A264D0">
        <w:trPr>
          <w:trHeight w:val="120"/>
        </w:trPr>
        <w:tc>
          <w:tcPr>
            <w:tcW w:w="1998" w:type="dxa"/>
            <w:shd w:val="clear" w:color="auto" w:fill="auto"/>
          </w:tcPr>
          <w:p w:rsidR="00D6360C" w:rsidRPr="009F53F7" w:rsidRDefault="00D6360C" w:rsidP="00A264D0">
            <w:pPr>
              <w:spacing w:before="60" w:after="60"/>
              <w:jc w:val="both"/>
              <w:rPr>
                <w:rFonts w:cs="Arial"/>
              </w:rPr>
            </w:pPr>
          </w:p>
        </w:tc>
        <w:tc>
          <w:tcPr>
            <w:tcW w:w="7246" w:type="dxa"/>
            <w:gridSpan w:val="5"/>
            <w:shd w:val="clear" w:color="auto" w:fill="auto"/>
          </w:tcPr>
          <w:p w:rsidR="00D6360C" w:rsidRPr="009F53F7" w:rsidRDefault="00D6360C" w:rsidP="00A264D0">
            <w:pPr>
              <w:spacing w:before="60" w:after="60"/>
              <w:jc w:val="both"/>
              <w:rPr>
                <w:rFonts w:cs="Arial"/>
              </w:rPr>
            </w:pPr>
          </w:p>
        </w:tc>
      </w:tr>
      <w:tr w:rsidR="00D6360C" w:rsidRPr="009F53F7" w:rsidTr="00A264D0">
        <w:tc>
          <w:tcPr>
            <w:tcW w:w="2268" w:type="dxa"/>
            <w:gridSpan w:val="2"/>
            <w:shd w:val="clear" w:color="auto" w:fill="auto"/>
          </w:tcPr>
          <w:p w:rsidR="00D6360C" w:rsidRPr="009F53F7" w:rsidRDefault="00D6360C" w:rsidP="00A264D0">
            <w:pPr>
              <w:spacing w:before="60" w:after="60"/>
              <w:jc w:val="both"/>
              <w:rPr>
                <w:rFonts w:cs="Arial"/>
              </w:rPr>
            </w:pPr>
            <w:r w:rsidRPr="009F53F7">
              <w:rPr>
                <w:rFonts w:cs="Arial"/>
              </w:rPr>
              <w:lastRenderedPageBreak/>
              <w:t>Address</w:t>
            </w:r>
            <w:r w:rsidRPr="009F53F7">
              <w:rPr>
                <w:rFonts w:cs="Arial"/>
              </w:rPr>
              <w:tab/>
            </w:r>
            <w:r w:rsidRPr="009F53F7">
              <w:rPr>
                <w:rFonts w:cs="Arial"/>
              </w:rPr>
              <w:tab/>
            </w:r>
          </w:p>
        </w:tc>
        <w:tc>
          <w:tcPr>
            <w:tcW w:w="6976" w:type="dxa"/>
            <w:gridSpan w:val="4"/>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p w:rsidR="00D6360C" w:rsidRPr="009F53F7" w:rsidRDefault="00D6360C" w:rsidP="00A264D0">
            <w:pPr>
              <w:spacing w:before="60" w:after="60"/>
              <w:jc w:val="both"/>
              <w:rPr>
                <w:rFonts w:cs="Arial"/>
              </w:rPr>
            </w:pPr>
          </w:p>
          <w:p w:rsidR="00D6360C" w:rsidRPr="009F53F7" w:rsidRDefault="00D6360C" w:rsidP="00A264D0">
            <w:pPr>
              <w:spacing w:before="60" w:after="60"/>
              <w:jc w:val="both"/>
              <w:rPr>
                <w:rFonts w:cs="Arial"/>
              </w:rPr>
            </w:pPr>
          </w:p>
        </w:tc>
      </w:tr>
      <w:tr w:rsidR="00D6360C" w:rsidRPr="009F53F7" w:rsidTr="00A264D0">
        <w:trPr>
          <w:trHeight w:val="120"/>
        </w:trPr>
        <w:tc>
          <w:tcPr>
            <w:tcW w:w="1998" w:type="dxa"/>
            <w:shd w:val="clear" w:color="auto" w:fill="auto"/>
          </w:tcPr>
          <w:p w:rsidR="00D6360C" w:rsidRPr="009F53F7" w:rsidRDefault="00D6360C" w:rsidP="00A264D0">
            <w:pPr>
              <w:spacing w:before="60" w:after="60"/>
              <w:jc w:val="both"/>
              <w:rPr>
                <w:rFonts w:cs="Arial"/>
              </w:rPr>
            </w:pPr>
          </w:p>
        </w:tc>
        <w:tc>
          <w:tcPr>
            <w:tcW w:w="7246" w:type="dxa"/>
            <w:gridSpan w:val="5"/>
            <w:shd w:val="clear" w:color="auto" w:fill="auto"/>
          </w:tcPr>
          <w:p w:rsidR="00D6360C" w:rsidRPr="009F53F7" w:rsidRDefault="00D6360C" w:rsidP="00A264D0">
            <w:pPr>
              <w:spacing w:before="60" w:after="60"/>
              <w:jc w:val="both"/>
              <w:rPr>
                <w:rFonts w:cs="Arial"/>
              </w:rPr>
            </w:pPr>
          </w:p>
        </w:tc>
      </w:tr>
      <w:tr w:rsidR="00D6360C" w:rsidRPr="009F53F7" w:rsidTr="00A264D0">
        <w:trPr>
          <w:gridAfter w:val="1"/>
          <w:wAfter w:w="46" w:type="dxa"/>
        </w:trPr>
        <w:tc>
          <w:tcPr>
            <w:tcW w:w="2268" w:type="dxa"/>
            <w:gridSpan w:val="2"/>
            <w:shd w:val="clear" w:color="auto" w:fill="auto"/>
          </w:tcPr>
          <w:p w:rsidR="00D6360C" w:rsidRPr="009F53F7" w:rsidRDefault="00D6360C" w:rsidP="00A264D0">
            <w:pPr>
              <w:spacing w:before="60" w:after="60"/>
              <w:jc w:val="both"/>
              <w:rPr>
                <w:rFonts w:cs="Arial"/>
              </w:rPr>
            </w:pPr>
            <w:r w:rsidRPr="009F53F7">
              <w:rPr>
                <w:rFonts w:cs="Arial"/>
              </w:rPr>
              <w:t>Telephone No</w:t>
            </w:r>
            <w:r w:rsidRPr="009F53F7">
              <w:rPr>
                <w:rFonts w:cs="Arial"/>
              </w:rPr>
              <w:tab/>
            </w:r>
            <w:r w:rsidRPr="009F53F7">
              <w:rPr>
                <w:rFonts w:cs="Arial"/>
              </w:rPr>
              <w:tab/>
            </w:r>
          </w:p>
        </w:tc>
        <w:tc>
          <w:tcPr>
            <w:tcW w:w="3330" w:type="dxa"/>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tc>
        <w:tc>
          <w:tcPr>
            <w:tcW w:w="3600" w:type="dxa"/>
            <w:gridSpan w:val="2"/>
            <w:tcBorders>
              <w:top w:val="nil"/>
              <w:left w:val="single" w:sz="6" w:space="0" w:color="auto"/>
              <w:bottom w:val="nil"/>
              <w:right w:val="nil"/>
            </w:tcBorders>
            <w:shd w:val="clear" w:color="auto" w:fill="auto"/>
          </w:tcPr>
          <w:p w:rsidR="00D6360C" w:rsidRPr="009F53F7" w:rsidRDefault="00D6360C" w:rsidP="00A264D0">
            <w:pPr>
              <w:spacing w:before="60" w:after="60"/>
              <w:jc w:val="both"/>
              <w:rPr>
                <w:rFonts w:cs="Arial"/>
                <w:b/>
              </w:rPr>
            </w:pPr>
            <w:r w:rsidRPr="009F53F7">
              <w:rPr>
                <w:rFonts w:cs="Arial"/>
                <w:b/>
              </w:rPr>
              <w:t>INCLUDE AREA CODE</w:t>
            </w:r>
          </w:p>
        </w:tc>
      </w:tr>
      <w:tr w:rsidR="00D6360C" w:rsidRPr="009F53F7" w:rsidTr="00A264D0">
        <w:trPr>
          <w:trHeight w:val="120"/>
        </w:trPr>
        <w:tc>
          <w:tcPr>
            <w:tcW w:w="1998" w:type="dxa"/>
            <w:shd w:val="clear" w:color="auto" w:fill="auto"/>
          </w:tcPr>
          <w:p w:rsidR="00D6360C" w:rsidRPr="009F53F7" w:rsidRDefault="00D6360C" w:rsidP="00A264D0">
            <w:pPr>
              <w:spacing w:before="60" w:after="60"/>
              <w:jc w:val="both"/>
              <w:rPr>
                <w:rFonts w:cs="Arial"/>
              </w:rPr>
            </w:pPr>
          </w:p>
        </w:tc>
        <w:tc>
          <w:tcPr>
            <w:tcW w:w="7246" w:type="dxa"/>
            <w:gridSpan w:val="5"/>
            <w:shd w:val="clear" w:color="auto" w:fill="auto"/>
          </w:tcPr>
          <w:p w:rsidR="00D6360C" w:rsidRPr="009F53F7" w:rsidRDefault="00D6360C" w:rsidP="00A264D0">
            <w:pPr>
              <w:spacing w:before="60" w:after="60"/>
              <w:jc w:val="both"/>
              <w:rPr>
                <w:rFonts w:cs="Arial"/>
              </w:rPr>
            </w:pPr>
          </w:p>
        </w:tc>
      </w:tr>
      <w:tr w:rsidR="00D6360C" w:rsidRPr="009F53F7" w:rsidTr="00A264D0">
        <w:trPr>
          <w:gridAfter w:val="2"/>
          <w:wAfter w:w="2615" w:type="dxa"/>
        </w:trPr>
        <w:tc>
          <w:tcPr>
            <w:tcW w:w="2268" w:type="dxa"/>
            <w:gridSpan w:val="2"/>
            <w:shd w:val="clear" w:color="auto" w:fill="auto"/>
          </w:tcPr>
          <w:p w:rsidR="00D6360C" w:rsidRPr="009F53F7" w:rsidRDefault="00D6360C" w:rsidP="00A264D0">
            <w:pPr>
              <w:spacing w:before="60" w:after="60"/>
              <w:jc w:val="both"/>
              <w:rPr>
                <w:rFonts w:cs="Arial"/>
              </w:rPr>
            </w:pPr>
            <w:r w:rsidRPr="009F53F7">
              <w:rPr>
                <w:rFonts w:cs="Arial"/>
              </w:rPr>
              <w:t>E-mail</w:t>
            </w:r>
          </w:p>
        </w:tc>
        <w:tc>
          <w:tcPr>
            <w:tcW w:w="4361" w:type="dxa"/>
            <w:gridSpan w:val="2"/>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tc>
      </w:tr>
      <w:tr w:rsidR="00D6360C" w:rsidRPr="009F53F7" w:rsidTr="00A264D0">
        <w:trPr>
          <w:gridAfter w:val="2"/>
          <w:wAfter w:w="2615" w:type="dxa"/>
        </w:trPr>
        <w:tc>
          <w:tcPr>
            <w:tcW w:w="2268" w:type="dxa"/>
            <w:gridSpan w:val="2"/>
            <w:shd w:val="clear" w:color="auto" w:fill="auto"/>
          </w:tcPr>
          <w:p w:rsidR="00D6360C" w:rsidRPr="009F53F7" w:rsidRDefault="00D6360C" w:rsidP="00A264D0">
            <w:pPr>
              <w:spacing w:before="60" w:after="60"/>
              <w:jc w:val="both"/>
              <w:rPr>
                <w:rFonts w:cs="Arial"/>
              </w:rPr>
            </w:pPr>
            <w:r w:rsidRPr="009F53F7">
              <w:rPr>
                <w:rFonts w:cs="Arial"/>
              </w:rPr>
              <w:t>Date</w:t>
            </w:r>
            <w:r w:rsidRPr="009F53F7">
              <w:rPr>
                <w:rFonts w:cs="Arial"/>
              </w:rPr>
              <w:tab/>
            </w:r>
            <w:r w:rsidRPr="009F53F7">
              <w:rPr>
                <w:rFonts w:cs="Arial"/>
              </w:rPr>
              <w:tab/>
            </w:r>
            <w:r w:rsidRPr="009F53F7">
              <w:rPr>
                <w:rFonts w:cs="Arial"/>
              </w:rPr>
              <w:tab/>
            </w:r>
          </w:p>
        </w:tc>
        <w:tc>
          <w:tcPr>
            <w:tcW w:w="4361" w:type="dxa"/>
            <w:gridSpan w:val="2"/>
            <w:tcBorders>
              <w:top w:val="single" w:sz="6" w:space="0" w:color="auto"/>
              <w:left w:val="single" w:sz="6" w:space="0" w:color="auto"/>
              <w:bottom w:val="single" w:sz="6" w:space="0" w:color="auto"/>
              <w:right w:val="single" w:sz="6" w:space="0" w:color="auto"/>
            </w:tcBorders>
            <w:shd w:val="clear" w:color="auto" w:fill="auto"/>
          </w:tcPr>
          <w:p w:rsidR="00D6360C" w:rsidRPr="009F53F7" w:rsidRDefault="00D6360C" w:rsidP="00A264D0">
            <w:pPr>
              <w:spacing w:before="60" w:after="60"/>
              <w:jc w:val="both"/>
              <w:rPr>
                <w:rFonts w:cs="Arial"/>
              </w:rPr>
            </w:pPr>
          </w:p>
        </w:tc>
      </w:tr>
    </w:tbl>
    <w:p w:rsidR="00D6360C" w:rsidRPr="009F53F7" w:rsidRDefault="00D6360C" w:rsidP="00D6360C">
      <w:pPr>
        <w:jc w:val="both"/>
        <w:rPr>
          <w:rFonts w:cs="Arial"/>
        </w:rPr>
      </w:pPr>
    </w:p>
    <w:p w:rsidR="00D6360C" w:rsidRPr="009F53F7" w:rsidRDefault="00D6360C" w:rsidP="00D6360C">
      <w:pPr>
        <w:jc w:val="both"/>
        <w:rPr>
          <w:rFonts w:cs="Arial"/>
        </w:rPr>
      </w:pPr>
      <w:r w:rsidRPr="009F53F7">
        <w:rPr>
          <w:rFonts w:cs="Arial"/>
        </w:rPr>
        <w:t xml:space="preserve">It must be clearly shown whether the Tenderer is a limited liability company, statutory corporation, partnership, or single individual trading under his own name. </w:t>
      </w:r>
    </w:p>
    <w:p w:rsidR="00D6360C" w:rsidRDefault="00D6360C">
      <w:pPr>
        <w:rPr>
          <w:sz w:val="24"/>
        </w:rPr>
      </w:pPr>
      <w:r>
        <w:rPr>
          <w:sz w:val="24"/>
        </w:rPr>
        <w:br w:type="page"/>
      </w:r>
    </w:p>
    <w:p w:rsidR="00D6360C" w:rsidRDefault="00D6360C">
      <w:pPr>
        <w:spacing w:after="0" w:line="240" w:lineRule="auto"/>
        <w:rPr>
          <w:b/>
          <w:sz w:val="24"/>
        </w:rPr>
      </w:pPr>
      <w:r w:rsidRPr="00D6360C">
        <w:rPr>
          <w:b/>
          <w:sz w:val="24"/>
        </w:rPr>
        <w:lastRenderedPageBreak/>
        <w:t>Appendix 2 – Pricing Schedule</w:t>
      </w:r>
    </w:p>
    <w:p w:rsidR="00D6360C" w:rsidRDefault="00D6360C">
      <w:pPr>
        <w:spacing w:after="0" w:line="240" w:lineRule="auto"/>
        <w:rPr>
          <w:b/>
          <w:sz w:val="24"/>
        </w:rPr>
      </w:pPr>
    </w:p>
    <w:p w:rsidR="00066360" w:rsidRDefault="00066360">
      <w:pPr>
        <w:spacing w:after="0" w:line="240" w:lineRule="auto"/>
        <w:rPr>
          <w:b/>
          <w:sz w:val="24"/>
        </w:rPr>
      </w:pPr>
      <w:r>
        <w:rPr>
          <w:b/>
          <w:sz w:val="24"/>
        </w:rPr>
        <w:t>Example – Please insert lines as required</w:t>
      </w:r>
    </w:p>
    <w:p w:rsidR="00066360" w:rsidRDefault="00066360">
      <w:pPr>
        <w:spacing w:after="0" w:line="240" w:lineRule="auto"/>
        <w:rPr>
          <w:b/>
          <w:sz w:val="24"/>
        </w:rPr>
      </w:pPr>
    </w:p>
    <w:tbl>
      <w:tblPr>
        <w:tblStyle w:val="TableGrid"/>
        <w:tblW w:w="10212" w:type="dxa"/>
        <w:tblLook w:val="04A0" w:firstRow="1" w:lastRow="0" w:firstColumn="1" w:lastColumn="0" w:noHBand="0" w:noVBand="1"/>
      </w:tblPr>
      <w:tblGrid>
        <w:gridCol w:w="7196"/>
        <w:gridCol w:w="3016"/>
      </w:tblGrid>
      <w:tr w:rsidR="00066360" w:rsidTr="00AD009D">
        <w:trPr>
          <w:trHeight w:val="320"/>
        </w:trPr>
        <w:tc>
          <w:tcPr>
            <w:tcW w:w="10212" w:type="dxa"/>
            <w:gridSpan w:val="2"/>
            <w:shd w:val="clear" w:color="auto" w:fill="C6D9F1" w:themeFill="text2" w:themeFillTint="33"/>
          </w:tcPr>
          <w:p w:rsidR="00066360" w:rsidRDefault="00066360" w:rsidP="007267FD">
            <w:pPr>
              <w:rPr>
                <w:b/>
                <w:sz w:val="24"/>
              </w:rPr>
            </w:pPr>
            <w:r>
              <w:rPr>
                <w:b/>
                <w:sz w:val="24"/>
              </w:rPr>
              <w:t>Year 1 Costs</w:t>
            </w:r>
          </w:p>
        </w:tc>
      </w:tr>
      <w:tr w:rsidR="00C42E76" w:rsidTr="00C42E76">
        <w:trPr>
          <w:trHeight w:val="319"/>
        </w:trPr>
        <w:tc>
          <w:tcPr>
            <w:tcW w:w="7196" w:type="dxa"/>
            <w:shd w:val="clear" w:color="auto" w:fill="EAF1DD" w:themeFill="accent3" w:themeFillTint="33"/>
          </w:tcPr>
          <w:p w:rsidR="00C42E76" w:rsidRDefault="00C66DA8" w:rsidP="00C66DA8">
            <w:pPr>
              <w:rPr>
                <w:b/>
                <w:sz w:val="24"/>
              </w:rPr>
            </w:pPr>
            <w:r>
              <w:rPr>
                <w:b/>
                <w:sz w:val="24"/>
              </w:rPr>
              <w:t>72sqm Information Stand, Seafood Expo Global, Brussels  (24 – 26 April 2018)</w:t>
            </w:r>
          </w:p>
        </w:tc>
        <w:tc>
          <w:tcPr>
            <w:tcW w:w="3016" w:type="dxa"/>
            <w:shd w:val="clear" w:color="auto" w:fill="EAF1DD" w:themeFill="accent3" w:themeFillTint="33"/>
          </w:tcPr>
          <w:p w:rsidR="00C42E76" w:rsidRDefault="00C42E76" w:rsidP="00C42E76">
            <w:pPr>
              <w:jc w:val="right"/>
              <w:rPr>
                <w:b/>
                <w:sz w:val="24"/>
              </w:rPr>
            </w:pPr>
            <w:r>
              <w:rPr>
                <w:b/>
                <w:sz w:val="24"/>
              </w:rPr>
              <w:t>Cost (£)</w:t>
            </w: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066360" w:rsidTr="00AD009D">
        <w:trPr>
          <w:trHeight w:val="304"/>
        </w:trPr>
        <w:tc>
          <w:tcPr>
            <w:tcW w:w="7196" w:type="dxa"/>
          </w:tcPr>
          <w:p w:rsidR="00066360" w:rsidRDefault="00066360">
            <w:pPr>
              <w:rPr>
                <w:b/>
                <w:sz w:val="24"/>
              </w:rPr>
            </w:pPr>
          </w:p>
        </w:tc>
        <w:tc>
          <w:tcPr>
            <w:tcW w:w="3016" w:type="dxa"/>
          </w:tcPr>
          <w:p w:rsidR="00066360" w:rsidRDefault="00066360" w:rsidP="00C42E76">
            <w:pPr>
              <w:jc w:val="right"/>
              <w:rPr>
                <w:b/>
                <w:sz w:val="24"/>
              </w:rPr>
            </w:pPr>
          </w:p>
        </w:tc>
      </w:tr>
      <w:tr w:rsidR="00066360" w:rsidTr="00AD009D">
        <w:trPr>
          <w:trHeight w:val="288"/>
        </w:trPr>
        <w:tc>
          <w:tcPr>
            <w:tcW w:w="7196" w:type="dxa"/>
          </w:tcPr>
          <w:p w:rsidR="00066360" w:rsidRDefault="00066360">
            <w:pPr>
              <w:rPr>
                <w:b/>
                <w:sz w:val="24"/>
              </w:rPr>
            </w:pPr>
          </w:p>
        </w:tc>
        <w:tc>
          <w:tcPr>
            <w:tcW w:w="3016" w:type="dxa"/>
          </w:tcPr>
          <w:p w:rsidR="00066360" w:rsidRDefault="00066360" w:rsidP="00C42E76">
            <w:pPr>
              <w:jc w:val="right"/>
              <w:rPr>
                <w:b/>
                <w:sz w:val="24"/>
              </w:rPr>
            </w:pPr>
          </w:p>
        </w:tc>
      </w:tr>
      <w:tr w:rsidR="00066360" w:rsidTr="00AD009D">
        <w:trPr>
          <w:trHeight w:val="288"/>
        </w:trPr>
        <w:tc>
          <w:tcPr>
            <w:tcW w:w="7196" w:type="dxa"/>
          </w:tcPr>
          <w:p w:rsidR="00066360" w:rsidRDefault="00066360">
            <w:pPr>
              <w:rPr>
                <w:b/>
                <w:sz w:val="24"/>
              </w:rPr>
            </w:pPr>
          </w:p>
        </w:tc>
        <w:tc>
          <w:tcPr>
            <w:tcW w:w="3016" w:type="dxa"/>
          </w:tcPr>
          <w:p w:rsidR="00066360" w:rsidRDefault="00066360" w:rsidP="00C42E76">
            <w:pPr>
              <w:jc w:val="right"/>
              <w:rPr>
                <w:b/>
                <w:sz w:val="24"/>
              </w:rPr>
            </w:pPr>
          </w:p>
        </w:tc>
      </w:tr>
      <w:tr w:rsidR="00066360" w:rsidTr="00AD009D">
        <w:trPr>
          <w:trHeight w:val="288"/>
        </w:trPr>
        <w:tc>
          <w:tcPr>
            <w:tcW w:w="7196" w:type="dxa"/>
          </w:tcPr>
          <w:p w:rsidR="00066360" w:rsidRDefault="00066360">
            <w:pPr>
              <w:rPr>
                <w:b/>
                <w:sz w:val="24"/>
              </w:rPr>
            </w:pPr>
          </w:p>
        </w:tc>
        <w:tc>
          <w:tcPr>
            <w:tcW w:w="3016" w:type="dxa"/>
          </w:tcPr>
          <w:p w:rsidR="00066360" w:rsidRDefault="00066360" w:rsidP="00C42E76">
            <w:pPr>
              <w:jc w:val="right"/>
              <w:rPr>
                <w:b/>
                <w:sz w:val="24"/>
              </w:rPr>
            </w:pPr>
          </w:p>
        </w:tc>
      </w:tr>
      <w:tr w:rsidR="00066360" w:rsidTr="00AD009D">
        <w:trPr>
          <w:trHeight w:val="288"/>
        </w:trPr>
        <w:tc>
          <w:tcPr>
            <w:tcW w:w="7196" w:type="dxa"/>
          </w:tcPr>
          <w:p w:rsidR="00066360" w:rsidRDefault="00066360">
            <w:pPr>
              <w:rPr>
                <w:b/>
                <w:sz w:val="24"/>
              </w:rPr>
            </w:pPr>
          </w:p>
        </w:tc>
        <w:tc>
          <w:tcPr>
            <w:tcW w:w="3016" w:type="dxa"/>
          </w:tcPr>
          <w:p w:rsidR="00066360" w:rsidRDefault="00066360" w:rsidP="00C42E76">
            <w:pPr>
              <w:jc w:val="right"/>
              <w:rPr>
                <w:b/>
                <w:sz w:val="24"/>
              </w:rPr>
            </w:pPr>
          </w:p>
        </w:tc>
      </w:tr>
      <w:tr w:rsidR="00066360" w:rsidTr="00AD009D">
        <w:trPr>
          <w:trHeight w:val="288"/>
        </w:trPr>
        <w:tc>
          <w:tcPr>
            <w:tcW w:w="7196" w:type="dxa"/>
            <w:shd w:val="clear" w:color="auto" w:fill="EAF1DD" w:themeFill="accent3" w:themeFillTint="33"/>
          </w:tcPr>
          <w:p w:rsidR="00066360" w:rsidRDefault="00AD009D" w:rsidP="00C66DA8">
            <w:pPr>
              <w:rPr>
                <w:b/>
                <w:sz w:val="24"/>
              </w:rPr>
            </w:pPr>
            <w:r>
              <w:rPr>
                <w:b/>
                <w:sz w:val="24"/>
              </w:rPr>
              <w:t>B</w:t>
            </w:r>
            <w:r w:rsidR="00C66DA8">
              <w:rPr>
                <w:b/>
                <w:sz w:val="24"/>
              </w:rPr>
              <w:t>russels</w:t>
            </w:r>
            <w:r w:rsidR="00AD215D">
              <w:rPr>
                <w:b/>
                <w:sz w:val="24"/>
              </w:rPr>
              <w:t xml:space="preserve"> </w:t>
            </w:r>
            <w:r>
              <w:rPr>
                <w:b/>
                <w:sz w:val="24"/>
              </w:rPr>
              <w:t>Total</w:t>
            </w:r>
          </w:p>
        </w:tc>
        <w:tc>
          <w:tcPr>
            <w:tcW w:w="3016" w:type="dxa"/>
            <w:shd w:val="clear" w:color="auto" w:fill="EAF1DD" w:themeFill="accent3" w:themeFillTint="33"/>
          </w:tcPr>
          <w:p w:rsidR="00066360" w:rsidRDefault="00066360" w:rsidP="00C42E76">
            <w:pPr>
              <w:jc w:val="right"/>
              <w:rPr>
                <w:b/>
                <w:sz w:val="24"/>
              </w:rPr>
            </w:pPr>
          </w:p>
        </w:tc>
      </w:tr>
      <w:tr w:rsidR="00C42E76" w:rsidTr="00C42E76">
        <w:trPr>
          <w:trHeight w:val="319"/>
        </w:trPr>
        <w:tc>
          <w:tcPr>
            <w:tcW w:w="7196" w:type="dxa"/>
            <w:shd w:val="clear" w:color="auto" w:fill="EAF1DD" w:themeFill="accent3" w:themeFillTint="33"/>
          </w:tcPr>
          <w:p w:rsidR="00C42E76" w:rsidRDefault="00C66DA8" w:rsidP="00A264D0">
            <w:pPr>
              <w:rPr>
                <w:b/>
                <w:sz w:val="24"/>
              </w:rPr>
            </w:pPr>
            <w:r>
              <w:rPr>
                <w:b/>
                <w:sz w:val="24"/>
              </w:rPr>
              <w:t>100sqm Pavilion, Japan Seafood Show, Tokyo  (August 2018 tbc)</w:t>
            </w:r>
          </w:p>
        </w:tc>
        <w:tc>
          <w:tcPr>
            <w:tcW w:w="3016" w:type="dxa"/>
            <w:shd w:val="clear" w:color="auto" w:fill="EAF1DD" w:themeFill="accent3" w:themeFillTint="33"/>
          </w:tcPr>
          <w:p w:rsidR="00C42E76" w:rsidRDefault="00C42E76" w:rsidP="00C42E76">
            <w:pPr>
              <w:jc w:val="right"/>
              <w:rPr>
                <w:b/>
                <w:sz w:val="24"/>
              </w:rPr>
            </w:pPr>
            <w:r>
              <w:rPr>
                <w:b/>
                <w:sz w:val="24"/>
              </w:rPr>
              <w:t>Cost (£)</w:t>
            </w: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304"/>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C42E76" w:rsidTr="00AD009D">
        <w:trPr>
          <w:trHeight w:val="288"/>
        </w:trPr>
        <w:tc>
          <w:tcPr>
            <w:tcW w:w="7196" w:type="dxa"/>
          </w:tcPr>
          <w:p w:rsidR="00C42E76" w:rsidRDefault="00C42E76">
            <w:pPr>
              <w:rPr>
                <w:b/>
                <w:sz w:val="24"/>
              </w:rPr>
            </w:pPr>
          </w:p>
        </w:tc>
        <w:tc>
          <w:tcPr>
            <w:tcW w:w="3016" w:type="dxa"/>
          </w:tcPr>
          <w:p w:rsidR="00C42E76" w:rsidRDefault="00C42E76"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shd w:val="clear" w:color="auto" w:fill="EAF1DD" w:themeFill="accent3" w:themeFillTint="33"/>
          </w:tcPr>
          <w:p w:rsidR="00AD009D" w:rsidRDefault="00C66DA8" w:rsidP="00A264D0">
            <w:pPr>
              <w:rPr>
                <w:b/>
                <w:sz w:val="24"/>
              </w:rPr>
            </w:pPr>
            <w:r>
              <w:rPr>
                <w:b/>
                <w:sz w:val="24"/>
              </w:rPr>
              <w:t>Tokyo</w:t>
            </w:r>
            <w:r w:rsidR="00AD009D">
              <w:rPr>
                <w:b/>
                <w:sz w:val="24"/>
              </w:rPr>
              <w:t xml:space="preserve"> Total</w:t>
            </w:r>
          </w:p>
        </w:tc>
        <w:tc>
          <w:tcPr>
            <w:tcW w:w="3016" w:type="dxa"/>
            <w:shd w:val="clear" w:color="auto" w:fill="EAF1DD" w:themeFill="accent3" w:themeFillTint="33"/>
          </w:tcPr>
          <w:p w:rsidR="00AD009D" w:rsidRDefault="00AD009D" w:rsidP="00C42E76">
            <w:pPr>
              <w:jc w:val="right"/>
              <w:rPr>
                <w:b/>
                <w:sz w:val="24"/>
              </w:rPr>
            </w:pPr>
          </w:p>
        </w:tc>
      </w:tr>
      <w:tr w:rsidR="00C42E76" w:rsidTr="00C42E76">
        <w:trPr>
          <w:trHeight w:val="319"/>
        </w:trPr>
        <w:tc>
          <w:tcPr>
            <w:tcW w:w="7196" w:type="dxa"/>
            <w:shd w:val="clear" w:color="auto" w:fill="EAF1DD" w:themeFill="accent3" w:themeFillTint="33"/>
          </w:tcPr>
          <w:p w:rsidR="00C42E76" w:rsidRDefault="0029509C" w:rsidP="00A264D0">
            <w:pPr>
              <w:rPr>
                <w:b/>
                <w:sz w:val="24"/>
              </w:rPr>
            </w:pPr>
            <w:r>
              <w:rPr>
                <w:b/>
                <w:sz w:val="24"/>
              </w:rPr>
              <w:t xml:space="preserve">27sqm information stand </w:t>
            </w:r>
            <w:r w:rsidR="00C66DA8">
              <w:rPr>
                <w:b/>
                <w:sz w:val="24"/>
              </w:rPr>
              <w:t>Seafood Expo North America</w:t>
            </w:r>
            <w:r w:rsidR="00DC6170">
              <w:rPr>
                <w:b/>
                <w:sz w:val="24"/>
              </w:rPr>
              <w:t xml:space="preserve">, Boston </w:t>
            </w:r>
            <w:r w:rsidR="00C66DA8">
              <w:rPr>
                <w:b/>
                <w:sz w:val="24"/>
              </w:rPr>
              <w:t xml:space="preserve"> (March 2019</w:t>
            </w:r>
            <w:r w:rsidR="00DC6170">
              <w:rPr>
                <w:b/>
                <w:sz w:val="24"/>
              </w:rPr>
              <w:t xml:space="preserve"> tbc)</w:t>
            </w:r>
          </w:p>
        </w:tc>
        <w:tc>
          <w:tcPr>
            <w:tcW w:w="3016" w:type="dxa"/>
            <w:shd w:val="clear" w:color="auto" w:fill="EAF1DD" w:themeFill="accent3" w:themeFillTint="33"/>
          </w:tcPr>
          <w:p w:rsidR="00C42E76" w:rsidRDefault="00C42E76" w:rsidP="00C42E76">
            <w:pPr>
              <w:jc w:val="right"/>
              <w:rPr>
                <w:b/>
                <w:sz w:val="24"/>
              </w:rPr>
            </w:pPr>
            <w:r>
              <w:rPr>
                <w:b/>
                <w:sz w:val="24"/>
              </w:rPr>
              <w:t>Cost (£)</w:t>
            </w: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C42E76" w:rsidTr="00AD009D">
        <w:trPr>
          <w:trHeight w:val="304"/>
        </w:trPr>
        <w:tc>
          <w:tcPr>
            <w:tcW w:w="7196" w:type="dxa"/>
          </w:tcPr>
          <w:p w:rsidR="00C42E76" w:rsidRDefault="00C42E76">
            <w:pPr>
              <w:rPr>
                <w:b/>
                <w:sz w:val="24"/>
              </w:rPr>
            </w:pPr>
          </w:p>
        </w:tc>
        <w:tc>
          <w:tcPr>
            <w:tcW w:w="3016" w:type="dxa"/>
          </w:tcPr>
          <w:p w:rsidR="00C42E76" w:rsidRDefault="00C42E76" w:rsidP="00C42E76">
            <w:pPr>
              <w:jc w:val="right"/>
              <w:rPr>
                <w:b/>
                <w:sz w:val="24"/>
              </w:rPr>
            </w:pPr>
          </w:p>
        </w:tc>
      </w:tr>
      <w:tr w:rsidR="00AD009D" w:rsidTr="00AD009D">
        <w:trPr>
          <w:trHeight w:val="304"/>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288"/>
        </w:trPr>
        <w:tc>
          <w:tcPr>
            <w:tcW w:w="7196" w:type="dxa"/>
          </w:tcPr>
          <w:p w:rsidR="00AD009D" w:rsidRDefault="00AD009D">
            <w:pPr>
              <w:rPr>
                <w:b/>
                <w:sz w:val="24"/>
              </w:rPr>
            </w:pPr>
          </w:p>
        </w:tc>
        <w:tc>
          <w:tcPr>
            <w:tcW w:w="3016" w:type="dxa"/>
          </w:tcPr>
          <w:p w:rsidR="00AD009D" w:rsidRDefault="00AD009D" w:rsidP="00C42E76">
            <w:pPr>
              <w:jc w:val="right"/>
              <w:rPr>
                <w:b/>
                <w:sz w:val="24"/>
              </w:rPr>
            </w:pPr>
          </w:p>
        </w:tc>
      </w:tr>
      <w:tr w:rsidR="00AD009D" w:rsidTr="00AD009D">
        <w:trPr>
          <w:trHeight w:val="304"/>
        </w:trPr>
        <w:tc>
          <w:tcPr>
            <w:tcW w:w="7196" w:type="dxa"/>
            <w:shd w:val="clear" w:color="auto" w:fill="EAF1DD" w:themeFill="accent3" w:themeFillTint="33"/>
          </w:tcPr>
          <w:p w:rsidR="00AD009D" w:rsidRDefault="00DC6170" w:rsidP="00A264D0">
            <w:pPr>
              <w:rPr>
                <w:b/>
                <w:sz w:val="24"/>
              </w:rPr>
            </w:pPr>
            <w:r>
              <w:rPr>
                <w:b/>
                <w:sz w:val="24"/>
              </w:rPr>
              <w:t>Boston</w:t>
            </w:r>
            <w:r w:rsidR="00AD009D">
              <w:rPr>
                <w:b/>
                <w:sz w:val="24"/>
              </w:rPr>
              <w:t xml:space="preserve"> Total</w:t>
            </w:r>
          </w:p>
        </w:tc>
        <w:tc>
          <w:tcPr>
            <w:tcW w:w="3016" w:type="dxa"/>
            <w:shd w:val="clear" w:color="auto" w:fill="EAF1DD" w:themeFill="accent3" w:themeFillTint="33"/>
          </w:tcPr>
          <w:p w:rsidR="00AD009D" w:rsidRDefault="00AD009D" w:rsidP="00C42E76">
            <w:pPr>
              <w:jc w:val="right"/>
              <w:rPr>
                <w:b/>
                <w:sz w:val="24"/>
              </w:rPr>
            </w:pPr>
          </w:p>
        </w:tc>
      </w:tr>
      <w:tr w:rsidR="00AD009D" w:rsidTr="00AD009D">
        <w:trPr>
          <w:trHeight w:val="304"/>
        </w:trPr>
        <w:tc>
          <w:tcPr>
            <w:tcW w:w="7196" w:type="dxa"/>
            <w:shd w:val="clear" w:color="auto" w:fill="C6D9F1" w:themeFill="text2" w:themeFillTint="33"/>
          </w:tcPr>
          <w:p w:rsidR="00AD009D" w:rsidRDefault="00AD009D" w:rsidP="00A264D0">
            <w:pPr>
              <w:rPr>
                <w:b/>
                <w:sz w:val="24"/>
              </w:rPr>
            </w:pPr>
            <w:r>
              <w:rPr>
                <w:b/>
                <w:sz w:val="24"/>
              </w:rPr>
              <w:t>Year 1 Total Costs</w:t>
            </w:r>
          </w:p>
        </w:tc>
        <w:tc>
          <w:tcPr>
            <w:tcW w:w="3016" w:type="dxa"/>
            <w:shd w:val="clear" w:color="auto" w:fill="C6D9F1" w:themeFill="text2" w:themeFillTint="33"/>
          </w:tcPr>
          <w:p w:rsidR="00AD009D" w:rsidRDefault="00AD009D" w:rsidP="00C42E76">
            <w:pPr>
              <w:jc w:val="right"/>
              <w:rPr>
                <w:b/>
                <w:sz w:val="24"/>
              </w:rPr>
            </w:pPr>
          </w:p>
        </w:tc>
      </w:tr>
    </w:tbl>
    <w:p w:rsidR="00066360" w:rsidRDefault="00066360">
      <w:pPr>
        <w:spacing w:after="0" w:line="240" w:lineRule="auto"/>
        <w:rPr>
          <w:b/>
          <w:sz w:val="24"/>
        </w:rPr>
      </w:pPr>
    </w:p>
    <w:p w:rsidR="00D6360C" w:rsidRPr="00370034" w:rsidRDefault="00370034">
      <w:pPr>
        <w:rPr>
          <w:sz w:val="24"/>
        </w:rPr>
      </w:pPr>
      <w:r w:rsidRPr="00370034">
        <w:rPr>
          <w:sz w:val="24"/>
        </w:rPr>
        <w:t>As Seafish do not know which exhibitions will be attended in Years 2 and 3 costs cannot be requested for these. It is anticipated that 3 exhibitions will be attended each year with annual budgets for year 2 and 3 not exceeding £150k.</w:t>
      </w:r>
      <w:r w:rsidR="00D6360C" w:rsidRPr="00370034">
        <w:rPr>
          <w:sz w:val="24"/>
        </w:rPr>
        <w:br w:type="page"/>
      </w:r>
    </w:p>
    <w:p w:rsidR="00D6360C" w:rsidRDefault="00D6360C">
      <w:pPr>
        <w:spacing w:after="0" w:line="240" w:lineRule="auto"/>
        <w:rPr>
          <w:b/>
          <w:sz w:val="24"/>
        </w:rPr>
      </w:pPr>
      <w:r>
        <w:rPr>
          <w:b/>
          <w:sz w:val="24"/>
        </w:rPr>
        <w:lastRenderedPageBreak/>
        <w:t>Appendix 3 – Award Questionnaire</w:t>
      </w:r>
    </w:p>
    <w:p w:rsidR="00D6360C" w:rsidRDefault="00D6360C">
      <w:pPr>
        <w:spacing w:after="0" w:line="240" w:lineRule="auto"/>
        <w:rPr>
          <w:b/>
          <w:sz w:val="24"/>
        </w:rPr>
      </w:pPr>
    </w:p>
    <w:tbl>
      <w:tblPr>
        <w:tblStyle w:val="TableGrid"/>
        <w:tblW w:w="0" w:type="auto"/>
        <w:tblLook w:val="04A0" w:firstRow="1" w:lastRow="0" w:firstColumn="1" w:lastColumn="0" w:noHBand="0" w:noVBand="1"/>
      </w:tblPr>
      <w:tblGrid>
        <w:gridCol w:w="10188"/>
      </w:tblGrid>
      <w:tr w:rsidR="00D6360C" w:rsidTr="00066360">
        <w:tc>
          <w:tcPr>
            <w:tcW w:w="10188" w:type="dxa"/>
            <w:shd w:val="clear" w:color="auto" w:fill="C6D9F1" w:themeFill="text2" w:themeFillTint="33"/>
          </w:tcPr>
          <w:p w:rsidR="00D6360C" w:rsidRDefault="00D6360C">
            <w:pPr>
              <w:rPr>
                <w:b/>
                <w:sz w:val="24"/>
              </w:rPr>
            </w:pPr>
            <w:r>
              <w:rPr>
                <w:b/>
                <w:sz w:val="24"/>
              </w:rPr>
              <w:t xml:space="preserve">Section 1: </w:t>
            </w:r>
            <w:r w:rsidR="00DC6170">
              <w:rPr>
                <w:b/>
                <w:sz w:val="24"/>
              </w:rPr>
              <w:t>Expertise (40%</w:t>
            </w:r>
            <w:r>
              <w:rPr>
                <w:b/>
                <w:sz w:val="24"/>
              </w:rPr>
              <w:t>)</w:t>
            </w:r>
          </w:p>
        </w:tc>
      </w:tr>
      <w:tr w:rsidR="00D6360C" w:rsidTr="00D6360C">
        <w:tc>
          <w:tcPr>
            <w:tcW w:w="10188" w:type="dxa"/>
          </w:tcPr>
          <w:p w:rsidR="00D6360C" w:rsidRPr="00D6360C" w:rsidRDefault="00D6360C">
            <w:pPr>
              <w:rPr>
                <w:b/>
                <w:sz w:val="24"/>
              </w:rPr>
            </w:pPr>
            <w:r w:rsidRPr="00D6360C">
              <w:rPr>
                <w:b/>
                <w:sz w:val="24"/>
                <w:szCs w:val="24"/>
              </w:rPr>
              <w:t>We are looking for companies that are suitably qualified in exhibition support and stand design and management. Demonstrable experience of having worked with or on behalf of UK seafood companies would be an advantage.</w:t>
            </w:r>
          </w:p>
        </w:tc>
      </w:tr>
      <w:tr w:rsidR="00D6360C" w:rsidTr="00D6360C">
        <w:trPr>
          <w:trHeight w:val="10121"/>
        </w:trPr>
        <w:tc>
          <w:tcPr>
            <w:tcW w:w="10188" w:type="dxa"/>
          </w:tcPr>
          <w:p w:rsidR="00D6360C" w:rsidRPr="00D6360C" w:rsidRDefault="00D6360C">
            <w:pPr>
              <w:rPr>
                <w:sz w:val="24"/>
              </w:rPr>
            </w:pPr>
            <w:r w:rsidRPr="00D6360C">
              <w:rPr>
                <w:sz w:val="24"/>
              </w:rPr>
              <w:t>Response:</w:t>
            </w:r>
          </w:p>
        </w:tc>
      </w:tr>
    </w:tbl>
    <w:p w:rsidR="00D6360C" w:rsidRPr="00D6360C" w:rsidRDefault="00D6360C">
      <w:pPr>
        <w:spacing w:after="0" w:line="240" w:lineRule="auto"/>
        <w:rPr>
          <w:b/>
          <w:sz w:val="24"/>
        </w:rPr>
      </w:pPr>
    </w:p>
    <w:p w:rsidR="00D6360C" w:rsidRDefault="00D6360C">
      <w:pPr>
        <w:rPr>
          <w:sz w:val="24"/>
        </w:rPr>
      </w:pPr>
      <w:r>
        <w:rPr>
          <w:sz w:val="24"/>
        </w:rPr>
        <w:br w:type="page"/>
      </w:r>
    </w:p>
    <w:tbl>
      <w:tblPr>
        <w:tblStyle w:val="TableGrid"/>
        <w:tblW w:w="0" w:type="auto"/>
        <w:tblLook w:val="04A0" w:firstRow="1" w:lastRow="0" w:firstColumn="1" w:lastColumn="0" w:noHBand="0" w:noVBand="1"/>
      </w:tblPr>
      <w:tblGrid>
        <w:gridCol w:w="10188"/>
      </w:tblGrid>
      <w:tr w:rsidR="00D6360C" w:rsidTr="00066360">
        <w:tc>
          <w:tcPr>
            <w:tcW w:w="10188" w:type="dxa"/>
            <w:shd w:val="clear" w:color="auto" w:fill="C6D9F1" w:themeFill="text2" w:themeFillTint="33"/>
          </w:tcPr>
          <w:p w:rsidR="00D6360C" w:rsidRDefault="00D6360C" w:rsidP="00D6360C">
            <w:pPr>
              <w:rPr>
                <w:b/>
                <w:sz w:val="24"/>
              </w:rPr>
            </w:pPr>
            <w:r>
              <w:rPr>
                <w:b/>
                <w:sz w:val="24"/>
              </w:rPr>
              <w:lastRenderedPageBreak/>
              <w:t>Section 2: Interpr</w:t>
            </w:r>
            <w:r w:rsidR="00DC6170">
              <w:rPr>
                <w:b/>
                <w:sz w:val="24"/>
              </w:rPr>
              <w:t>etation of the Brief (25%</w:t>
            </w:r>
            <w:r>
              <w:rPr>
                <w:b/>
                <w:sz w:val="24"/>
              </w:rPr>
              <w:t>)</w:t>
            </w:r>
          </w:p>
        </w:tc>
      </w:tr>
      <w:tr w:rsidR="00D6360C" w:rsidRPr="00D6360C" w:rsidTr="00A264D0">
        <w:tc>
          <w:tcPr>
            <w:tcW w:w="10188" w:type="dxa"/>
          </w:tcPr>
          <w:p w:rsidR="00D6360C" w:rsidRPr="00D6360C" w:rsidRDefault="00D6360C" w:rsidP="00A264D0">
            <w:pPr>
              <w:rPr>
                <w:b/>
                <w:sz w:val="24"/>
              </w:rPr>
            </w:pPr>
            <w:r w:rsidRPr="00D6360C">
              <w:rPr>
                <w:b/>
                <w:sz w:val="24"/>
                <w:szCs w:val="24"/>
              </w:rPr>
              <w:t>Evaluation of the approach and proposed design format and content.</w:t>
            </w:r>
          </w:p>
        </w:tc>
      </w:tr>
      <w:tr w:rsidR="00D6360C" w:rsidTr="00A264D0">
        <w:trPr>
          <w:trHeight w:val="10121"/>
        </w:trPr>
        <w:tc>
          <w:tcPr>
            <w:tcW w:w="10188" w:type="dxa"/>
          </w:tcPr>
          <w:p w:rsidR="00D6360C" w:rsidRDefault="00D6360C" w:rsidP="00A264D0">
            <w:pPr>
              <w:rPr>
                <w:sz w:val="24"/>
              </w:rPr>
            </w:pPr>
            <w:r w:rsidRPr="00D6360C">
              <w:rPr>
                <w:sz w:val="24"/>
              </w:rPr>
              <w:t>Response:</w:t>
            </w:r>
          </w:p>
          <w:p w:rsidR="00D6360C" w:rsidRPr="00D6360C" w:rsidRDefault="00D6360C" w:rsidP="00A264D0">
            <w:pPr>
              <w:rPr>
                <w:sz w:val="24"/>
              </w:rPr>
            </w:pPr>
          </w:p>
        </w:tc>
      </w:tr>
    </w:tbl>
    <w:p w:rsidR="00066360" w:rsidRDefault="00066360">
      <w:pPr>
        <w:spacing w:after="0" w:line="240" w:lineRule="auto"/>
        <w:rPr>
          <w:sz w:val="24"/>
        </w:rPr>
      </w:pPr>
    </w:p>
    <w:p w:rsidR="00066360" w:rsidRDefault="00066360">
      <w:pPr>
        <w:rPr>
          <w:sz w:val="24"/>
        </w:rPr>
      </w:pPr>
      <w:r>
        <w:rPr>
          <w:sz w:val="24"/>
        </w:rPr>
        <w:br w:type="page"/>
      </w:r>
    </w:p>
    <w:tbl>
      <w:tblPr>
        <w:tblStyle w:val="TableGrid"/>
        <w:tblW w:w="0" w:type="auto"/>
        <w:tblLook w:val="04A0" w:firstRow="1" w:lastRow="0" w:firstColumn="1" w:lastColumn="0" w:noHBand="0" w:noVBand="1"/>
      </w:tblPr>
      <w:tblGrid>
        <w:gridCol w:w="10188"/>
      </w:tblGrid>
      <w:tr w:rsidR="00066360" w:rsidTr="00066360">
        <w:tc>
          <w:tcPr>
            <w:tcW w:w="10188" w:type="dxa"/>
            <w:shd w:val="clear" w:color="auto" w:fill="C6D9F1" w:themeFill="text2" w:themeFillTint="33"/>
          </w:tcPr>
          <w:p w:rsidR="00066360" w:rsidRDefault="00066360" w:rsidP="00066360">
            <w:pPr>
              <w:rPr>
                <w:b/>
                <w:sz w:val="24"/>
              </w:rPr>
            </w:pPr>
            <w:r>
              <w:rPr>
                <w:b/>
                <w:sz w:val="24"/>
              </w:rPr>
              <w:lastRenderedPageBreak/>
              <w:t>Sect</w:t>
            </w:r>
            <w:r w:rsidR="00DC6170">
              <w:rPr>
                <w:b/>
                <w:sz w:val="24"/>
              </w:rPr>
              <w:t>ion 3: Service Level (20%</w:t>
            </w:r>
            <w:r>
              <w:rPr>
                <w:b/>
                <w:sz w:val="24"/>
              </w:rPr>
              <w:t>)</w:t>
            </w:r>
          </w:p>
        </w:tc>
      </w:tr>
      <w:tr w:rsidR="00066360" w:rsidRPr="00066360" w:rsidTr="00A264D0">
        <w:tc>
          <w:tcPr>
            <w:tcW w:w="10188" w:type="dxa"/>
          </w:tcPr>
          <w:p w:rsidR="00066360" w:rsidRPr="00066360" w:rsidRDefault="00066360" w:rsidP="00A264D0">
            <w:pPr>
              <w:rPr>
                <w:b/>
                <w:sz w:val="24"/>
                <w:szCs w:val="24"/>
              </w:rPr>
            </w:pPr>
            <w:r w:rsidRPr="00066360">
              <w:rPr>
                <w:b/>
                <w:sz w:val="24"/>
                <w:szCs w:val="24"/>
              </w:rPr>
              <w:t>How will you deliver this? How will you ensure that we are getting the best from you?</w:t>
            </w:r>
          </w:p>
        </w:tc>
      </w:tr>
      <w:tr w:rsidR="00066360" w:rsidTr="00A264D0">
        <w:trPr>
          <w:trHeight w:val="10121"/>
        </w:trPr>
        <w:tc>
          <w:tcPr>
            <w:tcW w:w="10188" w:type="dxa"/>
          </w:tcPr>
          <w:p w:rsidR="00066360" w:rsidRDefault="00066360" w:rsidP="00A264D0">
            <w:pPr>
              <w:rPr>
                <w:sz w:val="24"/>
              </w:rPr>
            </w:pPr>
            <w:r w:rsidRPr="00D6360C">
              <w:rPr>
                <w:sz w:val="24"/>
              </w:rPr>
              <w:t>Response:</w:t>
            </w:r>
          </w:p>
          <w:p w:rsidR="00066360" w:rsidRPr="00D6360C" w:rsidRDefault="00066360" w:rsidP="00A264D0">
            <w:pPr>
              <w:rPr>
                <w:sz w:val="24"/>
              </w:rPr>
            </w:pPr>
          </w:p>
        </w:tc>
      </w:tr>
    </w:tbl>
    <w:p w:rsidR="00066360" w:rsidRDefault="00066360">
      <w:pPr>
        <w:spacing w:after="0" w:line="240" w:lineRule="auto"/>
        <w:rPr>
          <w:sz w:val="24"/>
        </w:rPr>
      </w:pPr>
    </w:p>
    <w:p w:rsidR="00066360" w:rsidRDefault="00066360">
      <w:pPr>
        <w:rPr>
          <w:sz w:val="24"/>
        </w:rPr>
      </w:pPr>
      <w:r>
        <w:rPr>
          <w:sz w:val="24"/>
        </w:rPr>
        <w:br w:type="page"/>
      </w:r>
    </w:p>
    <w:tbl>
      <w:tblPr>
        <w:tblStyle w:val="TableGrid"/>
        <w:tblW w:w="0" w:type="auto"/>
        <w:tblLook w:val="04A0" w:firstRow="1" w:lastRow="0" w:firstColumn="1" w:lastColumn="0" w:noHBand="0" w:noVBand="1"/>
      </w:tblPr>
      <w:tblGrid>
        <w:gridCol w:w="10188"/>
      </w:tblGrid>
      <w:tr w:rsidR="00066360" w:rsidTr="00066360">
        <w:tc>
          <w:tcPr>
            <w:tcW w:w="10188" w:type="dxa"/>
            <w:shd w:val="clear" w:color="auto" w:fill="C6D9F1" w:themeFill="text2" w:themeFillTint="33"/>
          </w:tcPr>
          <w:p w:rsidR="00066360" w:rsidRDefault="00066360" w:rsidP="00066360">
            <w:pPr>
              <w:rPr>
                <w:b/>
                <w:sz w:val="24"/>
              </w:rPr>
            </w:pPr>
            <w:r>
              <w:rPr>
                <w:b/>
                <w:sz w:val="24"/>
              </w:rPr>
              <w:lastRenderedPageBreak/>
              <w:t>Section 4:</w:t>
            </w:r>
            <w:r w:rsidR="00DC6170">
              <w:rPr>
                <w:b/>
                <w:sz w:val="24"/>
              </w:rPr>
              <w:t xml:space="preserve"> Previous Experience (15%</w:t>
            </w:r>
            <w:r>
              <w:rPr>
                <w:b/>
                <w:sz w:val="24"/>
              </w:rPr>
              <w:t>)</w:t>
            </w:r>
          </w:p>
        </w:tc>
      </w:tr>
      <w:tr w:rsidR="00066360" w:rsidRPr="00066360" w:rsidTr="00A264D0">
        <w:tc>
          <w:tcPr>
            <w:tcW w:w="10188" w:type="dxa"/>
          </w:tcPr>
          <w:p w:rsidR="00066360" w:rsidRPr="00066360" w:rsidRDefault="00066360" w:rsidP="00A264D0">
            <w:pPr>
              <w:rPr>
                <w:b/>
                <w:sz w:val="24"/>
                <w:szCs w:val="24"/>
              </w:rPr>
            </w:pPr>
            <w:r w:rsidRPr="00066360">
              <w:rPr>
                <w:b/>
                <w:sz w:val="24"/>
                <w:szCs w:val="24"/>
              </w:rPr>
              <w:t>Previous experience and associated client references.</w:t>
            </w:r>
          </w:p>
        </w:tc>
      </w:tr>
      <w:tr w:rsidR="00066360" w:rsidTr="00A264D0">
        <w:trPr>
          <w:trHeight w:val="10121"/>
        </w:trPr>
        <w:tc>
          <w:tcPr>
            <w:tcW w:w="10188" w:type="dxa"/>
          </w:tcPr>
          <w:p w:rsidR="00066360" w:rsidRDefault="00066360" w:rsidP="00A264D0">
            <w:pPr>
              <w:rPr>
                <w:sz w:val="24"/>
              </w:rPr>
            </w:pPr>
            <w:r w:rsidRPr="00D6360C">
              <w:rPr>
                <w:sz w:val="24"/>
              </w:rPr>
              <w:t>Response:</w:t>
            </w:r>
          </w:p>
          <w:p w:rsidR="00066360" w:rsidRPr="00D6360C" w:rsidRDefault="00066360" w:rsidP="00A264D0">
            <w:pPr>
              <w:rPr>
                <w:sz w:val="24"/>
              </w:rPr>
            </w:pPr>
          </w:p>
        </w:tc>
      </w:tr>
    </w:tbl>
    <w:p w:rsidR="00323DA0" w:rsidRDefault="00323DA0">
      <w:pPr>
        <w:spacing w:after="0" w:line="240" w:lineRule="auto"/>
        <w:rPr>
          <w:sz w:val="24"/>
        </w:rPr>
      </w:pPr>
    </w:p>
    <w:p w:rsidR="00323DA0" w:rsidRDefault="00323DA0">
      <w:pPr>
        <w:rPr>
          <w:sz w:val="24"/>
        </w:rPr>
      </w:pPr>
      <w:r>
        <w:rPr>
          <w:sz w:val="24"/>
        </w:rPr>
        <w:br w:type="page"/>
      </w:r>
    </w:p>
    <w:p w:rsidR="00D6360C" w:rsidRDefault="00323DA0">
      <w:pPr>
        <w:spacing w:after="0" w:line="240" w:lineRule="auto"/>
        <w:rPr>
          <w:b/>
          <w:sz w:val="24"/>
        </w:rPr>
      </w:pPr>
      <w:r w:rsidRPr="00323DA0">
        <w:rPr>
          <w:b/>
          <w:sz w:val="24"/>
        </w:rPr>
        <w:lastRenderedPageBreak/>
        <w:t xml:space="preserve">Appendix 4 – </w:t>
      </w:r>
      <w:r w:rsidR="001B56E5">
        <w:rPr>
          <w:b/>
          <w:sz w:val="24"/>
        </w:rPr>
        <w:t>Conditions of Contract</w:t>
      </w:r>
    </w:p>
    <w:p w:rsidR="00323DA0" w:rsidRDefault="00323DA0">
      <w:pPr>
        <w:spacing w:after="0" w:line="240" w:lineRule="auto"/>
        <w:rPr>
          <w:b/>
          <w:sz w:val="24"/>
        </w:rPr>
      </w:pPr>
    </w:p>
    <w:p w:rsidR="00323DA0" w:rsidRPr="00B31EF1" w:rsidRDefault="00323DA0" w:rsidP="00323DA0">
      <w:pPr>
        <w:pStyle w:val="Header"/>
        <w:rPr>
          <w:rFonts w:cs="Arial"/>
          <w:b/>
        </w:rPr>
      </w:pPr>
      <w:r w:rsidRPr="00B31EF1">
        <w:rPr>
          <w:rFonts w:cs="Arial"/>
          <w:b/>
        </w:rPr>
        <w:t>SUPPLIER AGREEMENT Between:</w:t>
      </w:r>
    </w:p>
    <w:p w:rsidR="00323DA0" w:rsidRPr="00B31EF1" w:rsidRDefault="00323DA0" w:rsidP="00323DA0">
      <w:pPr>
        <w:pStyle w:val="Header"/>
        <w:rPr>
          <w:rFonts w:cs="Arial"/>
        </w:rPr>
      </w:pPr>
    </w:p>
    <w:p w:rsidR="00323DA0" w:rsidRPr="00B31EF1" w:rsidRDefault="00323DA0" w:rsidP="00323DA0">
      <w:pPr>
        <w:pStyle w:val="Header"/>
        <w:rPr>
          <w:rFonts w:cs="Arial"/>
        </w:rPr>
      </w:pPr>
      <w:r w:rsidRPr="00B31EF1">
        <w:rPr>
          <w:rFonts w:cs="Arial"/>
          <w:b/>
          <w:highlight w:val="yellow"/>
        </w:rPr>
        <w:t>XXXX</w:t>
      </w:r>
      <w:r w:rsidRPr="00B31EF1">
        <w:rPr>
          <w:rFonts w:cs="Arial"/>
          <w:b/>
        </w:rPr>
        <w:t>,</w:t>
      </w:r>
      <w:r w:rsidRPr="00B31EF1">
        <w:rPr>
          <w:rFonts w:cs="Arial"/>
          <w:b/>
          <w:color w:val="00CCFF"/>
        </w:rPr>
        <w:t xml:space="preserve"> </w:t>
      </w:r>
      <w:r w:rsidRPr="00B31EF1">
        <w:rPr>
          <w:rFonts w:cs="Arial"/>
        </w:rPr>
        <w:t xml:space="preserve">(the </w:t>
      </w:r>
      <w:r w:rsidRPr="00B31EF1">
        <w:rPr>
          <w:rFonts w:cs="Arial"/>
          <w:b/>
        </w:rPr>
        <w:t>“Supplier”</w:t>
      </w:r>
      <w:r w:rsidRPr="00B31EF1">
        <w:rPr>
          <w:rFonts w:cs="Arial"/>
        </w:rPr>
        <w:t xml:space="preserve">) and the </w:t>
      </w:r>
      <w:r w:rsidRPr="00B31EF1">
        <w:rPr>
          <w:rFonts w:cs="Arial"/>
          <w:b/>
        </w:rPr>
        <w:t xml:space="preserve">SEA FISH INDUSTRY AUTHORITY </w:t>
      </w:r>
      <w:r w:rsidRPr="00B31EF1">
        <w:rPr>
          <w:rFonts w:cs="Arial"/>
        </w:rPr>
        <w:t>(a statutory body established under the Fisheries Act 1981), 18 Logie Mill, Logie Green Road, Edinburgh EH7 4HS (“</w:t>
      </w:r>
      <w:r w:rsidRPr="00B31EF1">
        <w:rPr>
          <w:rFonts w:cs="Arial"/>
          <w:b/>
        </w:rPr>
        <w:t>Seafish</w:t>
      </w:r>
      <w:r w:rsidRPr="00B31EF1">
        <w:rPr>
          <w:rFonts w:cs="Arial"/>
        </w:rPr>
        <w:t>”)</w:t>
      </w:r>
    </w:p>
    <w:p w:rsidR="00323DA0" w:rsidRPr="00B31EF1" w:rsidRDefault="00323DA0" w:rsidP="00323DA0">
      <w:pPr>
        <w:pStyle w:val="Header"/>
        <w:rPr>
          <w:rFonts w:cs="Arial"/>
        </w:rPr>
      </w:pPr>
    </w:p>
    <w:p w:rsidR="00323DA0" w:rsidRPr="00B31EF1" w:rsidRDefault="00323DA0" w:rsidP="00323DA0">
      <w:pPr>
        <w:pStyle w:val="Header"/>
        <w:rPr>
          <w:rFonts w:cs="Arial"/>
        </w:rPr>
      </w:pPr>
      <w:r w:rsidRPr="00B31EF1">
        <w:rPr>
          <w:rFonts w:cs="Arial"/>
        </w:rPr>
        <w:t>IT IS AGREED between the Supplier and Seafish as follows:</w:t>
      </w:r>
    </w:p>
    <w:p w:rsidR="00323DA0" w:rsidRPr="00B31EF1" w:rsidRDefault="00323DA0" w:rsidP="00323DA0">
      <w:pPr>
        <w:pStyle w:val="Header"/>
        <w:rPr>
          <w:rFonts w:cs="Arial"/>
        </w:rPr>
      </w:pPr>
    </w:p>
    <w:p w:rsidR="00323DA0" w:rsidRPr="00B31EF1" w:rsidRDefault="00323DA0" w:rsidP="00323DA0">
      <w:pPr>
        <w:pStyle w:val="Header"/>
        <w:numPr>
          <w:ilvl w:val="0"/>
          <w:numId w:val="28"/>
        </w:numPr>
        <w:tabs>
          <w:tab w:val="clear" w:pos="720"/>
          <w:tab w:val="clear" w:pos="4513"/>
          <w:tab w:val="clear" w:pos="9026"/>
          <w:tab w:val="num" w:pos="360"/>
        </w:tabs>
        <w:ind w:left="360"/>
        <w:jc w:val="both"/>
        <w:rPr>
          <w:rFonts w:cs="Arial"/>
        </w:rPr>
      </w:pPr>
      <w:r w:rsidRPr="00B31EF1">
        <w:rPr>
          <w:rFonts w:cs="Arial"/>
          <w:b/>
          <w:bCs/>
        </w:rPr>
        <w:t>Work</w:t>
      </w:r>
      <w:r w:rsidRPr="00B31EF1">
        <w:rPr>
          <w:rFonts w:cs="Arial"/>
        </w:rPr>
        <w:t xml:space="preserve"> – Seafish has requested the Supplier to undertake </w:t>
      </w:r>
      <w:r w:rsidRPr="00B31EF1">
        <w:rPr>
          <w:rFonts w:cs="Arial"/>
          <w:u w:val="single"/>
        </w:rPr>
        <w:t xml:space="preserve">                              </w:t>
      </w:r>
      <w:r w:rsidRPr="00B31EF1">
        <w:rPr>
          <w:rFonts w:cs="Arial"/>
        </w:rPr>
        <w:t xml:space="preserve">, further details of which are contained in part 1 of the </w:t>
      </w:r>
      <w:r w:rsidRPr="00B31EF1">
        <w:rPr>
          <w:rFonts w:cs="Arial"/>
          <w:b/>
        </w:rPr>
        <w:t>Schedule</w:t>
      </w:r>
      <w:r w:rsidRPr="00B31EF1">
        <w:rPr>
          <w:rFonts w:cs="Arial"/>
        </w:rPr>
        <w:t xml:space="preserve"> attached to this Agreement (the “</w:t>
      </w:r>
      <w:r w:rsidRPr="00B31EF1">
        <w:rPr>
          <w:rFonts w:cs="Arial"/>
          <w:b/>
          <w:bCs/>
        </w:rPr>
        <w:t>Work</w:t>
      </w:r>
      <w:r w:rsidRPr="00B31EF1">
        <w:rPr>
          <w:rFonts w:cs="Arial"/>
        </w:rPr>
        <w:t>”).  The Supplier has agreed to undertake the Work in accordance with the terms of this Agreement.</w:t>
      </w:r>
    </w:p>
    <w:p w:rsidR="00323DA0" w:rsidRPr="00323DA0" w:rsidRDefault="00323DA0" w:rsidP="00323DA0">
      <w:pPr>
        <w:pStyle w:val="Header"/>
        <w:ind w:left="360" w:hanging="720"/>
        <w:rPr>
          <w:rFonts w:cs="Arial"/>
        </w:rPr>
      </w:pPr>
    </w:p>
    <w:p w:rsidR="00323DA0" w:rsidRPr="00323DA0" w:rsidRDefault="00323DA0" w:rsidP="00323DA0">
      <w:pPr>
        <w:pStyle w:val="Header"/>
        <w:numPr>
          <w:ilvl w:val="0"/>
          <w:numId w:val="28"/>
        </w:numPr>
        <w:tabs>
          <w:tab w:val="clear" w:pos="720"/>
          <w:tab w:val="clear" w:pos="4513"/>
          <w:tab w:val="clear" w:pos="9026"/>
          <w:tab w:val="num" w:pos="360"/>
        </w:tabs>
        <w:ind w:left="360"/>
        <w:jc w:val="both"/>
        <w:rPr>
          <w:rFonts w:cs="Arial"/>
        </w:rPr>
      </w:pPr>
      <w:r w:rsidRPr="00323DA0">
        <w:rPr>
          <w:rFonts w:cs="Arial"/>
          <w:b/>
          <w:bCs/>
        </w:rPr>
        <w:t>Term</w:t>
      </w:r>
      <w:r w:rsidRPr="00323DA0">
        <w:rPr>
          <w:rFonts w:cs="Arial"/>
        </w:rPr>
        <w:t xml:space="preserve"> - The Work will commence on  </w:t>
      </w:r>
      <w:r w:rsidRPr="00323DA0">
        <w:rPr>
          <w:rFonts w:cs="Arial"/>
          <w:u w:val="single"/>
        </w:rPr>
        <w:t xml:space="preserve">              </w:t>
      </w:r>
      <w:r w:rsidRPr="00323DA0">
        <w:rPr>
          <w:rFonts w:cs="Arial"/>
        </w:rPr>
        <w:t xml:space="preserve">and will be completed by </w:t>
      </w:r>
      <w:r w:rsidRPr="00323DA0">
        <w:rPr>
          <w:rFonts w:cs="Arial"/>
          <w:u w:val="single"/>
        </w:rPr>
        <w:t xml:space="preserve">           </w:t>
      </w:r>
      <w:r w:rsidRPr="00323DA0">
        <w:rPr>
          <w:rFonts w:cs="Arial"/>
        </w:rPr>
        <w:t>.</w:t>
      </w:r>
    </w:p>
    <w:p w:rsidR="00323DA0" w:rsidRPr="00323DA0" w:rsidRDefault="00323DA0" w:rsidP="00323DA0">
      <w:pPr>
        <w:pStyle w:val="Header"/>
        <w:tabs>
          <w:tab w:val="clear" w:pos="4513"/>
          <w:tab w:val="clear" w:pos="9026"/>
        </w:tabs>
        <w:ind w:left="360"/>
        <w:jc w:val="both"/>
        <w:rPr>
          <w:rFonts w:cs="Arial"/>
        </w:rPr>
      </w:pPr>
    </w:p>
    <w:p w:rsidR="00323DA0" w:rsidRPr="00323DA0" w:rsidRDefault="00323DA0" w:rsidP="00323DA0">
      <w:pPr>
        <w:pStyle w:val="Header"/>
        <w:numPr>
          <w:ilvl w:val="0"/>
          <w:numId w:val="28"/>
        </w:numPr>
        <w:tabs>
          <w:tab w:val="clear" w:pos="720"/>
          <w:tab w:val="clear" w:pos="4513"/>
          <w:tab w:val="clear" w:pos="9026"/>
          <w:tab w:val="num" w:pos="360"/>
        </w:tabs>
        <w:ind w:left="360"/>
        <w:jc w:val="both"/>
        <w:rPr>
          <w:rFonts w:cs="Arial"/>
          <w:bCs/>
          <w:iCs/>
        </w:rPr>
      </w:pPr>
      <w:r w:rsidRPr="00323DA0">
        <w:rPr>
          <w:rFonts w:cs="Arial"/>
          <w:b/>
          <w:bCs/>
        </w:rPr>
        <w:t>Fee</w:t>
      </w:r>
      <w:r w:rsidRPr="00323DA0">
        <w:rPr>
          <w:rFonts w:cs="Arial"/>
        </w:rPr>
        <w:t xml:space="preserve"> - The fee for the Work will be </w:t>
      </w:r>
      <w:r w:rsidRPr="00323DA0">
        <w:rPr>
          <w:rFonts w:cs="Arial"/>
          <w:highlight w:val="yellow"/>
        </w:rPr>
        <w:t>£X</w:t>
      </w:r>
      <w:r w:rsidRPr="00323DA0">
        <w:rPr>
          <w:rFonts w:cs="Arial"/>
        </w:rPr>
        <w:t>,</w:t>
      </w:r>
      <w:r w:rsidRPr="00323DA0">
        <w:rPr>
          <w:rFonts w:cs="Arial"/>
          <w:highlight w:val="yellow"/>
        </w:rPr>
        <w:t>XXX</w:t>
      </w:r>
      <w:r w:rsidRPr="00323DA0">
        <w:rPr>
          <w:rFonts w:cs="Arial"/>
        </w:rPr>
        <w:t xml:space="preserve"> inclusive of VAT at the standard rate (where applicable) and shall be payable in accordance with the payment provisions set out in part 2 of the </w:t>
      </w:r>
      <w:r w:rsidRPr="00323DA0">
        <w:rPr>
          <w:rFonts w:cs="Arial"/>
          <w:b/>
          <w:bCs/>
        </w:rPr>
        <w:t>Schedule</w:t>
      </w:r>
      <w:r w:rsidRPr="00323DA0">
        <w:rPr>
          <w:rFonts w:cs="Arial"/>
        </w:rPr>
        <w:t xml:space="preserve"> attached to this Agreement.  Seafish agrees to make payment within 30 days of receipt of a valid invoice.  </w:t>
      </w:r>
      <w:r w:rsidRPr="00323DA0">
        <w:rPr>
          <w:rFonts w:cs="Arial"/>
          <w:bCs/>
          <w:iCs/>
        </w:rPr>
        <w:t xml:space="preserve">The fee set out in this clause is a fixed sum and may only be varied in accordance with the terms of this Agreement.  </w:t>
      </w:r>
    </w:p>
    <w:p w:rsidR="00323DA0" w:rsidRPr="00323DA0" w:rsidRDefault="00323DA0" w:rsidP="00323DA0">
      <w:pPr>
        <w:pStyle w:val="Header"/>
        <w:rPr>
          <w:rFonts w:cs="Arial"/>
          <w:b/>
          <w:i/>
        </w:rPr>
      </w:pPr>
    </w:p>
    <w:p w:rsidR="00323DA0" w:rsidRPr="00323DA0" w:rsidRDefault="00323DA0" w:rsidP="00323DA0">
      <w:pPr>
        <w:pStyle w:val="Header"/>
        <w:numPr>
          <w:ilvl w:val="0"/>
          <w:numId w:val="28"/>
        </w:numPr>
        <w:tabs>
          <w:tab w:val="clear" w:pos="720"/>
          <w:tab w:val="clear" w:pos="4513"/>
          <w:tab w:val="clear" w:pos="9026"/>
          <w:tab w:val="num" w:pos="360"/>
        </w:tabs>
        <w:ind w:left="360"/>
        <w:jc w:val="both"/>
        <w:rPr>
          <w:rFonts w:cs="Arial"/>
        </w:rPr>
      </w:pPr>
      <w:r w:rsidRPr="00323DA0">
        <w:rPr>
          <w:rFonts w:cs="Arial"/>
          <w:b/>
          <w:bCs/>
        </w:rPr>
        <w:t>Expenses</w:t>
      </w:r>
      <w:r w:rsidRPr="00323DA0">
        <w:rPr>
          <w:rFonts w:cs="Arial"/>
        </w:rPr>
        <w:t xml:space="preserve"> - All expenses (including travel costs) must be agreed in advance and will only be payable by Seafish subject to the Supplier: (a) obtaining Seafish’s prior written consent to such expenses; and (b) providing evidence to prove such expenditure.</w:t>
      </w:r>
    </w:p>
    <w:p w:rsidR="00323DA0" w:rsidRPr="00B31EF1" w:rsidRDefault="00323DA0" w:rsidP="00323DA0">
      <w:pPr>
        <w:pStyle w:val="Header"/>
        <w:rPr>
          <w:rFonts w:cs="Arial"/>
        </w:rPr>
      </w:pPr>
    </w:p>
    <w:p w:rsidR="00323DA0" w:rsidRPr="00B31EF1" w:rsidRDefault="00323DA0" w:rsidP="00323DA0">
      <w:pPr>
        <w:pStyle w:val="Header"/>
        <w:numPr>
          <w:ilvl w:val="0"/>
          <w:numId w:val="28"/>
        </w:numPr>
        <w:tabs>
          <w:tab w:val="clear" w:pos="720"/>
          <w:tab w:val="clear" w:pos="4513"/>
          <w:tab w:val="clear" w:pos="9026"/>
          <w:tab w:val="num" w:pos="360"/>
        </w:tabs>
        <w:ind w:left="360"/>
        <w:jc w:val="both"/>
        <w:rPr>
          <w:rFonts w:cs="Arial"/>
        </w:rPr>
      </w:pPr>
      <w:r w:rsidRPr="00B31EF1">
        <w:rPr>
          <w:rFonts w:cs="Arial"/>
          <w:b/>
          <w:bCs/>
        </w:rPr>
        <w:t>Taxes</w:t>
      </w:r>
      <w:r w:rsidRPr="00B31EF1">
        <w:rPr>
          <w:rFonts w:cs="Arial"/>
        </w:rPr>
        <w:t xml:space="preserve"> - The Supplier shall pay all taxes and other outgoings or expenses payable in consequence of the Agreement and shall fully indemnify Seafish in respect of any demand, costs or expenses suffered by Seafish in relation to any tax or employer’s National Insurance contributions or expenses payable in respect of the Supplier, its employees, agents or permitted sub-contractors or in relation to the provision of the Work.</w:t>
      </w:r>
    </w:p>
    <w:p w:rsidR="00323DA0" w:rsidRPr="00B31EF1" w:rsidRDefault="00323DA0" w:rsidP="00323DA0">
      <w:pPr>
        <w:pStyle w:val="Header"/>
        <w:rPr>
          <w:rFonts w:cs="Arial"/>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Standard</w:t>
      </w:r>
      <w:r w:rsidRPr="00B31EF1">
        <w:rPr>
          <w:rFonts w:cs="Arial"/>
        </w:rPr>
        <w:t xml:space="preserve"> – The Supplier agrees to undertake the Work: (a) </w:t>
      </w:r>
      <w:r w:rsidRPr="00B31EF1">
        <w:rPr>
          <w:rFonts w:cs="Arial"/>
        </w:rPr>
        <w:tab/>
        <w:t xml:space="preserve">with all reasonable skill and care and in accordance with best practice in the industry; (b) </w:t>
      </w:r>
      <w:r w:rsidRPr="00B31EF1">
        <w:rPr>
          <w:rFonts w:cs="Arial"/>
        </w:rPr>
        <w:tab/>
        <w:t>in a proper, diligent, expeditious and professional manner; and (c) in accordance with any reasonable policies or guidance supplied by Seafish.</w:t>
      </w:r>
    </w:p>
    <w:p w:rsidR="00323DA0" w:rsidRPr="00B31EF1" w:rsidRDefault="00323DA0" w:rsidP="00323DA0">
      <w:pPr>
        <w:pStyle w:val="Header"/>
        <w:rPr>
          <w:rFonts w:cs="Arial"/>
        </w:rPr>
      </w:pPr>
    </w:p>
    <w:p w:rsidR="00323DA0"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 xml:space="preserve">Materials </w:t>
      </w:r>
      <w:r w:rsidRPr="00B31EF1">
        <w:rPr>
          <w:rFonts w:cs="Arial"/>
        </w:rPr>
        <w:t>- The Supplier shall provide all materials and equipment necessary to carry out the Work.</w:t>
      </w:r>
    </w:p>
    <w:p w:rsidR="00323DA0" w:rsidRDefault="00323DA0" w:rsidP="00323DA0">
      <w:pPr>
        <w:pStyle w:val="Header"/>
        <w:tabs>
          <w:tab w:val="clear" w:pos="4513"/>
          <w:tab w:val="clear" w:pos="9026"/>
          <w:tab w:val="center" w:pos="4153"/>
          <w:tab w:val="right" w:pos="8306"/>
        </w:tabs>
        <w:ind w:left="360"/>
        <w:jc w:val="both"/>
        <w:rPr>
          <w:rFonts w:cs="Arial"/>
        </w:rPr>
      </w:pPr>
    </w:p>
    <w:p w:rsidR="00323DA0" w:rsidRPr="00323DA0"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323DA0">
        <w:rPr>
          <w:rFonts w:cs="Arial"/>
          <w:b/>
          <w:bCs/>
        </w:rPr>
        <w:t>Failure</w:t>
      </w:r>
      <w:r w:rsidRPr="00323DA0">
        <w:rPr>
          <w:rFonts w:cs="Arial"/>
        </w:rPr>
        <w:t xml:space="preserve"> – In addition to the rights set out in clause 7, in the event that the Supplier fails to perform the Work to a satisfactory standard, Seafish may request that the Supplier remedy the failure by providing the Supplier with details of the nature of the complaint.  If, after reasonable notice the complaint remains unremedied, Seafish may:</w:t>
      </w:r>
    </w:p>
    <w:p w:rsidR="00323DA0" w:rsidRPr="00323DA0" w:rsidRDefault="00323DA0" w:rsidP="00323DA0">
      <w:pPr>
        <w:pStyle w:val="Header"/>
        <w:tabs>
          <w:tab w:val="clear" w:pos="4513"/>
          <w:tab w:val="clear" w:pos="9026"/>
          <w:tab w:val="center" w:pos="4153"/>
          <w:tab w:val="right" w:pos="8306"/>
        </w:tabs>
        <w:ind w:left="360"/>
        <w:jc w:val="both"/>
        <w:rPr>
          <w:rFonts w:cs="Arial"/>
        </w:rPr>
      </w:pPr>
    </w:p>
    <w:p w:rsidR="00323DA0" w:rsidRPr="00B31EF1" w:rsidRDefault="00323DA0" w:rsidP="00323DA0">
      <w:pPr>
        <w:pStyle w:val="Header"/>
        <w:ind w:left="1080" w:hanging="720"/>
        <w:rPr>
          <w:rFonts w:cs="Arial"/>
        </w:rPr>
      </w:pPr>
      <w:r w:rsidRPr="00B31EF1">
        <w:rPr>
          <w:rFonts w:cs="Arial"/>
        </w:rPr>
        <w:t>8.1</w:t>
      </w:r>
      <w:r w:rsidRPr="00B31EF1">
        <w:rPr>
          <w:rFonts w:cs="Arial"/>
        </w:rPr>
        <w:tab/>
        <w:t>suspend all further payments to the Supplier until the complaint is remedied to the reasonable satisfaction of Seafish; and/or</w:t>
      </w:r>
    </w:p>
    <w:p w:rsidR="00323DA0" w:rsidRPr="00B31EF1" w:rsidRDefault="00323DA0" w:rsidP="00323DA0">
      <w:pPr>
        <w:pStyle w:val="Header"/>
        <w:ind w:left="360"/>
        <w:rPr>
          <w:rFonts w:cs="Arial"/>
        </w:rPr>
      </w:pPr>
    </w:p>
    <w:p w:rsidR="00323DA0" w:rsidRPr="00B31EF1" w:rsidRDefault="00323DA0" w:rsidP="00323DA0">
      <w:pPr>
        <w:pStyle w:val="Header"/>
        <w:ind w:left="1080" w:hanging="720"/>
        <w:rPr>
          <w:rFonts w:cs="Arial"/>
        </w:rPr>
      </w:pPr>
      <w:r w:rsidRPr="00B31EF1">
        <w:rPr>
          <w:rFonts w:cs="Arial"/>
        </w:rPr>
        <w:t>8.2</w:t>
      </w:r>
      <w:r w:rsidRPr="00B31EF1">
        <w:rPr>
          <w:rFonts w:cs="Arial"/>
        </w:rPr>
        <w:tab/>
        <w:t>make any or all further payments to the Supplier subject to such reasonable conditions as Seafish may specify.</w:t>
      </w:r>
    </w:p>
    <w:p w:rsidR="00323DA0" w:rsidRPr="00B31EF1" w:rsidRDefault="00323DA0" w:rsidP="00323DA0">
      <w:pPr>
        <w:pStyle w:val="Header"/>
        <w:rPr>
          <w:rFonts w:cs="Arial"/>
        </w:rPr>
      </w:pPr>
    </w:p>
    <w:p w:rsidR="00323DA0" w:rsidRDefault="00323DA0">
      <w:pPr>
        <w:rPr>
          <w:rFonts w:cs="Arial"/>
          <w:b/>
          <w:bCs/>
        </w:rPr>
      </w:pPr>
      <w:r>
        <w:rPr>
          <w:rFonts w:cs="Arial"/>
          <w:b/>
          <w:bCs/>
        </w:rPr>
        <w:br w:type="page"/>
      </w: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lastRenderedPageBreak/>
        <w:t>Termination</w:t>
      </w:r>
      <w:r w:rsidRPr="00B31EF1">
        <w:rPr>
          <w:rFonts w:cs="Arial"/>
        </w:rPr>
        <w:t xml:space="preserve"> – Seafish may terminate the Agreement by written notice if the Supplier: (a) commits a material breach of this Agreement; (b) fails to rectify a complaint notified to it in accordance with clause 8 within a reasonable period of notice; (c) ceases to carry on business; or (d) becomes insolvent, apparently insolvent, has a receiver, manager, administrator or liquidator appointed in respect of its assets or business, or suffers any similar action. </w:t>
      </w:r>
    </w:p>
    <w:p w:rsidR="00323DA0" w:rsidRPr="00B31EF1" w:rsidRDefault="00323DA0" w:rsidP="00323DA0">
      <w:pPr>
        <w:pStyle w:val="Header"/>
        <w:rPr>
          <w:rFonts w:cs="Arial"/>
          <w:b/>
          <w:bCs/>
        </w:rPr>
      </w:pPr>
    </w:p>
    <w:p w:rsidR="00323DA0" w:rsidRPr="00B31EF1" w:rsidRDefault="00323DA0" w:rsidP="00323DA0">
      <w:pPr>
        <w:pStyle w:val="Header"/>
        <w:ind w:left="360"/>
        <w:rPr>
          <w:rFonts w:cs="Arial"/>
        </w:rPr>
      </w:pPr>
      <w:r w:rsidRPr="00B31EF1">
        <w:rPr>
          <w:rFonts w:cs="Arial"/>
        </w:rPr>
        <w:t>Seafish may also cancel any part of the Work due to unforeseen circumstances beyond Seafish’s control, by giving the Supplier notice to that effect.  In such circumstances the parties shall use its reasonable endeavours to agree the amount by which the fees payable by Seafish under this Agreement shall be reduced on a pro rata basis, to take account of the fact that the part of the Work is no longer required.</w:t>
      </w:r>
    </w:p>
    <w:p w:rsidR="00323DA0" w:rsidRPr="00B31EF1" w:rsidRDefault="00323DA0" w:rsidP="00323DA0">
      <w:pPr>
        <w:pStyle w:val="Header"/>
        <w:rPr>
          <w:rFonts w:cs="Arial"/>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 xml:space="preserve">Limits on Liability </w:t>
      </w:r>
      <w:r w:rsidRPr="00B31EF1">
        <w:rPr>
          <w:rFonts w:cs="Arial"/>
        </w:rPr>
        <w:t>-</w:t>
      </w:r>
    </w:p>
    <w:p w:rsidR="00323DA0" w:rsidRPr="00B31EF1" w:rsidRDefault="00323DA0" w:rsidP="00323DA0">
      <w:pPr>
        <w:pStyle w:val="Header"/>
        <w:rPr>
          <w:rFonts w:cs="Arial"/>
        </w:rPr>
      </w:pPr>
    </w:p>
    <w:p w:rsidR="00323DA0" w:rsidRPr="00B31EF1" w:rsidRDefault="00323DA0" w:rsidP="00323DA0">
      <w:pPr>
        <w:pStyle w:val="Header"/>
        <w:ind w:left="1080" w:hanging="720"/>
        <w:rPr>
          <w:rFonts w:cs="Arial"/>
        </w:rPr>
      </w:pPr>
      <w:r w:rsidRPr="00B31EF1">
        <w:rPr>
          <w:rFonts w:cs="Arial"/>
        </w:rPr>
        <w:t>10.1</w:t>
      </w:r>
      <w:r w:rsidRPr="00B31EF1">
        <w:rPr>
          <w:rFonts w:cs="Arial"/>
          <w:b/>
          <w:bCs/>
        </w:rPr>
        <w:tab/>
      </w:r>
      <w:r w:rsidRPr="00B31EF1">
        <w:rPr>
          <w:rFonts w:cs="Arial"/>
        </w:rPr>
        <w:t>Subject to clause 11 and the provisions of this clause 8, the aggregate liability of either party for any breach of the terms of this Agreement (including delict, tort, negligence or otherwise) shall be limited to twice the amount of the fees payable under Clause 3.</w:t>
      </w:r>
    </w:p>
    <w:p w:rsidR="00323DA0" w:rsidRPr="00B31EF1" w:rsidRDefault="00323DA0" w:rsidP="00323DA0">
      <w:pPr>
        <w:pStyle w:val="Header"/>
        <w:ind w:left="1080" w:hanging="720"/>
        <w:rPr>
          <w:rFonts w:cs="Arial"/>
        </w:rPr>
      </w:pPr>
    </w:p>
    <w:p w:rsidR="00323DA0" w:rsidRPr="00B31EF1" w:rsidRDefault="00323DA0" w:rsidP="00323DA0">
      <w:pPr>
        <w:pStyle w:val="Header"/>
        <w:ind w:left="1080" w:hanging="720"/>
        <w:rPr>
          <w:rFonts w:cs="Arial"/>
        </w:rPr>
      </w:pPr>
      <w:r w:rsidRPr="00B31EF1">
        <w:rPr>
          <w:rFonts w:cs="Arial"/>
        </w:rPr>
        <w:t>10.2</w:t>
      </w:r>
      <w:r w:rsidRPr="00B31EF1">
        <w:rPr>
          <w:rFonts w:cs="Arial"/>
        </w:rPr>
        <w:tab/>
        <w:t>Subject to clause 11 and the provisions of this clause 8, neither party shall be liable to the other for any: (a) indirect, special or consequential losses or damage; or (b) loss of profit, business, or revenue; which arise out of or in connection with this Agreement.</w:t>
      </w:r>
    </w:p>
    <w:p w:rsidR="00323DA0" w:rsidRPr="00B31EF1" w:rsidRDefault="00323DA0" w:rsidP="00323DA0">
      <w:pPr>
        <w:pStyle w:val="Header"/>
        <w:ind w:left="1080" w:hanging="720"/>
        <w:rPr>
          <w:rFonts w:cs="Arial"/>
          <w:bCs/>
        </w:rPr>
      </w:pPr>
      <w:bookmarkStart w:id="1" w:name="_Ref516997404"/>
    </w:p>
    <w:p w:rsidR="00323DA0" w:rsidRPr="00B31EF1" w:rsidRDefault="00323DA0" w:rsidP="00323DA0">
      <w:pPr>
        <w:pStyle w:val="Header"/>
        <w:ind w:left="1080" w:hanging="720"/>
        <w:rPr>
          <w:rFonts w:cs="Arial"/>
          <w:bCs/>
        </w:rPr>
      </w:pPr>
      <w:r w:rsidRPr="00B31EF1">
        <w:rPr>
          <w:rFonts w:cs="Arial"/>
          <w:bCs/>
        </w:rPr>
        <w:t>10.3</w:t>
      </w:r>
      <w:r w:rsidRPr="00B31EF1">
        <w:rPr>
          <w:rFonts w:cs="Arial"/>
          <w:bCs/>
        </w:rPr>
        <w:tab/>
        <w:t>Nothing in this Agreement excludes or limits the liability of either party for death or personal injury caused by that party’s negligence or from fraudulent misrepresentation.</w:t>
      </w:r>
      <w:bookmarkEnd w:id="1"/>
    </w:p>
    <w:p w:rsidR="00323DA0" w:rsidRPr="00B31EF1" w:rsidRDefault="00323DA0" w:rsidP="00323DA0">
      <w:pPr>
        <w:ind w:left="360" w:hanging="360"/>
        <w:rPr>
          <w:rFonts w:cs="Arial"/>
        </w:rPr>
      </w:pPr>
    </w:p>
    <w:p w:rsidR="00323DA0"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323DA0">
        <w:rPr>
          <w:rFonts w:cs="Arial"/>
          <w:b/>
          <w:bCs/>
        </w:rPr>
        <w:t>Confidentiality</w:t>
      </w:r>
      <w:r w:rsidRPr="00323DA0">
        <w:rPr>
          <w:rFonts w:cs="Arial"/>
        </w:rPr>
        <w:t xml:space="preserve"> – Both parties undertake to treat any confidential and proprietary information disclosed to it by the other party as secret and confidential and will not use it for its own benefit or the benefit of any other party, other than for purposes required or permitted by this Agreement or as are otherwise required to make use of the Work.  Neither party will disclose the other party’s confidential information without the prior written consent of the disclosing party, other than to such of its employees who reasonably require to have same and are bound by duties of confidentiality.</w:t>
      </w:r>
    </w:p>
    <w:p w:rsidR="00323DA0" w:rsidRPr="00323DA0" w:rsidRDefault="00323DA0" w:rsidP="00323DA0">
      <w:pPr>
        <w:pStyle w:val="Header"/>
        <w:tabs>
          <w:tab w:val="clear" w:pos="4513"/>
          <w:tab w:val="clear" w:pos="9026"/>
          <w:tab w:val="center" w:pos="4153"/>
          <w:tab w:val="right" w:pos="8306"/>
        </w:tabs>
        <w:ind w:left="360"/>
        <w:jc w:val="both"/>
        <w:rPr>
          <w:rFonts w:cs="Arial"/>
        </w:rPr>
      </w:pPr>
    </w:p>
    <w:p w:rsidR="00323DA0" w:rsidRPr="00B31EF1" w:rsidRDefault="00323DA0" w:rsidP="00323DA0">
      <w:pPr>
        <w:pStyle w:val="Header"/>
        <w:ind w:left="360"/>
        <w:rPr>
          <w:rFonts w:cs="Arial"/>
        </w:rPr>
      </w:pPr>
      <w:r w:rsidRPr="00B31EF1">
        <w:rPr>
          <w:rFonts w:cs="Arial"/>
        </w:rPr>
        <w:t>For the avoidance of doubt, the obligations set out in this clause will not apply to any information: (a) which is or enters the public domain (other than as a result of a breach of the Agreement); (b) that has been developed by the receiving party independently of disclosure; and/or (c) which requires to be disclosed by law, (including disclosures under the Freedom of Information Act 2000).</w:t>
      </w:r>
    </w:p>
    <w:p w:rsidR="00323DA0" w:rsidRPr="00B31EF1" w:rsidRDefault="00323DA0" w:rsidP="00323DA0">
      <w:pPr>
        <w:pStyle w:val="Header"/>
        <w:rPr>
          <w:rFonts w:cs="Arial"/>
        </w:rPr>
      </w:pPr>
    </w:p>
    <w:p w:rsidR="00323DA0" w:rsidRPr="00B31EF1" w:rsidRDefault="00323DA0" w:rsidP="00323DA0">
      <w:pPr>
        <w:pStyle w:val="Header"/>
        <w:ind w:left="360"/>
        <w:rPr>
          <w:rFonts w:cs="Arial"/>
        </w:rPr>
      </w:pPr>
      <w:r w:rsidRPr="00B31EF1">
        <w:rPr>
          <w:rFonts w:cs="Arial"/>
        </w:rPr>
        <w:t>The Supplier agrees to assist and co-operate with Seafish in connection with any request for information made to Seafish under the Freedom of Information Act 2000 or any other relevant statute.</w:t>
      </w:r>
    </w:p>
    <w:p w:rsidR="00323DA0" w:rsidRPr="00B31EF1" w:rsidRDefault="00323DA0" w:rsidP="00323DA0">
      <w:pPr>
        <w:pStyle w:val="Header"/>
        <w:rPr>
          <w:rFonts w:cs="Arial"/>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IPR</w:t>
      </w:r>
      <w:r w:rsidRPr="00B31EF1">
        <w:rPr>
          <w:rFonts w:cs="Arial"/>
        </w:rPr>
        <w:t xml:space="preserve"> - All intellectual property rights, (including but not limited to patents, copyrights (including copyright in any software), design rights, trade marks, database rights, moral rights, domain names, rights in and to trade or product names, inventions, discoveries and know how), created, developed or otherwise arising from the performance of the Work (the “</w:t>
      </w:r>
      <w:r w:rsidRPr="00B31EF1">
        <w:rPr>
          <w:rFonts w:cs="Arial"/>
          <w:b/>
          <w:bCs/>
        </w:rPr>
        <w:t>Resultant IPR</w:t>
      </w:r>
      <w:r w:rsidRPr="00B31EF1">
        <w:rPr>
          <w:rFonts w:cs="Arial"/>
        </w:rPr>
        <w:t>”) shall belong to and from their creation become the exclusive property of Seafish.</w:t>
      </w:r>
    </w:p>
    <w:p w:rsidR="00323DA0" w:rsidRPr="00B31EF1" w:rsidRDefault="00323DA0" w:rsidP="00323DA0">
      <w:pPr>
        <w:pStyle w:val="Header"/>
        <w:rPr>
          <w:rFonts w:cs="Arial"/>
          <w:b/>
          <w:bCs/>
        </w:rPr>
      </w:pPr>
    </w:p>
    <w:p w:rsidR="00323DA0" w:rsidRDefault="00323DA0">
      <w:pPr>
        <w:rPr>
          <w:rFonts w:cs="Arial"/>
        </w:rPr>
      </w:pPr>
      <w:r>
        <w:rPr>
          <w:rFonts w:cs="Arial"/>
        </w:rPr>
        <w:br w:type="page"/>
      </w:r>
    </w:p>
    <w:p w:rsidR="00323DA0" w:rsidRPr="00B31EF1" w:rsidRDefault="00323DA0" w:rsidP="00323DA0">
      <w:pPr>
        <w:pStyle w:val="Header"/>
        <w:ind w:left="360"/>
        <w:rPr>
          <w:rFonts w:cs="Arial"/>
        </w:rPr>
      </w:pPr>
      <w:r w:rsidRPr="00B31EF1">
        <w:rPr>
          <w:rFonts w:cs="Arial"/>
        </w:rPr>
        <w:lastRenderedPageBreak/>
        <w:t>The Supplier hereby assigns to Seafish (and insofar as it is not competent for the Supplier to currently assign, hereby undertakes and agrees to assign to Seafish, all future rights from the date of creation), free from any encumbrances, its whole right, title and interest in all Resultant IPR without any additional charge.  The Supplier irrevocably waives in favour of Seafish: (i) all moral rights it may have in terms of Chapter IV Part I of the Copyright, Designs and Patents Act 1988; and (ii) any similar rights in any part of the world, in and to the Resultant IPR.  The Supplier shall procure that all employees, third parties and sub-contractors used in the creation or development of the Work shall similarly waive such moral rights in and to the Resultant IPR.</w:t>
      </w:r>
    </w:p>
    <w:p w:rsidR="00323DA0" w:rsidRPr="00B31EF1" w:rsidRDefault="00323DA0" w:rsidP="00323DA0">
      <w:pPr>
        <w:pStyle w:val="Indent1"/>
        <w:widowControl w:val="0"/>
        <w:spacing w:before="0" w:line="240" w:lineRule="auto"/>
        <w:ind w:left="0" w:firstLine="0"/>
        <w:rPr>
          <w:rFonts w:asciiTheme="minorHAnsi" w:hAnsiTheme="minorHAnsi" w:cs="Arial"/>
          <w:sz w:val="22"/>
          <w:szCs w:val="22"/>
        </w:rPr>
      </w:pPr>
    </w:p>
    <w:p w:rsidR="00323DA0" w:rsidRPr="00B31EF1" w:rsidRDefault="00323DA0" w:rsidP="00323DA0">
      <w:pPr>
        <w:pStyle w:val="Indent1"/>
        <w:widowControl w:val="0"/>
        <w:spacing w:before="0" w:line="240" w:lineRule="auto"/>
        <w:ind w:left="360" w:firstLine="0"/>
        <w:rPr>
          <w:rFonts w:asciiTheme="minorHAnsi" w:hAnsiTheme="minorHAnsi" w:cs="Arial"/>
          <w:sz w:val="22"/>
          <w:szCs w:val="22"/>
        </w:rPr>
      </w:pPr>
      <w:r w:rsidRPr="00B31EF1">
        <w:rPr>
          <w:rFonts w:asciiTheme="minorHAnsi" w:hAnsiTheme="minorHAnsi" w:cs="Arial"/>
          <w:sz w:val="22"/>
          <w:szCs w:val="22"/>
        </w:rPr>
        <w:t>The Supplier shall, at Seafish’s discretion, execute any further documents, forms and authorisations anywhere in the world and perform any such acts or things as Seafish may require to enable Seafish to secure full legal title to the Resultant IPR. The Supplier warrants to Seafish that the Work is its own original work and the Resultant IPR is not subject to any third party claims, liens, charges or encumbrances of any kind and that the Supplier is free of any duties or obligations or liabilities to third parties which may conflict with the terms of this Agreement.</w:t>
      </w:r>
    </w:p>
    <w:p w:rsidR="00323DA0" w:rsidRPr="00B31EF1" w:rsidRDefault="00323DA0" w:rsidP="00323DA0">
      <w:pPr>
        <w:pStyle w:val="Indent1"/>
        <w:widowControl w:val="0"/>
        <w:spacing w:before="0" w:line="240" w:lineRule="auto"/>
        <w:ind w:left="360" w:firstLine="0"/>
        <w:rPr>
          <w:rFonts w:asciiTheme="minorHAnsi" w:hAnsiTheme="minorHAnsi" w:cs="Arial"/>
          <w:sz w:val="22"/>
          <w:szCs w:val="22"/>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Indemnity</w:t>
      </w:r>
      <w:r w:rsidRPr="00B31EF1">
        <w:rPr>
          <w:rFonts w:cs="Arial"/>
        </w:rPr>
        <w:t>- The Supplier shall indemnify Seafish in respect of: (a) any breach or non-observance of the obligations incumbent upon them in this Agreement; (b) from any breach of the warranties provided; and (c) from any claim that the Resultant IPR infringes (or allegedly infringes) the rights of any third party.</w:t>
      </w:r>
    </w:p>
    <w:p w:rsidR="00323DA0" w:rsidRPr="00B31EF1" w:rsidRDefault="00323DA0" w:rsidP="00323DA0">
      <w:pPr>
        <w:pStyle w:val="Header"/>
        <w:rPr>
          <w:rFonts w:cs="Arial"/>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Insurance</w:t>
      </w:r>
      <w:r w:rsidRPr="00B31EF1">
        <w:rPr>
          <w:rFonts w:cs="Arial"/>
        </w:rPr>
        <w:t xml:space="preserve"> – The Supplier shall effect and maintain at all times during the term of this Agreement, adequate insurance cover (including professional indemnity insurance) to cover liabilities under this Agreement, with a reputable insurer.</w:t>
      </w:r>
    </w:p>
    <w:p w:rsidR="00323DA0" w:rsidRPr="00B31EF1" w:rsidRDefault="00323DA0" w:rsidP="00323DA0">
      <w:pPr>
        <w:pStyle w:val="Header"/>
        <w:rPr>
          <w:rFonts w:cs="Arial"/>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Property</w:t>
      </w:r>
      <w:r w:rsidRPr="00B31EF1">
        <w:rPr>
          <w:rFonts w:cs="Arial"/>
        </w:rPr>
        <w:t xml:space="preserve"> - The Supplier will not have any rights to Seafish property (including but not limited to information and data) and will promptly return all such property belonging to Seafish in its possession when asked to do so by Seafish or on the expiry or termination of this Agreement.</w:t>
      </w:r>
    </w:p>
    <w:p w:rsidR="00323DA0" w:rsidRPr="00B31EF1" w:rsidRDefault="00323DA0" w:rsidP="00323DA0">
      <w:pPr>
        <w:pStyle w:val="Header"/>
        <w:rPr>
          <w:rFonts w:cs="Arial"/>
          <w:b/>
          <w:bCs/>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Data Protection</w:t>
      </w:r>
      <w:r w:rsidRPr="00B31EF1">
        <w:rPr>
          <w:rFonts w:cs="Arial"/>
        </w:rPr>
        <w:t xml:space="preserve"> - The Supplier undertakes to comply with the provisions of the Data Protection Act 1998 and will only process data related to the Work for the benefit of and on the instruction of Seafish.  The Supplier agrees to take all appropriate technical and organisational measures against unauthorised or unlawful access or processing of data and against accidental loss, damage or destruction of personal data, as required under the Data Protection Act 1998. </w:t>
      </w:r>
    </w:p>
    <w:p w:rsidR="00323DA0" w:rsidRPr="00323DA0" w:rsidRDefault="00323DA0" w:rsidP="00323DA0">
      <w:pPr>
        <w:pStyle w:val="Header"/>
        <w:tabs>
          <w:tab w:val="clear" w:pos="4513"/>
          <w:tab w:val="clear" w:pos="9026"/>
          <w:tab w:val="center" w:pos="4153"/>
          <w:tab w:val="right" w:pos="8306"/>
        </w:tabs>
        <w:ind w:left="360"/>
        <w:jc w:val="both"/>
        <w:rPr>
          <w:rFonts w:cs="Arial"/>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rPr>
        <w:t>Sub-contract/Assignation</w:t>
      </w:r>
      <w:r w:rsidRPr="00B31EF1">
        <w:rPr>
          <w:rFonts w:cs="Arial"/>
        </w:rPr>
        <w:t xml:space="preserve"> - The parties hereby agree that no sub-contracting is permitted by either party without the prior written approval of the other.  Neither party shall be entitled to assign any part of the burdens or benefit of this Agreement without the prior written consent of the other party.</w:t>
      </w:r>
    </w:p>
    <w:p w:rsidR="00323DA0" w:rsidRPr="00B31EF1" w:rsidRDefault="00323DA0" w:rsidP="00323DA0">
      <w:pPr>
        <w:pStyle w:val="Header"/>
        <w:rPr>
          <w:rFonts w:cs="Arial"/>
          <w:b/>
          <w:bCs/>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Waiver</w:t>
      </w:r>
      <w:r w:rsidRPr="00B31EF1">
        <w:rPr>
          <w:rFonts w:cs="Arial"/>
        </w:rPr>
        <w:t xml:space="preserve"> - The failure of either party to exercise or enforce any right conferred upon it by this Agreement shall not be deemed to be a waiver of any such right or operate so as to bar the exercise or enforcement of such right at any time or times in the future.</w:t>
      </w:r>
    </w:p>
    <w:p w:rsidR="00323DA0" w:rsidRPr="00B31EF1" w:rsidRDefault="00323DA0" w:rsidP="00323DA0">
      <w:pPr>
        <w:pStyle w:val="Header"/>
        <w:rPr>
          <w:rFonts w:cs="Arial"/>
          <w:b/>
          <w:bCs/>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Publicity</w:t>
      </w:r>
      <w:r w:rsidRPr="00B31EF1">
        <w:rPr>
          <w:rFonts w:cs="Arial"/>
        </w:rPr>
        <w:t xml:space="preserve"> - No announcement or communications concerning the terms or conditions of this Agreement shall be made by either party without the prior written consent of the other party except to the extent any statement or disclosure may be required by law.</w:t>
      </w:r>
    </w:p>
    <w:p w:rsidR="00323DA0" w:rsidRPr="00B31EF1" w:rsidRDefault="00323DA0" w:rsidP="00323DA0">
      <w:pPr>
        <w:pStyle w:val="Header"/>
        <w:rPr>
          <w:rFonts w:cs="Arial"/>
          <w:b/>
          <w:bCs/>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Independent Contractor</w:t>
      </w:r>
      <w:r w:rsidRPr="00B31EF1">
        <w:rPr>
          <w:rFonts w:cs="Arial"/>
        </w:rPr>
        <w:t xml:space="preserve"> – The parties are independent contractors and nothing in this Agreement shall constitute, nor imply the constitution of, any partnership, association, joint venture or any relationship of principal and agent between the parties.</w:t>
      </w:r>
    </w:p>
    <w:p w:rsidR="00323DA0" w:rsidRPr="00B31EF1" w:rsidRDefault="00323DA0" w:rsidP="00323DA0">
      <w:pPr>
        <w:pStyle w:val="Header"/>
        <w:rPr>
          <w:rFonts w:cs="Arial"/>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lastRenderedPageBreak/>
        <w:t>Entire Agreement</w:t>
      </w:r>
      <w:r w:rsidRPr="00B31EF1">
        <w:rPr>
          <w:rFonts w:cs="Arial"/>
        </w:rPr>
        <w:t xml:space="preserve"> - This Agreement supersedes all prior agreements and arrangements and sets out the entire agreement and understanding between the parties relating to the provision of the Work.</w:t>
      </w:r>
    </w:p>
    <w:p w:rsidR="00323DA0" w:rsidRPr="00B31EF1" w:rsidRDefault="00323DA0" w:rsidP="00323DA0">
      <w:pPr>
        <w:pStyle w:val="Header"/>
        <w:rPr>
          <w:rFonts w:cs="Arial"/>
          <w:b/>
          <w:bCs/>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Variation</w:t>
      </w:r>
      <w:r w:rsidRPr="00B31EF1">
        <w:rPr>
          <w:rFonts w:cs="Arial"/>
        </w:rPr>
        <w:t xml:space="preserve"> - No variation of any of the terms of this Agreement shall be effective unless it is agreed in writing and signed by both parties.</w:t>
      </w:r>
    </w:p>
    <w:p w:rsidR="00323DA0" w:rsidRPr="00B31EF1" w:rsidRDefault="00323DA0" w:rsidP="00323DA0">
      <w:pPr>
        <w:pStyle w:val="Header"/>
        <w:rPr>
          <w:rFonts w:cs="Arial"/>
          <w:b/>
          <w:bCs/>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Force Majeure</w:t>
      </w:r>
      <w:r w:rsidRPr="00B31EF1">
        <w:rPr>
          <w:rFonts w:cs="Arial"/>
        </w:rPr>
        <w:t xml:space="preserve"> - If either party is prevented from or delayed in performing any obligations under this Agreement by reason of any circumstances beyond its reasonable control it shall be excused performance to the extent affected by such circumstances, so long as it shall both give prompt notice to the other party and use all reasonable commercial endeavours to remove or avoid such circumstances cause or effect.</w:t>
      </w:r>
    </w:p>
    <w:p w:rsidR="00323DA0" w:rsidRPr="00B31EF1" w:rsidRDefault="00323DA0" w:rsidP="00323DA0">
      <w:pPr>
        <w:pStyle w:val="Header"/>
        <w:rPr>
          <w:rFonts w:cs="Arial"/>
          <w:b/>
          <w:bCs/>
        </w:rPr>
      </w:pPr>
    </w:p>
    <w:p w:rsidR="00323DA0" w:rsidRPr="00B31EF1" w:rsidRDefault="00323DA0" w:rsidP="00323DA0">
      <w:pPr>
        <w:pStyle w:val="Header"/>
        <w:numPr>
          <w:ilvl w:val="0"/>
          <w:numId w:val="28"/>
        </w:numPr>
        <w:tabs>
          <w:tab w:val="clear" w:pos="720"/>
          <w:tab w:val="clear" w:pos="4513"/>
          <w:tab w:val="clear" w:pos="9026"/>
          <w:tab w:val="num" w:pos="360"/>
          <w:tab w:val="center" w:pos="4153"/>
          <w:tab w:val="right" w:pos="8306"/>
        </w:tabs>
        <w:ind w:left="360"/>
        <w:jc w:val="both"/>
        <w:rPr>
          <w:rFonts w:cs="Arial"/>
        </w:rPr>
      </w:pPr>
      <w:r w:rsidRPr="00B31EF1">
        <w:rPr>
          <w:rFonts w:cs="Arial"/>
          <w:b/>
          <w:bCs/>
        </w:rPr>
        <w:t>Governing Law</w:t>
      </w:r>
      <w:r w:rsidRPr="00B31EF1">
        <w:rPr>
          <w:rFonts w:cs="Arial"/>
        </w:rPr>
        <w:t xml:space="preserve"> - This Agreement is made under and governed by Scots Law and the Scottish courts will have exclusive authority to settle any dispute arising under or in connection with it.  IN WITNESS WHEREOF this Agreement together with the Schedule is executed as follows:</w:t>
      </w:r>
    </w:p>
    <w:p w:rsidR="00323DA0" w:rsidRPr="00B31EF1" w:rsidRDefault="00323DA0" w:rsidP="00323DA0">
      <w:pPr>
        <w:tabs>
          <w:tab w:val="left" w:pos="4680"/>
        </w:tabs>
        <w:rPr>
          <w:rFonts w:cs="Arial"/>
        </w:rPr>
      </w:pPr>
    </w:p>
    <w:p w:rsidR="00323DA0" w:rsidRPr="00B31EF1" w:rsidRDefault="00323DA0" w:rsidP="00323DA0">
      <w:pPr>
        <w:tabs>
          <w:tab w:val="left" w:pos="4680"/>
        </w:tabs>
        <w:rPr>
          <w:rFonts w:cs="Arial"/>
        </w:rPr>
      </w:pPr>
      <w:r w:rsidRPr="00B31EF1">
        <w:rPr>
          <w:rFonts w:cs="Arial"/>
        </w:rPr>
        <w:t xml:space="preserve">Signed for and on behalf of </w:t>
      </w:r>
      <w:r w:rsidRPr="00B31EF1">
        <w:rPr>
          <w:rFonts w:cs="Arial"/>
          <w:b/>
        </w:rPr>
        <w:t xml:space="preserve">SEA FISH INDUSTRY AUTHORITY </w:t>
      </w:r>
      <w:r w:rsidRPr="00B31EF1">
        <w:rPr>
          <w:rFonts w:cs="Arial"/>
        </w:rPr>
        <w:t xml:space="preserve">by </w:t>
      </w:r>
    </w:p>
    <w:p w:rsidR="00323DA0" w:rsidRPr="00B31EF1" w:rsidRDefault="00323DA0" w:rsidP="00323DA0">
      <w:pPr>
        <w:tabs>
          <w:tab w:val="left" w:pos="4680"/>
        </w:tabs>
        <w:rPr>
          <w:rFonts w:cs="Arial"/>
        </w:rPr>
      </w:pPr>
    </w:p>
    <w:tbl>
      <w:tblPr>
        <w:tblW w:w="0" w:type="auto"/>
        <w:tblLayout w:type="fixed"/>
        <w:tblLook w:val="0000" w:firstRow="0" w:lastRow="0" w:firstColumn="0" w:lastColumn="0" w:noHBand="0" w:noVBand="0"/>
      </w:tblPr>
      <w:tblGrid>
        <w:gridCol w:w="2718"/>
        <w:gridCol w:w="1902"/>
        <w:gridCol w:w="2778"/>
        <w:gridCol w:w="1842"/>
      </w:tblGrid>
      <w:tr w:rsidR="00323DA0" w:rsidRPr="00B31EF1" w:rsidTr="00A264D0">
        <w:trPr>
          <w:cantSplit/>
        </w:trPr>
        <w:tc>
          <w:tcPr>
            <w:tcW w:w="2718" w:type="dxa"/>
            <w:tcBorders>
              <w:bottom w:val="dotted" w:sz="4" w:space="0" w:color="auto"/>
            </w:tcBorders>
          </w:tcPr>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(Signature)</w:t>
            </w:r>
          </w:p>
        </w:tc>
        <w:tc>
          <w:tcPr>
            <w:tcW w:w="4620" w:type="dxa"/>
            <w:gridSpan w:val="2"/>
          </w:tcPr>
          <w:p w:rsidR="00323DA0" w:rsidRPr="00B31EF1" w:rsidRDefault="00323DA0" w:rsidP="00A264D0">
            <w:pPr>
              <w:rPr>
                <w:rFonts w:cs="Arial"/>
              </w:rPr>
            </w:pPr>
          </w:p>
          <w:p w:rsidR="00323DA0" w:rsidRPr="00B31EF1" w:rsidRDefault="00323DA0" w:rsidP="00A264D0">
            <w:pPr>
              <w:rPr>
                <w:rFonts w:cs="Arial"/>
              </w:rPr>
            </w:pPr>
            <w:r w:rsidRPr="00B31EF1">
              <w:rPr>
                <w:rFonts w:cs="Arial"/>
              </w:rPr>
              <w:t>in the presence of this witness</w:t>
            </w:r>
          </w:p>
        </w:tc>
      </w:tr>
      <w:tr w:rsidR="00323DA0" w:rsidRPr="00B31EF1" w:rsidTr="00A264D0">
        <w:trPr>
          <w:cantSplit/>
        </w:trPr>
        <w:tc>
          <w:tcPr>
            <w:tcW w:w="2718" w:type="dxa"/>
            <w:tcBorders>
              <w:top w:val="dotted" w:sz="4" w:space="0" w:color="auto"/>
              <w:bottom w:val="dotted" w:sz="4" w:space="0" w:color="auto"/>
            </w:tcBorders>
          </w:tcPr>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(Full Name)</w:t>
            </w:r>
          </w:p>
        </w:tc>
        <w:tc>
          <w:tcPr>
            <w:tcW w:w="2778" w:type="dxa"/>
            <w:tcBorders>
              <w:bottom w:val="dotted" w:sz="4" w:space="0" w:color="auto"/>
            </w:tcBorders>
          </w:tcPr>
          <w:p w:rsidR="00323DA0" w:rsidRPr="00B31EF1" w:rsidRDefault="00323DA0" w:rsidP="00A264D0">
            <w:pPr>
              <w:rPr>
                <w:rFonts w:cs="Arial"/>
              </w:rPr>
            </w:pPr>
          </w:p>
        </w:tc>
        <w:tc>
          <w:tcPr>
            <w:tcW w:w="184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(Witness' Signature)</w:t>
            </w:r>
          </w:p>
        </w:tc>
      </w:tr>
      <w:tr w:rsidR="00323DA0" w:rsidRPr="00B31EF1" w:rsidTr="00A264D0">
        <w:trPr>
          <w:cantSplit/>
        </w:trPr>
        <w:tc>
          <w:tcPr>
            <w:tcW w:w="2718" w:type="dxa"/>
            <w:vMerge w:val="restart"/>
            <w:tcBorders>
              <w:top w:val="dotted" w:sz="4" w:space="0" w:color="auto"/>
            </w:tcBorders>
          </w:tcPr>
          <w:p w:rsidR="00323DA0" w:rsidRPr="00B31EF1" w:rsidRDefault="00323DA0" w:rsidP="00A264D0">
            <w:pPr>
              <w:rPr>
                <w:rFonts w:cs="Arial"/>
              </w:rPr>
            </w:pPr>
            <w:r w:rsidRPr="00B31EF1">
              <w:rPr>
                <w:rFonts w:cs="Arial"/>
              </w:rPr>
              <w:t>Authorised Signatory</w:t>
            </w:r>
          </w:p>
          <w:p w:rsidR="00323DA0" w:rsidRPr="00B31EF1" w:rsidRDefault="00323DA0" w:rsidP="00A264D0">
            <w:pPr>
              <w:rPr>
                <w:rFonts w:cs="Arial"/>
              </w:rPr>
            </w:pPr>
          </w:p>
          <w:p w:rsidR="00323DA0" w:rsidRPr="00B31EF1" w:rsidRDefault="00323DA0" w:rsidP="00A264D0">
            <w:pPr>
              <w:rPr>
                <w:rFonts w:cs="Arial"/>
              </w:rPr>
            </w:pPr>
          </w:p>
        </w:tc>
        <w:tc>
          <w:tcPr>
            <w:tcW w:w="1902" w:type="dxa"/>
          </w:tcPr>
          <w:p w:rsidR="00323DA0" w:rsidRPr="00B31EF1" w:rsidRDefault="00323DA0" w:rsidP="00A264D0">
            <w:pPr>
              <w:rPr>
                <w:rFonts w:cs="Arial"/>
              </w:rPr>
            </w:pPr>
          </w:p>
        </w:tc>
        <w:tc>
          <w:tcPr>
            <w:tcW w:w="2778" w:type="dxa"/>
            <w:tcBorders>
              <w:top w:val="dotted" w:sz="4" w:space="0" w:color="auto"/>
              <w:bottom w:val="dotted" w:sz="4" w:space="0" w:color="auto"/>
            </w:tcBorders>
          </w:tcPr>
          <w:p w:rsidR="00323DA0" w:rsidRPr="00B31EF1" w:rsidRDefault="00323DA0" w:rsidP="00A264D0">
            <w:pPr>
              <w:rPr>
                <w:rFonts w:cs="Arial"/>
              </w:rPr>
            </w:pPr>
          </w:p>
        </w:tc>
        <w:tc>
          <w:tcPr>
            <w:tcW w:w="184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(Full Name)</w:t>
            </w:r>
          </w:p>
        </w:tc>
      </w:tr>
      <w:tr w:rsidR="00323DA0" w:rsidRPr="00B31EF1" w:rsidTr="00A264D0">
        <w:trPr>
          <w:cantSplit/>
        </w:trPr>
        <w:tc>
          <w:tcPr>
            <w:tcW w:w="2718" w:type="dxa"/>
            <w:vMerge/>
            <w:tcBorders>
              <w:bottom w:val="dotted" w:sz="4" w:space="0" w:color="auto"/>
            </w:tcBorders>
          </w:tcPr>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(Place of Signature)</w:t>
            </w:r>
          </w:p>
        </w:tc>
        <w:tc>
          <w:tcPr>
            <w:tcW w:w="2778" w:type="dxa"/>
            <w:tcBorders>
              <w:top w:val="dotted" w:sz="4" w:space="0" w:color="auto"/>
              <w:bottom w:val="dotted" w:sz="4" w:space="0" w:color="auto"/>
            </w:tcBorders>
          </w:tcPr>
          <w:p w:rsidR="00323DA0" w:rsidRPr="00B31EF1" w:rsidRDefault="00323DA0" w:rsidP="00A264D0">
            <w:pPr>
              <w:rPr>
                <w:rFonts w:cs="Arial"/>
              </w:rPr>
            </w:pPr>
          </w:p>
        </w:tc>
        <w:tc>
          <w:tcPr>
            <w:tcW w:w="184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(Address)</w:t>
            </w:r>
          </w:p>
        </w:tc>
      </w:tr>
      <w:tr w:rsidR="00323DA0" w:rsidRPr="00B31EF1" w:rsidTr="00A264D0">
        <w:tc>
          <w:tcPr>
            <w:tcW w:w="2718" w:type="dxa"/>
            <w:tcBorders>
              <w:top w:val="dotted" w:sz="4" w:space="0" w:color="auto"/>
              <w:bottom w:val="dotted" w:sz="4" w:space="0" w:color="auto"/>
            </w:tcBorders>
          </w:tcPr>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(Date of Signature)</w:t>
            </w:r>
          </w:p>
        </w:tc>
        <w:tc>
          <w:tcPr>
            <w:tcW w:w="2778" w:type="dxa"/>
            <w:tcBorders>
              <w:top w:val="dotted" w:sz="4" w:space="0" w:color="auto"/>
              <w:bottom w:val="dotted" w:sz="4" w:space="0" w:color="auto"/>
            </w:tcBorders>
          </w:tcPr>
          <w:p w:rsidR="00323DA0" w:rsidRPr="00B31EF1" w:rsidRDefault="00323DA0" w:rsidP="00A264D0">
            <w:pPr>
              <w:rPr>
                <w:rFonts w:cs="Arial"/>
              </w:rPr>
            </w:pPr>
          </w:p>
        </w:tc>
        <w:tc>
          <w:tcPr>
            <w:tcW w:w="1842" w:type="dxa"/>
          </w:tcPr>
          <w:p w:rsidR="00323DA0" w:rsidRPr="00B31EF1" w:rsidRDefault="00323DA0" w:rsidP="00A264D0">
            <w:pPr>
              <w:rPr>
                <w:rFonts w:cs="Arial"/>
              </w:rPr>
            </w:pPr>
          </w:p>
        </w:tc>
      </w:tr>
    </w:tbl>
    <w:p w:rsidR="00323DA0" w:rsidRPr="00B31EF1" w:rsidRDefault="00323DA0" w:rsidP="00323DA0">
      <w:pPr>
        <w:tabs>
          <w:tab w:val="left" w:pos="4680"/>
        </w:tabs>
        <w:rPr>
          <w:rFonts w:cs="Arial"/>
        </w:rPr>
      </w:pPr>
    </w:p>
    <w:p w:rsidR="00323DA0" w:rsidRPr="00B31EF1" w:rsidRDefault="00323DA0" w:rsidP="00323DA0">
      <w:pPr>
        <w:tabs>
          <w:tab w:val="left" w:pos="4680"/>
        </w:tabs>
        <w:rPr>
          <w:rFonts w:cs="Arial"/>
        </w:rPr>
      </w:pPr>
      <w:r w:rsidRPr="00B31EF1">
        <w:rPr>
          <w:rFonts w:cs="Arial"/>
        </w:rPr>
        <w:t xml:space="preserve">Signed for and on behalf of </w:t>
      </w:r>
      <w:r w:rsidRPr="00B31EF1">
        <w:rPr>
          <w:rFonts w:cs="Arial"/>
          <w:b/>
        </w:rPr>
        <w:t xml:space="preserve">                                            </w:t>
      </w:r>
      <w:r w:rsidRPr="00B31EF1">
        <w:rPr>
          <w:rFonts w:cs="Arial"/>
        </w:rPr>
        <w:t>by</w:t>
      </w:r>
    </w:p>
    <w:p w:rsidR="00323DA0" w:rsidRPr="00B31EF1" w:rsidRDefault="00323DA0" w:rsidP="00323DA0">
      <w:pPr>
        <w:tabs>
          <w:tab w:val="left" w:pos="4680"/>
        </w:tabs>
        <w:rPr>
          <w:rFonts w:cs="Arial"/>
        </w:rPr>
      </w:pPr>
    </w:p>
    <w:tbl>
      <w:tblPr>
        <w:tblW w:w="0" w:type="auto"/>
        <w:tblLayout w:type="fixed"/>
        <w:tblLook w:val="0000" w:firstRow="0" w:lastRow="0" w:firstColumn="0" w:lastColumn="0" w:noHBand="0" w:noVBand="0"/>
      </w:tblPr>
      <w:tblGrid>
        <w:gridCol w:w="2718"/>
        <w:gridCol w:w="1902"/>
        <w:gridCol w:w="2778"/>
        <w:gridCol w:w="1842"/>
      </w:tblGrid>
      <w:tr w:rsidR="00323DA0" w:rsidRPr="00B31EF1" w:rsidTr="00A264D0">
        <w:trPr>
          <w:cantSplit/>
        </w:trPr>
        <w:tc>
          <w:tcPr>
            <w:tcW w:w="2718" w:type="dxa"/>
            <w:tcBorders>
              <w:bottom w:val="dotted" w:sz="4" w:space="0" w:color="auto"/>
            </w:tcBorders>
          </w:tcPr>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(Signature)</w:t>
            </w:r>
          </w:p>
        </w:tc>
        <w:tc>
          <w:tcPr>
            <w:tcW w:w="4620" w:type="dxa"/>
            <w:gridSpan w:val="2"/>
          </w:tcPr>
          <w:p w:rsidR="00323DA0" w:rsidRPr="00B31EF1" w:rsidRDefault="00323DA0" w:rsidP="00A264D0">
            <w:pPr>
              <w:rPr>
                <w:rFonts w:cs="Arial"/>
              </w:rPr>
            </w:pPr>
          </w:p>
          <w:p w:rsidR="00323DA0" w:rsidRPr="00B31EF1" w:rsidRDefault="00323DA0" w:rsidP="00A264D0">
            <w:pPr>
              <w:rPr>
                <w:rFonts w:cs="Arial"/>
              </w:rPr>
            </w:pPr>
            <w:r w:rsidRPr="00B31EF1">
              <w:rPr>
                <w:rFonts w:cs="Arial"/>
              </w:rPr>
              <w:t>in the presence of this witness</w:t>
            </w:r>
          </w:p>
        </w:tc>
      </w:tr>
      <w:tr w:rsidR="00323DA0" w:rsidRPr="00B31EF1" w:rsidTr="00A264D0">
        <w:trPr>
          <w:cantSplit/>
        </w:trPr>
        <w:tc>
          <w:tcPr>
            <w:tcW w:w="2718" w:type="dxa"/>
            <w:tcBorders>
              <w:top w:val="dotted" w:sz="4" w:space="0" w:color="auto"/>
              <w:bottom w:val="dotted" w:sz="4" w:space="0" w:color="auto"/>
            </w:tcBorders>
          </w:tcPr>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(Full Name)</w:t>
            </w:r>
          </w:p>
        </w:tc>
        <w:tc>
          <w:tcPr>
            <w:tcW w:w="2778" w:type="dxa"/>
            <w:tcBorders>
              <w:bottom w:val="dotted" w:sz="4" w:space="0" w:color="auto"/>
            </w:tcBorders>
          </w:tcPr>
          <w:p w:rsidR="00323DA0" w:rsidRPr="00B31EF1" w:rsidRDefault="00323DA0" w:rsidP="00A264D0">
            <w:pPr>
              <w:rPr>
                <w:rFonts w:cs="Arial"/>
              </w:rPr>
            </w:pPr>
          </w:p>
        </w:tc>
        <w:tc>
          <w:tcPr>
            <w:tcW w:w="184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(Witness' Signature)</w:t>
            </w:r>
          </w:p>
        </w:tc>
      </w:tr>
      <w:tr w:rsidR="00323DA0" w:rsidRPr="00B31EF1" w:rsidTr="00A264D0">
        <w:tc>
          <w:tcPr>
            <w:tcW w:w="2718" w:type="dxa"/>
            <w:tcBorders>
              <w:top w:val="dotted" w:sz="4" w:space="0" w:color="auto"/>
              <w:bottom w:val="dotted" w:sz="4" w:space="0" w:color="auto"/>
            </w:tcBorders>
          </w:tcPr>
          <w:p w:rsidR="00323DA0" w:rsidRPr="00B31EF1" w:rsidRDefault="00323DA0" w:rsidP="00A264D0">
            <w:pPr>
              <w:rPr>
                <w:rFonts w:cs="Arial"/>
              </w:rPr>
            </w:pPr>
          </w:p>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(Position)</w:t>
            </w:r>
          </w:p>
        </w:tc>
        <w:tc>
          <w:tcPr>
            <w:tcW w:w="2778" w:type="dxa"/>
            <w:tcBorders>
              <w:top w:val="dotted" w:sz="4" w:space="0" w:color="auto"/>
              <w:bottom w:val="dotted" w:sz="4" w:space="0" w:color="auto"/>
            </w:tcBorders>
          </w:tcPr>
          <w:p w:rsidR="00323DA0" w:rsidRPr="00B31EF1" w:rsidRDefault="00323DA0" w:rsidP="00A264D0">
            <w:pPr>
              <w:rPr>
                <w:rFonts w:cs="Arial"/>
              </w:rPr>
            </w:pPr>
          </w:p>
        </w:tc>
        <w:tc>
          <w:tcPr>
            <w:tcW w:w="184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(Full Name)</w:t>
            </w:r>
          </w:p>
        </w:tc>
      </w:tr>
      <w:tr w:rsidR="00323DA0" w:rsidRPr="00B31EF1" w:rsidTr="00A264D0">
        <w:tc>
          <w:tcPr>
            <w:tcW w:w="2718" w:type="dxa"/>
            <w:tcBorders>
              <w:top w:val="dotted" w:sz="4" w:space="0" w:color="auto"/>
              <w:bottom w:val="dotted" w:sz="4" w:space="0" w:color="auto"/>
            </w:tcBorders>
          </w:tcPr>
          <w:p w:rsidR="00323DA0" w:rsidRPr="00B31EF1" w:rsidRDefault="00323DA0" w:rsidP="00A264D0">
            <w:pPr>
              <w:rPr>
                <w:rFonts w:cs="Arial"/>
              </w:rPr>
            </w:pPr>
          </w:p>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(Place of Signature)</w:t>
            </w:r>
          </w:p>
        </w:tc>
        <w:tc>
          <w:tcPr>
            <w:tcW w:w="2778" w:type="dxa"/>
            <w:tcBorders>
              <w:top w:val="dotted" w:sz="4" w:space="0" w:color="auto"/>
              <w:bottom w:val="dotted" w:sz="4" w:space="0" w:color="auto"/>
            </w:tcBorders>
          </w:tcPr>
          <w:p w:rsidR="00323DA0" w:rsidRPr="00B31EF1" w:rsidRDefault="00323DA0" w:rsidP="00A264D0">
            <w:pPr>
              <w:rPr>
                <w:rFonts w:cs="Arial"/>
              </w:rPr>
            </w:pPr>
          </w:p>
        </w:tc>
        <w:tc>
          <w:tcPr>
            <w:tcW w:w="184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(Address)</w:t>
            </w:r>
          </w:p>
        </w:tc>
      </w:tr>
      <w:tr w:rsidR="00323DA0" w:rsidRPr="00B31EF1" w:rsidTr="00A264D0">
        <w:tc>
          <w:tcPr>
            <w:tcW w:w="2718" w:type="dxa"/>
            <w:tcBorders>
              <w:top w:val="dotted" w:sz="4" w:space="0" w:color="auto"/>
              <w:bottom w:val="dotted" w:sz="4" w:space="0" w:color="auto"/>
            </w:tcBorders>
          </w:tcPr>
          <w:p w:rsidR="00323DA0" w:rsidRPr="00B31EF1" w:rsidRDefault="00323DA0" w:rsidP="00A264D0">
            <w:pPr>
              <w:rPr>
                <w:rFonts w:cs="Arial"/>
              </w:rPr>
            </w:pPr>
          </w:p>
        </w:tc>
        <w:tc>
          <w:tcPr>
            <w:tcW w:w="1902" w:type="dxa"/>
          </w:tcPr>
          <w:p w:rsidR="00323DA0" w:rsidRPr="00B31EF1" w:rsidRDefault="00323DA0" w:rsidP="00A264D0">
            <w:pPr>
              <w:rPr>
                <w:rFonts w:cs="Arial"/>
              </w:rPr>
            </w:pPr>
          </w:p>
          <w:p w:rsidR="00323DA0" w:rsidRPr="00B31EF1" w:rsidRDefault="00323DA0" w:rsidP="00A264D0">
            <w:pPr>
              <w:rPr>
                <w:rFonts w:cs="Arial"/>
              </w:rPr>
            </w:pPr>
            <w:r w:rsidRPr="00B31EF1">
              <w:rPr>
                <w:rFonts w:cs="Arial"/>
              </w:rPr>
              <w:t>(Date of Signature)</w:t>
            </w:r>
          </w:p>
        </w:tc>
        <w:tc>
          <w:tcPr>
            <w:tcW w:w="2778" w:type="dxa"/>
            <w:tcBorders>
              <w:top w:val="dotted" w:sz="4" w:space="0" w:color="auto"/>
              <w:bottom w:val="dotted" w:sz="4" w:space="0" w:color="auto"/>
            </w:tcBorders>
          </w:tcPr>
          <w:p w:rsidR="00323DA0" w:rsidRPr="00B31EF1" w:rsidRDefault="00323DA0" w:rsidP="00A264D0">
            <w:pPr>
              <w:rPr>
                <w:rFonts w:cs="Arial"/>
              </w:rPr>
            </w:pPr>
          </w:p>
        </w:tc>
        <w:tc>
          <w:tcPr>
            <w:tcW w:w="1842" w:type="dxa"/>
          </w:tcPr>
          <w:p w:rsidR="00323DA0" w:rsidRPr="00B31EF1" w:rsidRDefault="00323DA0" w:rsidP="00A264D0">
            <w:pPr>
              <w:rPr>
                <w:rFonts w:cs="Arial"/>
              </w:rPr>
            </w:pPr>
          </w:p>
        </w:tc>
      </w:tr>
    </w:tbl>
    <w:p w:rsidR="00323DA0" w:rsidRPr="00B31EF1" w:rsidRDefault="00323DA0" w:rsidP="00323DA0">
      <w:pPr>
        <w:pStyle w:val="Header"/>
        <w:rPr>
          <w:rFonts w:cs="Arial"/>
          <w:b/>
        </w:rPr>
      </w:pPr>
    </w:p>
    <w:p w:rsidR="00323DA0" w:rsidRPr="00B31EF1" w:rsidRDefault="00323DA0" w:rsidP="00323DA0">
      <w:pPr>
        <w:pStyle w:val="Header"/>
        <w:rPr>
          <w:rFonts w:cs="Arial"/>
        </w:rPr>
      </w:pPr>
    </w:p>
    <w:sectPr w:rsidR="00323DA0" w:rsidRPr="00B31EF1" w:rsidSect="00F87D9B">
      <w:footerReference w:type="default" r:id="rId11"/>
      <w:pgSz w:w="12240" w:h="15840"/>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D8" w:rsidRDefault="00B856D8" w:rsidP="00F9173B">
      <w:pPr>
        <w:spacing w:after="0" w:line="240" w:lineRule="auto"/>
      </w:pPr>
      <w:r>
        <w:separator/>
      </w:r>
    </w:p>
  </w:endnote>
  <w:endnote w:type="continuationSeparator" w:id="0">
    <w:p w:rsidR="00B856D8" w:rsidRDefault="00B856D8" w:rsidP="00F9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3688"/>
      <w:docPartObj>
        <w:docPartGallery w:val="Page Numbers (Bottom of Page)"/>
        <w:docPartUnique/>
      </w:docPartObj>
    </w:sdtPr>
    <w:sdtEndPr/>
    <w:sdtContent>
      <w:sdt>
        <w:sdtPr>
          <w:id w:val="565050477"/>
          <w:docPartObj>
            <w:docPartGallery w:val="Page Numbers (Top of Page)"/>
            <w:docPartUnique/>
          </w:docPartObj>
        </w:sdtPr>
        <w:sdtEndPr/>
        <w:sdtContent>
          <w:p w:rsidR="00651CF6" w:rsidRDefault="00651CF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114E7">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114E7">
              <w:rPr>
                <w:b/>
                <w:noProof/>
              </w:rPr>
              <w:t>21</w:t>
            </w:r>
            <w:r>
              <w:rPr>
                <w:b/>
                <w:sz w:val="24"/>
                <w:szCs w:val="24"/>
              </w:rPr>
              <w:fldChar w:fldCharType="end"/>
            </w:r>
          </w:p>
        </w:sdtContent>
      </w:sdt>
    </w:sdtContent>
  </w:sdt>
  <w:p w:rsidR="00651CF6" w:rsidRDefault="00651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D8" w:rsidRDefault="00B856D8" w:rsidP="00F9173B">
      <w:pPr>
        <w:spacing w:after="0" w:line="240" w:lineRule="auto"/>
      </w:pPr>
      <w:r>
        <w:separator/>
      </w:r>
    </w:p>
  </w:footnote>
  <w:footnote w:type="continuationSeparator" w:id="0">
    <w:p w:rsidR="00B856D8" w:rsidRDefault="00B856D8" w:rsidP="00F9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CA0"/>
    <w:multiLevelType w:val="singleLevel"/>
    <w:tmpl w:val="0809000F"/>
    <w:lvl w:ilvl="0">
      <w:start w:val="1"/>
      <w:numFmt w:val="decimal"/>
      <w:lvlText w:val="%1."/>
      <w:lvlJc w:val="left"/>
      <w:pPr>
        <w:tabs>
          <w:tab w:val="num" w:pos="720"/>
        </w:tabs>
        <w:ind w:left="720" w:hanging="360"/>
      </w:pPr>
    </w:lvl>
  </w:abstractNum>
  <w:abstractNum w:abstractNumId="1">
    <w:nsid w:val="014E4C7C"/>
    <w:multiLevelType w:val="hybridMultilevel"/>
    <w:tmpl w:val="F926D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1F42063"/>
    <w:multiLevelType w:val="hybridMultilevel"/>
    <w:tmpl w:val="5D88C1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0A191305"/>
    <w:multiLevelType w:val="hybridMultilevel"/>
    <w:tmpl w:val="913AF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B61749"/>
    <w:multiLevelType w:val="hybridMultilevel"/>
    <w:tmpl w:val="1FA09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C401D9"/>
    <w:multiLevelType w:val="hybridMultilevel"/>
    <w:tmpl w:val="33E8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A13A0"/>
    <w:multiLevelType w:val="hybridMultilevel"/>
    <w:tmpl w:val="F64C6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F05ABD"/>
    <w:multiLevelType w:val="hybridMultilevel"/>
    <w:tmpl w:val="60A8A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0B026C"/>
    <w:multiLevelType w:val="hybridMultilevel"/>
    <w:tmpl w:val="305CA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511F1D"/>
    <w:multiLevelType w:val="hybridMultilevel"/>
    <w:tmpl w:val="4C56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0D5C63"/>
    <w:multiLevelType w:val="hybridMultilevel"/>
    <w:tmpl w:val="13BE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704B17"/>
    <w:multiLevelType w:val="hybridMultilevel"/>
    <w:tmpl w:val="D2B86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2DA04CA"/>
    <w:multiLevelType w:val="hybridMultilevel"/>
    <w:tmpl w:val="A022D5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4252CD4"/>
    <w:multiLevelType w:val="hybridMultilevel"/>
    <w:tmpl w:val="1FA09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684573"/>
    <w:multiLevelType w:val="hybridMultilevel"/>
    <w:tmpl w:val="06BCA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9FA68B2"/>
    <w:multiLevelType w:val="hybridMultilevel"/>
    <w:tmpl w:val="76FC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4F1E4C"/>
    <w:multiLevelType w:val="hybridMultilevel"/>
    <w:tmpl w:val="06E28E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3CC1899"/>
    <w:multiLevelType w:val="hybridMultilevel"/>
    <w:tmpl w:val="BB52DA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78F7426"/>
    <w:multiLevelType w:val="hybridMultilevel"/>
    <w:tmpl w:val="4022C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DB1CCC"/>
    <w:multiLevelType w:val="hybridMultilevel"/>
    <w:tmpl w:val="DA662C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B901BED"/>
    <w:multiLevelType w:val="hybridMultilevel"/>
    <w:tmpl w:val="B42E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AA5B82"/>
    <w:multiLevelType w:val="hybridMultilevel"/>
    <w:tmpl w:val="16D8AE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B7320E8"/>
    <w:multiLevelType w:val="hybridMultilevel"/>
    <w:tmpl w:val="28AEE1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BA46436"/>
    <w:multiLevelType w:val="hybridMultilevel"/>
    <w:tmpl w:val="6DB68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D4165E"/>
    <w:multiLevelType w:val="hybridMultilevel"/>
    <w:tmpl w:val="A32C62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5D1A57"/>
    <w:multiLevelType w:val="hybridMultilevel"/>
    <w:tmpl w:val="AB66DDA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E24A9C"/>
    <w:multiLevelType w:val="hybridMultilevel"/>
    <w:tmpl w:val="0E5E9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6"/>
  </w:num>
  <w:num w:numId="3">
    <w:abstractNumId w:val="2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21"/>
  </w:num>
  <w:num w:numId="8">
    <w:abstractNumId w:val="3"/>
  </w:num>
  <w:num w:numId="9">
    <w:abstractNumId w:val="19"/>
  </w:num>
  <w:num w:numId="10">
    <w:abstractNumId w:val="8"/>
  </w:num>
  <w:num w:numId="11">
    <w:abstractNumId w:val="16"/>
  </w:num>
  <w:num w:numId="12">
    <w:abstractNumId w:val="12"/>
  </w:num>
  <w:num w:numId="13">
    <w:abstractNumId w:val="17"/>
  </w:num>
  <w:num w:numId="14">
    <w:abstractNumId w:val="22"/>
  </w:num>
  <w:num w:numId="15">
    <w:abstractNumId w:val="15"/>
  </w:num>
  <w:num w:numId="16">
    <w:abstractNumId w:val="10"/>
  </w:num>
  <w:num w:numId="17">
    <w:abstractNumId w:val="11"/>
  </w:num>
  <w:num w:numId="18">
    <w:abstractNumId w:val="5"/>
  </w:num>
  <w:num w:numId="19">
    <w:abstractNumId w:val="14"/>
  </w:num>
  <w:num w:numId="20">
    <w:abstractNumId w:val="7"/>
  </w:num>
  <w:num w:numId="21">
    <w:abstractNumId w:val="6"/>
  </w:num>
  <w:num w:numId="22">
    <w:abstractNumId w:val="25"/>
  </w:num>
  <w:num w:numId="23">
    <w:abstractNumId w:val="20"/>
  </w:num>
  <w:num w:numId="24">
    <w:abstractNumId w:val="13"/>
  </w:num>
  <w:num w:numId="25">
    <w:abstractNumId w:val="9"/>
  </w:num>
  <w:num w:numId="26">
    <w:abstractNumId w:val="4"/>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D3"/>
    <w:rsid w:val="0000251B"/>
    <w:rsid w:val="00032858"/>
    <w:rsid w:val="00050994"/>
    <w:rsid w:val="000518B8"/>
    <w:rsid w:val="00066360"/>
    <w:rsid w:val="00076EC6"/>
    <w:rsid w:val="000B6799"/>
    <w:rsid w:val="000C147E"/>
    <w:rsid w:val="000C3206"/>
    <w:rsid w:val="000D6E6C"/>
    <w:rsid w:val="000E268A"/>
    <w:rsid w:val="00102658"/>
    <w:rsid w:val="00104A1C"/>
    <w:rsid w:val="0013615D"/>
    <w:rsid w:val="001439C7"/>
    <w:rsid w:val="00163886"/>
    <w:rsid w:val="00165093"/>
    <w:rsid w:val="00175DD3"/>
    <w:rsid w:val="0018255E"/>
    <w:rsid w:val="001979CC"/>
    <w:rsid w:val="001A3426"/>
    <w:rsid w:val="001B56E5"/>
    <w:rsid w:val="001E01AC"/>
    <w:rsid w:val="00220140"/>
    <w:rsid w:val="00220E75"/>
    <w:rsid w:val="0025546C"/>
    <w:rsid w:val="002576DC"/>
    <w:rsid w:val="00265137"/>
    <w:rsid w:val="00271620"/>
    <w:rsid w:val="0029509C"/>
    <w:rsid w:val="002954EB"/>
    <w:rsid w:val="002B1AE5"/>
    <w:rsid w:val="002D3D52"/>
    <w:rsid w:val="00323DA0"/>
    <w:rsid w:val="0034648C"/>
    <w:rsid w:val="00356144"/>
    <w:rsid w:val="00370034"/>
    <w:rsid w:val="00373C05"/>
    <w:rsid w:val="003A00EB"/>
    <w:rsid w:val="003A2140"/>
    <w:rsid w:val="003C22B5"/>
    <w:rsid w:val="003F2352"/>
    <w:rsid w:val="0041168D"/>
    <w:rsid w:val="004236B0"/>
    <w:rsid w:val="00434459"/>
    <w:rsid w:val="00456512"/>
    <w:rsid w:val="0049621F"/>
    <w:rsid w:val="004A5525"/>
    <w:rsid w:val="004A6619"/>
    <w:rsid w:val="004A71CD"/>
    <w:rsid w:val="004C6F85"/>
    <w:rsid w:val="004F3F85"/>
    <w:rsid w:val="00522C01"/>
    <w:rsid w:val="005545B4"/>
    <w:rsid w:val="00556906"/>
    <w:rsid w:val="00566E38"/>
    <w:rsid w:val="00592A06"/>
    <w:rsid w:val="005A42C2"/>
    <w:rsid w:val="005D01D8"/>
    <w:rsid w:val="005D1608"/>
    <w:rsid w:val="00651CF6"/>
    <w:rsid w:val="00664266"/>
    <w:rsid w:val="00671F8E"/>
    <w:rsid w:val="006840BD"/>
    <w:rsid w:val="006B7305"/>
    <w:rsid w:val="006B7A03"/>
    <w:rsid w:val="006C7FB7"/>
    <w:rsid w:val="006D1ED6"/>
    <w:rsid w:val="00710960"/>
    <w:rsid w:val="00722D78"/>
    <w:rsid w:val="0073729E"/>
    <w:rsid w:val="00747486"/>
    <w:rsid w:val="00762392"/>
    <w:rsid w:val="00770B84"/>
    <w:rsid w:val="007B7E6F"/>
    <w:rsid w:val="007C1F8A"/>
    <w:rsid w:val="00802E44"/>
    <w:rsid w:val="00810DA5"/>
    <w:rsid w:val="00810F1B"/>
    <w:rsid w:val="008114E7"/>
    <w:rsid w:val="00813DAA"/>
    <w:rsid w:val="008413D7"/>
    <w:rsid w:val="0086594C"/>
    <w:rsid w:val="00880663"/>
    <w:rsid w:val="008A3948"/>
    <w:rsid w:val="008C6F2E"/>
    <w:rsid w:val="008E1642"/>
    <w:rsid w:val="008E66EB"/>
    <w:rsid w:val="009019CB"/>
    <w:rsid w:val="00903946"/>
    <w:rsid w:val="00910A3A"/>
    <w:rsid w:val="00940B71"/>
    <w:rsid w:val="009632E9"/>
    <w:rsid w:val="00985B64"/>
    <w:rsid w:val="00996E04"/>
    <w:rsid w:val="009C2C5B"/>
    <w:rsid w:val="009C3C6E"/>
    <w:rsid w:val="009D1441"/>
    <w:rsid w:val="009E1C89"/>
    <w:rsid w:val="009E1E92"/>
    <w:rsid w:val="00A37D27"/>
    <w:rsid w:val="00A67C88"/>
    <w:rsid w:val="00A734E9"/>
    <w:rsid w:val="00A93D9B"/>
    <w:rsid w:val="00AA6867"/>
    <w:rsid w:val="00AB6880"/>
    <w:rsid w:val="00AD007F"/>
    <w:rsid w:val="00AD009D"/>
    <w:rsid w:val="00AD1CF6"/>
    <w:rsid w:val="00AD215D"/>
    <w:rsid w:val="00AE5FBB"/>
    <w:rsid w:val="00AF6E2D"/>
    <w:rsid w:val="00B14866"/>
    <w:rsid w:val="00B3774A"/>
    <w:rsid w:val="00B45C39"/>
    <w:rsid w:val="00B56406"/>
    <w:rsid w:val="00B64486"/>
    <w:rsid w:val="00B856D8"/>
    <w:rsid w:val="00B86743"/>
    <w:rsid w:val="00BD2744"/>
    <w:rsid w:val="00BE31ED"/>
    <w:rsid w:val="00BE4403"/>
    <w:rsid w:val="00C12D62"/>
    <w:rsid w:val="00C2135E"/>
    <w:rsid w:val="00C42E76"/>
    <w:rsid w:val="00C66DA8"/>
    <w:rsid w:val="00CB49D3"/>
    <w:rsid w:val="00CC7ABD"/>
    <w:rsid w:val="00D06BBA"/>
    <w:rsid w:val="00D12AD0"/>
    <w:rsid w:val="00D422A8"/>
    <w:rsid w:val="00D6360C"/>
    <w:rsid w:val="00D75F19"/>
    <w:rsid w:val="00D90BAD"/>
    <w:rsid w:val="00D95338"/>
    <w:rsid w:val="00D97540"/>
    <w:rsid w:val="00DC6170"/>
    <w:rsid w:val="00DD179B"/>
    <w:rsid w:val="00DD19F9"/>
    <w:rsid w:val="00DD7B8F"/>
    <w:rsid w:val="00DE0677"/>
    <w:rsid w:val="00E04CCC"/>
    <w:rsid w:val="00E13438"/>
    <w:rsid w:val="00E279C8"/>
    <w:rsid w:val="00E347CA"/>
    <w:rsid w:val="00E36227"/>
    <w:rsid w:val="00E44C73"/>
    <w:rsid w:val="00E80DAE"/>
    <w:rsid w:val="00E824CA"/>
    <w:rsid w:val="00E849FA"/>
    <w:rsid w:val="00E93121"/>
    <w:rsid w:val="00EC0008"/>
    <w:rsid w:val="00EF1D22"/>
    <w:rsid w:val="00F20ADE"/>
    <w:rsid w:val="00F4636C"/>
    <w:rsid w:val="00F77409"/>
    <w:rsid w:val="00F87D9B"/>
    <w:rsid w:val="00F9173B"/>
    <w:rsid w:val="00F96968"/>
    <w:rsid w:val="00FA366E"/>
    <w:rsid w:val="00FE1D6F"/>
    <w:rsid w:val="00FF4215"/>
    <w:rsid w:val="00FF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03"/>
    <w:rPr>
      <w:rFonts w:ascii="Tahoma" w:hAnsi="Tahoma" w:cs="Tahoma"/>
      <w:sz w:val="16"/>
      <w:szCs w:val="16"/>
    </w:rPr>
  </w:style>
  <w:style w:type="paragraph" w:styleId="ListParagraph">
    <w:name w:val="List Paragraph"/>
    <w:basedOn w:val="Normal"/>
    <w:link w:val="ListParagraphChar"/>
    <w:uiPriority w:val="34"/>
    <w:qFormat/>
    <w:rsid w:val="00BE4403"/>
    <w:pPr>
      <w:ind w:left="720"/>
      <w:contextualSpacing/>
    </w:pPr>
  </w:style>
  <w:style w:type="character" w:styleId="CommentReference">
    <w:name w:val="annotation reference"/>
    <w:basedOn w:val="DefaultParagraphFont"/>
    <w:uiPriority w:val="99"/>
    <w:semiHidden/>
    <w:unhideWhenUsed/>
    <w:rsid w:val="0041168D"/>
    <w:rPr>
      <w:sz w:val="16"/>
      <w:szCs w:val="16"/>
    </w:rPr>
  </w:style>
  <w:style w:type="paragraph" w:styleId="CommentText">
    <w:name w:val="annotation text"/>
    <w:basedOn w:val="Normal"/>
    <w:link w:val="CommentTextChar"/>
    <w:uiPriority w:val="99"/>
    <w:semiHidden/>
    <w:unhideWhenUsed/>
    <w:rsid w:val="0041168D"/>
    <w:pPr>
      <w:spacing w:line="240" w:lineRule="auto"/>
    </w:pPr>
    <w:rPr>
      <w:sz w:val="20"/>
      <w:szCs w:val="20"/>
    </w:rPr>
  </w:style>
  <w:style w:type="character" w:customStyle="1" w:styleId="CommentTextChar">
    <w:name w:val="Comment Text Char"/>
    <w:basedOn w:val="DefaultParagraphFont"/>
    <w:link w:val="CommentText"/>
    <w:uiPriority w:val="99"/>
    <w:semiHidden/>
    <w:rsid w:val="0041168D"/>
    <w:rPr>
      <w:sz w:val="20"/>
      <w:szCs w:val="20"/>
    </w:rPr>
  </w:style>
  <w:style w:type="paragraph" w:styleId="CommentSubject">
    <w:name w:val="annotation subject"/>
    <w:basedOn w:val="CommentText"/>
    <w:next w:val="CommentText"/>
    <w:link w:val="CommentSubjectChar"/>
    <w:uiPriority w:val="99"/>
    <w:semiHidden/>
    <w:unhideWhenUsed/>
    <w:rsid w:val="0041168D"/>
    <w:rPr>
      <w:b/>
      <w:bCs/>
    </w:rPr>
  </w:style>
  <w:style w:type="character" w:customStyle="1" w:styleId="CommentSubjectChar">
    <w:name w:val="Comment Subject Char"/>
    <w:basedOn w:val="CommentTextChar"/>
    <w:link w:val="CommentSubject"/>
    <w:uiPriority w:val="99"/>
    <w:semiHidden/>
    <w:rsid w:val="0041168D"/>
    <w:rPr>
      <w:b/>
      <w:bCs/>
      <w:sz w:val="20"/>
      <w:szCs w:val="20"/>
    </w:rPr>
  </w:style>
  <w:style w:type="paragraph" w:styleId="Header">
    <w:name w:val="header"/>
    <w:basedOn w:val="Normal"/>
    <w:link w:val="HeaderChar"/>
    <w:unhideWhenUsed/>
    <w:rsid w:val="00F9173B"/>
    <w:pPr>
      <w:tabs>
        <w:tab w:val="center" w:pos="4513"/>
        <w:tab w:val="right" w:pos="9026"/>
      </w:tabs>
      <w:spacing w:after="0" w:line="240" w:lineRule="auto"/>
    </w:pPr>
  </w:style>
  <w:style w:type="character" w:customStyle="1" w:styleId="HeaderChar">
    <w:name w:val="Header Char"/>
    <w:basedOn w:val="DefaultParagraphFont"/>
    <w:link w:val="Header"/>
    <w:rsid w:val="00F9173B"/>
  </w:style>
  <w:style w:type="paragraph" w:styleId="Footer">
    <w:name w:val="footer"/>
    <w:basedOn w:val="Normal"/>
    <w:link w:val="FooterChar"/>
    <w:uiPriority w:val="99"/>
    <w:unhideWhenUsed/>
    <w:rsid w:val="00F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73B"/>
  </w:style>
  <w:style w:type="paragraph" w:styleId="DocumentMap">
    <w:name w:val="Document Map"/>
    <w:basedOn w:val="Normal"/>
    <w:link w:val="DocumentMapChar"/>
    <w:uiPriority w:val="99"/>
    <w:semiHidden/>
    <w:unhideWhenUsed/>
    <w:rsid w:val="002954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54EB"/>
    <w:rPr>
      <w:rFonts w:ascii="Tahoma" w:hAnsi="Tahoma" w:cs="Tahoma"/>
      <w:sz w:val="16"/>
      <w:szCs w:val="16"/>
    </w:rPr>
  </w:style>
  <w:style w:type="character" w:styleId="Hyperlink">
    <w:name w:val="Hyperlink"/>
    <w:basedOn w:val="DefaultParagraphFont"/>
    <w:uiPriority w:val="99"/>
    <w:unhideWhenUsed/>
    <w:rsid w:val="004C6F85"/>
    <w:rPr>
      <w:color w:val="0000FF" w:themeColor="hyperlink"/>
      <w:u w:val="single"/>
    </w:rPr>
  </w:style>
  <w:style w:type="table" w:styleId="TableGrid">
    <w:name w:val="Table Grid"/>
    <w:basedOn w:val="TableNormal"/>
    <w:uiPriority w:val="59"/>
    <w:rsid w:val="00B6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tter">
    <w:name w:val="Paraletter"/>
    <w:basedOn w:val="Normal"/>
    <w:rsid w:val="00D6360C"/>
    <w:pPr>
      <w:tabs>
        <w:tab w:val="left" w:pos="720"/>
        <w:tab w:val="left" w:pos="1440"/>
        <w:tab w:val="left" w:pos="2160"/>
        <w:tab w:val="left" w:pos="2880"/>
        <w:tab w:val="center" w:pos="4507"/>
        <w:tab w:val="right" w:pos="9000"/>
      </w:tabs>
      <w:spacing w:after="0" w:line="240" w:lineRule="atLeast"/>
      <w:jc w:val="both"/>
    </w:pPr>
    <w:rPr>
      <w:rFonts w:ascii="Times New Roman" w:eastAsia="Times New Roman" w:hAnsi="Times New Roman" w:cs="Times New Roman"/>
      <w:kern w:val="24"/>
      <w:sz w:val="24"/>
      <w:szCs w:val="20"/>
      <w:lang w:eastAsia="en-US"/>
    </w:rPr>
  </w:style>
  <w:style w:type="character" w:customStyle="1" w:styleId="ListParagraphChar">
    <w:name w:val="List Paragraph Char"/>
    <w:link w:val="ListParagraph"/>
    <w:uiPriority w:val="34"/>
    <w:qFormat/>
    <w:rsid w:val="00D6360C"/>
  </w:style>
  <w:style w:type="paragraph" w:customStyle="1" w:styleId="Indent1">
    <w:name w:val="Indent 1"/>
    <w:aliases w:val="H Text 1"/>
    <w:basedOn w:val="Normal"/>
    <w:rsid w:val="00323DA0"/>
    <w:pPr>
      <w:spacing w:before="320" w:after="0" w:line="320" w:lineRule="atLeast"/>
      <w:ind w:left="720" w:hanging="720"/>
      <w:jc w:val="both"/>
    </w:pPr>
    <w:rPr>
      <w:rFonts w:ascii="Times New Roman" w:eastAsia="Times New Roman" w:hAnsi="Times New Roman" w:cs="Times New Roman"/>
      <w:sz w:val="23"/>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03"/>
    <w:rPr>
      <w:rFonts w:ascii="Tahoma" w:hAnsi="Tahoma" w:cs="Tahoma"/>
      <w:sz w:val="16"/>
      <w:szCs w:val="16"/>
    </w:rPr>
  </w:style>
  <w:style w:type="paragraph" w:styleId="ListParagraph">
    <w:name w:val="List Paragraph"/>
    <w:basedOn w:val="Normal"/>
    <w:link w:val="ListParagraphChar"/>
    <w:uiPriority w:val="34"/>
    <w:qFormat/>
    <w:rsid w:val="00BE4403"/>
    <w:pPr>
      <w:ind w:left="720"/>
      <w:contextualSpacing/>
    </w:pPr>
  </w:style>
  <w:style w:type="character" w:styleId="CommentReference">
    <w:name w:val="annotation reference"/>
    <w:basedOn w:val="DefaultParagraphFont"/>
    <w:uiPriority w:val="99"/>
    <w:semiHidden/>
    <w:unhideWhenUsed/>
    <w:rsid w:val="0041168D"/>
    <w:rPr>
      <w:sz w:val="16"/>
      <w:szCs w:val="16"/>
    </w:rPr>
  </w:style>
  <w:style w:type="paragraph" w:styleId="CommentText">
    <w:name w:val="annotation text"/>
    <w:basedOn w:val="Normal"/>
    <w:link w:val="CommentTextChar"/>
    <w:uiPriority w:val="99"/>
    <w:semiHidden/>
    <w:unhideWhenUsed/>
    <w:rsid w:val="0041168D"/>
    <w:pPr>
      <w:spacing w:line="240" w:lineRule="auto"/>
    </w:pPr>
    <w:rPr>
      <w:sz w:val="20"/>
      <w:szCs w:val="20"/>
    </w:rPr>
  </w:style>
  <w:style w:type="character" w:customStyle="1" w:styleId="CommentTextChar">
    <w:name w:val="Comment Text Char"/>
    <w:basedOn w:val="DefaultParagraphFont"/>
    <w:link w:val="CommentText"/>
    <w:uiPriority w:val="99"/>
    <w:semiHidden/>
    <w:rsid w:val="0041168D"/>
    <w:rPr>
      <w:sz w:val="20"/>
      <w:szCs w:val="20"/>
    </w:rPr>
  </w:style>
  <w:style w:type="paragraph" w:styleId="CommentSubject">
    <w:name w:val="annotation subject"/>
    <w:basedOn w:val="CommentText"/>
    <w:next w:val="CommentText"/>
    <w:link w:val="CommentSubjectChar"/>
    <w:uiPriority w:val="99"/>
    <w:semiHidden/>
    <w:unhideWhenUsed/>
    <w:rsid w:val="0041168D"/>
    <w:rPr>
      <w:b/>
      <w:bCs/>
    </w:rPr>
  </w:style>
  <w:style w:type="character" w:customStyle="1" w:styleId="CommentSubjectChar">
    <w:name w:val="Comment Subject Char"/>
    <w:basedOn w:val="CommentTextChar"/>
    <w:link w:val="CommentSubject"/>
    <w:uiPriority w:val="99"/>
    <w:semiHidden/>
    <w:rsid w:val="0041168D"/>
    <w:rPr>
      <w:b/>
      <w:bCs/>
      <w:sz w:val="20"/>
      <w:szCs w:val="20"/>
    </w:rPr>
  </w:style>
  <w:style w:type="paragraph" w:styleId="Header">
    <w:name w:val="header"/>
    <w:basedOn w:val="Normal"/>
    <w:link w:val="HeaderChar"/>
    <w:unhideWhenUsed/>
    <w:rsid w:val="00F9173B"/>
    <w:pPr>
      <w:tabs>
        <w:tab w:val="center" w:pos="4513"/>
        <w:tab w:val="right" w:pos="9026"/>
      </w:tabs>
      <w:spacing w:after="0" w:line="240" w:lineRule="auto"/>
    </w:pPr>
  </w:style>
  <w:style w:type="character" w:customStyle="1" w:styleId="HeaderChar">
    <w:name w:val="Header Char"/>
    <w:basedOn w:val="DefaultParagraphFont"/>
    <w:link w:val="Header"/>
    <w:rsid w:val="00F9173B"/>
  </w:style>
  <w:style w:type="paragraph" w:styleId="Footer">
    <w:name w:val="footer"/>
    <w:basedOn w:val="Normal"/>
    <w:link w:val="FooterChar"/>
    <w:uiPriority w:val="99"/>
    <w:unhideWhenUsed/>
    <w:rsid w:val="00F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73B"/>
  </w:style>
  <w:style w:type="paragraph" w:styleId="DocumentMap">
    <w:name w:val="Document Map"/>
    <w:basedOn w:val="Normal"/>
    <w:link w:val="DocumentMapChar"/>
    <w:uiPriority w:val="99"/>
    <w:semiHidden/>
    <w:unhideWhenUsed/>
    <w:rsid w:val="002954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54EB"/>
    <w:rPr>
      <w:rFonts w:ascii="Tahoma" w:hAnsi="Tahoma" w:cs="Tahoma"/>
      <w:sz w:val="16"/>
      <w:szCs w:val="16"/>
    </w:rPr>
  </w:style>
  <w:style w:type="character" w:styleId="Hyperlink">
    <w:name w:val="Hyperlink"/>
    <w:basedOn w:val="DefaultParagraphFont"/>
    <w:uiPriority w:val="99"/>
    <w:unhideWhenUsed/>
    <w:rsid w:val="004C6F85"/>
    <w:rPr>
      <w:color w:val="0000FF" w:themeColor="hyperlink"/>
      <w:u w:val="single"/>
    </w:rPr>
  </w:style>
  <w:style w:type="table" w:styleId="TableGrid">
    <w:name w:val="Table Grid"/>
    <w:basedOn w:val="TableNormal"/>
    <w:uiPriority w:val="59"/>
    <w:rsid w:val="00B6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tter">
    <w:name w:val="Paraletter"/>
    <w:basedOn w:val="Normal"/>
    <w:rsid w:val="00D6360C"/>
    <w:pPr>
      <w:tabs>
        <w:tab w:val="left" w:pos="720"/>
        <w:tab w:val="left" w:pos="1440"/>
        <w:tab w:val="left" w:pos="2160"/>
        <w:tab w:val="left" w:pos="2880"/>
        <w:tab w:val="center" w:pos="4507"/>
        <w:tab w:val="right" w:pos="9000"/>
      </w:tabs>
      <w:spacing w:after="0" w:line="240" w:lineRule="atLeast"/>
      <w:jc w:val="both"/>
    </w:pPr>
    <w:rPr>
      <w:rFonts w:ascii="Times New Roman" w:eastAsia="Times New Roman" w:hAnsi="Times New Roman" w:cs="Times New Roman"/>
      <w:kern w:val="24"/>
      <w:sz w:val="24"/>
      <w:szCs w:val="20"/>
      <w:lang w:eastAsia="en-US"/>
    </w:rPr>
  </w:style>
  <w:style w:type="character" w:customStyle="1" w:styleId="ListParagraphChar">
    <w:name w:val="List Paragraph Char"/>
    <w:link w:val="ListParagraph"/>
    <w:uiPriority w:val="34"/>
    <w:qFormat/>
    <w:rsid w:val="00D6360C"/>
  </w:style>
  <w:style w:type="paragraph" w:customStyle="1" w:styleId="Indent1">
    <w:name w:val="Indent 1"/>
    <w:aliases w:val="H Text 1"/>
    <w:basedOn w:val="Normal"/>
    <w:rsid w:val="00323DA0"/>
    <w:pPr>
      <w:spacing w:before="320" w:after="0" w:line="320" w:lineRule="atLeast"/>
      <w:ind w:left="720" w:hanging="720"/>
      <w:jc w:val="both"/>
    </w:pPr>
    <w:rPr>
      <w:rFonts w:ascii="Times New Roman" w:eastAsia="Times New Roman" w:hAnsi="Times New Roman" w:cs="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21959">
      <w:bodyDiv w:val="1"/>
      <w:marLeft w:val="0"/>
      <w:marRight w:val="0"/>
      <w:marTop w:val="0"/>
      <w:marBottom w:val="0"/>
      <w:divBdr>
        <w:top w:val="none" w:sz="0" w:space="0" w:color="auto"/>
        <w:left w:val="none" w:sz="0" w:space="0" w:color="auto"/>
        <w:bottom w:val="none" w:sz="0" w:space="0" w:color="auto"/>
        <w:right w:val="none" w:sz="0" w:space="0" w:color="auto"/>
      </w:divBdr>
    </w:div>
    <w:div w:id="934094296">
      <w:bodyDiv w:val="1"/>
      <w:marLeft w:val="0"/>
      <w:marRight w:val="0"/>
      <w:marTop w:val="0"/>
      <w:marBottom w:val="0"/>
      <w:divBdr>
        <w:top w:val="none" w:sz="0" w:space="0" w:color="auto"/>
        <w:left w:val="none" w:sz="0" w:space="0" w:color="auto"/>
        <w:bottom w:val="none" w:sz="0" w:space="0" w:color="auto"/>
        <w:right w:val="none" w:sz="0" w:space="0" w:color="auto"/>
      </w:divBdr>
    </w:div>
    <w:div w:id="1334143664">
      <w:bodyDiv w:val="1"/>
      <w:marLeft w:val="0"/>
      <w:marRight w:val="0"/>
      <w:marTop w:val="0"/>
      <w:marBottom w:val="0"/>
      <w:divBdr>
        <w:top w:val="none" w:sz="0" w:space="0" w:color="auto"/>
        <w:left w:val="none" w:sz="0" w:space="0" w:color="auto"/>
        <w:bottom w:val="none" w:sz="0" w:space="0" w:color="auto"/>
        <w:right w:val="none" w:sz="0" w:space="0" w:color="auto"/>
      </w:divBdr>
    </w:div>
    <w:div w:id="1387293939">
      <w:bodyDiv w:val="1"/>
      <w:marLeft w:val="0"/>
      <w:marRight w:val="0"/>
      <w:marTop w:val="0"/>
      <w:marBottom w:val="0"/>
      <w:divBdr>
        <w:top w:val="none" w:sz="0" w:space="0" w:color="auto"/>
        <w:left w:val="none" w:sz="0" w:space="0" w:color="auto"/>
        <w:bottom w:val="none" w:sz="0" w:space="0" w:color="auto"/>
        <w:right w:val="none" w:sz="0" w:space="0" w:color="auto"/>
      </w:divBdr>
    </w:div>
    <w:div w:id="1438253211">
      <w:bodyDiv w:val="1"/>
      <w:marLeft w:val="0"/>
      <w:marRight w:val="0"/>
      <w:marTop w:val="0"/>
      <w:marBottom w:val="0"/>
      <w:divBdr>
        <w:top w:val="none" w:sz="0" w:space="0" w:color="auto"/>
        <w:left w:val="none" w:sz="0" w:space="0" w:color="auto"/>
        <w:bottom w:val="none" w:sz="0" w:space="0" w:color="auto"/>
        <w:right w:val="none" w:sz="0" w:space="0" w:color="auto"/>
      </w:divBdr>
    </w:div>
    <w:div w:id="1584607396">
      <w:bodyDiv w:val="1"/>
      <w:marLeft w:val="0"/>
      <w:marRight w:val="0"/>
      <w:marTop w:val="0"/>
      <w:marBottom w:val="0"/>
      <w:divBdr>
        <w:top w:val="none" w:sz="0" w:space="0" w:color="auto"/>
        <w:left w:val="none" w:sz="0" w:space="0" w:color="auto"/>
        <w:bottom w:val="none" w:sz="0" w:space="0" w:color="auto"/>
        <w:right w:val="none" w:sz="0" w:space="0" w:color="auto"/>
      </w:divBdr>
      <w:divsChild>
        <w:div w:id="264847128">
          <w:marLeft w:val="547"/>
          <w:marRight w:val="0"/>
          <w:marTop w:val="106"/>
          <w:marBottom w:val="0"/>
          <w:divBdr>
            <w:top w:val="none" w:sz="0" w:space="0" w:color="auto"/>
            <w:left w:val="none" w:sz="0" w:space="0" w:color="auto"/>
            <w:bottom w:val="none" w:sz="0" w:space="0" w:color="auto"/>
            <w:right w:val="none" w:sz="0" w:space="0" w:color="auto"/>
          </w:divBdr>
        </w:div>
        <w:div w:id="2147310041">
          <w:marLeft w:val="1166"/>
          <w:marRight w:val="0"/>
          <w:marTop w:val="106"/>
          <w:marBottom w:val="0"/>
          <w:divBdr>
            <w:top w:val="none" w:sz="0" w:space="0" w:color="auto"/>
            <w:left w:val="none" w:sz="0" w:space="0" w:color="auto"/>
            <w:bottom w:val="none" w:sz="0" w:space="0" w:color="auto"/>
            <w:right w:val="none" w:sz="0" w:space="0" w:color="auto"/>
          </w:divBdr>
        </w:div>
        <w:div w:id="1110857019">
          <w:marLeft w:val="547"/>
          <w:marRight w:val="0"/>
          <w:marTop w:val="106"/>
          <w:marBottom w:val="0"/>
          <w:divBdr>
            <w:top w:val="none" w:sz="0" w:space="0" w:color="auto"/>
            <w:left w:val="none" w:sz="0" w:space="0" w:color="auto"/>
            <w:bottom w:val="none" w:sz="0" w:space="0" w:color="auto"/>
            <w:right w:val="none" w:sz="0" w:space="0" w:color="auto"/>
          </w:divBdr>
        </w:div>
        <w:div w:id="1067191005">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lcolm.Large@seafish.co.u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4D32-34EC-4FF8-9094-C7405121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Seafish Industry Authority</Company>
  <LinksUpToDate>false</LinksUpToDate>
  <CharactersWithSpaces>21822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J_harman</dc:creator>
  <cp:lastModifiedBy>Beverley Chan</cp:lastModifiedBy>
  <cp:revision>3</cp:revision>
  <cp:lastPrinted>2017-09-14T10:14:00Z</cp:lastPrinted>
  <dcterms:created xsi:type="dcterms:W3CDTF">2017-09-15T13:09:00Z</dcterms:created>
  <dcterms:modified xsi:type="dcterms:W3CDTF">2017-09-15T13:09:00Z</dcterms:modified>
</cp:coreProperties>
</file>