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564A2A5F" w:rsidR="00CA4BA2" w:rsidRPr="00CB1CF1" w:rsidRDefault="00CB1CF1">
            <w:pPr>
              <w:tabs>
                <w:tab w:val="left" w:pos="709"/>
              </w:tabs>
              <w:rPr>
                <w:rFonts w:ascii="Arial" w:hAnsi="Arial" w:cs="Arial"/>
                <w:iCs/>
                <w:sz w:val="18"/>
                <w:szCs w:val="18"/>
              </w:rPr>
            </w:pPr>
            <w:r w:rsidRPr="00CB1CF1">
              <w:rPr>
                <w:rFonts w:ascii="Arial" w:hAnsi="Arial" w:cs="Arial"/>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692A21D" w:rsidR="00CA4BA2" w:rsidRPr="00CB1CF1" w:rsidRDefault="00CB1CF1">
            <w:pPr>
              <w:tabs>
                <w:tab w:val="left" w:pos="709"/>
              </w:tabs>
              <w:rPr>
                <w:rFonts w:ascii="Arial" w:hAnsi="Arial" w:cs="Arial"/>
                <w:iCs/>
                <w:sz w:val="18"/>
                <w:szCs w:val="18"/>
              </w:rPr>
            </w:pPr>
            <w:r w:rsidRPr="00CB1CF1">
              <w:rPr>
                <w:rFonts w:ascii="Arial" w:hAnsi="Arial" w:cs="Arial"/>
                <w:iCs/>
                <w:sz w:val="18"/>
                <w:szCs w:val="18"/>
              </w:rPr>
              <w:t xml:space="preserve">Natural England, Foss House, Kings Pool, 1-2 </w:t>
            </w:r>
            <w:proofErr w:type="spellStart"/>
            <w:r w:rsidRPr="00CB1CF1">
              <w:rPr>
                <w:rFonts w:ascii="Arial" w:hAnsi="Arial" w:cs="Arial"/>
                <w:iCs/>
                <w:sz w:val="18"/>
                <w:szCs w:val="18"/>
              </w:rPr>
              <w:t>Peasholme</w:t>
            </w:r>
            <w:proofErr w:type="spellEnd"/>
            <w:r w:rsidRPr="00CB1CF1">
              <w:rPr>
                <w:rFonts w:ascii="Arial" w:hAnsi="Arial" w:cs="Arial"/>
                <w:iCs/>
                <w:sz w:val="18"/>
                <w:szCs w:val="18"/>
              </w:rPr>
              <w:t xml:space="preserve"> Green, York, YO1 7P</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5EC0CE4C"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0EC90D81" w:rsidR="007E7D58" w:rsidRPr="00CB1CF1" w:rsidRDefault="00CB1CF1" w:rsidP="007E7D58">
            <w:pPr>
              <w:tabs>
                <w:tab w:val="left" w:pos="709"/>
              </w:tabs>
              <w:rPr>
                <w:rFonts w:ascii="Arial" w:hAnsi="Arial" w:cs="Arial"/>
                <w:iCs/>
                <w:sz w:val="18"/>
                <w:szCs w:val="18"/>
              </w:rPr>
            </w:pPr>
            <w:r w:rsidRPr="00CB1CF1">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75B4290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CB1CF1">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26A6310E" w14:textId="43A4B39D" w:rsidR="007E7D58" w:rsidRPr="00B74C13" w:rsidRDefault="00B74C13" w:rsidP="007E7D58">
            <w:pPr>
              <w:tabs>
                <w:tab w:val="left" w:pos="709"/>
              </w:tabs>
              <w:rPr>
                <w:rFonts w:ascii="Arial" w:hAnsi="Arial" w:cs="Arial"/>
                <w:bCs/>
                <w:iCs/>
                <w:sz w:val="18"/>
                <w:szCs w:val="18"/>
              </w:rPr>
            </w:pPr>
            <w:r w:rsidRPr="00B74C13">
              <w:rPr>
                <w:rFonts w:ascii="Arial" w:hAnsi="Arial" w:cs="Arial"/>
                <w:bCs/>
                <w:iCs/>
                <w:sz w:val="18"/>
                <w:szCs w:val="18"/>
              </w:rPr>
              <w:t>None</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751B6B30" w:rsidR="004A78E6" w:rsidRPr="00B74C13" w:rsidRDefault="00B74C13" w:rsidP="004A78E6">
            <w:pPr>
              <w:pStyle w:val="pf0"/>
              <w:rPr>
                <w:rFonts w:ascii="Arial" w:hAnsi="Arial" w:cs="Arial"/>
                <w:sz w:val="20"/>
                <w:szCs w:val="20"/>
              </w:rPr>
            </w:pPr>
            <w:bookmarkStart w:id="0" w:name="_DV_C144"/>
            <w:bookmarkStart w:id="1" w:name="_Ref377110627"/>
            <w:r w:rsidRPr="00A53A6F">
              <w:rPr>
                <w:rFonts w:ascii="Arial" w:eastAsia="STZhongsong" w:hAnsi="Arial" w:cs="Arial"/>
                <w:sz w:val="18"/>
                <w:szCs w:val="18"/>
                <w:shd w:val="clear" w:color="auto" w:fill="FFFF00"/>
                <w:lang w:val="en-NZ"/>
              </w:rPr>
              <w:t>A literature review investigating the decline in mussel (Mytilus edulis) bed habitat in the Wash and across Europe and the Northeast Atlantic and restoration methods</w:t>
            </w:r>
            <w:r w:rsidRPr="00A53A6F">
              <w:rPr>
                <w:rFonts w:ascii="Arial" w:eastAsia="STZhongsong" w:hAnsi="Arial" w:cs="Arial"/>
                <w:sz w:val="18"/>
                <w:szCs w:val="18"/>
                <w:shd w:val="clear" w:color="auto" w:fill="FFFF00"/>
                <w:lang w:val="en-NZ"/>
              </w:rPr>
              <w:t xml:space="preserve"> - </w:t>
            </w:r>
            <w:r w:rsidR="004A78E6" w:rsidRPr="00A53A6F">
              <w:rPr>
                <w:rStyle w:val="cf21"/>
                <w:rFonts w:ascii="Arial" w:eastAsia="STZhongsong" w:hAnsi="Arial" w:cs="Arial"/>
                <w:b w:val="0"/>
                <w:bCs w:val="0"/>
              </w:rPr>
              <w:t>as set</w:t>
            </w:r>
            <w:r w:rsidRPr="00A53A6F">
              <w:rPr>
                <w:rStyle w:val="cf21"/>
                <w:rFonts w:ascii="Arial" w:eastAsia="STZhongsong" w:hAnsi="Arial" w:cs="Arial"/>
                <w:b w:val="0"/>
                <w:bCs w:val="0"/>
              </w:rPr>
              <w:t xml:space="preserve"> out i</w:t>
            </w:r>
            <w:r w:rsidR="004A78E6" w:rsidRPr="00A53A6F">
              <w:rPr>
                <w:rStyle w:val="cf21"/>
                <w:rFonts w:ascii="Arial" w:eastAsia="STZhongsong" w:hAnsi="Arial" w:cs="Arial"/>
                <w:b w:val="0"/>
                <w:bCs w:val="0"/>
              </w:rPr>
              <w:t xml:space="preserve">n Appendix 2 – </w:t>
            </w:r>
            <w:r w:rsidRPr="00A53A6F">
              <w:rPr>
                <w:rStyle w:val="cf21"/>
                <w:rFonts w:ascii="Arial" w:eastAsia="STZhongsong" w:hAnsi="Arial" w:cs="Arial"/>
                <w:b w:val="0"/>
                <w:bCs w:val="0"/>
              </w:rPr>
              <w:t>(</w:t>
            </w:r>
            <w:r w:rsidR="004A78E6" w:rsidRPr="00A53A6F">
              <w:rPr>
                <w:rStyle w:val="cf21"/>
                <w:rFonts w:ascii="Arial" w:eastAsia="STZhongsong" w:hAnsi="Arial" w:cs="Arial"/>
                <w:b w:val="0"/>
                <w:bCs w:val="0"/>
              </w:rPr>
              <w:t>Specification</w:t>
            </w:r>
            <w:r w:rsidRPr="00A53A6F">
              <w:rPr>
                <w:rStyle w:val="cf21"/>
                <w:rFonts w:ascii="Arial" w:eastAsia="STZhongsong" w:hAnsi="Arial" w:cs="Arial"/>
                <w:b w:val="0"/>
                <w:bCs w:val="0"/>
              </w:rPr>
              <w:t>)</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563AD7DF" w14:textId="37B9BC30" w:rsidR="007E7D58" w:rsidRPr="00B74C13" w:rsidRDefault="007E7D58" w:rsidP="00B74C13">
            <w:pPr>
              <w:tabs>
                <w:tab w:val="left" w:pos="709"/>
              </w:tabs>
              <w:rPr>
                <w:rFonts w:ascii="Arial" w:hAnsi="Arial" w:cs="Arial"/>
                <w:sz w:val="18"/>
                <w:szCs w:val="18"/>
              </w:rPr>
            </w:pPr>
            <w:r w:rsidRPr="00B46D37">
              <w:rPr>
                <w:rFonts w:ascii="Arial" w:hAnsi="Arial" w:cs="Arial"/>
                <w:sz w:val="18"/>
                <w:szCs w:val="18"/>
              </w:rPr>
              <w:t>Date(s) of Delivery</w:t>
            </w:r>
            <w:r w:rsidRPr="00B74C13">
              <w:rPr>
                <w:rFonts w:ascii="Arial" w:hAnsi="Arial" w:cs="Arial"/>
                <w:sz w:val="18"/>
                <w:szCs w:val="18"/>
              </w:rPr>
              <w:t xml:space="preserve">: </w:t>
            </w:r>
            <w:r w:rsidR="00B74C13" w:rsidRPr="00B74C13">
              <w:rPr>
                <w:rFonts w:ascii="Arial" w:hAnsi="Arial" w:cs="Arial"/>
                <w:sz w:val="18"/>
                <w:szCs w:val="18"/>
              </w:rPr>
              <w:t>31</w:t>
            </w:r>
            <w:r w:rsidR="00B74C13" w:rsidRPr="00B74C13">
              <w:rPr>
                <w:rFonts w:ascii="Arial" w:hAnsi="Arial" w:cs="Arial"/>
                <w:sz w:val="18"/>
                <w:szCs w:val="18"/>
                <w:vertAlign w:val="superscript"/>
              </w:rPr>
              <w:t>st</w:t>
            </w:r>
            <w:r w:rsidR="00B74C13" w:rsidRPr="00B74C13">
              <w:rPr>
                <w:rFonts w:ascii="Arial" w:hAnsi="Arial" w:cs="Arial"/>
                <w:sz w:val="18"/>
                <w:szCs w:val="18"/>
              </w:rPr>
              <w:t xml:space="preserve"> March 2025</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0484AC5E" w:rsidR="007E7D58" w:rsidRPr="00B74C13" w:rsidRDefault="00B74C13" w:rsidP="00B74C13">
            <w:pPr>
              <w:tabs>
                <w:tab w:val="left" w:pos="709"/>
              </w:tabs>
              <w:rPr>
                <w:rFonts w:ascii="Arial" w:eastAsia="Arial" w:hAnsi="Arial" w:cs="Arial"/>
                <w:iCs/>
                <w:sz w:val="18"/>
                <w:szCs w:val="18"/>
              </w:rPr>
            </w:pPr>
            <w:r w:rsidRPr="00B74C13">
              <w:rPr>
                <w:rFonts w:ascii="Arial" w:eastAsia="Arial" w:hAnsi="Arial" w:cs="Arial"/>
                <w:iCs/>
                <w:sz w:val="18"/>
                <w:szCs w:val="18"/>
              </w:rPr>
              <w:t>1</w:t>
            </w:r>
            <w:r w:rsidRPr="00B74C13">
              <w:rPr>
                <w:rFonts w:ascii="Arial" w:eastAsia="Arial" w:hAnsi="Arial" w:cs="Arial"/>
                <w:iCs/>
                <w:sz w:val="18"/>
                <w:szCs w:val="18"/>
                <w:vertAlign w:val="superscript"/>
              </w:rPr>
              <w:t>st</w:t>
            </w:r>
            <w:r w:rsidRPr="00B74C13">
              <w:rPr>
                <w:rFonts w:ascii="Arial" w:eastAsia="Arial" w:hAnsi="Arial" w:cs="Arial"/>
                <w:iCs/>
                <w:sz w:val="18"/>
                <w:szCs w:val="18"/>
              </w:rPr>
              <w:t xml:space="preserve"> December 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200A111F" w:rsidR="007E7D58" w:rsidRPr="00B74C13" w:rsidRDefault="00B74C13" w:rsidP="007E7D58">
            <w:pPr>
              <w:spacing w:before="120" w:after="120"/>
              <w:ind w:right="936"/>
              <w:rPr>
                <w:rFonts w:ascii="Arial" w:eastAsia="Arial" w:hAnsi="Arial" w:cs="Arial"/>
                <w:iCs/>
                <w:sz w:val="18"/>
                <w:szCs w:val="18"/>
              </w:rPr>
            </w:pPr>
            <w:r w:rsidRPr="00B74C13">
              <w:rPr>
                <w:rFonts w:ascii="Arial" w:eastAsia="Arial" w:hAnsi="Arial" w:cs="Arial"/>
                <w:iCs/>
                <w:sz w:val="18"/>
                <w:szCs w:val="18"/>
              </w:rPr>
              <w:t>31</w:t>
            </w:r>
            <w:r w:rsidRPr="00B74C13">
              <w:rPr>
                <w:rFonts w:ascii="Arial" w:eastAsia="Arial" w:hAnsi="Arial" w:cs="Arial"/>
                <w:iCs/>
                <w:sz w:val="18"/>
                <w:szCs w:val="18"/>
                <w:vertAlign w:val="superscript"/>
              </w:rPr>
              <w:t>st</w:t>
            </w:r>
            <w:r w:rsidRPr="00B74C13">
              <w:rPr>
                <w:rFonts w:ascii="Arial" w:eastAsia="Arial" w:hAnsi="Arial" w:cs="Arial"/>
                <w:iCs/>
                <w:sz w:val="18"/>
                <w:szCs w:val="18"/>
              </w:rPr>
              <w:t xml:space="preserve"> March 2025</w:t>
            </w:r>
          </w:p>
          <w:p w14:paraId="2483DC9A" w14:textId="77777777" w:rsidR="007E7D58" w:rsidRPr="00B74C13" w:rsidRDefault="007E7D58" w:rsidP="007E7D58">
            <w:pPr>
              <w:pStyle w:val="Header"/>
              <w:tabs>
                <w:tab w:val="left" w:pos="709"/>
              </w:tabs>
              <w:ind w:right="3"/>
              <w:rPr>
                <w:rFonts w:ascii="Arial" w:hAnsi="Arial" w:cs="Arial"/>
                <w:iCs/>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54BB4432" w:rsidR="007E7D58" w:rsidRDefault="00B74C13" w:rsidP="007E7D58">
            <w:pPr>
              <w:pStyle w:val="Header"/>
              <w:tabs>
                <w:tab w:val="left" w:pos="709"/>
              </w:tabs>
              <w:rPr>
                <w:rFonts w:ascii="Arial" w:hAnsi="Arial" w:cs="Arial"/>
                <w:sz w:val="18"/>
                <w:szCs w:val="18"/>
              </w:rPr>
            </w:pPr>
            <w:r>
              <w:rPr>
                <w:rFonts w:ascii="Arial" w:hAnsi="Arial" w:cs="Arial"/>
                <w:b/>
                <w:i/>
                <w:sz w:val="18"/>
                <w:szCs w:val="18"/>
                <w:highlight w:val="cyan"/>
              </w:rPr>
              <w:t>P</w:t>
            </w:r>
            <w:r w:rsidR="00DE4F91" w:rsidRPr="00FC1519">
              <w:rPr>
                <w:rFonts w:ascii="Arial" w:hAnsi="Arial" w:cs="Arial"/>
                <w:b/>
                <w:i/>
                <w:sz w:val="18"/>
                <w:szCs w:val="18"/>
                <w:highlight w:val="cyan"/>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7DA2F2AA" w:rsidR="009179C1" w:rsidRDefault="009179C1" w:rsidP="009179C1">
            <w:pPr>
              <w:pStyle w:val="Header"/>
              <w:tabs>
                <w:tab w:val="left" w:pos="709"/>
              </w:tabs>
              <w:rPr>
                <w:rFonts w:ascii="Arial" w:hAnsi="Arial" w:cs="Arial"/>
                <w:sz w:val="18"/>
                <w:szCs w:val="18"/>
              </w:rPr>
            </w:pPr>
            <w:r w:rsidRPr="00B74C13">
              <w:rPr>
                <w:rFonts w:ascii="Arial" w:hAnsi="Arial" w:cs="Arial"/>
                <w:sz w:val="18"/>
                <w:szCs w:val="18"/>
              </w:rPr>
              <w:t>A sum equal to £5,000,000</w:t>
            </w:r>
            <w:r w:rsidR="000465D8" w:rsidRPr="00B74C13">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531CCEE6" w:rsidR="007E7D58" w:rsidRPr="00B46D37" w:rsidRDefault="004B042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Florence Aves (Florence.Aves@naturalengland.org.uk)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472C1288" w:rsidR="007E7D58" w:rsidRPr="00B46D37" w:rsidRDefault="004B042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Jennifer Love (Jennifer.Love@naturalengland.org.uk)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55A4BEB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4B0421">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1C3D546C" w:rsidR="007E7D58" w:rsidRPr="00B46D37" w:rsidRDefault="007E7D58" w:rsidP="004B0421">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42CF0D11" w:rsidR="007E7D58" w:rsidRPr="00060369" w:rsidRDefault="007E7D58" w:rsidP="002D2D98">
            <w:pPr>
              <w:pBdr>
                <w:top w:val="nil"/>
                <w:left w:val="nil"/>
                <w:bottom w:val="nil"/>
                <w:right w:val="nil"/>
                <w:between w:val="nil"/>
              </w:pBdr>
              <w:suppressAutoHyphens/>
              <w:spacing w:before="120" w:after="120"/>
              <w:ind w:left="36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2D2D98">
              <w:rPr>
                <w:rFonts w:ascii="Arial" w:eastAsia="Arial" w:hAnsi="Arial" w:cs="Arial"/>
                <w:color w:val="000000"/>
                <w:sz w:val="18"/>
                <w:szCs w:val="18"/>
              </w:rPr>
              <w:t>2 weeks</w:t>
            </w:r>
          </w:p>
          <w:p w14:paraId="4AC4472A" w14:textId="1C3514FA"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4"/>
              <w:gridCol w:w="1881"/>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224380F2" w:rsidR="007E7D58" w:rsidRDefault="002D2D98" w:rsidP="007E7D58">
                  <w:pPr>
                    <w:pStyle w:val="Header"/>
                    <w:tabs>
                      <w:tab w:val="left" w:pos="709"/>
                    </w:tabs>
                    <w:ind w:right="3"/>
                    <w:rPr>
                      <w:rFonts w:ascii="Arial" w:hAnsi="Arial" w:cs="Arial"/>
                      <w:sz w:val="18"/>
                      <w:szCs w:val="18"/>
                    </w:rPr>
                  </w:pPr>
                  <w:r>
                    <w:rPr>
                      <w:rFonts w:ascii="Arial" w:hAnsi="Arial" w:cs="Arial"/>
                      <w:sz w:val="18"/>
                      <w:szCs w:val="18"/>
                    </w:rPr>
                    <w:t xml:space="preserve">Natural England, </w:t>
                  </w:r>
                </w:p>
                <w:p w14:paraId="7DE0DF8E" w14:textId="7FABB478" w:rsidR="002D2D98" w:rsidRDefault="002D2D98" w:rsidP="007E7D58">
                  <w:pPr>
                    <w:pStyle w:val="Header"/>
                    <w:tabs>
                      <w:tab w:val="left" w:pos="709"/>
                    </w:tabs>
                    <w:ind w:right="3"/>
                    <w:rPr>
                      <w:rFonts w:ascii="Arial" w:hAnsi="Arial" w:cs="Arial"/>
                      <w:sz w:val="18"/>
                      <w:szCs w:val="18"/>
                    </w:rPr>
                  </w:pPr>
                  <w:r>
                    <w:rPr>
                      <w:rFonts w:ascii="Arial" w:hAnsi="Arial" w:cs="Arial"/>
                      <w:sz w:val="18"/>
                      <w:szCs w:val="18"/>
                    </w:rPr>
                    <w:t xml:space="preserve">Dragonfly House, </w:t>
                  </w:r>
                </w:p>
                <w:p w14:paraId="5D8259EC" w14:textId="5A485C70" w:rsidR="002D2D98" w:rsidRDefault="002D2D98" w:rsidP="007E7D58">
                  <w:pPr>
                    <w:pStyle w:val="Header"/>
                    <w:tabs>
                      <w:tab w:val="left" w:pos="709"/>
                    </w:tabs>
                    <w:ind w:right="3"/>
                    <w:rPr>
                      <w:rFonts w:ascii="Arial" w:hAnsi="Arial" w:cs="Arial"/>
                      <w:sz w:val="18"/>
                      <w:szCs w:val="18"/>
                    </w:rPr>
                  </w:pPr>
                  <w:r>
                    <w:rPr>
                      <w:rFonts w:ascii="Arial" w:hAnsi="Arial" w:cs="Arial"/>
                      <w:sz w:val="18"/>
                      <w:szCs w:val="18"/>
                    </w:rPr>
                    <w:t>2 Gilders Way</w:t>
                  </w:r>
                </w:p>
                <w:p w14:paraId="4E457BDC" w14:textId="61EF629C" w:rsidR="002D2D98" w:rsidRDefault="002D2D98" w:rsidP="007E7D58">
                  <w:pPr>
                    <w:pStyle w:val="Header"/>
                    <w:tabs>
                      <w:tab w:val="left" w:pos="709"/>
                    </w:tabs>
                    <w:ind w:right="3"/>
                    <w:rPr>
                      <w:rFonts w:ascii="Arial" w:hAnsi="Arial" w:cs="Arial"/>
                      <w:sz w:val="18"/>
                      <w:szCs w:val="18"/>
                    </w:rPr>
                  </w:pPr>
                  <w:r>
                    <w:rPr>
                      <w:rFonts w:ascii="Arial" w:hAnsi="Arial" w:cs="Arial"/>
                      <w:sz w:val="18"/>
                      <w:szCs w:val="18"/>
                    </w:rPr>
                    <w:t>Norwich</w:t>
                  </w:r>
                </w:p>
                <w:p w14:paraId="1963D289" w14:textId="76E1C156" w:rsidR="002D2D98" w:rsidRPr="00CA4BA2" w:rsidRDefault="002D2D98" w:rsidP="007E7D58">
                  <w:pPr>
                    <w:pStyle w:val="Header"/>
                    <w:tabs>
                      <w:tab w:val="left" w:pos="709"/>
                    </w:tabs>
                    <w:ind w:right="3"/>
                    <w:rPr>
                      <w:rFonts w:ascii="Arial" w:hAnsi="Arial" w:cs="Arial"/>
                      <w:sz w:val="18"/>
                      <w:szCs w:val="18"/>
                    </w:rPr>
                  </w:pPr>
                  <w:r>
                    <w:rPr>
                      <w:rFonts w:ascii="Arial" w:hAnsi="Arial" w:cs="Arial"/>
                      <w:sz w:val="18"/>
                      <w:szCs w:val="18"/>
                    </w:rPr>
                    <w:t>NR3 4QD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BB4987E"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2D2D98">
                    <w:rPr>
                      <w:rFonts w:ascii="Arial" w:hAnsi="Arial" w:cs="Arial"/>
                      <w:sz w:val="18"/>
                      <w:szCs w:val="18"/>
                    </w:rPr>
                    <w:t>Florence Aves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381D64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2D2D98">
                    <w:rPr>
                      <w:rFonts w:ascii="Arial" w:hAnsi="Arial" w:cs="Arial"/>
                      <w:sz w:val="18"/>
                      <w:szCs w:val="18"/>
                    </w:rPr>
                    <w:t>Florence.Aves@naturalemgland.org.uk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058C86"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2D2D98">
              <w:trPr>
                <w:trHeight w:val="187"/>
              </w:trPr>
              <w:tc>
                <w:tcPr>
                  <w:tcW w:w="6650" w:type="dxa"/>
                  <w:gridSpan w:val="3"/>
                  <w:tcBorders>
                    <w:top w:val="nil"/>
                    <w:left w:val="nil"/>
                    <w:bottom w:val="nil"/>
                    <w:right w:val="nil"/>
                  </w:tcBorders>
                </w:tcPr>
                <w:p w14:paraId="011B9033" w14:textId="26B3041C"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00A1E155" w14:textId="77777777" w:rsidR="007E7D58" w:rsidRPr="00060369" w:rsidRDefault="007E7D58" w:rsidP="002D2D9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471A725E" w14:textId="2E3783DC" w:rsidR="007E7D58" w:rsidRPr="00E567F8" w:rsidRDefault="002D2D98" w:rsidP="00E567F8">
            <w:pPr>
              <w:spacing w:before="120" w:after="120"/>
              <w:rPr>
                <w:rFonts w:ascii="Arial" w:eastAsia="Arial" w:hAnsi="Arial" w:cs="Arial"/>
                <w:b/>
                <w:i/>
                <w:sz w:val="18"/>
                <w:szCs w:val="18"/>
              </w:rPr>
            </w:pPr>
            <w:r>
              <w:rPr>
                <w:rFonts w:ascii="Arial" w:eastAsia="Arial" w:hAnsi="Arial" w:cs="Arial"/>
                <w:sz w:val="18"/>
                <w:szCs w:val="18"/>
              </w:rPr>
              <w:t>None</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C249722" w:rsidR="007E7D58" w:rsidRPr="00060369" w:rsidRDefault="002D2D98"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49542C30"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2D2D98">
                  <w:rPr>
                    <w:rFonts w:ascii="MS Gothic" w:eastAsia="MS Gothic" w:hAnsi="MS Gothic" w:cs="Arial" w:hint="eastAsia"/>
                    <w:b/>
                    <w:bCs/>
                    <w:sz w:val="18"/>
                    <w:szCs w:val="18"/>
                  </w:rPr>
                  <w:t>☒</w:t>
                </w:r>
              </w:sdtContent>
            </w:sdt>
          </w:p>
          <w:p w14:paraId="6AE812DC" w14:textId="3D300FAB"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0A5F3A49" w14:textId="77777777" w:rsidR="00F10C89" w:rsidRPr="00F10C89" w:rsidRDefault="00F10C89" w:rsidP="00F10C89">
      <w:pPr>
        <w:rPr>
          <w:b/>
          <w:bCs/>
          <w:lang w:val="en-GB"/>
        </w:rPr>
      </w:pPr>
      <w:r w:rsidRPr="00F10C89">
        <w:rPr>
          <w:b/>
          <w:bCs/>
          <w:lang w:val="en-GB"/>
        </w:rPr>
        <w:t>Background to Natural England  </w:t>
      </w:r>
    </w:p>
    <w:p w14:paraId="024BB8EC" w14:textId="77777777" w:rsidR="00F10C89" w:rsidRDefault="00F10C89" w:rsidP="00F10C89">
      <w:pPr>
        <w:ind w:left="360"/>
        <w:rPr>
          <w:lang w:val="en-GB"/>
        </w:rPr>
      </w:pPr>
      <w:r w:rsidRPr="00F10C89">
        <w:rPr>
          <w:lang w:val="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143F7966" w14:textId="77777777" w:rsidR="00F10C89" w:rsidRPr="00F10C89" w:rsidRDefault="00F10C89" w:rsidP="00F10C89">
      <w:pPr>
        <w:ind w:left="360"/>
        <w:rPr>
          <w:lang w:val="en-GB"/>
        </w:rPr>
      </w:pPr>
    </w:p>
    <w:p w14:paraId="2E01E444" w14:textId="77777777" w:rsidR="00F10C89" w:rsidRPr="00F10C89" w:rsidRDefault="00F10C89" w:rsidP="00F10C89">
      <w:pPr>
        <w:rPr>
          <w:b/>
          <w:bCs/>
          <w:lang w:val="en-GB"/>
        </w:rPr>
      </w:pPr>
      <w:r w:rsidRPr="00F10C89">
        <w:rPr>
          <w:b/>
          <w:bCs/>
          <w:lang w:val="en-GB"/>
        </w:rPr>
        <w:t>Background to the specific work area relevant to this purchase </w:t>
      </w:r>
    </w:p>
    <w:p w14:paraId="4F71E3F0" w14:textId="77777777" w:rsidR="00F10C89" w:rsidRPr="00F10C89" w:rsidRDefault="00F10C89" w:rsidP="00F10C89">
      <w:pPr>
        <w:rPr>
          <w:lang w:val="en-GB"/>
        </w:rPr>
      </w:pPr>
      <w:r w:rsidRPr="00F10C89">
        <w:rPr>
          <w:lang w:val="en-GB"/>
        </w:rPr>
        <w:t>This project is a key component within Natural England’s wider programme of work, including the conservation and enhancement of Marine Protected Areas (MPAs). </w:t>
      </w:r>
    </w:p>
    <w:p w14:paraId="5F42524A" w14:textId="77777777" w:rsidR="00F10C89" w:rsidRPr="00F10C89" w:rsidRDefault="00F10C89" w:rsidP="00F10C89">
      <w:pPr>
        <w:rPr>
          <w:lang w:val="en-GB"/>
        </w:rPr>
      </w:pPr>
      <w:r w:rsidRPr="00F10C89">
        <w:rPr>
          <w:lang w:val="en-GB"/>
        </w:rPr>
        <w:t> </w:t>
      </w:r>
    </w:p>
    <w:p w14:paraId="0E5BD480" w14:textId="0146DD0A" w:rsidR="00F10C89" w:rsidRPr="00F10C89" w:rsidRDefault="00F10C89" w:rsidP="00F10C89">
      <w:pPr>
        <w:rPr>
          <w:lang w:val="en-GB"/>
        </w:rPr>
      </w:pPr>
      <w:r w:rsidRPr="00F10C89">
        <w:rPr>
          <w:lang w:val="en-GB"/>
        </w:rPr>
        <w:t xml:space="preserve">Policy relating to this area of work </w:t>
      </w:r>
      <w:proofErr w:type="gramStart"/>
      <w:r w:rsidRPr="00F10C89">
        <w:rPr>
          <w:lang w:val="en-GB"/>
        </w:rPr>
        <w:t>includes;</w:t>
      </w:r>
      <w:proofErr w:type="gramEnd"/>
      <w:r w:rsidRPr="00F10C89">
        <w:rPr>
          <w:lang w:val="en-GB"/>
        </w:rPr>
        <w:t> </w:t>
      </w:r>
    </w:p>
    <w:p w14:paraId="268DECAE" w14:textId="77777777" w:rsidR="00F10C89" w:rsidRPr="00F10C89" w:rsidRDefault="00F10C89" w:rsidP="00F10C89">
      <w:pPr>
        <w:ind w:left="720"/>
        <w:rPr>
          <w:lang w:val="en-GB"/>
        </w:rPr>
      </w:pPr>
    </w:p>
    <w:p w14:paraId="73F3F063" w14:textId="77777777" w:rsidR="00F10C89" w:rsidRDefault="00F10C89" w:rsidP="00F10C89">
      <w:pPr>
        <w:numPr>
          <w:ilvl w:val="0"/>
          <w:numId w:val="19"/>
        </w:numPr>
        <w:rPr>
          <w:lang w:val="en-GB"/>
        </w:rPr>
      </w:pPr>
      <w:r w:rsidRPr="00F10C89">
        <w:rPr>
          <w:lang w:val="en-GB"/>
        </w:rPr>
        <w:t>Environmental Improvement Plan: Marine Protected Areas (MPAs): By 2042, at least 70% of designated features within MPAs should be in a favourable condition, with the remaining features in a recovering condition. </w:t>
      </w:r>
    </w:p>
    <w:p w14:paraId="656F53C8" w14:textId="77777777" w:rsidR="00F10C89" w:rsidRPr="00F10C89" w:rsidRDefault="00F10C89" w:rsidP="00F10C89">
      <w:pPr>
        <w:ind w:left="720"/>
        <w:rPr>
          <w:lang w:val="en-GB"/>
        </w:rPr>
      </w:pPr>
    </w:p>
    <w:p w14:paraId="705A0783" w14:textId="77777777" w:rsidR="00F10C89" w:rsidRDefault="00F10C89" w:rsidP="00F10C89">
      <w:pPr>
        <w:numPr>
          <w:ilvl w:val="0"/>
          <w:numId w:val="20"/>
        </w:numPr>
        <w:rPr>
          <w:lang w:val="en-GB"/>
        </w:rPr>
      </w:pPr>
      <w:r w:rsidRPr="00F10C89">
        <w:rPr>
          <w:lang w:val="en-GB"/>
        </w:rPr>
        <w:t>Environmental Improvement Plan: Species Abundance: Halt the decline in species populations by 2030 and increase populations by at least 10% by 2042. </w:t>
      </w:r>
    </w:p>
    <w:p w14:paraId="1AD91D26" w14:textId="77777777" w:rsidR="00F10C89" w:rsidRPr="00F10C89" w:rsidRDefault="00F10C89" w:rsidP="00F10C89">
      <w:pPr>
        <w:ind w:left="720"/>
        <w:rPr>
          <w:lang w:val="en-GB"/>
        </w:rPr>
      </w:pPr>
    </w:p>
    <w:p w14:paraId="48DF2F0A" w14:textId="77777777" w:rsidR="00F10C89" w:rsidRDefault="00F10C89" w:rsidP="00F10C89">
      <w:pPr>
        <w:numPr>
          <w:ilvl w:val="0"/>
          <w:numId w:val="21"/>
        </w:numPr>
        <w:rPr>
          <w:lang w:val="en-GB"/>
        </w:rPr>
      </w:pPr>
      <w:r w:rsidRPr="00F10C89">
        <w:rPr>
          <w:lang w:val="en-GB"/>
        </w:rPr>
        <w:t>Conservation of Habitats and Species Regulations 2017: Conserve or restore European sites and prevent deterioration and significant disturbance of its qualifying features.  </w:t>
      </w:r>
    </w:p>
    <w:p w14:paraId="31E960AF" w14:textId="77777777" w:rsidR="00F10C89" w:rsidRPr="00F10C89" w:rsidRDefault="00F10C89" w:rsidP="00F10C89">
      <w:pPr>
        <w:ind w:left="720"/>
        <w:rPr>
          <w:lang w:val="en-GB"/>
        </w:rPr>
      </w:pPr>
    </w:p>
    <w:p w14:paraId="6234300E" w14:textId="07247FB4" w:rsidR="00F10C89" w:rsidRDefault="00F10C89" w:rsidP="00F10C89">
      <w:pPr>
        <w:rPr>
          <w:lang w:val="en-GB"/>
        </w:rPr>
      </w:pPr>
      <w:r w:rsidRPr="00F10C89">
        <w:rPr>
          <w:lang w:val="en-GB"/>
        </w:rPr>
        <w:t>To ensure we maximise our impact on nature recovery, Natural England have identified Priority Places; areas of focus where the opportunity for change is greatest, or where the risks to nature most need to be mitigated. This project will focus on the Wash, which overlaps with the Lincolnshire Coast and Marine Priority Place and the North Norfolk Coast Priority Place.  </w:t>
      </w:r>
    </w:p>
    <w:p w14:paraId="27E107F9" w14:textId="77777777" w:rsidR="00F10C89" w:rsidRPr="00F10C89" w:rsidRDefault="00F10C89" w:rsidP="00F10C89">
      <w:pPr>
        <w:rPr>
          <w:lang w:val="en-GB"/>
        </w:rPr>
      </w:pPr>
    </w:p>
    <w:p w14:paraId="1FD8DFDA" w14:textId="77777777" w:rsidR="00F10C89" w:rsidRPr="00F10C89" w:rsidRDefault="00F10C89" w:rsidP="00F10C89">
      <w:pPr>
        <w:rPr>
          <w:lang w:val="en-GB"/>
        </w:rPr>
      </w:pPr>
      <w:r w:rsidRPr="00F10C89">
        <w:rPr>
          <w:lang w:val="en-GB"/>
        </w:rPr>
        <w:t>The literature review will provide the evidence base needed to implement management and restoration methods in practise. As a result of the review, we aim to achieve the following:  </w:t>
      </w:r>
    </w:p>
    <w:p w14:paraId="5E10838A" w14:textId="77777777" w:rsidR="00F10C89" w:rsidRPr="00F10C89" w:rsidRDefault="00F10C89" w:rsidP="00F10C89">
      <w:pPr>
        <w:rPr>
          <w:lang w:val="en-GB"/>
        </w:rPr>
      </w:pPr>
      <w:r w:rsidRPr="00F10C89">
        <w:rPr>
          <w:lang w:val="en-GB"/>
        </w:rPr>
        <w:t> </w:t>
      </w:r>
    </w:p>
    <w:p w14:paraId="3A931AB4" w14:textId="77777777" w:rsidR="00F10C89" w:rsidRDefault="00F10C89" w:rsidP="00F10C89">
      <w:pPr>
        <w:numPr>
          <w:ilvl w:val="0"/>
          <w:numId w:val="23"/>
        </w:numPr>
        <w:rPr>
          <w:lang w:val="en-GB"/>
        </w:rPr>
      </w:pPr>
      <w:r w:rsidRPr="00F10C89">
        <w:rPr>
          <w:lang w:val="en-GB"/>
        </w:rPr>
        <w:t>Help to inform management of current mussel populations with aim to improve condition and resilience, and thereby reverse the decline and minimise the impact and/or scale of future mortality events. Furthermore, this should lead to natural expansion of the habitat.  </w:t>
      </w:r>
    </w:p>
    <w:p w14:paraId="49017AF3" w14:textId="77777777" w:rsidR="00F10C89" w:rsidRPr="00F10C89" w:rsidRDefault="00F10C89" w:rsidP="00F10C89">
      <w:pPr>
        <w:ind w:left="720"/>
        <w:rPr>
          <w:lang w:val="en-GB"/>
        </w:rPr>
      </w:pPr>
    </w:p>
    <w:p w14:paraId="38742F80" w14:textId="77777777" w:rsidR="00F10C89" w:rsidRDefault="00F10C89" w:rsidP="00F10C89">
      <w:pPr>
        <w:numPr>
          <w:ilvl w:val="0"/>
          <w:numId w:val="24"/>
        </w:numPr>
        <w:rPr>
          <w:lang w:val="en-GB"/>
        </w:rPr>
      </w:pPr>
      <w:r w:rsidRPr="00F10C89">
        <w:rPr>
          <w:lang w:val="en-GB"/>
        </w:rPr>
        <w:t>Help to identify areas suitable for reef formation within and outside of the Wash and North Norfolk Coast SAC for potential restoration projects. </w:t>
      </w:r>
    </w:p>
    <w:p w14:paraId="3BA5CA6F" w14:textId="77777777" w:rsidR="00F10C89" w:rsidRPr="00F10C89" w:rsidRDefault="00F10C89" w:rsidP="00F10C89">
      <w:pPr>
        <w:ind w:left="720"/>
        <w:rPr>
          <w:lang w:val="en-GB"/>
        </w:rPr>
      </w:pPr>
    </w:p>
    <w:p w14:paraId="5C4F1F9C" w14:textId="77777777" w:rsidR="00F10C89" w:rsidRDefault="00F10C89" w:rsidP="00F10C89">
      <w:pPr>
        <w:numPr>
          <w:ilvl w:val="0"/>
          <w:numId w:val="25"/>
        </w:numPr>
        <w:rPr>
          <w:lang w:val="en-GB"/>
        </w:rPr>
      </w:pPr>
      <w:r w:rsidRPr="00F10C89">
        <w:rPr>
          <w:lang w:val="en-GB"/>
        </w:rPr>
        <w:t>Help to inform restoration projects to improve the chance of success and create new mussel beds. This should also help to improve connectivity with the existing habitat as a network.  </w:t>
      </w:r>
    </w:p>
    <w:p w14:paraId="43E9A0AD" w14:textId="77777777" w:rsidR="00F10C89" w:rsidRPr="00F10C89" w:rsidRDefault="00F10C89" w:rsidP="00F10C89">
      <w:pPr>
        <w:ind w:left="720"/>
        <w:rPr>
          <w:lang w:val="en-GB"/>
        </w:rPr>
      </w:pPr>
    </w:p>
    <w:p w14:paraId="627C82E7" w14:textId="77777777" w:rsidR="00F10C89" w:rsidRPr="00F10C89" w:rsidRDefault="00F10C89" w:rsidP="00F10C89">
      <w:pPr>
        <w:numPr>
          <w:ilvl w:val="0"/>
          <w:numId w:val="26"/>
        </w:numPr>
        <w:rPr>
          <w:lang w:val="en-GB"/>
        </w:rPr>
      </w:pPr>
      <w:r w:rsidRPr="00F10C89">
        <w:rPr>
          <w:lang w:val="en-GB"/>
        </w:rPr>
        <w:t>If the mussel bed declines can be reversed/minimised, this will improve the food supply for SPA birds, particularly oystercatcher, improve water quality and help to support the shellfisheries.  </w:t>
      </w:r>
    </w:p>
    <w:p w14:paraId="5DB6D2F3" w14:textId="77777777" w:rsidR="00F10C89" w:rsidRPr="00F10C89" w:rsidRDefault="00F10C89" w:rsidP="00F10C89">
      <w:pPr>
        <w:rPr>
          <w:lang w:val="en-GB"/>
        </w:rPr>
      </w:pPr>
      <w:r w:rsidRPr="00F10C89">
        <w:rPr>
          <w:lang w:val="en-GB"/>
        </w:rPr>
        <w:t> </w:t>
      </w:r>
    </w:p>
    <w:p w14:paraId="49C797DB" w14:textId="77777777" w:rsidR="00F10C89" w:rsidRPr="00F10C89" w:rsidRDefault="00F10C89" w:rsidP="00F10C89">
      <w:pPr>
        <w:rPr>
          <w:b/>
          <w:bCs/>
          <w:lang w:val="en-GB"/>
        </w:rPr>
      </w:pPr>
      <w:r w:rsidRPr="00F10C89">
        <w:rPr>
          <w:b/>
          <w:bCs/>
          <w:lang w:val="en-GB"/>
        </w:rPr>
        <w:t>Project background </w:t>
      </w:r>
    </w:p>
    <w:p w14:paraId="091995C3" w14:textId="77777777" w:rsidR="00F10C89" w:rsidRPr="00F10C89" w:rsidRDefault="00F10C89" w:rsidP="00F10C89">
      <w:pPr>
        <w:rPr>
          <w:lang w:val="en-GB"/>
        </w:rPr>
      </w:pPr>
      <w:r w:rsidRPr="00F10C89">
        <w:rPr>
          <w:lang w:val="en-GB"/>
        </w:rPr>
        <w:t>Mussel beds (</w:t>
      </w:r>
      <w:r w:rsidRPr="00F10C89">
        <w:rPr>
          <w:i/>
          <w:iCs/>
          <w:lang w:val="en-GB"/>
        </w:rPr>
        <w:t>Mytilus edulis</w:t>
      </w:r>
      <w:r w:rsidRPr="00F10C89">
        <w:rPr>
          <w:lang w:val="en-GB"/>
        </w:rPr>
        <w:t xml:space="preserve">) are an important biogenic reef habitat and are protected as Annex I reef in The Wash and North Norfolk Coast SAC for their biodiversity value. They are also of great </w:t>
      </w:r>
      <w:r w:rsidRPr="00F10C89">
        <w:rPr>
          <w:lang w:val="en-GB"/>
        </w:rPr>
        <w:lastRenderedPageBreak/>
        <w:t>environmental and economic value as a prey source for other species (especially oystercatcher), as a key fishery and aquaculture species, and due to their ability to remove nitrogen from the water. </w:t>
      </w:r>
    </w:p>
    <w:p w14:paraId="35930E37" w14:textId="77777777" w:rsidR="00F10C89" w:rsidRPr="00F10C89" w:rsidRDefault="00F10C89" w:rsidP="00F10C89">
      <w:pPr>
        <w:rPr>
          <w:lang w:val="en-GB"/>
        </w:rPr>
      </w:pPr>
      <w:r w:rsidRPr="00F10C89">
        <w:rPr>
          <w:lang w:val="en-GB"/>
        </w:rPr>
        <w:t xml:space="preserve">However, since 2014 there has been a decline in mussel bed habitat across Europe and the Northeast Atlantic (e.g. Baden et al., 2021; </w:t>
      </w:r>
      <w:proofErr w:type="spellStart"/>
      <w:r w:rsidRPr="00F10C89">
        <w:rPr>
          <w:lang w:val="en-GB"/>
        </w:rPr>
        <w:t>Seuront</w:t>
      </w:r>
      <w:proofErr w:type="spellEnd"/>
      <w:r w:rsidRPr="00F10C89">
        <w:rPr>
          <w:lang w:val="en-GB"/>
        </w:rPr>
        <w:t xml:space="preserve"> et al., 2019; Capelle et al., 2021). There has been extensive research into these declines and a number of biotic and abiotic pressures have been identified, including changes in predation, increased sea surface temperature (Jones et al., 2010), extreme weather (</w:t>
      </w:r>
      <w:proofErr w:type="spellStart"/>
      <w:r w:rsidRPr="00F10C89">
        <w:rPr>
          <w:lang w:val="en-GB"/>
        </w:rPr>
        <w:t>Seuront</w:t>
      </w:r>
      <w:proofErr w:type="spellEnd"/>
      <w:r w:rsidRPr="00F10C89">
        <w:rPr>
          <w:lang w:val="en-GB"/>
        </w:rPr>
        <w:t xml:space="preserve"> et al., 2019), water quality (</w:t>
      </w:r>
      <w:proofErr w:type="spellStart"/>
      <w:r w:rsidRPr="00F10C89">
        <w:rPr>
          <w:lang w:val="en-GB"/>
        </w:rPr>
        <w:t>Avdelas</w:t>
      </w:r>
      <w:proofErr w:type="spellEnd"/>
      <w:r w:rsidRPr="00F10C89">
        <w:rPr>
          <w:lang w:val="en-GB"/>
        </w:rPr>
        <w:t xml:space="preserve"> et al., 2021), predation (Sadler et al., 2018), harmful algal blooms (De </w:t>
      </w:r>
      <w:proofErr w:type="spellStart"/>
      <w:r w:rsidRPr="00F10C89">
        <w:rPr>
          <w:lang w:val="en-GB"/>
        </w:rPr>
        <w:t>Rijcke</w:t>
      </w:r>
      <w:proofErr w:type="spellEnd"/>
      <w:r w:rsidRPr="00F10C89">
        <w:rPr>
          <w:lang w:val="en-GB"/>
        </w:rPr>
        <w:t xml:space="preserve"> et al., 2015) and genomics (</w:t>
      </w:r>
      <w:proofErr w:type="spellStart"/>
      <w:r w:rsidRPr="00F10C89">
        <w:rPr>
          <w:lang w:val="en-GB"/>
        </w:rPr>
        <w:t>Dégremont</w:t>
      </w:r>
      <w:proofErr w:type="spellEnd"/>
      <w:r w:rsidRPr="00F10C89">
        <w:rPr>
          <w:lang w:val="en-GB"/>
        </w:rPr>
        <w:t xml:space="preserve"> et al., 2014; </w:t>
      </w:r>
      <w:proofErr w:type="spellStart"/>
      <w:r w:rsidRPr="00F10C89">
        <w:rPr>
          <w:lang w:val="en-GB"/>
        </w:rPr>
        <w:t>Benabdelmouna</w:t>
      </w:r>
      <w:proofErr w:type="spellEnd"/>
      <w:r w:rsidRPr="00F10C89">
        <w:rPr>
          <w:lang w:val="en-GB"/>
        </w:rPr>
        <w:t xml:space="preserve"> and </w:t>
      </w:r>
      <w:proofErr w:type="spellStart"/>
      <w:r w:rsidRPr="00F10C89">
        <w:rPr>
          <w:lang w:val="en-GB"/>
        </w:rPr>
        <w:t>Ledu</w:t>
      </w:r>
      <w:proofErr w:type="spellEnd"/>
      <w:r w:rsidRPr="00F10C89">
        <w:rPr>
          <w:lang w:val="en-GB"/>
        </w:rPr>
        <w:t>, 2011) or a combination thereof (Baden et al., 2021; Capelle et al., 2021). </w:t>
      </w:r>
    </w:p>
    <w:p w14:paraId="65952C8B" w14:textId="77777777" w:rsidR="00F10C89" w:rsidRPr="00F10C89" w:rsidRDefault="00F10C89" w:rsidP="00F10C89">
      <w:pPr>
        <w:rPr>
          <w:lang w:val="en-GB"/>
        </w:rPr>
      </w:pPr>
      <w:r w:rsidRPr="00F10C89">
        <w:rPr>
          <w:lang w:val="en-GB"/>
        </w:rPr>
        <w:t>Restoration efforts in Europe and the Northeast Atlantic have shown mixed results. Field trials have shown that a suitable substrate is essential in exposed or dynamic locations, however interventions such as fences to trap dislodged mussels (Banke et al., 2024; Schotanus et al., 2020a), high-density placing (Schotanus et al., 2020a) and laying culch (Schotanus et al., 2020b) can improve survival. Research also supports co-restoration with certain plant species or native oyster (Gagnon et al., 2020; van der Meer et al., 2019). </w:t>
      </w:r>
    </w:p>
    <w:p w14:paraId="26DAC529" w14:textId="77777777" w:rsidR="00F10C89" w:rsidRDefault="00F10C89" w:rsidP="00F10C89">
      <w:pPr>
        <w:rPr>
          <w:lang w:val="en-GB"/>
        </w:rPr>
      </w:pPr>
      <w:r w:rsidRPr="00F10C89">
        <w:rPr>
          <w:lang w:val="en-GB"/>
        </w:rPr>
        <w:t>This project would review the available research with the aim of identifying the drivers of decline so that we can better understand how to reverse the mussel declines in The Wash. Furthermore, with growing interest in blue mussel bed restoration in the Wash, the review will identify possible restoration methods and help to achieve recovery of resilient and stable populations in future. Restoring mussels would be a win for people and nature, as they are important for biodiversity and ecosystems services including The Wash shellfisheries. </w:t>
      </w:r>
    </w:p>
    <w:p w14:paraId="7A58F218" w14:textId="77777777" w:rsidR="00F10C89" w:rsidRPr="00F10C89" w:rsidRDefault="00F10C89" w:rsidP="00F10C89">
      <w:pPr>
        <w:rPr>
          <w:lang w:val="en-GB"/>
        </w:rPr>
      </w:pPr>
    </w:p>
    <w:p w14:paraId="31CA889E" w14:textId="77777777" w:rsidR="00F10C89" w:rsidRPr="00F10C89" w:rsidRDefault="00F10C89" w:rsidP="00F10C89">
      <w:pPr>
        <w:rPr>
          <w:b/>
          <w:bCs/>
          <w:lang w:val="en-GB"/>
        </w:rPr>
      </w:pPr>
      <w:r w:rsidRPr="00F10C89">
        <w:rPr>
          <w:b/>
          <w:bCs/>
          <w:lang w:val="en-GB"/>
        </w:rPr>
        <w:t>Requirement </w:t>
      </w:r>
    </w:p>
    <w:p w14:paraId="41E7DD41" w14:textId="77777777" w:rsidR="00F10C89" w:rsidRDefault="00F10C89" w:rsidP="00F10C89">
      <w:pPr>
        <w:rPr>
          <w:lang w:val="en-GB"/>
        </w:rPr>
      </w:pPr>
      <w:r w:rsidRPr="00F10C89">
        <w:rPr>
          <w:lang w:val="en-GB"/>
        </w:rPr>
        <w:t>The literature review should collate and summarise existing evidence on the decline in mussel bed habitat in the Wash and across Europe and the Northeast Atlantic and potential restoration methods, including:   </w:t>
      </w:r>
    </w:p>
    <w:p w14:paraId="557ED194" w14:textId="77777777" w:rsidR="00F10C89" w:rsidRPr="00F10C89" w:rsidRDefault="00F10C89" w:rsidP="00F10C89">
      <w:pPr>
        <w:rPr>
          <w:lang w:val="en-GB"/>
        </w:rPr>
      </w:pPr>
    </w:p>
    <w:p w14:paraId="771FE7DE" w14:textId="77777777" w:rsidR="00F10C89" w:rsidRPr="00F10C89" w:rsidRDefault="00F10C89" w:rsidP="00F10C89">
      <w:pPr>
        <w:numPr>
          <w:ilvl w:val="0"/>
          <w:numId w:val="29"/>
        </w:numPr>
        <w:rPr>
          <w:lang w:val="en-GB"/>
        </w:rPr>
      </w:pPr>
      <w:r w:rsidRPr="00F10C89">
        <w:rPr>
          <w:lang w:val="en-GB"/>
        </w:rPr>
        <w:t>An overview of blue mussel (</w:t>
      </w:r>
      <w:r w:rsidRPr="00F10C89">
        <w:rPr>
          <w:i/>
          <w:iCs/>
          <w:lang w:val="en-GB"/>
        </w:rPr>
        <w:t>Mytilus edulis</w:t>
      </w:r>
      <w:r w:rsidRPr="00F10C89">
        <w:rPr>
          <w:lang w:val="en-GB"/>
        </w:rPr>
        <w:t>) as a species and a habitat and the importance of habitat networks; (5%) </w:t>
      </w:r>
    </w:p>
    <w:p w14:paraId="1E0F2703" w14:textId="77777777" w:rsidR="00F10C89" w:rsidRPr="00F10C89" w:rsidRDefault="00F10C89" w:rsidP="00F10C89">
      <w:pPr>
        <w:numPr>
          <w:ilvl w:val="0"/>
          <w:numId w:val="30"/>
        </w:numPr>
        <w:rPr>
          <w:lang w:val="en-GB"/>
        </w:rPr>
      </w:pPr>
      <w:r w:rsidRPr="00F10C89">
        <w:rPr>
          <w:lang w:val="en-GB"/>
        </w:rPr>
        <w:t>An overview of the historic distribution of blue mussel across broad areas (e.g. mainland Europe, Northeast Atlantic, UK); (15%) </w:t>
      </w:r>
    </w:p>
    <w:p w14:paraId="46585F34" w14:textId="77777777" w:rsidR="00F10C89" w:rsidRPr="00F10C89" w:rsidRDefault="00F10C89" w:rsidP="00F10C89">
      <w:pPr>
        <w:numPr>
          <w:ilvl w:val="0"/>
          <w:numId w:val="31"/>
        </w:numPr>
        <w:rPr>
          <w:lang w:val="en-GB"/>
        </w:rPr>
      </w:pPr>
      <w:r w:rsidRPr="00F10C89">
        <w:rPr>
          <w:lang w:val="en-GB"/>
        </w:rPr>
        <w:t>An overview of the historic distribution of blue mussel in the Wash and North Norfolk Coast; (10%) </w:t>
      </w:r>
    </w:p>
    <w:p w14:paraId="474921CF" w14:textId="77777777" w:rsidR="00F10C89" w:rsidRPr="00F10C89" w:rsidRDefault="00F10C89" w:rsidP="00F10C89">
      <w:pPr>
        <w:numPr>
          <w:ilvl w:val="0"/>
          <w:numId w:val="32"/>
        </w:numPr>
        <w:rPr>
          <w:lang w:val="en-GB"/>
        </w:rPr>
      </w:pPr>
      <w:r w:rsidRPr="00F10C89">
        <w:rPr>
          <w:lang w:val="en-GB"/>
        </w:rPr>
        <w:t>An overview of possible causes of historical decline across broad areas (e.g. mainland Europe, Northeast Atlantic, UK); (20%) </w:t>
      </w:r>
    </w:p>
    <w:p w14:paraId="5BA2ECD2" w14:textId="77777777" w:rsidR="00F10C89" w:rsidRPr="00F10C89" w:rsidRDefault="00F10C89" w:rsidP="00F10C89">
      <w:pPr>
        <w:numPr>
          <w:ilvl w:val="0"/>
          <w:numId w:val="33"/>
        </w:numPr>
        <w:rPr>
          <w:lang w:val="en-GB"/>
        </w:rPr>
      </w:pPr>
      <w:r w:rsidRPr="00F10C89">
        <w:rPr>
          <w:lang w:val="en-GB"/>
        </w:rPr>
        <w:t>An overview of possible causes of current decline across broad areas (e.g. mainland Europe, Northeast Atlantic, UK); (15%) </w:t>
      </w:r>
    </w:p>
    <w:p w14:paraId="14642057" w14:textId="77777777" w:rsidR="00F10C89" w:rsidRPr="00F10C89" w:rsidRDefault="00F10C89" w:rsidP="00F10C89">
      <w:pPr>
        <w:numPr>
          <w:ilvl w:val="0"/>
          <w:numId w:val="34"/>
        </w:numPr>
        <w:rPr>
          <w:lang w:val="en-GB"/>
        </w:rPr>
      </w:pPr>
      <w:r w:rsidRPr="00F10C89">
        <w:rPr>
          <w:lang w:val="en-GB"/>
        </w:rPr>
        <w:t>An overview of restoration projects (including restoration of existing and new populations) in the Northern Hemisphere, evaluating successful and unsuccessful projects and specific methodologies; (20%) </w:t>
      </w:r>
    </w:p>
    <w:p w14:paraId="60395A3B" w14:textId="77777777" w:rsidR="00F10C89" w:rsidRPr="00F10C89" w:rsidRDefault="00F10C89" w:rsidP="00F10C89">
      <w:pPr>
        <w:numPr>
          <w:ilvl w:val="0"/>
          <w:numId w:val="35"/>
        </w:numPr>
        <w:rPr>
          <w:lang w:val="en-GB"/>
        </w:rPr>
      </w:pPr>
      <w:r w:rsidRPr="00F10C89">
        <w:rPr>
          <w:lang w:val="en-GB"/>
        </w:rPr>
        <w:t>An overview of the restoration potential in the Wash and North Norfolk Coast; (5%) </w:t>
      </w:r>
    </w:p>
    <w:p w14:paraId="13478538" w14:textId="77777777" w:rsidR="00F10C89" w:rsidRPr="00F10C89" w:rsidRDefault="00F10C89" w:rsidP="00F10C89">
      <w:pPr>
        <w:numPr>
          <w:ilvl w:val="0"/>
          <w:numId w:val="36"/>
        </w:numPr>
        <w:rPr>
          <w:lang w:val="en-GB"/>
        </w:rPr>
      </w:pPr>
      <w:r w:rsidRPr="00F10C89">
        <w:rPr>
          <w:lang w:val="en-GB"/>
        </w:rPr>
        <w:t>An overview of how The Wash and North Norfolk Coast could be impacted by climate change and other potential threats to restoration efforts in future; (5%) </w:t>
      </w:r>
    </w:p>
    <w:p w14:paraId="39CE6B85" w14:textId="77777777" w:rsidR="00F10C89" w:rsidRDefault="00F10C89" w:rsidP="00F10C89">
      <w:pPr>
        <w:numPr>
          <w:ilvl w:val="0"/>
          <w:numId w:val="37"/>
        </w:numPr>
        <w:rPr>
          <w:lang w:val="en-GB"/>
        </w:rPr>
      </w:pPr>
      <w:r w:rsidRPr="00F10C89">
        <w:rPr>
          <w:lang w:val="en-GB"/>
        </w:rPr>
        <w:t>Recommendations for future surveys and/or studies to fill any identified evidence gaps. (5%) </w:t>
      </w:r>
    </w:p>
    <w:p w14:paraId="5E139E72" w14:textId="77777777" w:rsidR="00F10C89" w:rsidRPr="00F10C89" w:rsidRDefault="00F10C89" w:rsidP="00F10C89">
      <w:pPr>
        <w:ind w:left="720"/>
        <w:rPr>
          <w:lang w:val="en-GB"/>
        </w:rPr>
      </w:pPr>
    </w:p>
    <w:p w14:paraId="3EFF8D4E" w14:textId="77777777" w:rsidR="00F10C89" w:rsidRPr="00F10C89" w:rsidRDefault="00F10C89" w:rsidP="00F10C89">
      <w:pPr>
        <w:rPr>
          <w:lang w:val="en-GB"/>
        </w:rPr>
      </w:pPr>
      <w:r w:rsidRPr="00F10C89">
        <w:rPr>
          <w:lang w:val="en-GB"/>
        </w:rPr>
        <w:t>The successful contractor should conduct a full review of both grey and academic literature to address the above areas of interest.</w:t>
      </w: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A9FFF" w14:textId="77777777" w:rsidR="00BA3886" w:rsidRDefault="00BA3886" w:rsidP="006D4D44">
      <w:r>
        <w:separator/>
      </w:r>
    </w:p>
  </w:endnote>
  <w:endnote w:type="continuationSeparator" w:id="0">
    <w:p w14:paraId="745D7866" w14:textId="77777777" w:rsidR="00BA3886" w:rsidRDefault="00BA3886" w:rsidP="006D4D44">
      <w:r>
        <w:continuationSeparator/>
      </w:r>
    </w:p>
  </w:endnote>
  <w:endnote w:type="continuationNotice" w:id="1">
    <w:p w14:paraId="0AE9F849" w14:textId="77777777" w:rsidR="00BA3886" w:rsidRDefault="00BA3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792C1" w14:textId="77777777" w:rsidR="00BA3886" w:rsidRDefault="00BA3886" w:rsidP="006D4D44">
      <w:r>
        <w:separator/>
      </w:r>
    </w:p>
  </w:footnote>
  <w:footnote w:type="continuationSeparator" w:id="0">
    <w:p w14:paraId="6DFAB13F" w14:textId="77777777" w:rsidR="00BA3886" w:rsidRDefault="00BA3886" w:rsidP="006D4D44">
      <w:r>
        <w:continuationSeparator/>
      </w:r>
    </w:p>
  </w:footnote>
  <w:footnote w:type="continuationNotice" w:id="1">
    <w:p w14:paraId="3FD93FA5" w14:textId="77777777" w:rsidR="00BA3886" w:rsidRDefault="00BA3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1BD560E"/>
    <w:multiLevelType w:val="multilevel"/>
    <w:tmpl w:val="60BA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C5FFF"/>
    <w:multiLevelType w:val="multilevel"/>
    <w:tmpl w:val="131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22712"/>
    <w:multiLevelType w:val="multilevel"/>
    <w:tmpl w:val="4E0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46383"/>
    <w:multiLevelType w:val="multilevel"/>
    <w:tmpl w:val="CA24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E72E0"/>
    <w:multiLevelType w:val="multilevel"/>
    <w:tmpl w:val="B1E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753D1"/>
    <w:multiLevelType w:val="multilevel"/>
    <w:tmpl w:val="A45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4283E"/>
    <w:multiLevelType w:val="multilevel"/>
    <w:tmpl w:val="050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CDC55A3"/>
    <w:multiLevelType w:val="multilevel"/>
    <w:tmpl w:val="191E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73DE1"/>
    <w:multiLevelType w:val="multilevel"/>
    <w:tmpl w:val="3D80A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5"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A7E22"/>
    <w:multiLevelType w:val="multilevel"/>
    <w:tmpl w:val="672ED0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A27F17"/>
    <w:multiLevelType w:val="multilevel"/>
    <w:tmpl w:val="DCC8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384C21"/>
    <w:multiLevelType w:val="multilevel"/>
    <w:tmpl w:val="A010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2F0D52"/>
    <w:multiLevelType w:val="multilevel"/>
    <w:tmpl w:val="79C4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650B2A"/>
    <w:multiLevelType w:val="multilevel"/>
    <w:tmpl w:val="0CBE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31DA4"/>
    <w:multiLevelType w:val="multilevel"/>
    <w:tmpl w:val="92A4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B6664"/>
    <w:multiLevelType w:val="multilevel"/>
    <w:tmpl w:val="BB1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14C93"/>
    <w:multiLevelType w:val="multilevel"/>
    <w:tmpl w:val="D01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397EA2"/>
    <w:multiLevelType w:val="multilevel"/>
    <w:tmpl w:val="BAC6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8" w15:restartNumberingAfterBreak="0">
    <w:nsid w:val="613D1D85"/>
    <w:multiLevelType w:val="multilevel"/>
    <w:tmpl w:val="559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5F61BC"/>
    <w:multiLevelType w:val="multilevel"/>
    <w:tmpl w:val="872AC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B67651"/>
    <w:multiLevelType w:val="multilevel"/>
    <w:tmpl w:val="C5E46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9D5328"/>
    <w:multiLevelType w:val="multilevel"/>
    <w:tmpl w:val="D53C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9F5B33"/>
    <w:multiLevelType w:val="multilevel"/>
    <w:tmpl w:val="F5D22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C8300B"/>
    <w:multiLevelType w:val="multilevel"/>
    <w:tmpl w:val="8E04D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104479"/>
    <w:multiLevelType w:val="multilevel"/>
    <w:tmpl w:val="1362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187806">
    <w:abstractNumId w:val="23"/>
  </w:num>
  <w:num w:numId="2" w16cid:durableId="48959668">
    <w:abstractNumId w:val="13"/>
  </w:num>
  <w:num w:numId="3" w16cid:durableId="1865634184">
    <w:abstractNumId w:val="10"/>
  </w:num>
  <w:num w:numId="4" w16cid:durableId="1817600806">
    <w:abstractNumId w:val="15"/>
  </w:num>
  <w:num w:numId="5" w16cid:durableId="1411125109">
    <w:abstractNumId w:val="8"/>
  </w:num>
  <w:num w:numId="6" w16cid:durableId="1032612986">
    <w:abstractNumId w:val="26"/>
  </w:num>
  <w:num w:numId="7" w16cid:durableId="57559465">
    <w:abstractNumId w:val="30"/>
  </w:num>
  <w:num w:numId="8" w16cid:durableId="1106075539">
    <w:abstractNumId w:val="27"/>
  </w:num>
  <w:num w:numId="9" w16cid:durableId="385764938">
    <w:abstractNumId w:val="0"/>
  </w:num>
  <w:num w:numId="10" w16cid:durableId="1917786695">
    <w:abstractNumId w:val="35"/>
  </w:num>
  <w:num w:numId="11" w16cid:durableId="2083286213">
    <w:abstractNumId w:val="12"/>
  </w:num>
  <w:num w:numId="12" w16cid:durableId="241069624">
    <w:abstractNumId w:val="14"/>
  </w:num>
  <w:num w:numId="13" w16cid:durableId="1330401157">
    <w:abstractNumId w:val="34"/>
  </w:num>
  <w:num w:numId="14" w16cid:durableId="1081637164">
    <w:abstractNumId w:val="18"/>
  </w:num>
  <w:num w:numId="15" w16cid:durableId="1943341498">
    <w:abstractNumId w:val="11"/>
  </w:num>
  <w:num w:numId="16" w16cid:durableId="1744644202">
    <w:abstractNumId w:val="20"/>
  </w:num>
  <w:num w:numId="17" w16cid:durableId="1621917352">
    <w:abstractNumId w:val="4"/>
  </w:num>
  <w:num w:numId="18" w16cid:durableId="2072919159">
    <w:abstractNumId w:val="33"/>
  </w:num>
  <w:num w:numId="19" w16cid:durableId="426118826">
    <w:abstractNumId w:val="6"/>
  </w:num>
  <w:num w:numId="20" w16cid:durableId="956987304">
    <w:abstractNumId w:val="2"/>
  </w:num>
  <w:num w:numId="21" w16cid:durableId="676925085">
    <w:abstractNumId w:val="21"/>
  </w:num>
  <w:num w:numId="22" w16cid:durableId="1510102498">
    <w:abstractNumId w:val="29"/>
  </w:num>
  <w:num w:numId="23" w16cid:durableId="2027058306">
    <w:abstractNumId w:val="7"/>
  </w:num>
  <w:num w:numId="24" w16cid:durableId="2058698813">
    <w:abstractNumId w:val="22"/>
  </w:num>
  <w:num w:numId="25" w16cid:durableId="358967745">
    <w:abstractNumId w:val="1"/>
  </w:num>
  <w:num w:numId="26" w16cid:durableId="127744314">
    <w:abstractNumId w:val="24"/>
  </w:num>
  <w:num w:numId="27" w16cid:durableId="1245609210">
    <w:abstractNumId w:val="31"/>
  </w:num>
  <w:num w:numId="28" w16cid:durableId="235479131">
    <w:abstractNumId w:val="16"/>
  </w:num>
  <w:num w:numId="29" w16cid:durableId="1489787593">
    <w:abstractNumId w:val="25"/>
  </w:num>
  <w:num w:numId="30" w16cid:durableId="235668238">
    <w:abstractNumId w:val="3"/>
  </w:num>
  <w:num w:numId="31" w16cid:durableId="479688976">
    <w:abstractNumId w:val="5"/>
  </w:num>
  <w:num w:numId="32" w16cid:durableId="818155534">
    <w:abstractNumId w:val="36"/>
  </w:num>
  <w:num w:numId="33" w16cid:durableId="1260260768">
    <w:abstractNumId w:val="9"/>
  </w:num>
  <w:num w:numId="34" w16cid:durableId="1415544180">
    <w:abstractNumId w:val="32"/>
  </w:num>
  <w:num w:numId="35" w16cid:durableId="395858191">
    <w:abstractNumId w:val="17"/>
  </w:num>
  <w:num w:numId="36" w16cid:durableId="1201356305">
    <w:abstractNumId w:val="28"/>
  </w:num>
  <w:num w:numId="37" w16cid:durableId="1129472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2D98"/>
    <w:rsid w:val="002D71E6"/>
    <w:rsid w:val="002F6F29"/>
    <w:rsid w:val="0030291B"/>
    <w:rsid w:val="00306F3A"/>
    <w:rsid w:val="003112A2"/>
    <w:rsid w:val="0034450F"/>
    <w:rsid w:val="003561B6"/>
    <w:rsid w:val="00357164"/>
    <w:rsid w:val="00361086"/>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B0421"/>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53A6F"/>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4C13"/>
    <w:rsid w:val="00B76B73"/>
    <w:rsid w:val="00BA1A16"/>
    <w:rsid w:val="00BA388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B1CF1"/>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66FD1"/>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10C89"/>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40879">
      <w:bodyDiv w:val="1"/>
      <w:marLeft w:val="0"/>
      <w:marRight w:val="0"/>
      <w:marTop w:val="0"/>
      <w:marBottom w:val="0"/>
      <w:divBdr>
        <w:top w:val="none" w:sz="0" w:space="0" w:color="auto"/>
        <w:left w:val="none" w:sz="0" w:space="0" w:color="auto"/>
        <w:bottom w:val="none" w:sz="0" w:space="0" w:color="auto"/>
        <w:right w:val="none" w:sz="0" w:space="0" w:color="auto"/>
      </w:divBdr>
      <w:divsChild>
        <w:div w:id="1530559332">
          <w:marLeft w:val="0"/>
          <w:marRight w:val="0"/>
          <w:marTop w:val="0"/>
          <w:marBottom w:val="0"/>
          <w:divBdr>
            <w:top w:val="none" w:sz="0" w:space="0" w:color="auto"/>
            <w:left w:val="none" w:sz="0" w:space="0" w:color="auto"/>
            <w:bottom w:val="none" w:sz="0" w:space="0" w:color="auto"/>
            <w:right w:val="none" w:sz="0" w:space="0" w:color="auto"/>
          </w:divBdr>
        </w:div>
        <w:div w:id="1449279607">
          <w:marLeft w:val="0"/>
          <w:marRight w:val="0"/>
          <w:marTop w:val="0"/>
          <w:marBottom w:val="0"/>
          <w:divBdr>
            <w:top w:val="none" w:sz="0" w:space="0" w:color="auto"/>
            <w:left w:val="none" w:sz="0" w:space="0" w:color="auto"/>
            <w:bottom w:val="none" w:sz="0" w:space="0" w:color="auto"/>
            <w:right w:val="none" w:sz="0" w:space="0" w:color="auto"/>
          </w:divBdr>
        </w:div>
        <w:div w:id="1159611383">
          <w:marLeft w:val="0"/>
          <w:marRight w:val="0"/>
          <w:marTop w:val="0"/>
          <w:marBottom w:val="0"/>
          <w:divBdr>
            <w:top w:val="none" w:sz="0" w:space="0" w:color="auto"/>
            <w:left w:val="none" w:sz="0" w:space="0" w:color="auto"/>
            <w:bottom w:val="none" w:sz="0" w:space="0" w:color="auto"/>
            <w:right w:val="none" w:sz="0" w:space="0" w:color="auto"/>
          </w:divBdr>
        </w:div>
        <w:div w:id="2144542794">
          <w:marLeft w:val="0"/>
          <w:marRight w:val="0"/>
          <w:marTop w:val="0"/>
          <w:marBottom w:val="0"/>
          <w:divBdr>
            <w:top w:val="none" w:sz="0" w:space="0" w:color="auto"/>
            <w:left w:val="none" w:sz="0" w:space="0" w:color="auto"/>
            <w:bottom w:val="none" w:sz="0" w:space="0" w:color="auto"/>
            <w:right w:val="none" w:sz="0" w:space="0" w:color="auto"/>
          </w:divBdr>
        </w:div>
        <w:div w:id="400980532">
          <w:marLeft w:val="0"/>
          <w:marRight w:val="0"/>
          <w:marTop w:val="0"/>
          <w:marBottom w:val="0"/>
          <w:divBdr>
            <w:top w:val="none" w:sz="0" w:space="0" w:color="auto"/>
            <w:left w:val="none" w:sz="0" w:space="0" w:color="auto"/>
            <w:bottom w:val="none" w:sz="0" w:space="0" w:color="auto"/>
            <w:right w:val="none" w:sz="0" w:space="0" w:color="auto"/>
          </w:divBdr>
        </w:div>
        <w:div w:id="1098139950">
          <w:marLeft w:val="0"/>
          <w:marRight w:val="0"/>
          <w:marTop w:val="0"/>
          <w:marBottom w:val="0"/>
          <w:divBdr>
            <w:top w:val="none" w:sz="0" w:space="0" w:color="auto"/>
            <w:left w:val="none" w:sz="0" w:space="0" w:color="auto"/>
            <w:bottom w:val="none" w:sz="0" w:space="0" w:color="auto"/>
            <w:right w:val="none" w:sz="0" w:space="0" w:color="auto"/>
          </w:divBdr>
        </w:div>
        <w:div w:id="1061904808">
          <w:marLeft w:val="0"/>
          <w:marRight w:val="0"/>
          <w:marTop w:val="0"/>
          <w:marBottom w:val="0"/>
          <w:divBdr>
            <w:top w:val="none" w:sz="0" w:space="0" w:color="auto"/>
            <w:left w:val="none" w:sz="0" w:space="0" w:color="auto"/>
            <w:bottom w:val="none" w:sz="0" w:space="0" w:color="auto"/>
            <w:right w:val="none" w:sz="0" w:space="0" w:color="auto"/>
          </w:divBdr>
        </w:div>
        <w:div w:id="518356840">
          <w:marLeft w:val="0"/>
          <w:marRight w:val="0"/>
          <w:marTop w:val="0"/>
          <w:marBottom w:val="0"/>
          <w:divBdr>
            <w:top w:val="none" w:sz="0" w:space="0" w:color="auto"/>
            <w:left w:val="none" w:sz="0" w:space="0" w:color="auto"/>
            <w:bottom w:val="none" w:sz="0" w:space="0" w:color="auto"/>
            <w:right w:val="none" w:sz="0" w:space="0" w:color="auto"/>
          </w:divBdr>
        </w:div>
        <w:div w:id="1955360613">
          <w:marLeft w:val="0"/>
          <w:marRight w:val="0"/>
          <w:marTop w:val="0"/>
          <w:marBottom w:val="0"/>
          <w:divBdr>
            <w:top w:val="none" w:sz="0" w:space="0" w:color="auto"/>
            <w:left w:val="none" w:sz="0" w:space="0" w:color="auto"/>
            <w:bottom w:val="none" w:sz="0" w:space="0" w:color="auto"/>
            <w:right w:val="none" w:sz="0" w:space="0" w:color="auto"/>
          </w:divBdr>
        </w:div>
        <w:div w:id="1058213355">
          <w:marLeft w:val="0"/>
          <w:marRight w:val="0"/>
          <w:marTop w:val="0"/>
          <w:marBottom w:val="0"/>
          <w:divBdr>
            <w:top w:val="none" w:sz="0" w:space="0" w:color="auto"/>
            <w:left w:val="none" w:sz="0" w:space="0" w:color="auto"/>
            <w:bottom w:val="none" w:sz="0" w:space="0" w:color="auto"/>
            <w:right w:val="none" w:sz="0" w:space="0" w:color="auto"/>
          </w:divBdr>
        </w:div>
        <w:div w:id="912081797">
          <w:marLeft w:val="0"/>
          <w:marRight w:val="0"/>
          <w:marTop w:val="0"/>
          <w:marBottom w:val="0"/>
          <w:divBdr>
            <w:top w:val="none" w:sz="0" w:space="0" w:color="auto"/>
            <w:left w:val="none" w:sz="0" w:space="0" w:color="auto"/>
            <w:bottom w:val="none" w:sz="0" w:space="0" w:color="auto"/>
            <w:right w:val="none" w:sz="0" w:space="0" w:color="auto"/>
          </w:divBdr>
        </w:div>
        <w:div w:id="1610355410">
          <w:marLeft w:val="0"/>
          <w:marRight w:val="0"/>
          <w:marTop w:val="0"/>
          <w:marBottom w:val="0"/>
          <w:divBdr>
            <w:top w:val="none" w:sz="0" w:space="0" w:color="auto"/>
            <w:left w:val="none" w:sz="0" w:space="0" w:color="auto"/>
            <w:bottom w:val="none" w:sz="0" w:space="0" w:color="auto"/>
            <w:right w:val="none" w:sz="0" w:space="0" w:color="auto"/>
          </w:divBdr>
        </w:div>
        <w:div w:id="464660178">
          <w:marLeft w:val="0"/>
          <w:marRight w:val="0"/>
          <w:marTop w:val="0"/>
          <w:marBottom w:val="0"/>
          <w:divBdr>
            <w:top w:val="none" w:sz="0" w:space="0" w:color="auto"/>
            <w:left w:val="none" w:sz="0" w:space="0" w:color="auto"/>
            <w:bottom w:val="none" w:sz="0" w:space="0" w:color="auto"/>
            <w:right w:val="none" w:sz="0" w:space="0" w:color="auto"/>
          </w:divBdr>
        </w:div>
        <w:div w:id="184292550">
          <w:marLeft w:val="0"/>
          <w:marRight w:val="0"/>
          <w:marTop w:val="0"/>
          <w:marBottom w:val="0"/>
          <w:divBdr>
            <w:top w:val="none" w:sz="0" w:space="0" w:color="auto"/>
            <w:left w:val="none" w:sz="0" w:space="0" w:color="auto"/>
            <w:bottom w:val="none" w:sz="0" w:space="0" w:color="auto"/>
            <w:right w:val="none" w:sz="0" w:space="0" w:color="auto"/>
          </w:divBdr>
        </w:div>
        <w:div w:id="2114588140">
          <w:marLeft w:val="0"/>
          <w:marRight w:val="0"/>
          <w:marTop w:val="0"/>
          <w:marBottom w:val="0"/>
          <w:divBdr>
            <w:top w:val="none" w:sz="0" w:space="0" w:color="auto"/>
            <w:left w:val="none" w:sz="0" w:space="0" w:color="auto"/>
            <w:bottom w:val="none" w:sz="0" w:space="0" w:color="auto"/>
            <w:right w:val="none" w:sz="0" w:space="0" w:color="auto"/>
          </w:divBdr>
        </w:div>
        <w:div w:id="1630161277">
          <w:marLeft w:val="0"/>
          <w:marRight w:val="0"/>
          <w:marTop w:val="0"/>
          <w:marBottom w:val="0"/>
          <w:divBdr>
            <w:top w:val="none" w:sz="0" w:space="0" w:color="auto"/>
            <w:left w:val="none" w:sz="0" w:space="0" w:color="auto"/>
            <w:bottom w:val="none" w:sz="0" w:space="0" w:color="auto"/>
            <w:right w:val="none" w:sz="0" w:space="0" w:color="auto"/>
          </w:divBdr>
        </w:div>
        <w:div w:id="392505704">
          <w:marLeft w:val="0"/>
          <w:marRight w:val="0"/>
          <w:marTop w:val="0"/>
          <w:marBottom w:val="0"/>
          <w:divBdr>
            <w:top w:val="none" w:sz="0" w:space="0" w:color="auto"/>
            <w:left w:val="none" w:sz="0" w:space="0" w:color="auto"/>
            <w:bottom w:val="none" w:sz="0" w:space="0" w:color="auto"/>
            <w:right w:val="none" w:sz="0" w:space="0" w:color="auto"/>
          </w:divBdr>
        </w:div>
        <w:div w:id="1310597138">
          <w:marLeft w:val="0"/>
          <w:marRight w:val="0"/>
          <w:marTop w:val="0"/>
          <w:marBottom w:val="0"/>
          <w:divBdr>
            <w:top w:val="none" w:sz="0" w:space="0" w:color="auto"/>
            <w:left w:val="none" w:sz="0" w:space="0" w:color="auto"/>
            <w:bottom w:val="none" w:sz="0" w:space="0" w:color="auto"/>
            <w:right w:val="none" w:sz="0" w:space="0" w:color="auto"/>
          </w:divBdr>
        </w:div>
        <w:div w:id="396055833">
          <w:marLeft w:val="0"/>
          <w:marRight w:val="0"/>
          <w:marTop w:val="0"/>
          <w:marBottom w:val="0"/>
          <w:divBdr>
            <w:top w:val="none" w:sz="0" w:space="0" w:color="auto"/>
            <w:left w:val="none" w:sz="0" w:space="0" w:color="auto"/>
            <w:bottom w:val="none" w:sz="0" w:space="0" w:color="auto"/>
            <w:right w:val="none" w:sz="0" w:space="0" w:color="auto"/>
          </w:divBdr>
        </w:div>
        <w:div w:id="1317611756">
          <w:marLeft w:val="0"/>
          <w:marRight w:val="0"/>
          <w:marTop w:val="0"/>
          <w:marBottom w:val="0"/>
          <w:divBdr>
            <w:top w:val="none" w:sz="0" w:space="0" w:color="auto"/>
            <w:left w:val="none" w:sz="0" w:space="0" w:color="auto"/>
            <w:bottom w:val="none" w:sz="0" w:space="0" w:color="auto"/>
            <w:right w:val="none" w:sz="0" w:space="0" w:color="auto"/>
          </w:divBdr>
        </w:div>
        <w:div w:id="1581138097">
          <w:marLeft w:val="0"/>
          <w:marRight w:val="0"/>
          <w:marTop w:val="0"/>
          <w:marBottom w:val="0"/>
          <w:divBdr>
            <w:top w:val="none" w:sz="0" w:space="0" w:color="auto"/>
            <w:left w:val="none" w:sz="0" w:space="0" w:color="auto"/>
            <w:bottom w:val="none" w:sz="0" w:space="0" w:color="auto"/>
            <w:right w:val="none" w:sz="0" w:space="0" w:color="auto"/>
          </w:divBdr>
        </w:div>
        <w:div w:id="1582564413">
          <w:marLeft w:val="0"/>
          <w:marRight w:val="0"/>
          <w:marTop w:val="0"/>
          <w:marBottom w:val="0"/>
          <w:divBdr>
            <w:top w:val="none" w:sz="0" w:space="0" w:color="auto"/>
            <w:left w:val="none" w:sz="0" w:space="0" w:color="auto"/>
            <w:bottom w:val="none" w:sz="0" w:space="0" w:color="auto"/>
            <w:right w:val="none" w:sz="0" w:space="0" w:color="auto"/>
          </w:divBdr>
        </w:div>
        <w:div w:id="632908576">
          <w:marLeft w:val="0"/>
          <w:marRight w:val="0"/>
          <w:marTop w:val="0"/>
          <w:marBottom w:val="0"/>
          <w:divBdr>
            <w:top w:val="none" w:sz="0" w:space="0" w:color="auto"/>
            <w:left w:val="none" w:sz="0" w:space="0" w:color="auto"/>
            <w:bottom w:val="none" w:sz="0" w:space="0" w:color="auto"/>
            <w:right w:val="none" w:sz="0" w:space="0" w:color="auto"/>
          </w:divBdr>
        </w:div>
        <w:div w:id="1584610822">
          <w:marLeft w:val="0"/>
          <w:marRight w:val="0"/>
          <w:marTop w:val="0"/>
          <w:marBottom w:val="0"/>
          <w:divBdr>
            <w:top w:val="none" w:sz="0" w:space="0" w:color="auto"/>
            <w:left w:val="none" w:sz="0" w:space="0" w:color="auto"/>
            <w:bottom w:val="none" w:sz="0" w:space="0" w:color="auto"/>
            <w:right w:val="none" w:sz="0" w:space="0" w:color="auto"/>
          </w:divBdr>
        </w:div>
        <w:div w:id="148980115">
          <w:marLeft w:val="0"/>
          <w:marRight w:val="0"/>
          <w:marTop w:val="0"/>
          <w:marBottom w:val="0"/>
          <w:divBdr>
            <w:top w:val="none" w:sz="0" w:space="0" w:color="auto"/>
            <w:left w:val="none" w:sz="0" w:space="0" w:color="auto"/>
            <w:bottom w:val="none" w:sz="0" w:space="0" w:color="auto"/>
            <w:right w:val="none" w:sz="0" w:space="0" w:color="auto"/>
          </w:divBdr>
        </w:div>
        <w:div w:id="1840660488">
          <w:marLeft w:val="0"/>
          <w:marRight w:val="0"/>
          <w:marTop w:val="0"/>
          <w:marBottom w:val="0"/>
          <w:divBdr>
            <w:top w:val="none" w:sz="0" w:space="0" w:color="auto"/>
            <w:left w:val="none" w:sz="0" w:space="0" w:color="auto"/>
            <w:bottom w:val="none" w:sz="0" w:space="0" w:color="auto"/>
            <w:right w:val="none" w:sz="0" w:space="0" w:color="auto"/>
          </w:divBdr>
        </w:div>
        <w:div w:id="53552026">
          <w:marLeft w:val="0"/>
          <w:marRight w:val="0"/>
          <w:marTop w:val="0"/>
          <w:marBottom w:val="0"/>
          <w:divBdr>
            <w:top w:val="none" w:sz="0" w:space="0" w:color="auto"/>
            <w:left w:val="none" w:sz="0" w:space="0" w:color="auto"/>
            <w:bottom w:val="none" w:sz="0" w:space="0" w:color="auto"/>
            <w:right w:val="none" w:sz="0" w:space="0" w:color="auto"/>
          </w:divBdr>
        </w:div>
        <w:div w:id="294994191">
          <w:marLeft w:val="0"/>
          <w:marRight w:val="0"/>
          <w:marTop w:val="0"/>
          <w:marBottom w:val="0"/>
          <w:divBdr>
            <w:top w:val="none" w:sz="0" w:space="0" w:color="auto"/>
            <w:left w:val="none" w:sz="0" w:space="0" w:color="auto"/>
            <w:bottom w:val="none" w:sz="0" w:space="0" w:color="auto"/>
            <w:right w:val="none" w:sz="0" w:space="0" w:color="auto"/>
          </w:divBdr>
        </w:div>
        <w:div w:id="1377193296">
          <w:marLeft w:val="0"/>
          <w:marRight w:val="0"/>
          <w:marTop w:val="0"/>
          <w:marBottom w:val="0"/>
          <w:divBdr>
            <w:top w:val="none" w:sz="0" w:space="0" w:color="auto"/>
            <w:left w:val="none" w:sz="0" w:space="0" w:color="auto"/>
            <w:bottom w:val="none" w:sz="0" w:space="0" w:color="auto"/>
            <w:right w:val="none" w:sz="0" w:space="0" w:color="auto"/>
          </w:divBdr>
        </w:div>
        <w:div w:id="879168099">
          <w:marLeft w:val="0"/>
          <w:marRight w:val="0"/>
          <w:marTop w:val="0"/>
          <w:marBottom w:val="0"/>
          <w:divBdr>
            <w:top w:val="none" w:sz="0" w:space="0" w:color="auto"/>
            <w:left w:val="none" w:sz="0" w:space="0" w:color="auto"/>
            <w:bottom w:val="none" w:sz="0" w:space="0" w:color="auto"/>
            <w:right w:val="none" w:sz="0" w:space="0" w:color="auto"/>
          </w:divBdr>
        </w:div>
        <w:div w:id="703290395">
          <w:marLeft w:val="0"/>
          <w:marRight w:val="0"/>
          <w:marTop w:val="0"/>
          <w:marBottom w:val="0"/>
          <w:divBdr>
            <w:top w:val="none" w:sz="0" w:space="0" w:color="auto"/>
            <w:left w:val="none" w:sz="0" w:space="0" w:color="auto"/>
            <w:bottom w:val="none" w:sz="0" w:space="0" w:color="auto"/>
            <w:right w:val="none" w:sz="0" w:space="0" w:color="auto"/>
          </w:divBdr>
        </w:div>
        <w:div w:id="1914121993">
          <w:marLeft w:val="0"/>
          <w:marRight w:val="0"/>
          <w:marTop w:val="0"/>
          <w:marBottom w:val="0"/>
          <w:divBdr>
            <w:top w:val="none" w:sz="0" w:space="0" w:color="auto"/>
            <w:left w:val="none" w:sz="0" w:space="0" w:color="auto"/>
            <w:bottom w:val="none" w:sz="0" w:space="0" w:color="auto"/>
            <w:right w:val="none" w:sz="0" w:space="0" w:color="auto"/>
          </w:divBdr>
        </w:div>
        <w:div w:id="390615111">
          <w:marLeft w:val="0"/>
          <w:marRight w:val="0"/>
          <w:marTop w:val="0"/>
          <w:marBottom w:val="0"/>
          <w:divBdr>
            <w:top w:val="none" w:sz="0" w:space="0" w:color="auto"/>
            <w:left w:val="none" w:sz="0" w:space="0" w:color="auto"/>
            <w:bottom w:val="none" w:sz="0" w:space="0" w:color="auto"/>
            <w:right w:val="none" w:sz="0" w:space="0" w:color="auto"/>
          </w:divBdr>
        </w:div>
        <w:div w:id="1916931172">
          <w:marLeft w:val="0"/>
          <w:marRight w:val="0"/>
          <w:marTop w:val="0"/>
          <w:marBottom w:val="0"/>
          <w:divBdr>
            <w:top w:val="none" w:sz="0" w:space="0" w:color="auto"/>
            <w:left w:val="none" w:sz="0" w:space="0" w:color="auto"/>
            <w:bottom w:val="none" w:sz="0" w:space="0" w:color="auto"/>
            <w:right w:val="none" w:sz="0" w:space="0" w:color="auto"/>
          </w:divBdr>
        </w:div>
        <w:div w:id="1351950063">
          <w:marLeft w:val="0"/>
          <w:marRight w:val="0"/>
          <w:marTop w:val="0"/>
          <w:marBottom w:val="0"/>
          <w:divBdr>
            <w:top w:val="none" w:sz="0" w:space="0" w:color="auto"/>
            <w:left w:val="none" w:sz="0" w:space="0" w:color="auto"/>
            <w:bottom w:val="none" w:sz="0" w:space="0" w:color="auto"/>
            <w:right w:val="none" w:sz="0" w:space="0" w:color="auto"/>
          </w:divBdr>
        </w:div>
        <w:div w:id="695277252">
          <w:marLeft w:val="0"/>
          <w:marRight w:val="0"/>
          <w:marTop w:val="0"/>
          <w:marBottom w:val="0"/>
          <w:divBdr>
            <w:top w:val="none" w:sz="0" w:space="0" w:color="auto"/>
            <w:left w:val="none" w:sz="0" w:space="0" w:color="auto"/>
            <w:bottom w:val="none" w:sz="0" w:space="0" w:color="auto"/>
            <w:right w:val="none" w:sz="0" w:space="0" w:color="auto"/>
          </w:divBdr>
        </w:div>
        <w:div w:id="1866165329">
          <w:marLeft w:val="0"/>
          <w:marRight w:val="0"/>
          <w:marTop w:val="0"/>
          <w:marBottom w:val="0"/>
          <w:divBdr>
            <w:top w:val="none" w:sz="0" w:space="0" w:color="auto"/>
            <w:left w:val="none" w:sz="0" w:space="0" w:color="auto"/>
            <w:bottom w:val="none" w:sz="0" w:space="0" w:color="auto"/>
            <w:right w:val="none" w:sz="0" w:space="0" w:color="auto"/>
          </w:divBdr>
        </w:div>
      </w:divsChild>
    </w:div>
    <w:div w:id="257494188">
      <w:bodyDiv w:val="1"/>
      <w:marLeft w:val="0"/>
      <w:marRight w:val="0"/>
      <w:marTop w:val="0"/>
      <w:marBottom w:val="0"/>
      <w:divBdr>
        <w:top w:val="none" w:sz="0" w:space="0" w:color="auto"/>
        <w:left w:val="none" w:sz="0" w:space="0" w:color="auto"/>
        <w:bottom w:val="none" w:sz="0" w:space="0" w:color="auto"/>
        <w:right w:val="none" w:sz="0" w:space="0" w:color="auto"/>
      </w:divBdr>
      <w:divsChild>
        <w:div w:id="1707170718">
          <w:marLeft w:val="0"/>
          <w:marRight w:val="0"/>
          <w:marTop w:val="0"/>
          <w:marBottom w:val="0"/>
          <w:divBdr>
            <w:top w:val="none" w:sz="0" w:space="0" w:color="auto"/>
            <w:left w:val="none" w:sz="0" w:space="0" w:color="auto"/>
            <w:bottom w:val="none" w:sz="0" w:space="0" w:color="auto"/>
            <w:right w:val="none" w:sz="0" w:space="0" w:color="auto"/>
          </w:divBdr>
        </w:div>
        <w:div w:id="403727532">
          <w:marLeft w:val="0"/>
          <w:marRight w:val="0"/>
          <w:marTop w:val="0"/>
          <w:marBottom w:val="0"/>
          <w:divBdr>
            <w:top w:val="none" w:sz="0" w:space="0" w:color="auto"/>
            <w:left w:val="none" w:sz="0" w:space="0" w:color="auto"/>
            <w:bottom w:val="none" w:sz="0" w:space="0" w:color="auto"/>
            <w:right w:val="none" w:sz="0" w:space="0" w:color="auto"/>
          </w:divBdr>
        </w:div>
        <w:div w:id="2127455892">
          <w:marLeft w:val="0"/>
          <w:marRight w:val="0"/>
          <w:marTop w:val="0"/>
          <w:marBottom w:val="0"/>
          <w:divBdr>
            <w:top w:val="none" w:sz="0" w:space="0" w:color="auto"/>
            <w:left w:val="none" w:sz="0" w:space="0" w:color="auto"/>
            <w:bottom w:val="none" w:sz="0" w:space="0" w:color="auto"/>
            <w:right w:val="none" w:sz="0" w:space="0" w:color="auto"/>
          </w:divBdr>
        </w:div>
        <w:div w:id="1716467379">
          <w:marLeft w:val="0"/>
          <w:marRight w:val="0"/>
          <w:marTop w:val="0"/>
          <w:marBottom w:val="0"/>
          <w:divBdr>
            <w:top w:val="none" w:sz="0" w:space="0" w:color="auto"/>
            <w:left w:val="none" w:sz="0" w:space="0" w:color="auto"/>
            <w:bottom w:val="none" w:sz="0" w:space="0" w:color="auto"/>
            <w:right w:val="none" w:sz="0" w:space="0" w:color="auto"/>
          </w:divBdr>
        </w:div>
        <w:div w:id="1385832235">
          <w:marLeft w:val="0"/>
          <w:marRight w:val="0"/>
          <w:marTop w:val="0"/>
          <w:marBottom w:val="0"/>
          <w:divBdr>
            <w:top w:val="none" w:sz="0" w:space="0" w:color="auto"/>
            <w:left w:val="none" w:sz="0" w:space="0" w:color="auto"/>
            <w:bottom w:val="none" w:sz="0" w:space="0" w:color="auto"/>
            <w:right w:val="none" w:sz="0" w:space="0" w:color="auto"/>
          </w:divBdr>
        </w:div>
        <w:div w:id="954823721">
          <w:marLeft w:val="0"/>
          <w:marRight w:val="0"/>
          <w:marTop w:val="0"/>
          <w:marBottom w:val="0"/>
          <w:divBdr>
            <w:top w:val="none" w:sz="0" w:space="0" w:color="auto"/>
            <w:left w:val="none" w:sz="0" w:space="0" w:color="auto"/>
            <w:bottom w:val="none" w:sz="0" w:space="0" w:color="auto"/>
            <w:right w:val="none" w:sz="0" w:space="0" w:color="auto"/>
          </w:divBdr>
        </w:div>
        <w:div w:id="1469006995">
          <w:marLeft w:val="0"/>
          <w:marRight w:val="0"/>
          <w:marTop w:val="0"/>
          <w:marBottom w:val="0"/>
          <w:divBdr>
            <w:top w:val="none" w:sz="0" w:space="0" w:color="auto"/>
            <w:left w:val="none" w:sz="0" w:space="0" w:color="auto"/>
            <w:bottom w:val="none" w:sz="0" w:space="0" w:color="auto"/>
            <w:right w:val="none" w:sz="0" w:space="0" w:color="auto"/>
          </w:divBdr>
        </w:div>
        <w:div w:id="1298416393">
          <w:marLeft w:val="0"/>
          <w:marRight w:val="0"/>
          <w:marTop w:val="0"/>
          <w:marBottom w:val="0"/>
          <w:divBdr>
            <w:top w:val="none" w:sz="0" w:space="0" w:color="auto"/>
            <w:left w:val="none" w:sz="0" w:space="0" w:color="auto"/>
            <w:bottom w:val="none" w:sz="0" w:space="0" w:color="auto"/>
            <w:right w:val="none" w:sz="0" w:space="0" w:color="auto"/>
          </w:divBdr>
        </w:div>
        <w:div w:id="388500324">
          <w:marLeft w:val="0"/>
          <w:marRight w:val="0"/>
          <w:marTop w:val="0"/>
          <w:marBottom w:val="0"/>
          <w:divBdr>
            <w:top w:val="none" w:sz="0" w:space="0" w:color="auto"/>
            <w:left w:val="none" w:sz="0" w:space="0" w:color="auto"/>
            <w:bottom w:val="none" w:sz="0" w:space="0" w:color="auto"/>
            <w:right w:val="none" w:sz="0" w:space="0" w:color="auto"/>
          </w:divBdr>
        </w:div>
        <w:div w:id="298078737">
          <w:marLeft w:val="0"/>
          <w:marRight w:val="0"/>
          <w:marTop w:val="0"/>
          <w:marBottom w:val="0"/>
          <w:divBdr>
            <w:top w:val="none" w:sz="0" w:space="0" w:color="auto"/>
            <w:left w:val="none" w:sz="0" w:space="0" w:color="auto"/>
            <w:bottom w:val="none" w:sz="0" w:space="0" w:color="auto"/>
            <w:right w:val="none" w:sz="0" w:space="0" w:color="auto"/>
          </w:divBdr>
        </w:div>
        <w:div w:id="1351031941">
          <w:marLeft w:val="0"/>
          <w:marRight w:val="0"/>
          <w:marTop w:val="0"/>
          <w:marBottom w:val="0"/>
          <w:divBdr>
            <w:top w:val="none" w:sz="0" w:space="0" w:color="auto"/>
            <w:left w:val="none" w:sz="0" w:space="0" w:color="auto"/>
            <w:bottom w:val="none" w:sz="0" w:space="0" w:color="auto"/>
            <w:right w:val="none" w:sz="0" w:space="0" w:color="auto"/>
          </w:divBdr>
        </w:div>
        <w:div w:id="821197704">
          <w:marLeft w:val="0"/>
          <w:marRight w:val="0"/>
          <w:marTop w:val="0"/>
          <w:marBottom w:val="0"/>
          <w:divBdr>
            <w:top w:val="none" w:sz="0" w:space="0" w:color="auto"/>
            <w:left w:val="none" w:sz="0" w:space="0" w:color="auto"/>
            <w:bottom w:val="none" w:sz="0" w:space="0" w:color="auto"/>
            <w:right w:val="none" w:sz="0" w:space="0" w:color="auto"/>
          </w:divBdr>
        </w:div>
        <w:div w:id="822896746">
          <w:marLeft w:val="0"/>
          <w:marRight w:val="0"/>
          <w:marTop w:val="0"/>
          <w:marBottom w:val="0"/>
          <w:divBdr>
            <w:top w:val="none" w:sz="0" w:space="0" w:color="auto"/>
            <w:left w:val="none" w:sz="0" w:space="0" w:color="auto"/>
            <w:bottom w:val="none" w:sz="0" w:space="0" w:color="auto"/>
            <w:right w:val="none" w:sz="0" w:space="0" w:color="auto"/>
          </w:divBdr>
        </w:div>
        <w:div w:id="1531793429">
          <w:marLeft w:val="0"/>
          <w:marRight w:val="0"/>
          <w:marTop w:val="0"/>
          <w:marBottom w:val="0"/>
          <w:divBdr>
            <w:top w:val="none" w:sz="0" w:space="0" w:color="auto"/>
            <w:left w:val="none" w:sz="0" w:space="0" w:color="auto"/>
            <w:bottom w:val="none" w:sz="0" w:space="0" w:color="auto"/>
            <w:right w:val="none" w:sz="0" w:space="0" w:color="auto"/>
          </w:divBdr>
        </w:div>
        <w:div w:id="1635022086">
          <w:marLeft w:val="0"/>
          <w:marRight w:val="0"/>
          <w:marTop w:val="0"/>
          <w:marBottom w:val="0"/>
          <w:divBdr>
            <w:top w:val="none" w:sz="0" w:space="0" w:color="auto"/>
            <w:left w:val="none" w:sz="0" w:space="0" w:color="auto"/>
            <w:bottom w:val="none" w:sz="0" w:space="0" w:color="auto"/>
            <w:right w:val="none" w:sz="0" w:space="0" w:color="auto"/>
          </w:divBdr>
        </w:div>
        <w:div w:id="2094888139">
          <w:marLeft w:val="0"/>
          <w:marRight w:val="0"/>
          <w:marTop w:val="0"/>
          <w:marBottom w:val="0"/>
          <w:divBdr>
            <w:top w:val="none" w:sz="0" w:space="0" w:color="auto"/>
            <w:left w:val="none" w:sz="0" w:space="0" w:color="auto"/>
            <w:bottom w:val="none" w:sz="0" w:space="0" w:color="auto"/>
            <w:right w:val="none" w:sz="0" w:space="0" w:color="auto"/>
          </w:divBdr>
        </w:div>
        <w:div w:id="1539968909">
          <w:marLeft w:val="0"/>
          <w:marRight w:val="0"/>
          <w:marTop w:val="0"/>
          <w:marBottom w:val="0"/>
          <w:divBdr>
            <w:top w:val="none" w:sz="0" w:space="0" w:color="auto"/>
            <w:left w:val="none" w:sz="0" w:space="0" w:color="auto"/>
            <w:bottom w:val="none" w:sz="0" w:space="0" w:color="auto"/>
            <w:right w:val="none" w:sz="0" w:space="0" w:color="auto"/>
          </w:divBdr>
        </w:div>
        <w:div w:id="1929146391">
          <w:marLeft w:val="0"/>
          <w:marRight w:val="0"/>
          <w:marTop w:val="0"/>
          <w:marBottom w:val="0"/>
          <w:divBdr>
            <w:top w:val="none" w:sz="0" w:space="0" w:color="auto"/>
            <w:left w:val="none" w:sz="0" w:space="0" w:color="auto"/>
            <w:bottom w:val="none" w:sz="0" w:space="0" w:color="auto"/>
            <w:right w:val="none" w:sz="0" w:space="0" w:color="auto"/>
          </w:divBdr>
        </w:div>
        <w:div w:id="1595166599">
          <w:marLeft w:val="0"/>
          <w:marRight w:val="0"/>
          <w:marTop w:val="0"/>
          <w:marBottom w:val="0"/>
          <w:divBdr>
            <w:top w:val="none" w:sz="0" w:space="0" w:color="auto"/>
            <w:left w:val="none" w:sz="0" w:space="0" w:color="auto"/>
            <w:bottom w:val="none" w:sz="0" w:space="0" w:color="auto"/>
            <w:right w:val="none" w:sz="0" w:space="0" w:color="auto"/>
          </w:divBdr>
        </w:div>
        <w:div w:id="332031645">
          <w:marLeft w:val="0"/>
          <w:marRight w:val="0"/>
          <w:marTop w:val="0"/>
          <w:marBottom w:val="0"/>
          <w:divBdr>
            <w:top w:val="none" w:sz="0" w:space="0" w:color="auto"/>
            <w:left w:val="none" w:sz="0" w:space="0" w:color="auto"/>
            <w:bottom w:val="none" w:sz="0" w:space="0" w:color="auto"/>
            <w:right w:val="none" w:sz="0" w:space="0" w:color="auto"/>
          </w:divBdr>
        </w:div>
        <w:div w:id="736050676">
          <w:marLeft w:val="0"/>
          <w:marRight w:val="0"/>
          <w:marTop w:val="0"/>
          <w:marBottom w:val="0"/>
          <w:divBdr>
            <w:top w:val="none" w:sz="0" w:space="0" w:color="auto"/>
            <w:left w:val="none" w:sz="0" w:space="0" w:color="auto"/>
            <w:bottom w:val="none" w:sz="0" w:space="0" w:color="auto"/>
            <w:right w:val="none" w:sz="0" w:space="0" w:color="auto"/>
          </w:divBdr>
        </w:div>
        <w:div w:id="1681808124">
          <w:marLeft w:val="0"/>
          <w:marRight w:val="0"/>
          <w:marTop w:val="0"/>
          <w:marBottom w:val="0"/>
          <w:divBdr>
            <w:top w:val="none" w:sz="0" w:space="0" w:color="auto"/>
            <w:left w:val="none" w:sz="0" w:space="0" w:color="auto"/>
            <w:bottom w:val="none" w:sz="0" w:space="0" w:color="auto"/>
            <w:right w:val="none" w:sz="0" w:space="0" w:color="auto"/>
          </w:divBdr>
        </w:div>
        <w:div w:id="630674052">
          <w:marLeft w:val="0"/>
          <w:marRight w:val="0"/>
          <w:marTop w:val="0"/>
          <w:marBottom w:val="0"/>
          <w:divBdr>
            <w:top w:val="none" w:sz="0" w:space="0" w:color="auto"/>
            <w:left w:val="none" w:sz="0" w:space="0" w:color="auto"/>
            <w:bottom w:val="none" w:sz="0" w:space="0" w:color="auto"/>
            <w:right w:val="none" w:sz="0" w:space="0" w:color="auto"/>
          </w:divBdr>
        </w:div>
        <w:div w:id="624386123">
          <w:marLeft w:val="0"/>
          <w:marRight w:val="0"/>
          <w:marTop w:val="0"/>
          <w:marBottom w:val="0"/>
          <w:divBdr>
            <w:top w:val="none" w:sz="0" w:space="0" w:color="auto"/>
            <w:left w:val="none" w:sz="0" w:space="0" w:color="auto"/>
            <w:bottom w:val="none" w:sz="0" w:space="0" w:color="auto"/>
            <w:right w:val="none" w:sz="0" w:space="0" w:color="auto"/>
          </w:divBdr>
        </w:div>
        <w:div w:id="1183202170">
          <w:marLeft w:val="0"/>
          <w:marRight w:val="0"/>
          <w:marTop w:val="0"/>
          <w:marBottom w:val="0"/>
          <w:divBdr>
            <w:top w:val="none" w:sz="0" w:space="0" w:color="auto"/>
            <w:left w:val="none" w:sz="0" w:space="0" w:color="auto"/>
            <w:bottom w:val="none" w:sz="0" w:space="0" w:color="auto"/>
            <w:right w:val="none" w:sz="0" w:space="0" w:color="auto"/>
          </w:divBdr>
        </w:div>
        <w:div w:id="268006959">
          <w:marLeft w:val="0"/>
          <w:marRight w:val="0"/>
          <w:marTop w:val="0"/>
          <w:marBottom w:val="0"/>
          <w:divBdr>
            <w:top w:val="none" w:sz="0" w:space="0" w:color="auto"/>
            <w:left w:val="none" w:sz="0" w:space="0" w:color="auto"/>
            <w:bottom w:val="none" w:sz="0" w:space="0" w:color="auto"/>
            <w:right w:val="none" w:sz="0" w:space="0" w:color="auto"/>
          </w:divBdr>
        </w:div>
        <w:div w:id="580798949">
          <w:marLeft w:val="0"/>
          <w:marRight w:val="0"/>
          <w:marTop w:val="0"/>
          <w:marBottom w:val="0"/>
          <w:divBdr>
            <w:top w:val="none" w:sz="0" w:space="0" w:color="auto"/>
            <w:left w:val="none" w:sz="0" w:space="0" w:color="auto"/>
            <w:bottom w:val="none" w:sz="0" w:space="0" w:color="auto"/>
            <w:right w:val="none" w:sz="0" w:space="0" w:color="auto"/>
          </w:divBdr>
        </w:div>
        <w:div w:id="154731171">
          <w:marLeft w:val="0"/>
          <w:marRight w:val="0"/>
          <w:marTop w:val="0"/>
          <w:marBottom w:val="0"/>
          <w:divBdr>
            <w:top w:val="none" w:sz="0" w:space="0" w:color="auto"/>
            <w:left w:val="none" w:sz="0" w:space="0" w:color="auto"/>
            <w:bottom w:val="none" w:sz="0" w:space="0" w:color="auto"/>
            <w:right w:val="none" w:sz="0" w:space="0" w:color="auto"/>
          </w:divBdr>
        </w:div>
        <w:div w:id="1321271671">
          <w:marLeft w:val="0"/>
          <w:marRight w:val="0"/>
          <w:marTop w:val="0"/>
          <w:marBottom w:val="0"/>
          <w:divBdr>
            <w:top w:val="none" w:sz="0" w:space="0" w:color="auto"/>
            <w:left w:val="none" w:sz="0" w:space="0" w:color="auto"/>
            <w:bottom w:val="none" w:sz="0" w:space="0" w:color="auto"/>
            <w:right w:val="none" w:sz="0" w:space="0" w:color="auto"/>
          </w:divBdr>
        </w:div>
        <w:div w:id="487290443">
          <w:marLeft w:val="0"/>
          <w:marRight w:val="0"/>
          <w:marTop w:val="0"/>
          <w:marBottom w:val="0"/>
          <w:divBdr>
            <w:top w:val="none" w:sz="0" w:space="0" w:color="auto"/>
            <w:left w:val="none" w:sz="0" w:space="0" w:color="auto"/>
            <w:bottom w:val="none" w:sz="0" w:space="0" w:color="auto"/>
            <w:right w:val="none" w:sz="0" w:space="0" w:color="auto"/>
          </w:divBdr>
        </w:div>
        <w:div w:id="1613784457">
          <w:marLeft w:val="0"/>
          <w:marRight w:val="0"/>
          <w:marTop w:val="0"/>
          <w:marBottom w:val="0"/>
          <w:divBdr>
            <w:top w:val="none" w:sz="0" w:space="0" w:color="auto"/>
            <w:left w:val="none" w:sz="0" w:space="0" w:color="auto"/>
            <w:bottom w:val="none" w:sz="0" w:space="0" w:color="auto"/>
            <w:right w:val="none" w:sz="0" w:space="0" w:color="auto"/>
          </w:divBdr>
        </w:div>
        <w:div w:id="729958656">
          <w:marLeft w:val="0"/>
          <w:marRight w:val="0"/>
          <w:marTop w:val="0"/>
          <w:marBottom w:val="0"/>
          <w:divBdr>
            <w:top w:val="none" w:sz="0" w:space="0" w:color="auto"/>
            <w:left w:val="none" w:sz="0" w:space="0" w:color="auto"/>
            <w:bottom w:val="none" w:sz="0" w:space="0" w:color="auto"/>
            <w:right w:val="none" w:sz="0" w:space="0" w:color="auto"/>
          </w:divBdr>
        </w:div>
        <w:div w:id="1126697391">
          <w:marLeft w:val="0"/>
          <w:marRight w:val="0"/>
          <w:marTop w:val="0"/>
          <w:marBottom w:val="0"/>
          <w:divBdr>
            <w:top w:val="none" w:sz="0" w:space="0" w:color="auto"/>
            <w:left w:val="none" w:sz="0" w:space="0" w:color="auto"/>
            <w:bottom w:val="none" w:sz="0" w:space="0" w:color="auto"/>
            <w:right w:val="none" w:sz="0" w:space="0" w:color="auto"/>
          </w:divBdr>
        </w:div>
        <w:div w:id="92241566">
          <w:marLeft w:val="0"/>
          <w:marRight w:val="0"/>
          <w:marTop w:val="0"/>
          <w:marBottom w:val="0"/>
          <w:divBdr>
            <w:top w:val="none" w:sz="0" w:space="0" w:color="auto"/>
            <w:left w:val="none" w:sz="0" w:space="0" w:color="auto"/>
            <w:bottom w:val="none" w:sz="0" w:space="0" w:color="auto"/>
            <w:right w:val="none" w:sz="0" w:space="0" w:color="auto"/>
          </w:divBdr>
        </w:div>
        <w:div w:id="1550070460">
          <w:marLeft w:val="0"/>
          <w:marRight w:val="0"/>
          <w:marTop w:val="0"/>
          <w:marBottom w:val="0"/>
          <w:divBdr>
            <w:top w:val="none" w:sz="0" w:space="0" w:color="auto"/>
            <w:left w:val="none" w:sz="0" w:space="0" w:color="auto"/>
            <w:bottom w:val="none" w:sz="0" w:space="0" w:color="auto"/>
            <w:right w:val="none" w:sz="0" w:space="0" w:color="auto"/>
          </w:divBdr>
        </w:div>
        <w:div w:id="460925120">
          <w:marLeft w:val="0"/>
          <w:marRight w:val="0"/>
          <w:marTop w:val="0"/>
          <w:marBottom w:val="0"/>
          <w:divBdr>
            <w:top w:val="none" w:sz="0" w:space="0" w:color="auto"/>
            <w:left w:val="none" w:sz="0" w:space="0" w:color="auto"/>
            <w:bottom w:val="none" w:sz="0" w:space="0" w:color="auto"/>
            <w:right w:val="none" w:sz="0" w:space="0" w:color="auto"/>
          </w:divBdr>
        </w:div>
        <w:div w:id="1826626182">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18</Value>
      <Value>20</Value>
      <Value>36</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d83ff133-81ec-4ce8-9d8d-fc2e22b303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F36EC80AFEE6243BF77BDA5E52B4C62" ma:contentTypeVersion="22" ma:contentTypeDescription="Create a new document." ma:contentTypeScope="" ma:versionID="d377e24a88be8f4655ebe2c763cabf74">
  <xsd:schema xmlns:xsd="http://www.w3.org/2001/XMLSchema" xmlns:xs="http://www.w3.org/2001/XMLSchema" xmlns:p="http://schemas.microsoft.com/office/2006/metadata/properties" xmlns:ns2="662745e8-e224-48e8-a2e3-254862b8c2f5" xmlns:ns3="d83ff133-81ec-4ce8-9d8d-fc2e22b303d9" xmlns:ns4="566e0b3a-6200-4733-8a56-aef512055bff" targetNamespace="http://schemas.microsoft.com/office/2006/metadata/properties" ma:root="true" ma:fieldsID="410d64a8299791cab21eac90b4b806ed" ns2:_="" ns3:_="" ns4:_="">
    <xsd:import namespace="662745e8-e224-48e8-a2e3-254862b8c2f5"/>
    <xsd:import namespace="d83ff133-81ec-4ce8-9d8d-fc2e22b303d9"/>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f21092-f43a-4a1c-ae74-07bfca1229dd}"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f21092-f43a-4a1c-ae74-07bfca1229dd}"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uthern North Sea" ma:internalName="Team">
      <xsd:simpleType>
        <xsd:restriction base="dms:Text"/>
      </xsd:simpleType>
    </xsd:element>
    <xsd:element name="Topic" ma:index="20" nillable="true" ma:displayName="Topic" ma:default="Shared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ff133-81ec-4ce8-9d8d-fc2e22b303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d83ff133-81ec-4ce8-9d8d-fc2e22b303d9"/>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E5E3AE22-FD0A-4B7F-8C7F-8CD4F4BA6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83ff133-81ec-4ce8-9d8d-fc2e22b303d9"/>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Love, Jennifer</cp:lastModifiedBy>
  <cp:revision>4</cp:revision>
  <dcterms:created xsi:type="dcterms:W3CDTF">2024-11-05T12:50:00Z</dcterms:created>
  <dcterms:modified xsi:type="dcterms:W3CDTF">2024-11-05T12:50:00Z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0x010100A5BF1C78D9F64B679A5EBDE1C6598EBC0100EF36EC80AFEE6243BF77BDA5E52B4C62</vt:lpwstr>
  </property>
  <property fmtid="{D5CDD505-2E9C-101B-9397-08002B2CF9AE}" pid="4" name="MediaServiceImageTags">
    <vt:lpwstr/>
  </property>
  <property fmtid="{D5CDD505-2E9C-101B-9397-08002B2CF9AE}" pid="5" name="Distribution">
    <vt:lpwstr>18;#Internal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36;#Community|144ac7d7-0b9a-42f9-9385-2935294b6de3</vt:lpwstr>
  </property>
  <property fmtid="{D5CDD505-2E9C-101B-9397-08002B2CF9AE}" pid="9" name="OrganisationalUnit">
    <vt:lpwstr>20;#Defra Group Commercial|88c065df-18f9-4530-b972-ea809b7dd96d</vt:lpwstr>
  </property>
  <property fmtid="{D5CDD505-2E9C-101B-9397-08002B2CF9AE}" pid="10" name="InformationType">
    <vt:lpwstr/>
  </property>
</Properties>
</file>