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ED" w:rsidRDefault="00715EA8" w:rsidP="003E71ED">
      <w:pPr>
        <w:jc w:val="center"/>
      </w:pPr>
      <w:bookmarkStart w:id="0" w:name="_GoBack"/>
      <w:bookmarkEnd w:id="0"/>
      <w:r>
        <w:rPr>
          <w:noProof/>
          <w:lang w:eastAsia="en-GB"/>
        </w:rPr>
        <w:drawing>
          <wp:inline distT="0" distB="0" distL="0" distR="0" wp14:anchorId="5EE4F394" wp14:editId="10616217">
            <wp:extent cx="2005938" cy="936104"/>
            <wp:effectExtent l="0" t="0" r="0" b="0"/>
            <wp:docPr id="4" name="Picture 2" descr="f:\_Desktop\Logo with person and strap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_Desktop\Logo with person and strap_MA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38" cy="9361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E71ED" w:rsidRPr="005256F1" w:rsidRDefault="003E71ED" w:rsidP="003E71ED">
      <w:pPr>
        <w:jc w:val="center"/>
      </w:pPr>
    </w:p>
    <w:p w:rsidR="003E71ED" w:rsidRPr="005256F1" w:rsidRDefault="003E71ED" w:rsidP="003E71ED"/>
    <w:p w:rsidR="003E71ED" w:rsidRPr="003D3FE2" w:rsidRDefault="003E71ED" w:rsidP="003E71ED">
      <w:pPr>
        <w:pStyle w:val="DeptBullets"/>
        <w:numPr>
          <w:ilvl w:val="0"/>
          <w:numId w:val="0"/>
        </w:numPr>
      </w:pPr>
    </w:p>
    <w:p w:rsidR="003E71ED" w:rsidRPr="003D3FE2" w:rsidRDefault="003E71ED" w:rsidP="003E71ED">
      <w:pPr>
        <w:rPr>
          <w:b/>
          <w:sz w:val="48"/>
          <w:szCs w:val="48"/>
        </w:rPr>
      </w:pPr>
    </w:p>
    <w:p w:rsidR="003E71ED" w:rsidRDefault="003E71ED" w:rsidP="003E71ED">
      <w:pPr>
        <w:rPr>
          <w:b/>
          <w:sz w:val="36"/>
          <w:szCs w:val="36"/>
        </w:rPr>
      </w:pPr>
    </w:p>
    <w:p w:rsidR="003E71ED" w:rsidRDefault="003E71ED" w:rsidP="003E71ED">
      <w:pPr>
        <w:rPr>
          <w:b/>
          <w:sz w:val="36"/>
          <w:szCs w:val="36"/>
        </w:rPr>
      </w:pPr>
    </w:p>
    <w:p w:rsidR="003E71ED" w:rsidRDefault="003E71ED" w:rsidP="003E71ED">
      <w:pPr>
        <w:rPr>
          <w:b/>
          <w:sz w:val="36"/>
          <w:szCs w:val="36"/>
        </w:rPr>
      </w:pPr>
      <w:r w:rsidRPr="00943665">
        <w:rPr>
          <w:b/>
          <w:sz w:val="36"/>
          <w:szCs w:val="36"/>
        </w:rPr>
        <w:t>Children’s Commissioner</w:t>
      </w:r>
      <w:r w:rsidR="00923DAD">
        <w:rPr>
          <w:b/>
          <w:sz w:val="36"/>
          <w:szCs w:val="36"/>
        </w:rPr>
        <w:t xml:space="preserve"> for England</w:t>
      </w:r>
    </w:p>
    <w:p w:rsidR="003E71ED" w:rsidRPr="00943665" w:rsidRDefault="003E71ED" w:rsidP="003E71ED">
      <w:pPr>
        <w:rPr>
          <w:b/>
          <w:sz w:val="48"/>
          <w:szCs w:val="48"/>
        </w:rPr>
      </w:pPr>
    </w:p>
    <w:p w:rsidR="003E71ED" w:rsidRDefault="003E71ED" w:rsidP="003E71ED">
      <w:pPr>
        <w:rPr>
          <w:b/>
          <w:sz w:val="48"/>
          <w:szCs w:val="48"/>
        </w:rPr>
      </w:pPr>
    </w:p>
    <w:p w:rsidR="003E71ED" w:rsidRPr="00065F11" w:rsidRDefault="00727743" w:rsidP="003E71ED">
      <w:pPr>
        <w:pBdr>
          <w:bottom w:val="single" w:sz="6" w:space="1" w:color="auto"/>
        </w:pBdr>
        <w:rPr>
          <w:rFonts w:ascii="ITC Lubalin Graph Std Book" w:hAnsi="ITC Lubalin Graph Std Book"/>
          <w:b/>
          <w:color w:val="005596"/>
          <w:sz w:val="22"/>
          <w:szCs w:val="22"/>
        </w:rPr>
      </w:pPr>
      <w:r>
        <w:rPr>
          <w:rFonts w:ascii="ITC Lubalin Graph Std Book" w:hAnsi="ITC Lubalin Graph Std Book"/>
          <w:b/>
          <w:color w:val="005596"/>
          <w:sz w:val="48"/>
          <w:szCs w:val="48"/>
        </w:rPr>
        <w:t>Invitation to T</w:t>
      </w:r>
      <w:r w:rsidR="003E71ED">
        <w:rPr>
          <w:rFonts w:ascii="ITC Lubalin Graph Std Book" w:hAnsi="ITC Lubalin Graph Std Book"/>
          <w:b/>
          <w:color w:val="005596"/>
          <w:sz w:val="48"/>
          <w:szCs w:val="48"/>
        </w:rPr>
        <w:t>ender</w:t>
      </w:r>
      <w:r w:rsidR="009F6B64">
        <w:rPr>
          <w:rFonts w:ascii="ITC Lubalin Graph Std Book" w:hAnsi="ITC Lubalin Graph Std Book"/>
          <w:b/>
          <w:color w:val="005596"/>
          <w:sz w:val="48"/>
          <w:szCs w:val="48"/>
        </w:rPr>
        <w:t xml:space="preserve"> for Research</w:t>
      </w:r>
      <w:r w:rsidR="003E71ED">
        <w:rPr>
          <w:rFonts w:ascii="ITC Lubalin Graph Std Book" w:hAnsi="ITC Lubalin Graph Std Book"/>
          <w:b/>
          <w:color w:val="005596"/>
          <w:sz w:val="48"/>
          <w:szCs w:val="48"/>
        </w:rPr>
        <w:br/>
      </w:r>
    </w:p>
    <w:p w:rsidR="003E71ED" w:rsidRPr="00065F11" w:rsidRDefault="003E71ED" w:rsidP="003E71ED">
      <w:pPr>
        <w:rPr>
          <w:rFonts w:ascii="ITC Lubalin Graph Std Book" w:hAnsi="ITC Lubalin Graph Std Book"/>
          <w:b/>
          <w:color w:val="005596"/>
          <w:sz w:val="22"/>
          <w:szCs w:val="22"/>
        </w:rPr>
      </w:pPr>
    </w:p>
    <w:p w:rsidR="003E71ED" w:rsidRDefault="00816372" w:rsidP="003E71ED">
      <w:pPr>
        <w:rPr>
          <w:b/>
          <w:color w:val="000000"/>
          <w:sz w:val="48"/>
          <w:szCs w:val="48"/>
        </w:rPr>
      </w:pPr>
      <w:r>
        <w:rPr>
          <w:b/>
          <w:color w:val="000000"/>
          <w:sz w:val="48"/>
          <w:szCs w:val="48"/>
        </w:rPr>
        <w:t>I</w:t>
      </w:r>
      <w:r w:rsidR="00E85D60">
        <w:rPr>
          <w:b/>
          <w:color w:val="000000"/>
          <w:sz w:val="48"/>
          <w:szCs w:val="48"/>
        </w:rPr>
        <w:t>nter and intra-regional differences in progression through childhood and into adulthood of children growing up in the North of England</w:t>
      </w:r>
    </w:p>
    <w:p w:rsidR="003F5E46" w:rsidRPr="003B5741" w:rsidRDefault="003F5E46" w:rsidP="003E71ED">
      <w:pPr>
        <w:rPr>
          <w:b/>
          <w:color w:val="000000"/>
          <w:sz w:val="48"/>
          <w:szCs w:val="48"/>
        </w:rPr>
      </w:pPr>
    </w:p>
    <w:p w:rsidR="003E71ED" w:rsidRPr="005256F1" w:rsidRDefault="00E85D60" w:rsidP="003E71ED">
      <w:pPr>
        <w:rPr>
          <w:rStyle w:val="Hyperlink"/>
          <w:b/>
          <w:color w:val="auto"/>
          <w:sz w:val="36"/>
          <w:szCs w:val="36"/>
          <w:u w:val="none"/>
        </w:rPr>
        <w:sectPr w:rsidR="003E71ED" w:rsidRPr="005256F1" w:rsidSect="00007B71">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Pr>
          <w:b/>
          <w:color w:val="000000"/>
          <w:sz w:val="36"/>
          <w:szCs w:val="36"/>
        </w:rPr>
        <w:t>Dec</w:t>
      </w:r>
      <w:r w:rsidR="00DE73D8" w:rsidRPr="00434DE8">
        <w:rPr>
          <w:b/>
          <w:color w:val="000000"/>
          <w:sz w:val="36"/>
          <w:szCs w:val="36"/>
        </w:rPr>
        <w:t>ember 2016</w:t>
      </w:r>
      <w:r w:rsidR="003E71ED">
        <w:rPr>
          <w:rStyle w:val="Hyperlink"/>
          <w:rFonts w:ascii="ITC Lubalin Graph Std Book" w:hAnsi="ITC Lubalin Graph Std Book"/>
          <w:b/>
          <w:color w:val="0070C0"/>
          <w:sz w:val="36"/>
          <w:szCs w:val="36"/>
          <w:u w:val="none"/>
        </w:rPr>
        <w:br/>
      </w: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2D7839" w:rsidRDefault="00923DAD" w:rsidP="007C39D3">
      <w:pPr>
        <w:jc w:val="both"/>
        <w:rPr>
          <w:color w:val="800080"/>
          <w:sz w:val="32"/>
          <w:szCs w:val="32"/>
        </w:rPr>
      </w:pPr>
      <w:bookmarkStart w:id="1" w:name="_Toc167767779"/>
      <w:bookmarkStart w:id="2" w:name="_Toc167767843"/>
      <w:bookmarkStart w:id="3" w:name="_Toc168366908"/>
      <w:r>
        <w:rPr>
          <w:color w:val="800080"/>
          <w:sz w:val="32"/>
          <w:szCs w:val="32"/>
        </w:rPr>
        <w:t xml:space="preserve">About </w:t>
      </w:r>
      <w:r w:rsidR="00DE7DF4" w:rsidRPr="002D7839">
        <w:rPr>
          <w:color w:val="800080"/>
          <w:sz w:val="32"/>
          <w:szCs w:val="32"/>
        </w:rPr>
        <w:t xml:space="preserve">the Children’s Commissioner </w:t>
      </w:r>
      <w:bookmarkStart w:id="4" w:name="_Toc167855652"/>
      <w:bookmarkStart w:id="5" w:name="_Toc167855730"/>
      <w:bookmarkStart w:id="6" w:name="_Toc168287446"/>
      <w:bookmarkStart w:id="7" w:name="_Toc168366909"/>
      <w:bookmarkEnd w:id="1"/>
      <w:bookmarkEnd w:id="2"/>
      <w:bookmarkEnd w:id="3"/>
    </w:p>
    <w:p w:rsidR="007C39D3" w:rsidRPr="007C39D3" w:rsidRDefault="007C39D3" w:rsidP="007C39D3">
      <w:pPr>
        <w:jc w:val="both"/>
        <w:rPr>
          <w:color w:val="800080"/>
          <w:sz w:val="32"/>
          <w:szCs w:val="32"/>
        </w:rPr>
      </w:pPr>
    </w:p>
    <w:bookmarkEnd w:id="4"/>
    <w:bookmarkEnd w:id="5"/>
    <w:bookmarkEnd w:id="6"/>
    <w:bookmarkEnd w:id="7"/>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is a national organisation led by </w:t>
      </w:r>
      <w:r w:rsidR="00923DAD">
        <w:rPr>
          <w:rFonts w:cs="Arial"/>
          <w:sz w:val="22"/>
          <w:szCs w:val="22"/>
          <w:lang w:eastAsia="en-GB"/>
        </w:rPr>
        <w:t xml:space="preserve">Anne Longfield, OBE. </w:t>
      </w:r>
      <w:r w:rsidRPr="004223A2">
        <w:rPr>
          <w:rFonts w:cs="Arial"/>
          <w:sz w:val="22"/>
          <w:szCs w:val="22"/>
          <w:lang w:eastAsia="en-GB"/>
        </w:rPr>
        <w:t>The post of Children’s Commissioner for England was established by the Children Act 2004. The United Nations Convention on the Rights of the Child (UNCRC) underpins and frames all of our work.</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duty to promote the views and interests of all children in England, in particular those whose voices are least likely to be heard, to the people who make decisions about their lives. She also has a duty to speak on behalf of all children in the UK on non-devolved issues which include immigration, for the whole of the UK, and youth justice, for England and Wales. One of the Children’s Commissioner’s key functions is encouraging organisations that provide services for children always to operate from the child’s perspective.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statutory duty to highlight where we believe vulnerable children are not being treated appropriately in accordance with duties established under international and domestic legislation.</w:t>
      </w:r>
    </w:p>
    <w:p w:rsidR="00C305CA" w:rsidRDefault="00C305CA" w:rsidP="00C305CA">
      <w:pPr>
        <w:spacing w:after="240" w:line="276" w:lineRule="auto"/>
        <w:rPr>
          <w:rFonts w:cs="Arial"/>
          <w:b/>
          <w:sz w:val="22"/>
          <w:szCs w:val="22"/>
          <w:lang w:eastAsia="en-GB"/>
        </w:rPr>
      </w:pPr>
      <w:r w:rsidRPr="00346DA2">
        <w:rPr>
          <w:rFonts w:cs="Arial"/>
          <w:b/>
          <w:sz w:val="22"/>
          <w:szCs w:val="22"/>
          <w:lang w:eastAsia="en-GB"/>
        </w:rPr>
        <w:t>Our vision</w:t>
      </w:r>
    </w:p>
    <w:p w:rsidR="00C305CA" w:rsidRPr="005B5896" w:rsidRDefault="00C305CA" w:rsidP="004F384A">
      <w:pPr>
        <w:spacing w:after="240" w:line="276" w:lineRule="auto"/>
        <w:jc w:val="both"/>
        <w:rPr>
          <w:rFonts w:cs="Arial"/>
          <w:b/>
          <w:sz w:val="22"/>
          <w:szCs w:val="22"/>
          <w:lang w:eastAsia="en-GB"/>
        </w:rPr>
      </w:pPr>
      <w:r w:rsidRPr="00346DA2">
        <w:rPr>
          <w:rFonts w:cs="Arial"/>
          <w:sz w:val="22"/>
          <w:szCs w:val="22"/>
          <w:lang w:eastAsia="en-GB"/>
        </w:rPr>
        <w:t xml:space="preserve">A society where children and young people’s rights are realised, where their views shape decisions made about their lives and they respect the rights of others. </w:t>
      </w:r>
    </w:p>
    <w:p w:rsidR="00C305CA" w:rsidRPr="00346DA2" w:rsidRDefault="00C305CA" w:rsidP="00C305CA">
      <w:pPr>
        <w:spacing w:after="240" w:line="276" w:lineRule="auto"/>
        <w:rPr>
          <w:rFonts w:cs="Arial"/>
          <w:b/>
          <w:sz w:val="22"/>
          <w:szCs w:val="22"/>
          <w:lang w:eastAsia="en-GB"/>
        </w:rPr>
      </w:pPr>
      <w:r>
        <w:rPr>
          <w:rFonts w:cs="Arial"/>
          <w:b/>
          <w:sz w:val="22"/>
          <w:szCs w:val="22"/>
          <w:lang w:eastAsia="en-GB"/>
        </w:rPr>
        <w:t xml:space="preserve">Our mission </w:t>
      </w:r>
      <w:r w:rsidRPr="00346DA2">
        <w:rPr>
          <w:rFonts w:cs="Arial"/>
          <w:b/>
          <w:sz w:val="22"/>
          <w:szCs w:val="22"/>
          <w:lang w:eastAsia="en-GB"/>
        </w:rPr>
        <w:t xml:space="preserve"> </w:t>
      </w:r>
    </w:p>
    <w:p w:rsidR="00C305CA" w:rsidRPr="005B5896" w:rsidRDefault="00C305CA" w:rsidP="004F384A">
      <w:pPr>
        <w:spacing w:after="240" w:line="276" w:lineRule="auto"/>
        <w:jc w:val="both"/>
        <w:rPr>
          <w:rFonts w:cs="Arial"/>
          <w:sz w:val="22"/>
          <w:szCs w:val="22"/>
          <w:lang w:eastAsia="en-GB"/>
        </w:rPr>
      </w:pPr>
      <w:r w:rsidRPr="00346DA2">
        <w:rPr>
          <w:rFonts w:cs="Arial"/>
          <w:sz w:val="22"/>
          <w:szCs w:val="22"/>
          <w:lang w:eastAsia="en-GB"/>
        </w:rPr>
        <w:t xml:space="preserve">We will promote and protect the rights of children in England. We will do this by involving children and young people in our work and ensuring their voices are heard. We will use our statutory powers to undertake inquiries, and our position to engage, advise and influence those making decisions that affect children and young people. </w:t>
      </w: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150363" w:rsidRDefault="002F78E2" w:rsidP="00D50618">
      <w:pPr>
        <w:pStyle w:val="Heading1"/>
        <w:numPr>
          <w:ilvl w:val="0"/>
          <w:numId w:val="7"/>
        </w:numPr>
      </w:pPr>
      <w:r>
        <w:lastRenderedPageBreak/>
        <w:t>Glossary</w:t>
      </w:r>
    </w:p>
    <w:p w:rsidR="00150363" w:rsidRPr="003014EA" w:rsidRDefault="002F78E2" w:rsidP="002F78E2">
      <w:pPr>
        <w:pStyle w:val="Heading2"/>
        <w:ind w:left="720"/>
        <w:jc w:val="both"/>
        <w:rPr>
          <w:b w:val="0"/>
          <w:sz w:val="22"/>
          <w:szCs w:val="22"/>
        </w:rPr>
      </w:pPr>
      <w:r>
        <w:rPr>
          <w:b w:val="0"/>
          <w:sz w:val="22"/>
          <w:szCs w:val="22"/>
        </w:rPr>
        <w:t>T</w:t>
      </w:r>
      <w:r w:rsidR="00150363" w:rsidRPr="003014EA">
        <w:rPr>
          <w:b w:val="0"/>
          <w:sz w:val="22"/>
          <w:szCs w:val="22"/>
        </w:rPr>
        <w:t>his invitation to tender document regulate</w:t>
      </w:r>
      <w:r w:rsidR="006C0B4B">
        <w:rPr>
          <w:b w:val="0"/>
          <w:sz w:val="22"/>
          <w:szCs w:val="22"/>
        </w:rPr>
        <w:t>s</w:t>
      </w:r>
      <w:r w:rsidR="00150363" w:rsidRPr="003014EA">
        <w:rPr>
          <w:b w:val="0"/>
          <w:sz w:val="22"/>
          <w:szCs w:val="22"/>
        </w:rPr>
        <w:t xml:space="preserve"> the conduct of the Potential Provider and the Authority throughout the Procurement.  </w:t>
      </w:r>
    </w:p>
    <w:p w:rsidR="00552E35" w:rsidRDefault="00150363" w:rsidP="002F78E2">
      <w:pPr>
        <w:pStyle w:val="Heading2"/>
        <w:ind w:left="720"/>
        <w:jc w:val="both"/>
        <w:rPr>
          <w:b w:val="0"/>
          <w:sz w:val="22"/>
          <w:szCs w:val="22"/>
        </w:rPr>
      </w:pPr>
      <w:r w:rsidRPr="003014EA">
        <w:rPr>
          <w:b w:val="0"/>
          <w:sz w:val="22"/>
          <w:szCs w:val="22"/>
        </w:rPr>
        <w:t xml:space="preserve">Except for the words and expressions set out below, the capitalised words and expressions used in this invitation to tender shall have the following meanings given to them: </w:t>
      </w:r>
    </w:p>
    <w:p w:rsidR="00552E35" w:rsidRDefault="00552E35" w:rsidP="00127C76">
      <w:pPr>
        <w:pStyle w:val="Heading2"/>
        <w:ind w:left="576"/>
        <w:jc w:val="both"/>
        <w:rPr>
          <w:rFonts w:cs="Arial"/>
          <w:b w:val="0"/>
          <w:sz w:val="22"/>
          <w:szCs w:val="22"/>
        </w:rPr>
      </w:pPr>
      <w:r w:rsidRPr="00552E35">
        <w:rPr>
          <w:rFonts w:cs="Arial"/>
          <w:sz w:val="22"/>
          <w:szCs w:val="22"/>
        </w:rPr>
        <w:t xml:space="preserve">    </w:t>
      </w:r>
      <w:r w:rsidR="006C0B4B">
        <w:rPr>
          <w:rFonts w:cs="Arial"/>
          <w:sz w:val="22"/>
          <w:szCs w:val="22"/>
        </w:rPr>
        <w:t xml:space="preserve"> </w:t>
      </w:r>
      <w:r w:rsidR="00A72EF0" w:rsidRPr="00552E35">
        <w:rPr>
          <w:rFonts w:cs="Arial"/>
          <w:sz w:val="22"/>
          <w:szCs w:val="22"/>
        </w:rPr>
        <w:t>“Authority</w:t>
      </w:r>
      <w:r>
        <w:rPr>
          <w:rFonts w:cs="Arial"/>
          <w:sz w:val="22"/>
          <w:szCs w:val="22"/>
        </w:rPr>
        <w:t>”</w:t>
      </w:r>
      <w:r w:rsidR="00A72EF0" w:rsidRPr="00552E35">
        <w:rPr>
          <w:rFonts w:cs="Arial"/>
          <w:b w:val="0"/>
          <w:sz w:val="22"/>
          <w:szCs w:val="22"/>
        </w:rPr>
        <w:t xml:space="preserve"> means the Children’s Commissioner;</w:t>
      </w:r>
    </w:p>
    <w:p w:rsidR="00552E35" w:rsidRDefault="00552E35" w:rsidP="00127C76">
      <w:pPr>
        <w:pStyle w:val="Heading2"/>
        <w:ind w:left="864"/>
        <w:jc w:val="both"/>
        <w:rPr>
          <w:rFonts w:cs="Arial"/>
          <w:b w:val="0"/>
          <w:sz w:val="22"/>
          <w:szCs w:val="22"/>
        </w:rPr>
      </w:pPr>
      <w:r w:rsidRPr="00552E35">
        <w:rPr>
          <w:rFonts w:cs="Arial"/>
          <w:sz w:val="22"/>
          <w:szCs w:val="22"/>
        </w:rPr>
        <w:t>“</w:t>
      </w:r>
      <w:r w:rsidR="003014EA" w:rsidRPr="00552E35">
        <w:rPr>
          <w:rFonts w:cs="Arial"/>
          <w:sz w:val="22"/>
          <w:szCs w:val="22"/>
        </w:rPr>
        <w:t>Contract</w:t>
      </w:r>
      <w:r w:rsidRPr="00552E35">
        <w:rPr>
          <w:rFonts w:cs="Arial"/>
          <w:sz w:val="22"/>
          <w:szCs w:val="22"/>
        </w:rPr>
        <w:t>”</w:t>
      </w:r>
      <w:r w:rsidR="003014EA" w:rsidRPr="003014EA">
        <w:rPr>
          <w:rFonts w:cs="Arial"/>
          <w:sz w:val="22"/>
          <w:szCs w:val="22"/>
        </w:rPr>
        <w:t xml:space="preserve"> </w:t>
      </w:r>
      <w:r w:rsidR="003014EA" w:rsidRPr="00552E35">
        <w:rPr>
          <w:rFonts w:cs="Arial"/>
          <w:b w:val="0"/>
          <w:sz w:val="22"/>
          <w:szCs w:val="22"/>
        </w:rPr>
        <w:t xml:space="preserve">means the contract and schedules </w:t>
      </w:r>
      <w:r w:rsidR="006C0B4B">
        <w:rPr>
          <w:rFonts w:cs="Arial"/>
          <w:b w:val="0"/>
          <w:sz w:val="22"/>
          <w:szCs w:val="22"/>
        </w:rPr>
        <w:t xml:space="preserve">for the delivery of the services and as </w:t>
      </w:r>
      <w:r w:rsidR="003014EA" w:rsidRPr="00552E35">
        <w:rPr>
          <w:rFonts w:cs="Arial"/>
          <w:b w:val="0"/>
          <w:sz w:val="22"/>
          <w:szCs w:val="22"/>
        </w:rPr>
        <w:t>set out in Contract terms and co</w:t>
      </w:r>
      <w:r w:rsidR="00C46E4B">
        <w:rPr>
          <w:rFonts w:cs="Arial"/>
          <w:b w:val="0"/>
          <w:sz w:val="22"/>
          <w:szCs w:val="22"/>
        </w:rPr>
        <w:t>nditions and contract schedules</w:t>
      </w:r>
      <w:r w:rsidR="00934FE9">
        <w:rPr>
          <w:rFonts w:cs="Arial"/>
          <w:b w:val="0"/>
          <w:sz w:val="22"/>
          <w:szCs w:val="22"/>
        </w:rPr>
        <w:t xml:space="preserve">. Please visit the </w:t>
      </w:r>
      <w:r w:rsidR="00BD6FE2">
        <w:rPr>
          <w:rFonts w:cs="Arial"/>
          <w:b w:val="0"/>
          <w:sz w:val="22"/>
          <w:szCs w:val="22"/>
        </w:rPr>
        <w:t>Children’s Commissioner</w:t>
      </w:r>
      <w:r w:rsidR="00934FE9">
        <w:rPr>
          <w:rFonts w:cs="Arial"/>
          <w:b w:val="0"/>
          <w:sz w:val="22"/>
          <w:szCs w:val="22"/>
        </w:rPr>
        <w:t xml:space="preserve"> website to view the standard contract terms and conditions referred in this document.</w:t>
      </w:r>
    </w:p>
    <w:p w:rsidR="003014EA" w:rsidRPr="00552E35" w:rsidRDefault="00552E35" w:rsidP="00127C76">
      <w:pPr>
        <w:pStyle w:val="Heading2"/>
        <w:ind w:left="864" w:firstLine="12"/>
        <w:jc w:val="both"/>
        <w:rPr>
          <w:b w:val="0"/>
          <w:sz w:val="22"/>
          <w:szCs w:val="22"/>
        </w:rPr>
      </w:pPr>
      <w:r w:rsidRPr="00552E35">
        <w:rPr>
          <w:rFonts w:cs="Arial"/>
          <w:sz w:val="22"/>
          <w:szCs w:val="22"/>
        </w:rPr>
        <w:t>“Contract Commencement Date”</w:t>
      </w:r>
      <w:r w:rsidR="003014EA" w:rsidRPr="003014EA">
        <w:rPr>
          <w:rFonts w:cs="Arial"/>
          <w:b w:val="0"/>
          <w:sz w:val="22"/>
          <w:szCs w:val="22"/>
        </w:rPr>
        <w:t xml:space="preserve"> </w:t>
      </w:r>
      <w:r w:rsidR="003014EA" w:rsidRPr="00552E35">
        <w:rPr>
          <w:rFonts w:cs="Arial"/>
          <w:b w:val="0"/>
          <w:sz w:val="22"/>
          <w:szCs w:val="22"/>
        </w:rPr>
        <w:t xml:space="preserve">means the date upon which the successful </w:t>
      </w:r>
      <w:r>
        <w:rPr>
          <w:rFonts w:cs="Arial"/>
          <w:b w:val="0"/>
          <w:sz w:val="22"/>
          <w:szCs w:val="22"/>
        </w:rPr>
        <w:t xml:space="preserve">    </w:t>
      </w:r>
      <w:r w:rsidR="003014EA" w:rsidRPr="00552E35">
        <w:rPr>
          <w:rFonts w:cs="Arial"/>
          <w:b w:val="0"/>
          <w:sz w:val="22"/>
          <w:szCs w:val="22"/>
        </w:rPr>
        <w:t>Potential Provider begins to deliver the Services to the Authority;</w:t>
      </w:r>
    </w:p>
    <w:p w:rsidR="003014EA" w:rsidRDefault="00A72EF0" w:rsidP="00127C76">
      <w:pPr>
        <w:pStyle w:val="BodyTextIndent"/>
        <w:ind w:left="864"/>
        <w:jc w:val="both"/>
        <w:rPr>
          <w:rFonts w:cs="Arial"/>
          <w:sz w:val="22"/>
          <w:szCs w:val="22"/>
        </w:rPr>
      </w:pPr>
      <w:r w:rsidRPr="00552E35">
        <w:rPr>
          <w:b/>
          <w:sz w:val="22"/>
          <w:szCs w:val="22"/>
        </w:rPr>
        <w:t xml:space="preserve"> </w:t>
      </w:r>
      <w:r w:rsidR="003014EA" w:rsidRPr="00552E35">
        <w:rPr>
          <w:b/>
          <w:sz w:val="22"/>
          <w:szCs w:val="22"/>
        </w:rPr>
        <w:t>“</w:t>
      </w:r>
      <w:r w:rsidR="003014EA" w:rsidRPr="00552E35">
        <w:rPr>
          <w:rFonts w:cs="Arial"/>
          <w:b/>
          <w:sz w:val="22"/>
          <w:szCs w:val="22"/>
        </w:rPr>
        <w:t xml:space="preserve">ITT” </w:t>
      </w:r>
      <w:r w:rsidR="003014EA" w:rsidRPr="00552E35">
        <w:rPr>
          <w:rFonts w:cs="Arial"/>
          <w:sz w:val="22"/>
          <w:szCs w:val="22"/>
        </w:rPr>
        <w:t>means</w:t>
      </w:r>
      <w:r w:rsidR="003014EA" w:rsidRPr="003014EA">
        <w:rPr>
          <w:rFonts w:cs="Arial"/>
          <w:sz w:val="22"/>
          <w:szCs w:val="22"/>
        </w:rPr>
        <w:t xml:space="preserve"> this Invitation to Tender document incorporating the</w:t>
      </w:r>
      <w:r w:rsidR="006C0B4B">
        <w:rPr>
          <w:rFonts w:cs="Arial"/>
          <w:sz w:val="22"/>
          <w:szCs w:val="22"/>
        </w:rPr>
        <w:t>se</w:t>
      </w:r>
      <w:r w:rsidR="003014EA" w:rsidRPr="003014EA">
        <w:rPr>
          <w:rFonts w:cs="Arial"/>
          <w:sz w:val="22"/>
          <w:szCs w:val="22"/>
        </w:rPr>
        <w:t xml:space="preserve"> terms and all related documents published by the Authority in relation to this Procurement;</w:t>
      </w:r>
    </w:p>
    <w:p w:rsidR="0032386B" w:rsidRPr="003014EA" w:rsidRDefault="0032386B" w:rsidP="00127C76">
      <w:pPr>
        <w:pStyle w:val="BodyTextIndent"/>
        <w:ind w:left="864"/>
        <w:jc w:val="both"/>
        <w:rPr>
          <w:sz w:val="22"/>
          <w:szCs w:val="22"/>
        </w:rPr>
      </w:pPr>
    </w:p>
    <w:p w:rsidR="003014EA" w:rsidRDefault="003014EA" w:rsidP="00127C76">
      <w:pPr>
        <w:pStyle w:val="BodyTextIndent"/>
        <w:ind w:left="864"/>
        <w:jc w:val="both"/>
        <w:rPr>
          <w:rFonts w:cs="Arial"/>
          <w:sz w:val="22"/>
          <w:szCs w:val="22"/>
        </w:rPr>
      </w:pPr>
      <w:r w:rsidRPr="003014EA">
        <w:rPr>
          <w:b/>
          <w:sz w:val="22"/>
          <w:szCs w:val="22"/>
        </w:rPr>
        <w:t>“</w:t>
      </w:r>
      <w:r w:rsidRPr="003014EA">
        <w:rPr>
          <w:rFonts w:cs="Arial"/>
          <w:b/>
          <w:sz w:val="22"/>
          <w:szCs w:val="22"/>
        </w:rPr>
        <w:t xml:space="preserve">Potential Provider(s)” </w:t>
      </w:r>
      <w:r w:rsidRPr="003014EA">
        <w:rPr>
          <w:rFonts w:cs="Arial"/>
          <w:sz w:val="22"/>
          <w:szCs w:val="22"/>
        </w:rPr>
        <w:t>means any person or legal entity submitting a response to this ITT that will ultimately enter into the Contract with the Authority and therefore assumes liability for the performance of the Contract;</w:t>
      </w:r>
    </w:p>
    <w:p w:rsidR="0032386B" w:rsidRPr="003014EA" w:rsidRDefault="0032386B" w:rsidP="00127C76">
      <w:pPr>
        <w:pStyle w:val="BodyTextIndent"/>
        <w:ind w:left="864"/>
        <w:jc w:val="both"/>
        <w:rPr>
          <w:sz w:val="22"/>
          <w:szCs w:val="22"/>
        </w:rPr>
      </w:pPr>
    </w:p>
    <w:p w:rsidR="00150363" w:rsidRDefault="00150363" w:rsidP="00127C76">
      <w:pPr>
        <w:pStyle w:val="BodyTextIndent"/>
        <w:ind w:left="864"/>
        <w:jc w:val="both"/>
        <w:rPr>
          <w:rFonts w:cs="Arial"/>
          <w:sz w:val="22"/>
          <w:szCs w:val="22"/>
        </w:rPr>
      </w:pPr>
      <w:r w:rsidRPr="003014EA">
        <w:rPr>
          <w:rFonts w:cs="Arial"/>
          <w:b/>
          <w:sz w:val="22"/>
          <w:szCs w:val="22"/>
        </w:rPr>
        <w:t xml:space="preserve">“Procurement” </w:t>
      </w:r>
      <w:r w:rsidRPr="003014EA">
        <w:rPr>
          <w:rFonts w:cs="Arial"/>
          <w:sz w:val="22"/>
          <w:szCs w:val="22"/>
        </w:rPr>
        <w:t xml:space="preserve">means the process used to establish the contract that facilitates the supply of the services to the </w:t>
      </w:r>
      <w:r w:rsidR="003014EA" w:rsidRPr="003014EA">
        <w:rPr>
          <w:rFonts w:cs="Arial"/>
          <w:sz w:val="22"/>
          <w:szCs w:val="22"/>
        </w:rPr>
        <w:t>Authority as described in this ITT</w:t>
      </w:r>
      <w:r w:rsidRPr="003014EA">
        <w:rPr>
          <w:rFonts w:cs="Arial"/>
          <w:sz w:val="22"/>
          <w:szCs w:val="22"/>
        </w:rPr>
        <w:t>;</w:t>
      </w:r>
    </w:p>
    <w:p w:rsidR="0032386B" w:rsidRPr="003014EA" w:rsidRDefault="0032386B" w:rsidP="00127C76">
      <w:pPr>
        <w:pStyle w:val="BodyTextIndent"/>
        <w:ind w:left="864"/>
        <w:jc w:val="both"/>
        <w:rPr>
          <w:rFonts w:cs="Arial"/>
          <w:sz w:val="22"/>
          <w:szCs w:val="22"/>
        </w:rPr>
      </w:pPr>
    </w:p>
    <w:p w:rsidR="003014EA" w:rsidRDefault="003014EA" w:rsidP="00127C76">
      <w:pPr>
        <w:pStyle w:val="BodyTextIndent"/>
        <w:ind w:left="864"/>
        <w:jc w:val="both"/>
        <w:rPr>
          <w:sz w:val="22"/>
          <w:szCs w:val="22"/>
        </w:rPr>
      </w:pPr>
      <w:r w:rsidRPr="003014EA">
        <w:rPr>
          <w:rFonts w:cs="Arial"/>
          <w:b/>
          <w:sz w:val="22"/>
          <w:szCs w:val="22"/>
        </w:rPr>
        <w:t xml:space="preserve">“Services” </w:t>
      </w:r>
      <w:r w:rsidRPr="003014EA">
        <w:rPr>
          <w:sz w:val="22"/>
          <w:szCs w:val="22"/>
        </w:rPr>
        <w:t>means the services to be provided by the Supplier appointed to the Contract and as outlined in Schedule 1 of the Contract (Services);</w:t>
      </w:r>
    </w:p>
    <w:p w:rsidR="0032386B" w:rsidRPr="003014EA" w:rsidRDefault="0032386B" w:rsidP="00127C76">
      <w:pPr>
        <w:pStyle w:val="BodyTextIndent"/>
        <w:ind w:left="864"/>
        <w:jc w:val="both"/>
        <w:rPr>
          <w:b/>
          <w:sz w:val="22"/>
          <w:szCs w:val="22"/>
        </w:rPr>
      </w:pPr>
    </w:p>
    <w:p w:rsidR="00150363" w:rsidRDefault="006C0B4B" w:rsidP="00127C76">
      <w:pPr>
        <w:pStyle w:val="BodyTextIndent"/>
        <w:ind w:left="864"/>
        <w:jc w:val="both"/>
        <w:rPr>
          <w:sz w:val="22"/>
          <w:szCs w:val="22"/>
        </w:rPr>
      </w:pPr>
      <w:r>
        <w:rPr>
          <w:rFonts w:cs="Arial"/>
          <w:b/>
          <w:sz w:val="22"/>
          <w:szCs w:val="22"/>
        </w:rPr>
        <w:t>“Tender”</w:t>
      </w:r>
      <w:r w:rsidR="003014EA" w:rsidRPr="003014EA">
        <w:rPr>
          <w:rFonts w:cs="Arial"/>
          <w:b/>
          <w:sz w:val="22"/>
          <w:szCs w:val="22"/>
        </w:rPr>
        <w:t xml:space="preserve"> </w:t>
      </w:r>
      <w:r w:rsidR="003014EA" w:rsidRPr="003014EA">
        <w:rPr>
          <w:rFonts w:cs="Arial"/>
          <w:sz w:val="22"/>
          <w:szCs w:val="22"/>
        </w:rPr>
        <w:t xml:space="preserve">means the tender submitted by the potential provider to the Authority in response to this ITT; </w:t>
      </w:r>
      <w:r w:rsidR="00150363" w:rsidRPr="003014EA">
        <w:rPr>
          <w:sz w:val="22"/>
          <w:szCs w:val="22"/>
        </w:rPr>
        <w:t>and</w:t>
      </w:r>
    </w:p>
    <w:p w:rsidR="0032386B" w:rsidRPr="003014EA" w:rsidRDefault="0032386B" w:rsidP="00127C76">
      <w:pPr>
        <w:pStyle w:val="BodyTextIndent"/>
        <w:ind w:left="864"/>
        <w:jc w:val="both"/>
        <w:rPr>
          <w:b/>
          <w:sz w:val="22"/>
          <w:szCs w:val="22"/>
        </w:rPr>
      </w:pPr>
    </w:p>
    <w:p w:rsidR="00150363" w:rsidRDefault="00150363" w:rsidP="00127C76">
      <w:pPr>
        <w:pStyle w:val="BodyTextIndent"/>
        <w:ind w:left="864"/>
        <w:jc w:val="both"/>
        <w:rPr>
          <w:sz w:val="22"/>
          <w:szCs w:val="22"/>
        </w:rPr>
      </w:pPr>
      <w:r w:rsidRPr="003014EA">
        <w:rPr>
          <w:b/>
          <w:sz w:val="22"/>
          <w:szCs w:val="22"/>
        </w:rPr>
        <w:t>"Response"</w:t>
      </w:r>
      <w:r w:rsidRPr="003014EA">
        <w:rPr>
          <w:sz w:val="22"/>
          <w:szCs w:val="22"/>
        </w:rPr>
        <w:t xml:space="preserve"> means a submission prepared by a Potential Provider in response to a qualification questionnaire or an invitation to tende</w:t>
      </w:r>
      <w:r w:rsidR="00A72EF0">
        <w:rPr>
          <w:sz w:val="22"/>
          <w:szCs w:val="22"/>
        </w:rPr>
        <w:t>r (as the context requires).</w:t>
      </w:r>
    </w:p>
    <w:p w:rsidR="002F78E2" w:rsidRPr="002F78E2" w:rsidRDefault="002F78E2" w:rsidP="002F78E2">
      <w:pPr>
        <w:pStyle w:val="BodyTextIndent"/>
        <w:ind w:left="576"/>
        <w:jc w:val="both"/>
        <w:rPr>
          <w:sz w:val="22"/>
          <w:szCs w:val="22"/>
        </w:rPr>
      </w:pPr>
    </w:p>
    <w:p w:rsidR="00A72EF0" w:rsidRPr="002F78E2" w:rsidRDefault="002F78E2" w:rsidP="00D50618">
      <w:pPr>
        <w:pStyle w:val="ListParagraph"/>
        <w:numPr>
          <w:ilvl w:val="0"/>
          <w:numId w:val="7"/>
        </w:numPr>
        <w:jc w:val="both"/>
        <w:rPr>
          <w:rFonts w:ascii="Arial" w:hAnsi="Arial"/>
          <w:b/>
          <w:noProof/>
          <w:szCs w:val="24"/>
          <w:lang w:eastAsia="en-GB"/>
        </w:rPr>
      </w:pPr>
      <w:r w:rsidRPr="002F78E2">
        <w:rPr>
          <w:rFonts w:ascii="Arial" w:hAnsi="Arial"/>
          <w:b/>
          <w:noProof/>
          <w:szCs w:val="24"/>
          <w:lang w:eastAsia="en-GB"/>
        </w:rPr>
        <w:t>Introduction</w:t>
      </w:r>
    </w:p>
    <w:p w:rsid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Please read the information and instructions carefully before attempting to complete your Tender.</w:t>
      </w:r>
    </w:p>
    <w:p w:rsidR="00A72EF0" w:rsidRP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To ensure all communications relating to this Procurement are received the Potential Provider must ensure that the point of contact it nominates is accurate at all times.</w:t>
      </w:r>
    </w:p>
    <w:p w:rsidR="00A72EF0" w:rsidRPr="00A72EF0"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This ITT which consists of this document comprises:</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information regarding the Procurement, including the timetable;</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details of the </w:t>
      </w:r>
      <w:r w:rsidR="00416648">
        <w:rPr>
          <w:rFonts w:cs="Arial"/>
          <w:color w:val="000000"/>
          <w:sz w:val="22"/>
          <w:szCs w:val="22"/>
        </w:rPr>
        <w:t>S</w:t>
      </w:r>
      <w:r w:rsidRPr="00A72EF0">
        <w:rPr>
          <w:rFonts w:cs="Arial"/>
          <w:color w:val="000000"/>
          <w:sz w:val="22"/>
          <w:szCs w:val="22"/>
        </w:rPr>
        <w:t>ervices that the Potential Providers will be required to supply – Schedule 1 of the Contract</w:t>
      </w:r>
      <w:r w:rsidR="00416648">
        <w:rPr>
          <w:rFonts w:cs="Arial"/>
          <w:color w:val="000000"/>
          <w:sz w:val="22"/>
          <w:szCs w:val="22"/>
        </w:rPr>
        <w:t xml:space="preserve"> (Services)</w:t>
      </w:r>
      <w:r w:rsidRPr="00A72EF0">
        <w:rPr>
          <w:rFonts w:cs="Arial"/>
          <w:color w:val="000000"/>
          <w:sz w:val="22"/>
          <w:szCs w:val="22"/>
        </w:rPr>
        <w:t xml:space="preserve">; </w:t>
      </w:r>
    </w:p>
    <w:p w:rsidR="00A72EF0" w:rsidRPr="00A72EF0"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submit questions and requests for clarification; </w:t>
      </w:r>
    </w:p>
    <w:p w:rsidR="00416648"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complete and submit a Tender; </w:t>
      </w:r>
    </w:p>
    <w:p w:rsidR="00A72EF0" w:rsidRDefault="00A72EF0" w:rsidP="007C08BE">
      <w:pPr>
        <w:pStyle w:val="Heading3"/>
        <w:widowControl/>
        <w:numPr>
          <w:ilvl w:val="0"/>
          <w:numId w:val="20"/>
        </w:numPr>
        <w:overflowPunct/>
        <w:autoSpaceDE/>
        <w:autoSpaceDN/>
        <w:spacing w:after="120"/>
        <w:jc w:val="both"/>
        <w:textAlignment w:val="auto"/>
        <w:rPr>
          <w:color w:val="000000"/>
          <w:sz w:val="22"/>
          <w:szCs w:val="22"/>
        </w:rPr>
      </w:pPr>
      <w:r w:rsidRPr="006C0B4B">
        <w:rPr>
          <w:color w:val="000000"/>
          <w:sz w:val="22"/>
          <w:szCs w:val="22"/>
        </w:rPr>
        <w:t>details of the evaluation and assurance processes used</w:t>
      </w:r>
      <w:r w:rsidR="00416648" w:rsidRPr="006C0B4B">
        <w:rPr>
          <w:color w:val="000000"/>
          <w:sz w:val="22"/>
          <w:szCs w:val="22"/>
        </w:rPr>
        <w:t xml:space="preserve"> by the Authority.</w:t>
      </w:r>
    </w:p>
    <w:p w:rsidR="00C46E4B" w:rsidRPr="00C46E4B" w:rsidRDefault="00C46E4B" w:rsidP="00C46E4B">
      <w:pPr>
        <w:pStyle w:val="ListParagraph"/>
        <w:ind w:left="2160"/>
      </w:pPr>
    </w:p>
    <w:p w:rsidR="00150363" w:rsidRDefault="00150363" w:rsidP="002D7839">
      <w:pPr>
        <w:jc w:val="both"/>
        <w:rPr>
          <w:b/>
          <w:noProof/>
          <w:szCs w:val="24"/>
          <w:u w:val="single"/>
          <w:lang w:eastAsia="en-GB"/>
        </w:rPr>
      </w:pPr>
    </w:p>
    <w:p w:rsidR="00077CA8" w:rsidRPr="00751497" w:rsidRDefault="002F78E2" w:rsidP="00D50618">
      <w:pPr>
        <w:pStyle w:val="ListParagraph"/>
        <w:numPr>
          <w:ilvl w:val="0"/>
          <w:numId w:val="7"/>
        </w:numPr>
        <w:jc w:val="both"/>
        <w:rPr>
          <w:rFonts w:ascii="Arial" w:eastAsia="Times New Roman" w:hAnsi="Arial"/>
          <w:b/>
          <w:lang w:val="en-GB" w:bidi="ar-SA"/>
        </w:rPr>
      </w:pPr>
      <w:r>
        <w:rPr>
          <w:rFonts w:ascii="Arial" w:eastAsia="Times New Roman" w:hAnsi="Arial"/>
          <w:b/>
          <w:lang w:val="en-GB" w:bidi="ar-SA"/>
        </w:rPr>
        <w:t>Summary of Tender</w:t>
      </w:r>
    </w:p>
    <w:p w:rsidR="00E05410" w:rsidRPr="00DE7DF4" w:rsidRDefault="00E05410" w:rsidP="002D7839">
      <w:pPr>
        <w:jc w:val="both"/>
        <w:rPr>
          <w:b/>
          <w:color w:val="008000"/>
          <w:szCs w:val="24"/>
          <w:lang w:eastAsia="en-GB"/>
        </w:rPr>
      </w:pPr>
    </w:p>
    <w:p w:rsidR="00077CA8" w:rsidRPr="00416648" w:rsidRDefault="00150363" w:rsidP="0044476C">
      <w:pPr>
        <w:tabs>
          <w:tab w:val="left" w:pos="2268"/>
        </w:tabs>
        <w:jc w:val="both"/>
        <w:rPr>
          <w:rFonts w:cs="Arial"/>
          <w:b/>
          <w:sz w:val="22"/>
          <w:szCs w:val="22"/>
          <w:lang w:eastAsia="en-GB"/>
        </w:rPr>
      </w:pPr>
      <w:r w:rsidRPr="00416648">
        <w:rPr>
          <w:rFonts w:cs="Arial"/>
          <w:b/>
          <w:sz w:val="22"/>
          <w:szCs w:val="22"/>
          <w:lang w:eastAsia="en-GB"/>
        </w:rPr>
        <w:t>Authority</w:t>
      </w:r>
      <w:r w:rsidR="0044476C" w:rsidRPr="00416648">
        <w:rPr>
          <w:rFonts w:cs="Arial"/>
          <w:b/>
          <w:sz w:val="22"/>
          <w:szCs w:val="22"/>
          <w:lang w:eastAsia="en-GB"/>
        </w:rPr>
        <w:t>:</w:t>
      </w:r>
      <w:r w:rsidR="0044476C" w:rsidRPr="00416648">
        <w:rPr>
          <w:rFonts w:cs="Arial"/>
          <w:b/>
          <w:sz w:val="22"/>
          <w:szCs w:val="22"/>
          <w:lang w:eastAsia="en-GB"/>
        </w:rPr>
        <w:tab/>
      </w:r>
      <w:r w:rsidR="00DE7E9E" w:rsidRPr="00416648">
        <w:rPr>
          <w:rFonts w:cs="Arial"/>
          <w:b/>
          <w:sz w:val="22"/>
          <w:szCs w:val="22"/>
          <w:lang w:eastAsia="en-GB"/>
        </w:rPr>
        <w:t>Children’s Commissioner</w:t>
      </w:r>
    </w:p>
    <w:p w:rsidR="0056293E" w:rsidRPr="00416648" w:rsidRDefault="0056293E" w:rsidP="0044476C">
      <w:pPr>
        <w:tabs>
          <w:tab w:val="left" w:pos="2268"/>
        </w:tabs>
        <w:jc w:val="both"/>
        <w:rPr>
          <w:rFonts w:cs="Arial"/>
          <w:b/>
          <w:sz w:val="22"/>
          <w:szCs w:val="22"/>
          <w:lang w:eastAsia="en-GB"/>
        </w:rPr>
      </w:pPr>
    </w:p>
    <w:p w:rsidR="0044476C" w:rsidRPr="00416648" w:rsidRDefault="00093029" w:rsidP="0044476C">
      <w:pPr>
        <w:tabs>
          <w:tab w:val="left" w:pos="2268"/>
        </w:tabs>
        <w:ind w:left="2265" w:hanging="2265"/>
        <w:rPr>
          <w:rFonts w:cs="Arial"/>
          <w:b/>
          <w:sz w:val="22"/>
          <w:szCs w:val="22"/>
        </w:rPr>
      </w:pPr>
      <w:r w:rsidRPr="00416648">
        <w:rPr>
          <w:rFonts w:cs="Arial"/>
          <w:b/>
          <w:sz w:val="22"/>
          <w:szCs w:val="22"/>
          <w:lang w:eastAsia="en-GB"/>
        </w:rPr>
        <w:t>Description</w:t>
      </w:r>
      <w:r w:rsidR="00C70109" w:rsidRPr="00416648">
        <w:rPr>
          <w:rFonts w:cs="Arial"/>
          <w:b/>
          <w:sz w:val="22"/>
          <w:szCs w:val="22"/>
          <w:lang w:eastAsia="en-GB"/>
        </w:rPr>
        <w:t>:</w:t>
      </w:r>
      <w:r w:rsidR="0044476C" w:rsidRPr="00416648">
        <w:rPr>
          <w:rFonts w:cs="Arial"/>
          <w:b/>
          <w:sz w:val="22"/>
          <w:szCs w:val="22"/>
          <w:lang w:eastAsia="en-GB"/>
        </w:rPr>
        <w:t xml:space="preserve">        </w:t>
      </w:r>
      <w:r w:rsidR="0044476C" w:rsidRPr="00416648">
        <w:rPr>
          <w:rFonts w:cs="Arial"/>
          <w:b/>
          <w:sz w:val="22"/>
          <w:szCs w:val="22"/>
          <w:lang w:eastAsia="en-GB"/>
        </w:rPr>
        <w:tab/>
      </w:r>
      <w:r w:rsidR="000B68CA">
        <w:rPr>
          <w:rFonts w:cs="Arial"/>
          <w:b/>
          <w:sz w:val="22"/>
          <w:szCs w:val="22"/>
          <w:lang w:eastAsia="en-GB"/>
        </w:rPr>
        <w:t>4</w:t>
      </w:r>
      <w:r w:rsidR="00993F75">
        <w:rPr>
          <w:rFonts w:cs="Arial"/>
          <w:b/>
          <w:sz w:val="22"/>
          <w:szCs w:val="22"/>
          <w:lang w:eastAsia="en-GB"/>
        </w:rPr>
        <w:t xml:space="preserve"> papers on i</w:t>
      </w:r>
      <w:r w:rsidR="00E85D60" w:rsidRPr="00E85D60">
        <w:rPr>
          <w:rFonts w:cs="Arial"/>
          <w:b/>
          <w:sz w:val="22"/>
          <w:szCs w:val="22"/>
        </w:rPr>
        <w:t>nter and intra-regional differences in progression through childhood and into adulthood of children growing up in the North of England</w:t>
      </w:r>
      <w:r w:rsidR="00E51586">
        <w:rPr>
          <w:rFonts w:cs="Arial"/>
          <w:b/>
          <w:sz w:val="22"/>
          <w:szCs w:val="22"/>
        </w:rPr>
        <w:t>.</w:t>
      </w:r>
    </w:p>
    <w:p w:rsidR="00F22314" w:rsidRPr="00416648" w:rsidRDefault="00F22314" w:rsidP="0044476C">
      <w:pPr>
        <w:tabs>
          <w:tab w:val="left" w:pos="2268"/>
        </w:tabs>
        <w:rPr>
          <w:rFonts w:cs="Arial"/>
          <w:b/>
          <w:noProof/>
          <w:sz w:val="22"/>
          <w:szCs w:val="22"/>
          <w:lang w:eastAsia="en-GB"/>
        </w:rPr>
      </w:pPr>
    </w:p>
    <w:p w:rsidR="00D835ED" w:rsidRPr="00416648" w:rsidRDefault="00F036F4" w:rsidP="0044476C">
      <w:pPr>
        <w:tabs>
          <w:tab w:val="left" w:pos="2268"/>
          <w:tab w:val="left" w:pos="3420"/>
        </w:tabs>
        <w:ind w:left="2265" w:hanging="2265"/>
        <w:jc w:val="both"/>
        <w:rPr>
          <w:rFonts w:cs="Arial"/>
          <w:b/>
          <w:vanish/>
          <w:sz w:val="22"/>
          <w:szCs w:val="22"/>
          <w:specVanish/>
        </w:rPr>
      </w:pPr>
      <w:r w:rsidRPr="00416648">
        <w:rPr>
          <w:rFonts w:cs="Arial"/>
          <w:b/>
          <w:sz w:val="22"/>
          <w:szCs w:val="22"/>
        </w:rPr>
        <w:t>Contract value</w:t>
      </w:r>
      <w:r w:rsidR="00FA62D8" w:rsidRPr="00416648">
        <w:rPr>
          <w:rFonts w:cs="Arial"/>
          <w:b/>
          <w:sz w:val="22"/>
          <w:szCs w:val="22"/>
        </w:rPr>
        <w:t>:</w:t>
      </w:r>
      <w:r w:rsidRPr="00416648">
        <w:rPr>
          <w:rFonts w:cs="Arial"/>
          <w:b/>
          <w:sz w:val="22"/>
          <w:szCs w:val="22"/>
        </w:rPr>
        <w:t xml:space="preserve"> </w:t>
      </w:r>
      <w:r w:rsidR="00FA62D8" w:rsidRPr="00416648">
        <w:rPr>
          <w:rFonts w:cs="Arial"/>
          <w:b/>
          <w:sz w:val="22"/>
          <w:szCs w:val="22"/>
        </w:rPr>
        <w:t xml:space="preserve">  </w:t>
      </w:r>
      <w:r w:rsidR="007E188D" w:rsidRPr="00416648">
        <w:rPr>
          <w:rFonts w:cs="Arial"/>
          <w:b/>
          <w:sz w:val="22"/>
          <w:szCs w:val="22"/>
        </w:rPr>
        <w:tab/>
      </w:r>
      <w:r w:rsidR="0044476C" w:rsidRPr="00416648">
        <w:rPr>
          <w:rFonts w:cs="Arial"/>
          <w:b/>
          <w:sz w:val="22"/>
          <w:szCs w:val="22"/>
        </w:rPr>
        <w:tab/>
      </w:r>
      <w:r w:rsidR="00C5539D">
        <w:rPr>
          <w:rFonts w:cs="Arial"/>
          <w:b/>
          <w:sz w:val="22"/>
          <w:szCs w:val="22"/>
        </w:rPr>
        <w:t>The maximum</w:t>
      </w:r>
      <w:r w:rsidR="00D835ED" w:rsidRPr="00416648">
        <w:rPr>
          <w:rFonts w:cs="Arial"/>
          <w:b/>
          <w:sz w:val="22"/>
          <w:szCs w:val="22"/>
        </w:rPr>
        <w:t xml:space="preserve"> total value of th</w:t>
      </w:r>
      <w:r w:rsidR="00150363" w:rsidRPr="00416648">
        <w:rPr>
          <w:rFonts w:cs="Arial"/>
          <w:b/>
          <w:sz w:val="22"/>
          <w:szCs w:val="22"/>
        </w:rPr>
        <w:t>e</w:t>
      </w:r>
      <w:r w:rsidR="00D835ED" w:rsidRPr="00416648">
        <w:rPr>
          <w:rFonts w:cs="Arial"/>
          <w:b/>
          <w:sz w:val="22"/>
          <w:szCs w:val="22"/>
        </w:rPr>
        <w:t xml:space="preserve"> </w:t>
      </w:r>
      <w:r w:rsidR="00150363" w:rsidRPr="00416648">
        <w:rPr>
          <w:rFonts w:cs="Arial"/>
          <w:b/>
          <w:sz w:val="22"/>
          <w:szCs w:val="22"/>
        </w:rPr>
        <w:t>C</w:t>
      </w:r>
      <w:r w:rsidR="00D835ED" w:rsidRPr="00416648">
        <w:rPr>
          <w:rFonts w:cs="Arial"/>
          <w:b/>
          <w:sz w:val="22"/>
          <w:szCs w:val="22"/>
        </w:rPr>
        <w:t>ontract is £</w:t>
      </w:r>
      <w:r w:rsidR="00CF5E12">
        <w:rPr>
          <w:rFonts w:cs="Arial"/>
          <w:b/>
          <w:sz w:val="22"/>
          <w:szCs w:val="22"/>
        </w:rPr>
        <w:t>60,000</w:t>
      </w:r>
      <w:r w:rsidR="00E51586">
        <w:rPr>
          <w:rFonts w:cs="Arial"/>
          <w:b/>
          <w:sz w:val="22"/>
          <w:szCs w:val="22"/>
        </w:rPr>
        <w:t xml:space="preserve"> inclusive of </w:t>
      </w:r>
      <w:r w:rsidR="00B43FF8" w:rsidRPr="00416648">
        <w:rPr>
          <w:rFonts w:cs="Arial"/>
          <w:b/>
          <w:sz w:val="22"/>
          <w:szCs w:val="22"/>
        </w:rPr>
        <w:t>VAT</w:t>
      </w:r>
    </w:p>
    <w:p w:rsidR="00FA62D8" w:rsidRPr="00416648" w:rsidRDefault="00B43FF8" w:rsidP="006D1906">
      <w:pPr>
        <w:tabs>
          <w:tab w:val="left" w:pos="2268"/>
          <w:tab w:val="left" w:pos="3420"/>
        </w:tabs>
        <w:ind w:left="2265" w:hanging="2265"/>
        <w:jc w:val="both"/>
        <w:rPr>
          <w:rFonts w:cs="Arial"/>
          <w:b/>
          <w:sz w:val="22"/>
          <w:szCs w:val="22"/>
        </w:rPr>
      </w:pPr>
      <w:r w:rsidRPr="00416648">
        <w:rPr>
          <w:rFonts w:cs="Arial"/>
          <w:b/>
          <w:sz w:val="22"/>
          <w:szCs w:val="22"/>
        </w:rPr>
        <w:t xml:space="preserve"> </w:t>
      </w:r>
      <w:r w:rsidR="00993F75">
        <w:rPr>
          <w:rFonts w:cs="Arial"/>
          <w:b/>
          <w:sz w:val="22"/>
          <w:szCs w:val="22"/>
        </w:rPr>
        <w:t xml:space="preserve">and all expenses. </w:t>
      </w:r>
      <w:r w:rsidR="006D1906" w:rsidRPr="00430D57">
        <w:rPr>
          <w:rFonts w:cs="Arial"/>
          <w:b/>
          <w:sz w:val="22"/>
          <w:szCs w:val="22"/>
        </w:rPr>
        <w:t>Up to 2 contracts are available</w:t>
      </w:r>
      <w:r w:rsidR="006D1906">
        <w:rPr>
          <w:rFonts w:cs="Arial"/>
          <w:b/>
          <w:sz w:val="22"/>
          <w:szCs w:val="22"/>
        </w:rPr>
        <w:t xml:space="preserve">. Project </w:t>
      </w:r>
      <w:r w:rsidR="006D1906" w:rsidRPr="006D1906">
        <w:rPr>
          <w:rFonts w:cs="Arial"/>
          <w:b/>
          <w:sz w:val="22"/>
          <w:szCs w:val="22"/>
        </w:rPr>
        <w:t>1 (Progression</w:t>
      </w:r>
      <w:r w:rsidR="006D1906">
        <w:rPr>
          <w:rFonts w:cs="Arial"/>
          <w:b/>
          <w:sz w:val="22"/>
          <w:szCs w:val="22"/>
        </w:rPr>
        <w:t xml:space="preserve"> and mobility</w:t>
      </w:r>
      <w:r w:rsidR="006D1906" w:rsidRPr="006D1906">
        <w:rPr>
          <w:rFonts w:cs="Arial"/>
          <w:b/>
          <w:sz w:val="22"/>
          <w:szCs w:val="22"/>
        </w:rPr>
        <w:t>) ha</w:t>
      </w:r>
      <w:r w:rsidR="006D1906">
        <w:rPr>
          <w:rFonts w:cs="Arial"/>
          <w:b/>
          <w:sz w:val="22"/>
          <w:szCs w:val="22"/>
        </w:rPr>
        <w:t>s</w:t>
      </w:r>
      <w:r w:rsidR="006D1906" w:rsidRPr="006D1906">
        <w:rPr>
          <w:rFonts w:cs="Arial"/>
          <w:b/>
          <w:sz w:val="22"/>
          <w:szCs w:val="22"/>
        </w:rPr>
        <w:t xml:space="preserve"> a maximum </w:t>
      </w:r>
      <w:r w:rsidR="006D1906">
        <w:rPr>
          <w:rFonts w:cs="Arial"/>
          <w:b/>
          <w:sz w:val="22"/>
          <w:szCs w:val="22"/>
        </w:rPr>
        <w:t xml:space="preserve">value </w:t>
      </w:r>
      <w:r w:rsidR="006D1906" w:rsidRPr="006D1906">
        <w:rPr>
          <w:rFonts w:cs="Arial"/>
          <w:b/>
          <w:sz w:val="22"/>
          <w:szCs w:val="22"/>
        </w:rPr>
        <w:t>of £35,000 including all expenses and VAT.</w:t>
      </w:r>
      <w:r w:rsidR="006D1906">
        <w:rPr>
          <w:rFonts w:cs="Arial"/>
          <w:b/>
          <w:sz w:val="22"/>
          <w:szCs w:val="22"/>
        </w:rPr>
        <w:t xml:space="preserve"> Project 2 (Identity and well-being) has</w:t>
      </w:r>
      <w:r w:rsidR="006D1906" w:rsidRPr="006D1906">
        <w:rPr>
          <w:rFonts w:cs="Arial"/>
          <w:b/>
          <w:sz w:val="22"/>
          <w:szCs w:val="22"/>
        </w:rPr>
        <w:t xml:space="preserve"> a maximum of £25,000 including all expenses and VAT.</w:t>
      </w:r>
      <w:r w:rsidR="006D1906">
        <w:rPr>
          <w:rFonts w:cs="Arial"/>
          <w:b/>
          <w:sz w:val="22"/>
          <w:szCs w:val="22"/>
        </w:rPr>
        <w:t xml:space="preserve"> </w:t>
      </w:r>
    </w:p>
    <w:p w:rsidR="00EF3DAB" w:rsidRPr="00416648" w:rsidRDefault="00EF3DAB" w:rsidP="0044476C">
      <w:pPr>
        <w:tabs>
          <w:tab w:val="left" w:pos="2268"/>
          <w:tab w:val="left" w:pos="3420"/>
        </w:tabs>
        <w:jc w:val="both"/>
        <w:rPr>
          <w:rFonts w:cs="Arial"/>
          <w:b/>
          <w:sz w:val="22"/>
          <w:szCs w:val="22"/>
        </w:rPr>
      </w:pPr>
    </w:p>
    <w:p w:rsidR="00451264" w:rsidRPr="00416648" w:rsidRDefault="00AC4DD8" w:rsidP="0044476C">
      <w:pPr>
        <w:tabs>
          <w:tab w:val="left" w:pos="2268"/>
        </w:tabs>
        <w:jc w:val="both"/>
        <w:rPr>
          <w:rFonts w:cs="Arial"/>
          <w:noProof/>
          <w:sz w:val="22"/>
          <w:szCs w:val="22"/>
          <w:lang w:eastAsia="en-GB"/>
        </w:rPr>
      </w:pPr>
      <w:r w:rsidRPr="00416648">
        <w:rPr>
          <w:rFonts w:cs="Arial"/>
          <w:b/>
          <w:noProof/>
          <w:sz w:val="22"/>
          <w:szCs w:val="22"/>
          <w:lang w:eastAsia="en-GB"/>
        </w:rPr>
        <w:t>Closing date:</w:t>
      </w:r>
      <w:r w:rsidRPr="00416648">
        <w:rPr>
          <w:rFonts w:cs="Arial"/>
          <w:b/>
          <w:noProof/>
          <w:sz w:val="22"/>
          <w:szCs w:val="22"/>
          <w:lang w:eastAsia="en-GB"/>
        </w:rPr>
        <w:tab/>
      </w:r>
      <w:r w:rsidR="002C626A" w:rsidRPr="00430D57">
        <w:rPr>
          <w:rFonts w:cs="Arial"/>
          <w:sz w:val="22"/>
          <w:szCs w:val="22"/>
        </w:rPr>
        <w:t>Thursday 12</w:t>
      </w:r>
      <w:r w:rsidR="002C626A" w:rsidRPr="00430D57">
        <w:rPr>
          <w:rFonts w:cs="Arial"/>
          <w:sz w:val="22"/>
          <w:szCs w:val="22"/>
          <w:vertAlign w:val="superscript"/>
        </w:rPr>
        <w:t>th</w:t>
      </w:r>
      <w:r w:rsidR="002C626A" w:rsidRPr="00430D57">
        <w:rPr>
          <w:rFonts w:cs="Arial"/>
          <w:sz w:val="22"/>
          <w:szCs w:val="22"/>
        </w:rPr>
        <w:t xml:space="preserve"> January 2017 by 5pm</w:t>
      </w:r>
    </w:p>
    <w:p w:rsidR="00D835ED" w:rsidRPr="00416648" w:rsidRDefault="00D835ED" w:rsidP="0044476C">
      <w:pPr>
        <w:tabs>
          <w:tab w:val="left" w:pos="2268"/>
        </w:tabs>
        <w:ind w:left="2160" w:hanging="2160"/>
        <w:rPr>
          <w:rFonts w:cs="Arial"/>
          <w:b/>
          <w:sz w:val="22"/>
          <w:szCs w:val="22"/>
        </w:rPr>
      </w:pPr>
    </w:p>
    <w:p w:rsidR="00D835ED" w:rsidRPr="00416648" w:rsidRDefault="00D835ED" w:rsidP="004A7F3F">
      <w:pPr>
        <w:tabs>
          <w:tab w:val="left" w:pos="2268"/>
        </w:tabs>
        <w:ind w:left="2265" w:hanging="2265"/>
        <w:rPr>
          <w:rFonts w:cs="Arial"/>
          <w:sz w:val="22"/>
          <w:szCs w:val="22"/>
          <w:highlight w:val="yellow"/>
        </w:rPr>
      </w:pPr>
      <w:r w:rsidRPr="00416648">
        <w:rPr>
          <w:rFonts w:cs="Arial"/>
          <w:b/>
          <w:sz w:val="22"/>
          <w:szCs w:val="22"/>
        </w:rPr>
        <w:t>Management:</w:t>
      </w:r>
      <w:r w:rsidRPr="00416648">
        <w:rPr>
          <w:rFonts w:cs="Arial"/>
          <w:b/>
          <w:sz w:val="22"/>
          <w:szCs w:val="22"/>
        </w:rPr>
        <w:tab/>
      </w:r>
      <w:r w:rsidR="004A7F3F">
        <w:rPr>
          <w:rFonts w:cs="Arial"/>
          <w:b/>
          <w:sz w:val="22"/>
          <w:szCs w:val="22"/>
        </w:rPr>
        <w:tab/>
      </w:r>
      <w:r w:rsidR="004A7F3F" w:rsidRPr="004A7F3F">
        <w:rPr>
          <w:rFonts w:cs="Arial"/>
          <w:sz w:val="22"/>
          <w:szCs w:val="22"/>
        </w:rPr>
        <w:t>The commission will be overseen by</w:t>
      </w:r>
      <w:r w:rsidRPr="003F5E46">
        <w:rPr>
          <w:rFonts w:cs="Arial"/>
          <w:sz w:val="22"/>
          <w:szCs w:val="22"/>
        </w:rPr>
        <w:t xml:space="preserve"> </w:t>
      </w:r>
      <w:r w:rsidR="00340D3A" w:rsidRPr="003F5E46">
        <w:rPr>
          <w:rFonts w:cs="Arial"/>
          <w:sz w:val="22"/>
          <w:szCs w:val="22"/>
        </w:rPr>
        <w:t>Professor Leon Feinstein</w:t>
      </w:r>
      <w:r w:rsidR="0028335F" w:rsidRPr="003F5E46">
        <w:rPr>
          <w:rFonts w:cs="Arial"/>
          <w:sz w:val="22"/>
          <w:szCs w:val="22"/>
        </w:rPr>
        <w:t>, Director of Evidence</w:t>
      </w:r>
    </w:p>
    <w:p w:rsidR="00D835ED" w:rsidRPr="00416648" w:rsidRDefault="0044476C" w:rsidP="0044476C">
      <w:pPr>
        <w:tabs>
          <w:tab w:val="left" w:pos="2268"/>
        </w:tabs>
        <w:jc w:val="both"/>
        <w:rPr>
          <w:rFonts w:cs="Arial"/>
          <w:sz w:val="22"/>
          <w:szCs w:val="22"/>
        </w:rPr>
      </w:pPr>
      <w:r w:rsidRPr="003F5E46">
        <w:rPr>
          <w:rFonts w:cs="Arial"/>
          <w:sz w:val="22"/>
          <w:szCs w:val="22"/>
        </w:rPr>
        <w:tab/>
      </w:r>
    </w:p>
    <w:p w:rsidR="00F22314" w:rsidRPr="00416648" w:rsidRDefault="00F22314" w:rsidP="0044476C">
      <w:pPr>
        <w:tabs>
          <w:tab w:val="left" w:pos="2268"/>
        </w:tabs>
        <w:jc w:val="both"/>
        <w:rPr>
          <w:rFonts w:cs="Arial"/>
          <w:sz w:val="22"/>
          <w:szCs w:val="22"/>
        </w:rPr>
      </w:pPr>
    </w:p>
    <w:p w:rsidR="003F5E46" w:rsidRPr="003F5E46" w:rsidRDefault="00D835ED" w:rsidP="0044476C">
      <w:pPr>
        <w:tabs>
          <w:tab w:val="left" w:pos="2268"/>
        </w:tabs>
        <w:jc w:val="both"/>
        <w:rPr>
          <w:rFonts w:cs="Arial"/>
          <w:sz w:val="22"/>
          <w:szCs w:val="22"/>
        </w:rPr>
      </w:pPr>
      <w:r w:rsidRPr="00263B27">
        <w:rPr>
          <w:rFonts w:cs="Arial"/>
          <w:sz w:val="22"/>
          <w:szCs w:val="22"/>
        </w:rPr>
        <w:t>Telephone number:</w:t>
      </w:r>
      <w:r w:rsidRPr="00263B27">
        <w:rPr>
          <w:rFonts w:cs="Arial"/>
          <w:sz w:val="22"/>
          <w:szCs w:val="22"/>
        </w:rPr>
        <w:tab/>
      </w:r>
      <w:r w:rsidR="003F5E46" w:rsidRPr="00263B27">
        <w:rPr>
          <w:rFonts w:cs="Arial"/>
          <w:sz w:val="22"/>
          <w:szCs w:val="22"/>
        </w:rPr>
        <w:t>020 77</w:t>
      </w:r>
      <w:r w:rsidR="00263B27" w:rsidRPr="00263B27">
        <w:rPr>
          <w:rFonts w:cs="Arial"/>
          <w:sz w:val="22"/>
          <w:szCs w:val="22"/>
        </w:rPr>
        <w:t>3</w:t>
      </w:r>
      <w:r w:rsidR="003F5E46" w:rsidRPr="00263B27">
        <w:rPr>
          <w:rFonts w:cs="Arial"/>
          <w:sz w:val="22"/>
          <w:szCs w:val="22"/>
        </w:rPr>
        <w:t>3 8616</w:t>
      </w:r>
    </w:p>
    <w:p w:rsidR="00D835ED" w:rsidRPr="00416648" w:rsidRDefault="0044476C" w:rsidP="003F5E46">
      <w:pPr>
        <w:tabs>
          <w:tab w:val="left" w:pos="2268"/>
        </w:tabs>
        <w:jc w:val="both"/>
        <w:rPr>
          <w:rFonts w:cs="Arial"/>
          <w:b/>
          <w:noProof/>
          <w:color w:val="3366FF"/>
          <w:sz w:val="22"/>
          <w:szCs w:val="22"/>
          <w:lang w:eastAsia="en-GB"/>
        </w:rPr>
      </w:pPr>
      <w:r w:rsidRPr="003F5E46">
        <w:rPr>
          <w:rFonts w:cs="Arial"/>
          <w:sz w:val="22"/>
          <w:szCs w:val="22"/>
        </w:rPr>
        <w:t xml:space="preserve">Email: </w:t>
      </w:r>
      <w:r w:rsidRPr="003F5E46">
        <w:rPr>
          <w:rFonts w:cs="Arial"/>
          <w:sz w:val="22"/>
          <w:szCs w:val="22"/>
        </w:rPr>
        <w:tab/>
      </w:r>
      <w:hyperlink r:id="rId13" w:tgtFrame="_blank" w:history="1">
        <w:r w:rsidR="003F5E46" w:rsidRPr="003F5E46">
          <w:rPr>
            <w:rStyle w:val="Hyperlink"/>
            <w:rFonts w:cs="Arial"/>
            <w:sz w:val="22"/>
            <w:szCs w:val="22"/>
          </w:rPr>
          <w:t>leon.feinstein@childrenscommissioner.gsi.gov.uk</w:t>
        </w:r>
      </w:hyperlink>
    </w:p>
    <w:p w:rsidR="00090CD5" w:rsidRPr="00416648" w:rsidRDefault="00090CD5" w:rsidP="00D835ED">
      <w:pPr>
        <w:rPr>
          <w:rFonts w:cs="Arial"/>
          <w:b/>
          <w:noProof/>
          <w:color w:val="3366FF"/>
          <w:sz w:val="22"/>
          <w:szCs w:val="22"/>
          <w:lang w:eastAsia="en-GB"/>
        </w:rPr>
      </w:pPr>
    </w:p>
    <w:p w:rsidR="00BD6FE2" w:rsidRDefault="00BD6FE2" w:rsidP="00E51586">
      <w:pPr>
        <w:rPr>
          <w:rFonts w:cs="Arial"/>
          <w:b/>
          <w:sz w:val="22"/>
          <w:szCs w:val="22"/>
        </w:rPr>
      </w:pPr>
    </w:p>
    <w:p w:rsidR="003E71ED" w:rsidRPr="00E51586" w:rsidRDefault="00E51586" w:rsidP="00E51586">
      <w:pPr>
        <w:rPr>
          <w:b/>
        </w:rPr>
      </w:pPr>
      <w:r w:rsidRPr="00E51586">
        <w:rPr>
          <w:rFonts w:cs="Arial"/>
          <w:b/>
          <w:sz w:val="22"/>
          <w:szCs w:val="22"/>
        </w:rPr>
        <w:t>3.</w:t>
      </w:r>
      <w:r>
        <w:rPr>
          <w:b/>
        </w:rPr>
        <w:t xml:space="preserve">1 </w:t>
      </w:r>
      <w:r w:rsidR="003E71ED" w:rsidRPr="00E51586">
        <w:rPr>
          <w:b/>
        </w:rPr>
        <w:t xml:space="preserve">Overview </w:t>
      </w:r>
    </w:p>
    <w:p w:rsidR="00E51586" w:rsidRDefault="00E51586" w:rsidP="00E51586"/>
    <w:p w:rsidR="001064AA" w:rsidRDefault="00E51586" w:rsidP="001064AA">
      <w:pPr>
        <w:rPr>
          <w:sz w:val="22"/>
          <w:szCs w:val="22"/>
        </w:rPr>
      </w:pPr>
      <w:r w:rsidRPr="00F11F04">
        <w:rPr>
          <w:sz w:val="22"/>
          <w:szCs w:val="22"/>
        </w:rPr>
        <w:t xml:space="preserve">The Children’s Commissioner’s Office </w:t>
      </w:r>
      <w:r w:rsidR="0028335F">
        <w:rPr>
          <w:sz w:val="22"/>
          <w:szCs w:val="22"/>
        </w:rPr>
        <w:t>(</w:t>
      </w:r>
      <w:r w:rsidR="001064AA">
        <w:rPr>
          <w:sz w:val="22"/>
          <w:szCs w:val="22"/>
        </w:rPr>
        <w:t>CCO</w:t>
      </w:r>
      <w:r w:rsidR="0028335F">
        <w:rPr>
          <w:sz w:val="22"/>
          <w:szCs w:val="22"/>
        </w:rPr>
        <w:t>)</w:t>
      </w:r>
      <w:r w:rsidRPr="00F11F04">
        <w:rPr>
          <w:sz w:val="22"/>
          <w:szCs w:val="22"/>
        </w:rPr>
        <w:t xml:space="preserve"> wishes to commission </w:t>
      </w:r>
      <w:r w:rsidR="002B16F0">
        <w:rPr>
          <w:sz w:val="22"/>
          <w:szCs w:val="22"/>
        </w:rPr>
        <w:t>research and analysis</w:t>
      </w:r>
      <w:r w:rsidRPr="00F11F04">
        <w:rPr>
          <w:sz w:val="22"/>
          <w:szCs w:val="22"/>
        </w:rPr>
        <w:t xml:space="preserve"> which maps and </w:t>
      </w:r>
      <w:r w:rsidR="00227EA2">
        <w:rPr>
          <w:sz w:val="22"/>
          <w:szCs w:val="22"/>
        </w:rPr>
        <w:t>describes</w:t>
      </w:r>
      <w:r w:rsidRPr="00F11F04">
        <w:rPr>
          <w:sz w:val="22"/>
          <w:szCs w:val="22"/>
        </w:rPr>
        <w:t xml:space="preserve"> recent sources of evidence on the </w:t>
      </w:r>
      <w:r w:rsidR="00E85D60">
        <w:rPr>
          <w:sz w:val="22"/>
          <w:szCs w:val="22"/>
        </w:rPr>
        <w:t>patterns of progression through childhood and into adulthood of children</w:t>
      </w:r>
      <w:r w:rsidR="001064AA">
        <w:rPr>
          <w:sz w:val="22"/>
          <w:szCs w:val="22"/>
        </w:rPr>
        <w:t>, with a particular focus on children and young people</w:t>
      </w:r>
      <w:r w:rsidR="00E85D60">
        <w:rPr>
          <w:sz w:val="22"/>
          <w:szCs w:val="22"/>
        </w:rPr>
        <w:t xml:space="preserve"> growing up in the North of</w:t>
      </w:r>
      <w:r w:rsidR="00DE3B41">
        <w:rPr>
          <w:sz w:val="22"/>
          <w:szCs w:val="22"/>
        </w:rPr>
        <w:t xml:space="preserve"> England</w:t>
      </w:r>
      <w:r w:rsidR="000437FE">
        <w:rPr>
          <w:sz w:val="22"/>
          <w:szCs w:val="22"/>
        </w:rPr>
        <w:t xml:space="preserve">. </w:t>
      </w:r>
      <w:r w:rsidR="001064AA">
        <w:rPr>
          <w:sz w:val="22"/>
          <w:szCs w:val="22"/>
        </w:rPr>
        <w:t>We seek to commission 4 papers that</w:t>
      </w:r>
      <w:r w:rsidR="000437FE">
        <w:rPr>
          <w:sz w:val="22"/>
          <w:szCs w:val="22"/>
        </w:rPr>
        <w:t xml:space="preserve"> will</w:t>
      </w:r>
      <w:r w:rsidR="001E66F4" w:rsidRPr="00F11F04">
        <w:rPr>
          <w:sz w:val="22"/>
          <w:szCs w:val="22"/>
        </w:rPr>
        <w:t xml:space="preserve"> assist the </w:t>
      </w:r>
      <w:r w:rsidR="001064AA">
        <w:rPr>
          <w:sz w:val="22"/>
          <w:szCs w:val="22"/>
        </w:rPr>
        <w:t>CCO</w:t>
      </w:r>
      <w:r w:rsidR="001E66F4" w:rsidRPr="00F11F04">
        <w:rPr>
          <w:sz w:val="22"/>
          <w:szCs w:val="22"/>
        </w:rPr>
        <w:t xml:space="preserve"> </w:t>
      </w:r>
      <w:r w:rsidR="00647BD9">
        <w:rPr>
          <w:sz w:val="22"/>
          <w:szCs w:val="22"/>
        </w:rPr>
        <w:t xml:space="preserve">in </w:t>
      </w:r>
      <w:r w:rsidR="00E85D60">
        <w:rPr>
          <w:sz w:val="22"/>
          <w:szCs w:val="22"/>
        </w:rPr>
        <w:t>its Growing up North review</w:t>
      </w:r>
      <w:r w:rsidR="001E66F4" w:rsidRPr="00F11F04">
        <w:rPr>
          <w:sz w:val="22"/>
          <w:szCs w:val="22"/>
        </w:rPr>
        <w:t>.</w:t>
      </w:r>
      <w:r w:rsidRPr="00F11F04">
        <w:rPr>
          <w:sz w:val="22"/>
          <w:szCs w:val="22"/>
        </w:rPr>
        <w:t xml:space="preserve"> </w:t>
      </w:r>
    </w:p>
    <w:p w:rsidR="001064AA" w:rsidRDefault="001064AA" w:rsidP="001064AA">
      <w:pPr>
        <w:rPr>
          <w:sz w:val="22"/>
          <w:szCs w:val="22"/>
        </w:rPr>
      </w:pPr>
    </w:p>
    <w:p w:rsidR="00E51586" w:rsidRPr="00F11F04" w:rsidRDefault="001E66F4" w:rsidP="001064AA">
      <w:pPr>
        <w:rPr>
          <w:sz w:val="22"/>
          <w:szCs w:val="22"/>
        </w:rPr>
      </w:pPr>
      <w:r w:rsidRPr="00F11F04">
        <w:rPr>
          <w:sz w:val="22"/>
          <w:szCs w:val="22"/>
        </w:rPr>
        <w:t xml:space="preserve">The work will take place </w:t>
      </w:r>
      <w:r w:rsidR="002B16F0">
        <w:rPr>
          <w:sz w:val="22"/>
          <w:szCs w:val="22"/>
        </w:rPr>
        <w:t>between January</w:t>
      </w:r>
      <w:r w:rsidRPr="00F11F04">
        <w:rPr>
          <w:sz w:val="22"/>
          <w:szCs w:val="22"/>
        </w:rPr>
        <w:t xml:space="preserve"> </w:t>
      </w:r>
      <w:r w:rsidR="002B16F0">
        <w:rPr>
          <w:sz w:val="22"/>
          <w:szCs w:val="22"/>
        </w:rPr>
        <w:t xml:space="preserve">and </w:t>
      </w:r>
      <w:r w:rsidR="004A7F3F">
        <w:rPr>
          <w:sz w:val="22"/>
          <w:szCs w:val="22"/>
        </w:rPr>
        <w:t>May</w:t>
      </w:r>
      <w:r w:rsidR="002B16F0">
        <w:rPr>
          <w:sz w:val="22"/>
          <w:szCs w:val="22"/>
        </w:rPr>
        <w:t xml:space="preserve"> </w:t>
      </w:r>
      <w:r w:rsidRPr="00F11F04">
        <w:rPr>
          <w:sz w:val="22"/>
          <w:szCs w:val="22"/>
        </w:rPr>
        <w:t>2017</w:t>
      </w:r>
      <w:r w:rsidR="002B16F0">
        <w:rPr>
          <w:sz w:val="22"/>
          <w:szCs w:val="22"/>
        </w:rPr>
        <w:t xml:space="preserve"> with substantial preliminary outputs by the end of March 2017</w:t>
      </w:r>
      <w:r w:rsidR="00647BD9">
        <w:rPr>
          <w:sz w:val="22"/>
          <w:szCs w:val="22"/>
        </w:rPr>
        <w:t>.</w:t>
      </w:r>
    </w:p>
    <w:p w:rsidR="001E66F4" w:rsidRPr="00F11F04" w:rsidRDefault="001E66F4" w:rsidP="00E51586">
      <w:pPr>
        <w:rPr>
          <w:sz w:val="22"/>
          <w:szCs w:val="22"/>
        </w:rPr>
      </w:pPr>
    </w:p>
    <w:p w:rsidR="001E66F4" w:rsidRPr="00F11F04" w:rsidRDefault="00993F75" w:rsidP="00E51586">
      <w:pPr>
        <w:rPr>
          <w:sz w:val="22"/>
          <w:szCs w:val="22"/>
        </w:rPr>
      </w:pPr>
      <w:r>
        <w:rPr>
          <w:sz w:val="22"/>
          <w:szCs w:val="22"/>
        </w:rPr>
        <w:t xml:space="preserve">The work will mainly take the form of literature review rather than new </w:t>
      </w:r>
      <w:r w:rsidR="00816372">
        <w:rPr>
          <w:sz w:val="22"/>
          <w:szCs w:val="22"/>
        </w:rPr>
        <w:t xml:space="preserve">data </w:t>
      </w:r>
      <w:r>
        <w:rPr>
          <w:sz w:val="22"/>
          <w:szCs w:val="22"/>
        </w:rPr>
        <w:t xml:space="preserve">analysis or new data collection. </w:t>
      </w:r>
      <w:r w:rsidR="001E66F4" w:rsidRPr="00F11F04">
        <w:rPr>
          <w:sz w:val="22"/>
          <w:szCs w:val="22"/>
        </w:rPr>
        <w:t xml:space="preserve">The </w:t>
      </w:r>
      <w:r w:rsidR="001064AA">
        <w:rPr>
          <w:sz w:val="22"/>
          <w:szCs w:val="22"/>
        </w:rPr>
        <w:t>CCO</w:t>
      </w:r>
      <w:r w:rsidR="001E66F4" w:rsidRPr="00F11F04">
        <w:rPr>
          <w:sz w:val="22"/>
          <w:szCs w:val="22"/>
        </w:rPr>
        <w:t xml:space="preserve"> is seeking </w:t>
      </w:r>
      <w:r w:rsidR="00647BD9">
        <w:rPr>
          <w:sz w:val="22"/>
          <w:szCs w:val="22"/>
        </w:rPr>
        <w:t>tenders</w:t>
      </w:r>
      <w:r w:rsidR="001E66F4" w:rsidRPr="00F11F04">
        <w:rPr>
          <w:sz w:val="22"/>
          <w:szCs w:val="22"/>
        </w:rPr>
        <w:t xml:space="preserve"> from organisations or contractors with </w:t>
      </w:r>
      <w:r w:rsidR="00E2053D" w:rsidRPr="00F11F04">
        <w:rPr>
          <w:sz w:val="22"/>
          <w:szCs w:val="22"/>
        </w:rPr>
        <w:t xml:space="preserve">a proven track record of </w:t>
      </w:r>
      <w:r w:rsidR="00FD57D1">
        <w:rPr>
          <w:sz w:val="22"/>
          <w:szCs w:val="22"/>
        </w:rPr>
        <w:t>work in this area and the expertise to review panel data and cohort studies, analyse pathways of progression and deliver</w:t>
      </w:r>
      <w:r w:rsidR="00290107" w:rsidRPr="00F11F04">
        <w:rPr>
          <w:sz w:val="22"/>
          <w:szCs w:val="22"/>
        </w:rPr>
        <w:t xml:space="preserve"> </w:t>
      </w:r>
      <w:r w:rsidR="00C5539D">
        <w:rPr>
          <w:sz w:val="22"/>
          <w:szCs w:val="22"/>
        </w:rPr>
        <w:t>rapid reviews in sys</w:t>
      </w:r>
      <w:r w:rsidR="00227EA2">
        <w:rPr>
          <w:sz w:val="22"/>
          <w:szCs w:val="22"/>
        </w:rPr>
        <w:t>tematic ways</w:t>
      </w:r>
      <w:r w:rsidR="00290107" w:rsidRPr="00F11F04">
        <w:rPr>
          <w:sz w:val="22"/>
          <w:szCs w:val="22"/>
        </w:rPr>
        <w:t>.</w:t>
      </w:r>
      <w:r>
        <w:rPr>
          <w:sz w:val="22"/>
          <w:szCs w:val="22"/>
        </w:rPr>
        <w:t xml:space="preserve"> </w:t>
      </w:r>
    </w:p>
    <w:p w:rsidR="003E71ED" w:rsidRPr="00584D89" w:rsidRDefault="003E71ED" w:rsidP="003E71ED">
      <w:pPr>
        <w:rPr>
          <w:rFonts w:cs="Arial"/>
          <w:sz w:val="22"/>
          <w:szCs w:val="22"/>
        </w:rPr>
      </w:pPr>
    </w:p>
    <w:p w:rsidR="004A7F3F" w:rsidRDefault="00816372" w:rsidP="004A7F3F">
      <w:pPr>
        <w:jc w:val="both"/>
        <w:rPr>
          <w:sz w:val="22"/>
          <w:szCs w:val="22"/>
        </w:rPr>
      </w:pPr>
      <w:r w:rsidRPr="00F85561">
        <w:rPr>
          <w:sz w:val="22"/>
          <w:szCs w:val="22"/>
        </w:rPr>
        <w:t xml:space="preserve">The work is available in two </w:t>
      </w:r>
      <w:r w:rsidR="00AA237D" w:rsidRPr="00F85561">
        <w:rPr>
          <w:sz w:val="22"/>
          <w:szCs w:val="22"/>
        </w:rPr>
        <w:t>project</w:t>
      </w:r>
      <w:r w:rsidRPr="00F85561">
        <w:rPr>
          <w:sz w:val="22"/>
          <w:szCs w:val="22"/>
        </w:rPr>
        <w:t xml:space="preserve">s, each </w:t>
      </w:r>
      <w:r w:rsidR="00AA237D" w:rsidRPr="00F85561">
        <w:rPr>
          <w:sz w:val="22"/>
          <w:szCs w:val="22"/>
        </w:rPr>
        <w:t>produc</w:t>
      </w:r>
      <w:r w:rsidRPr="00F85561">
        <w:rPr>
          <w:sz w:val="22"/>
          <w:szCs w:val="22"/>
        </w:rPr>
        <w:t xml:space="preserve">ing two distinct papers. </w:t>
      </w:r>
      <w:r w:rsidR="004A7F3F" w:rsidRPr="00F85561">
        <w:rPr>
          <w:sz w:val="22"/>
          <w:szCs w:val="22"/>
        </w:rPr>
        <w:t xml:space="preserve">We would welcome bids </w:t>
      </w:r>
      <w:r w:rsidR="00AA237D" w:rsidRPr="00F85561">
        <w:rPr>
          <w:sz w:val="22"/>
          <w:szCs w:val="22"/>
        </w:rPr>
        <w:t>for either project and/or for both</w:t>
      </w:r>
      <w:r w:rsidR="004A7F3F" w:rsidRPr="00F85561">
        <w:rPr>
          <w:sz w:val="22"/>
          <w:szCs w:val="22"/>
        </w:rPr>
        <w:t>.</w:t>
      </w:r>
      <w:r w:rsidR="00993F75" w:rsidRPr="00F85561">
        <w:rPr>
          <w:sz w:val="22"/>
          <w:szCs w:val="22"/>
        </w:rPr>
        <w:t xml:space="preserve"> Funding of £3</w:t>
      </w:r>
      <w:r w:rsidR="0001166E" w:rsidRPr="00F85561">
        <w:rPr>
          <w:sz w:val="22"/>
          <w:szCs w:val="22"/>
        </w:rPr>
        <w:t>5</w:t>
      </w:r>
      <w:r w:rsidR="00F85561" w:rsidRPr="00F85561">
        <w:rPr>
          <w:sz w:val="22"/>
          <w:szCs w:val="22"/>
        </w:rPr>
        <w:t>,000</w:t>
      </w:r>
      <w:r w:rsidR="001064AA" w:rsidRPr="00F85561">
        <w:rPr>
          <w:sz w:val="22"/>
          <w:szCs w:val="22"/>
        </w:rPr>
        <w:t xml:space="preserve"> all inclusive is available </w:t>
      </w:r>
      <w:r w:rsidR="00993F75" w:rsidRPr="00F85561">
        <w:rPr>
          <w:sz w:val="22"/>
          <w:szCs w:val="22"/>
        </w:rPr>
        <w:t xml:space="preserve">for </w:t>
      </w:r>
      <w:r w:rsidR="00AA237D" w:rsidRPr="00F85561">
        <w:rPr>
          <w:sz w:val="22"/>
          <w:szCs w:val="22"/>
        </w:rPr>
        <w:t>project</w:t>
      </w:r>
      <w:r w:rsidR="0001166E" w:rsidRPr="00F85561">
        <w:rPr>
          <w:sz w:val="22"/>
          <w:szCs w:val="22"/>
        </w:rPr>
        <w:t xml:space="preserve"> 1 and £25</w:t>
      </w:r>
      <w:r w:rsidR="00F85561" w:rsidRPr="00F85561">
        <w:rPr>
          <w:sz w:val="22"/>
          <w:szCs w:val="22"/>
        </w:rPr>
        <w:t>,000</w:t>
      </w:r>
      <w:r w:rsidR="0001166E" w:rsidRPr="00F85561">
        <w:rPr>
          <w:sz w:val="22"/>
          <w:szCs w:val="22"/>
        </w:rPr>
        <w:t xml:space="preserve"> all inclusive for project 2</w:t>
      </w:r>
      <w:r w:rsidR="001064AA" w:rsidRPr="00F85561">
        <w:rPr>
          <w:sz w:val="22"/>
          <w:szCs w:val="22"/>
        </w:rPr>
        <w:t xml:space="preserve">. We would expect efficiencies in bids aiming to tackle </w:t>
      </w:r>
      <w:r w:rsidR="00BC7F8A" w:rsidRPr="00F85561">
        <w:rPr>
          <w:sz w:val="22"/>
          <w:szCs w:val="22"/>
        </w:rPr>
        <w:t>both of the</w:t>
      </w:r>
      <w:r w:rsidR="001064AA" w:rsidRPr="00F85561">
        <w:rPr>
          <w:sz w:val="22"/>
          <w:szCs w:val="22"/>
        </w:rPr>
        <w:t xml:space="preserve"> </w:t>
      </w:r>
      <w:r w:rsidR="00AA237D" w:rsidRPr="00F85561">
        <w:rPr>
          <w:sz w:val="22"/>
          <w:szCs w:val="22"/>
        </w:rPr>
        <w:t>project</w:t>
      </w:r>
      <w:r w:rsidR="001064AA" w:rsidRPr="00F85561">
        <w:rPr>
          <w:sz w:val="22"/>
          <w:szCs w:val="22"/>
        </w:rPr>
        <w:t>s.</w:t>
      </w:r>
    </w:p>
    <w:p w:rsidR="00290107" w:rsidRDefault="00290107" w:rsidP="007E188D">
      <w:pPr>
        <w:tabs>
          <w:tab w:val="left" w:pos="360"/>
        </w:tabs>
        <w:jc w:val="both"/>
        <w:rPr>
          <w:rFonts w:cs="Arial"/>
          <w:b/>
          <w:sz w:val="22"/>
          <w:szCs w:val="22"/>
        </w:rPr>
      </w:pPr>
    </w:p>
    <w:p w:rsidR="007E188D" w:rsidRPr="00416648" w:rsidRDefault="00174785" w:rsidP="007E188D">
      <w:pPr>
        <w:tabs>
          <w:tab w:val="left" w:pos="360"/>
        </w:tabs>
        <w:jc w:val="both"/>
        <w:rPr>
          <w:rFonts w:cs="Arial"/>
          <w:b/>
          <w:sz w:val="22"/>
          <w:szCs w:val="22"/>
        </w:rPr>
      </w:pPr>
      <w:r>
        <w:rPr>
          <w:rFonts w:cs="Arial"/>
          <w:b/>
          <w:sz w:val="22"/>
          <w:szCs w:val="22"/>
        </w:rPr>
        <w:t>3.2</w:t>
      </w:r>
      <w:r w:rsidR="007E188D" w:rsidRPr="00416648">
        <w:rPr>
          <w:rFonts w:cs="Arial"/>
          <w:b/>
          <w:sz w:val="22"/>
          <w:szCs w:val="22"/>
        </w:rPr>
        <w:tab/>
        <w:t>Background to this study</w:t>
      </w:r>
      <w:r w:rsidR="006B668F">
        <w:rPr>
          <w:rFonts w:cs="Arial"/>
          <w:b/>
          <w:sz w:val="22"/>
          <w:szCs w:val="22"/>
        </w:rPr>
        <w:t>. The wider Growing up North project of the Children’s Commissioner.</w:t>
      </w:r>
    </w:p>
    <w:p w:rsidR="006B668F" w:rsidRPr="00986DD5" w:rsidRDefault="006B668F" w:rsidP="006B668F">
      <w:pPr>
        <w:jc w:val="both"/>
        <w:rPr>
          <w:sz w:val="22"/>
          <w:szCs w:val="22"/>
        </w:rPr>
      </w:pPr>
      <w:r w:rsidRPr="00986DD5">
        <w:rPr>
          <w:sz w:val="22"/>
          <w:szCs w:val="22"/>
        </w:rPr>
        <w:t xml:space="preserve">Growing up North seeks to examine the </w:t>
      </w:r>
      <w:r w:rsidR="00B1667E">
        <w:rPr>
          <w:sz w:val="22"/>
          <w:szCs w:val="22"/>
        </w:rPr>
        <w:t>experiences and development</w:t>
      </w:r>
      <w:r w:rsidRPr="00986DD5">
        <w:rPr>
          <w:sz w:val="22"/>
          <w:szCs w:val="22"/>
        </w:rPr>
        <w:t xml:space="preserve"> </w:t>
      </w:r>
      <w:r w:rsidR="00B1667E">
        <w:rPr>
          <w:sz w:val="22"/>
          <w:szCs w:val="22"/>
        </w:rPr>
        <w:t xml:space="preserve">of </w:t>
      </w:r>
      <w:r w:rsidRPr="00986DD5">
        <w:rPr>
          <w:sz w:val="22"/>
          <w:szCs w:val="22"/>
        </w:rPr>
        <w:t xml:space="preserve">children in the North of England in the context of an increased </w:t>
      </w:r>
      <w:r>
        <w:rPr>
          <w:sz w:val="22"/>
          <w:szCs w:val="22"/>
        </w:rPr>
        <w:t xml:space="preserve">policy </w:t>
      </w:r>
      <w:r w:rsidRPr="00986DD5">
        <w:rPr>
          <w:sz w:val="22"/>
          <w:szCs w:val="22"/>
        </w:rPr>
        <w:t xml:space="preserve">focus on the economic North-South divide and ambitious devolution and regeneration </w:t>
      </w:r>
      <w:r>
        <w:rPr>
          <w:sz w:val="22"/>
          <w:szCs w:val="22"/>
        </w:rPr>
        <w:t>objective</w:t>
      </w:r>
      <w:r w:rsidRPr="00986DD5">
        <w:rPr>
          <w:sz w:val="22"/>
          <w:szCs w:val="22"/>
        </w:rPr>
        <w:t xml:space="preserve">s. </w:t>
      </w:r>
      <w:r w:rsidR="00B1667E">
        <w:rPr>
          <w:sz w:val="22"/>
          <w:szCs w:val="22"/>
        </w:rPr>
        <w:t>Growing up North</w:t>
      </w:r>
      <w:r w:rsidRPr="00986DD5">
        <w:rPr>
          <w:sz w:val="22"/>
          <w:szCs w:val="22"/>
        </w:rPr>
        <w:t xml:space="preserve"> </w:t>
      </w:r>
      <w:r>
        <w:rPr>
          <w:sz w:val="22"/>
          <w:szCs w:val="22"/>
        </w:rPr>
        <w:t xml:space="preserve">will </w:t>
      </w:r>
      <w:r w:rsidR="00B1667E">
        <w:rPr>
          <w:sz w:val="22"/>
          <w:szCs w:val="22"/>
        </w:rPr>
        <w:t xml:space="preserve">explore and assess </w:t>
      </w:r>
      <w:r w:rsidRPr="00986DD5">
        <w:rPr>
          <w:sz w:val="22"/>
          <w:szCs w:val="22"/>
        </w:rPr>
        <w:t xml:space="preserve">the interaction between social mobility and where </w:t>
      </w:r>
      <w:r>
        <w:rPr>
          <w:sz w:val="22"/>
          <w:szCs w:val="22"/>
        </w:rPr>
        <w:t>children</w:t>
      </w:r>
      <w:r w:rsidRPr="00986DD5">
        <w:rPr>
          <w:sz w:val="22"/>
          <w:szCs w:val="22"/>
        </w:rPr>
        <w:t xml:space="preserve"> grow up; to understand how growing </w:t>
      </w:r>
      <w:r w:rsidRPr="00986DD5">
        <w:rPr>
          <w:sz w:val="22"/>
          <w:szCs w:val="22"/>
        </w:rPr>
        <w:lastRenderedPageBreak/>
        <w:t>up in particular area</w:t>
      </w:r>
      <w:r>
        <w:rPr>
          <w:sz w:val="22"/>
          <w:szCs w:val="22"/>
        </w:rPr>
        <w:t>s</w:t>
      </w:r>
      <w:r w:rsidRPr="00986DD5">
        <w:rPr>
          <w:sz w:val="22"/>
          <w:szCs w:val="22"/>
        </w:rPr>
        <w:t xml:space="preserve"> impacts on a child’s chances in life. </w:t>
      </w:r>
    </w:p>
    <w:p w:rsidR="006B668F" w:rsidRPr="00986DD5" w:rsidRDefault="006B668F" w:rsidP="006B668F">
      <w:pPr>
        <w:rPr>
          <w:sz w:val="22"/>
          <w:szCs w:val="22"/>
        </w:rPr>
      </w:pPr>
    </w:p>
    <w:p w:rsidR="006B668F" w:rsidRPr="00986DD5" w:rsidRDefault="006B668F" w:rsidP="006B668F">
      <w:pPr>
        <w:jc w:val="both"/>
        <w:rPr>
          <w:sz w:val="22"/>
          <w:szCs w:val="22"/>
        </w:rPr>
      </w:pPr>
      <w:r>
        <w:rPr>
          <w:sz w:val="22"/>
          <w:szCs w:val="22"/>
        </w:rPr>
        <w:t>The Children’s Commissioner</w:t>
      </w:r>
      <w:r w:rsidRPr="00986DD5">
        <w:rPr>
          <w:sz w:val="22"/>
          <w:szCs w:val="22"/>
        </w:rPr>
        <w:t xml:space="preserve"> believe</w:t>
      </w:r>
      <w:r w:rsidR="004A7F3F">
        <w:rPr>
          <w:sz w:val="22"/>
          <w:szCs w:val="22"/>
        </w:rPr>
        <w:t>s</w:t>
      </w:r>
      <w:r w:rsidRPr="00986DD5">
        <w:rPr>
          <w:sz w:val="22"/>
          <w:szCs w:val="22"/>
        </w:rPr>
        <w:t xml:space="preserve"> this is a question which ought to be at the heart of the devolution agenda, embedded in plans for new city regions and the ‘Northern Powerhouse’. But too often the things that really affect children’s life chances – the complex interplay of education, wealth, health, labour markets, family aspiration, even transport links – are considered in isolation, without a thorough understanding of how they interact to create opportunity; or how they affect children’s expectations and goals. From next year, many northern areas will have regional governments headed by directly elected mayors. </w:t>
      </w:r>
      <w:r>
        <w:rPr>
          <w:sz w:val="22"/>
          <w:szCs w:val="22"/>
        </w:rPr>
        <w:t xml:space="preserve">The Commissioner </w:t>
      </w:r>
      <w:r w:rsidRPr="00986DD5">
        <w:rPr>
          <w:sz w:val="22"/>
          <w:szCs w:val="22"/>
        </w:rPr>
        <w:t>believe</w:t>
      </w:r>
      <w:r w:rsidR="004A7F3F">
        <w:rPr>
          <w:sz w:val="22"/>
          <w:szCs w:val="22"/>
        </w:rPr>
        <w:t>s</w:t>
      </w:r>
      <w:r w:rsidRPr="00986DD5">
        <w:rPr>
          <w:sz w:val="22"/>
          <w:szCs w:val="22"/>
        </w:rPr>
        <w:t xml:space="preserve"> these regions have the opportunity to develop integrated industrial, educational and social mobility strategies, and </w:t>
      </w:r>
      <w:r>
        <w:rPr>
          <w:sz w:val="22"/>
          <w:szCs w:val="22"/>
        </w:rPr>
        <w:t>we</w:t>
      </w:r>
      <w:r w:rsidRPr="00986DD5">
        <w:rPr>
          <w:sz w:val="22"/>
          <w:szCs w:val="22"/>
        </w:rPr>
        <w:t xml:space="preserve"> want to identify how this can best be don</w:t>
      </w:r>
      <w:r>
        <w:rPr>
          <w:sz w:val="22"/>
          <w:szCs w:val="22"/>
        </w:rPr>
        <w:t xml:space="preserve">e, </w:t>
      </w:r>
      <w:r w:rsidRPr="00986DD5">
        <w:rPr>
          <w:sz w:val="22"/>
          <w:szCs w:val="22"/>
        </w:rPr>
        <w:t xml:space="preserve">to put children at the heart of regeneration. </w:t>
      </w:r>
    </w:p>
    <w:p w:rsidR="006B668F" w:rsidRPr="00986DD5" w:rsidRDefault="006B668F" w:rsidP="006B668F">
      <w:pPr>
        <w:jc w:val="both"/>
        <w:rPr>
          <w:sz w:val="22"/>
          <w:szCs w:val="22"/>
        </w:rPr>
      </w:pPr>
    </w:p>
    <w:p w:rsidR="006B668F" w:rsidRDefault="006B668F" w:rsidP="006B668F">
      <w:pPr>
        <w:rPr>
          <w:sz w:val="22"/>
          <w:szCs w:val="22"/>
          <w:highlight w:val="yellow"/>
        </w:rPr>
      </w:pPr>
      <w:r w:rsidRPr="00986DD5">
        <w:rPr>
          <w:sz w:val="22"/>
          <w:szCs w:val="22"/>
        </w:rPr>
        <w:t xml:space="preserve">The </w:t>
      </w:r>
      <w:r>
        <w:rPr>
          <w:sz w:val="22"/>
          <w:szCs w:val="22"/>
        </w:rPr>
        <w:t>Growing up North project will run for</w:t>
      </w:r>
      <w:r w:rsidRPr="00986DD5">
        <w:rPr>
          <w:sz w:val="22"/>
          <w:szCs w:val="22"/>
        </w:rPr>
        <w:t xml:space="preserve"> 15 months encompass</w:t>
      </w:r>
      <w:r>
        <w:rPr>
          <w:sz w:val="22"/>
          <w:szCs w:val="22"/>
        </w:rPr>
        <w:t xml:space="preserve">ing work on </w:t>
      </w:r>
      <w:r w:rsidRPr="00986DD5">
        <w:rPr>
          <w:sz w:val="22"/>
          <w:szCs w:val="22"/>
        </w:rPr>
        <w:t xml:space="preserve">policy, practice and research. The project will include an extensive program of visits to meet and engage with politicians, policymakers and practitioners. </w:t>
      </w:r>
      <w:r>
        <w:rPr>
          <w:sz w:val="22"/>
          <w:szCs w:val="22"/>
        </w:rPr>
        <w:t>It will include</w:t>
      </w:r>
      <w:r w:rsidRPr="00986DD5">
        <w:rPr>
          <w:sz w:val="22"/>
          <w:szCs w:val="22"/>
        </w:rPr>
        <w:t xml:space="preserve"> qualitative research with young people to understand how they see their prospects and opportunities, and how this reflects the availability and quality of local services. </w:t>
      </w:r>
      <w:r>
        <w:rPr>
          <w:sz w:val="22"/>
          <w:szCs w:val="22"/>
        </w:rPr>
        <w:t>In addition, we will be looking to use the Commissioner’s statutory powers of data collection to improve our understanding of children’s progression.</w:t>
      </w:r>
    </w:p>
    <w:p w:rsidR="000437FE" w:rsidRDefault="000437FE" w:rsidP="000437FE">
      <w:pPr>
        <w:rPr>
          <w:sz w:val="22"/>
          <w:szCs w:val="22"/>
        </w:rPr>
      </w:pPr>
    </w:p>
    <w:p w:rsidR="001064AA" w:rsidRDefault="001064AA" w:rsidP="000437FE">
      <w:pPr>
        <w:rPr>
          <w:sz w:val="22"/>
          <w:szCs w:val="22"/>
        </w:rPr>
      </w:pPr>
      <w:r>
        <w:rPr>
          <w:sz w:val="22"/>
          <w:szCs w:val="22"/>
        </w:rPr>
        <w:t xml:space="preserve">This Invitation to Tender concerns </w:t>
      </w:r>
      <w:r w:rsidR="005561AA">
        <w:rPr>
          <w:sz w:val="22"/>
          <w:szCs w:val="22"/>
        </w:rPr>
        <w:t>a</w:t>
      </w:r>
      <w:r>
        <w:rPr>
          <w:sz w:val="22"/>
          <w:szCs w:val="22"/>
        </w:rPr>
        <w:t xml:space="preserve"> first phase of research and analysis. This work should support wider policy and practice conversations and inform the second phase of Growing up North.  </w:t>
      </w:r>
    </w:p>
    <w:p w:rsidR="00647BD9" w:rsidRPr="00C5539D" w:rsidRDefault="00647BD9" w:rsidP="003E71ED">
      <w:pPr>
        <w:rPr>
          <w:sz w:val="22"/>
          <w:szCs w:val="22"/>
        </w:rPr>
      </w:pPr>
    </w:p>
    <w:p w:rsidR="003E71ED" w:rsidRPr="00584D89" w:rsidRDefault="003E71ED" w:rsidP="003E71ED">
      <w:pPr>
        <w:rPr>
          <w:rFonts w:cs="Arial"/>
          <w:b/>
          <w:sz w:val="22"/>
          <w:szCs w:val="22"/>
        </w:rPr>
      </w:pPr>
      <w:r w:rsidRPr="00584D89">
        <w:rPr>
          <w:rFonts w:cs="Arial"/>
          <w:b/>
          <w:sz w:val="22"/>
          <w:szCs w:val="22"/>
        </w:rPr>
        <w:t xml:space="preserve">3.3 </w:t>
      </w:r>
      <w:r w:rsidRPr="00584D89">
        <w:rPr>
          <w:rFonts w:cs="Arial"/>
          <w:b/>
          <w:sz w:val="22"/>
          <w:szCs w:val="22"/>
        </w:rPr>
        <w:tab/>
        <w:t xml:space="preserve">Research Objectives </w:t>
      </w:r>
      <w:r w:rsidR="00422A2D">
        <w:rPr>
          <w:rFonts w:cs="Arial"/>
          <w:b/>
          <w:sz w:val="22"/>
          <w:szCs w:val="22"/>
        </w:rPr>
        <w:t>and methods</w:t>
      </w:r>
    </w:p>
    <w:p w:rsidR="003E71ED" w:rsidRPr="00127C76" w:rsidRDefault="003E71ED" w:rsidP="003E71ED">
      <w:pPr>
        <w:rPr>
          <w:rFonts w:cs="Arial"/>
          <w:sz w:val="20"/>
          <w:szCs w:val="22"/>
          <w:lang w:eastAsia="en-GB"/>
        </w:rPr>
      </w:pPr>
    </w:p>
    <w:p w:rsidR="001064AA" w:rsidRDefault="006B668F" w:rsidP="00FD57D1">
      <w:pPr>
        <w:rPr>
          <w:rFonts w:cs="Arial"/>
          <w:sz w:val="22"/>
          <w:szCs w:val="22"/>
          <w:shd w:val="clear" w:color="auto" w:fill="FFFFFF"/>
        </w:rPr>
      </w:pPr>
      <w:r>
        <w:rPr>
          <w:sz w:val="22"/>
          <w:szCs w:val="22"/>
          <w:lang w:eastAsia="en-GB"/>
        </w:rPr>
        <w:t>Within the wider Growing up North project, t</w:t>
      </w:r>
      <w:r w:rsidR="003E71ED" w:rsidRPr="00F11F04">
        <w:rPr>
          <w:sz w:val="22"/>
          <w:szCs w:val="22"/>
          <w:lang w:eastAsia="en-GB"/>
        </w:rPr>
        <w:t xml:space="preserve">he </w:t>
      </w:r>
      <w:r w:rsidR="002B16F0">
        <w:rPr>
          <w:sz w:val="22"/>
          <w:szCs w:val="22"/>
          <w:lang w:eastAsia="en-GB"/>
        </w:rPr>
        <w:t>aim</w:t>
      </w:r>
      <w:r w:rsidR="00FA1DBF">
        <w:rPr>
          <w:sz w:val="22"/>
          <w:szCs w:val="22"/>
          <w:lang w:eastAsia="en-GB"/>
        </w:rPr>
        <w:t xml:space="preserve"> </w:t>
      </w:r>
      <w:r>
        <w:rPr>
          <w:sz w:val="22"/>
          <w:szCs w:val="22"/>
          <w:lang w:eastAsia="en-GB"/>
        </w:rPr>
        <w:t xml:space="preserve">of the commissioned research set out in this ITT </w:t>
      </w:r>
      <w:r w:rsidR="00FA1DBF">
        <w:rPr>
          <w:sz w:val="22"/>
          <w:szCs w:val="22"/>
          <w:lang w:eastAsia="en-GB"/>
        </w:rPr>
        <w:t>is</w:t>
      </w:r>
      <w:r w:rsidR="00FD57D1">
        <w:rPr>
          <w:sz w:val="22"/>
          <w:szCs w:val="22"/>
          <w:lang w:eastAsia="en-GB"/>
        </w:rPr>
        <w:t xml:space="preserve"> t</w:t>
      </w:r>
      <w:r w:rsidR="00BC72C3" w:rsidRPr="00F11F04">
        <w:rPr>
          <w:rFonts w:cs="Arial"/>
          <w:sz w:val="22"/>
          <w:szCs w:val="22"/>
          <w:shd w:val="clear" w:color="auto" w:fill="FFFFFF"/>
        </w:rPr>
        <w:t>o</w:t>
      </w:r>
      <w:r w:rsidR="00FD57D1">
        <w:rPr>
          <w:rFonts w:cs="Arial"/>
          <w:sz w:val="22"/>
          <w:szCs w:val="22"/>
          <w:shd w:val="clear" w:color="auto" w:fill="FFFFFF"/>
        </w:rPr>
        <w:t xml:space="preserve"> e</w:t>
      </w:r>
      <w:r w:rsidR="00BC72C3" w:rsidRPr="00F11F04">
        <w:rPr>
          <w:rFonts w:cs="Arial"/>
          <w:sz w:val="22"/>
          <w:szCs w:val="22"/>
          <w:shd w:val="clear" w:color="auto" w:fill="FFFFFF"/>
        </w:rPr>
        <w:t>xplore</w:t>
      </w:r>
      <w:r w:rsidR="009739A4">
        <w:rPr>
          <w:rFonts w:cs="Arial"/>
          <w:sz w:val="22"/>
          <w:szCs w:val="22"/>
          <w:shd w:val="clear" w:color="auto" w:fill="FFFFFF"/>
        </w:rPr>
        <w:t>, describe</w:t>
      </w:r>
      <w:r w:rsidR="00BC72C3" w:rsidRPr="00F11F04">
        <w:rPr>
          <w:rFonts w:cs="Arial"/>
          <w:sz w:val="22"/>
          <w:szCs w:val="22"/>
          <w:shd w:val="clear" w:color="auto" w:fill="FFFFFF"/>
        </w:rPr>
        <w:t xml:space="preserve"> and map </w:t>
      </w:r>
      <w:r w:rsidR="00353382">
        <w:rPr>
          <w:rFonts w:cs="Arial"/>
          <w:sz w:val="22"/>
          <w:szCs w:val="22"/>
          <w:shd w:val="clear" w:color="auto" w:fill="FFFFFF"/>
        </w:rPr>
        <w:t xml:space="preserve">the </w:t>
      </w:r>
      <w:r w:rsidR="00FD57D1" w:rsidRPr="00FD57D1">
        <w:rPr>
          <w:rFonts w:cs="Arial"/>
          <w:sz w:val="22"/>
          <w:szCs w:val="22"/>
          <w:shd w:val="clear" w:color="auto" w:fill="FFFFFF"/>
        </w:rPr>
        <w:t>progression and outcomes</w:t>
      </w:r>
      <w:r w:rsidR="00353382">
        <w:rPr>
          <w:rFonts w:cs="Arial"/>
          <w:sz w:val="22"/>
          <w:szCs w:val="22"/>
          <w:shd w:val="clear" w:color="auto" w:fill="FFFFFF"/>
        </w:rPr>
        <w:t xml:space="preserve"> of children growing up in the North</w:t>
      </w:r>
      <w:r w:rsidR="00106862">
        <w:rPr>
          <w:rFonts w:cs="Arial"/>
          <w:sz w:val="22"/>
          <w:szCs w:val="22"/>
          <w:shd w:val="clear" w:color="auto" w:fill="FFFFFF"/>
        </w:rPr>
        <w:t xml:space="preserve"> in comparison to children from other areas of England</w:t>
      </w:r>
      <w:r w:rsidR="00022202">
        <w:rPr>
          <w:rFonts w:cs="Arial"/>
          <w:sz w:val="22"/>
          <w:szCs w:val="22"/>
          <w:shd w:val="clear" w:color="auto" w:fill="FFFFFF"/>
        </w:rPr>
        <w:t xml:space="preserve">. </w:t>
      </w:r>
      <w:r w:rsidR="00353382">
        <w:rPr>
          <w:rFonts w:cs="Arial"/>
          <w:sz w:val="22"/>
          <w:szCs w:val="22"/>
          <w:shd w:val="clear" w:color="auto" w:fill="FFFFFF"/>
        </w:rPr>
        <w:t xml:space="preserve">We are interested in </w:t>
      </w:r>
      <w:r w:rsidR="00353382" w:rsidRPr="00FD57D1">
        <w:rPr>
          <w:rFonts w:cs="Arial"/>
          <w:sz w:val="22"/>
          <w:szCs w:val="22"/>
          <w:shd w:val="clear" w:color="auto" w:fill="FFFFFF"/>
        </w:rPr>
        <w:t xml:space="preserve">levels of </w:t>
      </w:r>
      <w:r w:rsidR="00353382">
        <w:rPr>
          <w:rFonts w:cs="Arial"/>
          <w:sz w:val="22"/>
          <w:szCs w:val="22"/>
          <w:shd w:val="clear" w:color="auto" w:fill="FFFFFF"/>
        </w:rPr>
        <w:t xml:space="preserve">both </w:t>
      </w:r>
      <w:r w:rsidR="00353382" w:rsidRPr="00FD57D1">
        <w:rPr>
          <w:rFonts w:cs="Arial"/>
          <w:sz w:val="22"/>
          <w:szCs w:val="22"/>
          <w:shd w:val="clear" w:color="auto" w:fill="FFFFFF"/>
        </w:rPr>
        <w:t>int</w:t>
      </w:r>
      <w:r w:rsidR="00353382">
        <w:rPr>
          <w:rFonts w:cs="Arial"/>
          <w:sz w:val="22"/>
          <w:szCs w:val="22"/>
          <w:shd w:val="clear" w:color="auto" w:fill="FFFFFF"/>
        </w:rPr>
        <w:t>er</w:t>
      </w:r>
      <w:r w:rsidR="00353382" w:rsidRPr="00FD57D1">
        <w:rPr>
          <w:rFonts w:cs="Arial"/>
          <w:sz w:val="22"/>
          <w:szCs w:val="22"/>
          <w:shd w:val="clear" w:color="auto" w:fill="FFFFFF"/>
        </w:rPr>
        <w:t>- and int</w:t>
      </w:r>
      <w:r w:rsidR="00353382">
        <w:rPr>
          <w:rFonts w:cs="Arial"/>
          <w:sz w:val="22"/>
          <w:szCs w:val="22"/>
          <w:shd w:val="clear" w:color="auto" w:fill="FFFFFF"/>
        </w:rPr>
        <w:t xml:space="preserve">ra-regional variation, that is to say we </w:t>
      </w:r>
      <w:r w:rsidR="00022202">
        <w:rPr>
          <w:rFonts w:cs="Arial"/>
          <w:sz w:val="22"/>
          <w:szCs w:val="22"/>
          <w:shd w:val="clear" w:color="auto" w:fill="FFFFFF"/>
        </w:rPr>
        <w:t>are interested to know about differences between children growing up in the North and other regions and about differences in patterns and progression of children in different parts and types of areas in the North</w:t>
      </w:r>
      <w:r w:rsidR="00353382">
        <w:rPr>
          <w:rFonts w:cs="Arial"/>
          <w:sz w:val="22"/>
          <w:szCs w:val="22"/>
          <w:shd w:val="clear" w:color="auto" w:fill="FFFFFF"/>
        </w:rPr>
        <w:t xml:space="preserve">. </w:t>
      </w:r>
    </w:p>
    <w:p w:rsidR="001064AA" w:rsidRDefault="001064AA" w:rsidP="00FD57D1">
      <w:pPr>
        <w:rPr>
          <w:rFonts w:cs="Arial"/>
          <w:sz w:val="22"/>
          <w:szCs w:val="22"/>
          <w:shd w:val="clear" w:color="auto" w:fill="FFFFFF"/>
        </w:rPr>
      </w:pPr>
    </w:p>
    <w:p w:rsidR="00422A2D" w:rsidRDefault="001064AA" w:rsidP="00422A2D">
      <w:pPr>
        <w:jc w:val="both"/>
        <w:rPr>
          <w:rFonts w:cs="Arial"/>
          <w:sz w:val="22"/>
          <w:szCs w:val="22"/>
          <w:shd w:val="clear" w:color="auto" w:fill="FFFFFF"/>
        </w:rPr>
      </w:pPr>
      <w:r>
        <w:rPr>
          <w:rFonts w:cs="Arial"/>
          <w:sz w:val="22"/>
          <w:szCs w:val="22"/>
          <w:shd w:val="clear" w:color="auto" w:fill="FFFFFF"/>
        </w:rPr>
        <w:t>We emphasise that this work is descriptive. It should</w:t>
      </w:r>
      <w:r w:rsidR="00422A2D">
        <w:rPr>
          <w:rFonts w:cs="Arial"/>
          <w:sz w:val="22"/>
          <w:szCs w:val="22"/>
          <w:shd w:val="clear" w:color="auto" w:fill="FFFFFF"/>
        </w:rPr>
        <w:t xml:space="preserve"> suggest hypothese</w:t>
      </w:r>
      <w:r>
        <w:rPr>
          <w:rFonts w:cs="Arial"/>
          <w:sz w:val="22"/>
          <w:szCs w:val="22"/>
          <w:shd w:val="clear" w:color="auto" w:fill="FFFFFF"/>
        </w:rPr>
        <w:t>s but its primary aim is to describe patterns of similarity and difference rather than to explain them. In this way it will prepare the ground for subsequent hypothesis testing on the foundation of a solid understanding of the current scale and nature of differences and similarities between and within the North and other regions.</w:t>
      </w:r>
      <w:r w:rsidR="00422A2D" w:rsidRPr="00422A2D">
        <w:rPr>
          <w:rFonts w:cs="Arial"/>
          <w:sz w:val="22"/>
          <w:szCs w:val="22"/>
          <w:shd w:val="clear" w:color="auto" w:fill="FFFFFF"/>
        </w:rPr>
        <w:t xml:space="preserve"> </w:t>
      </w:r>
      <w:r w:rsidR="00422A2D">
        <w:rPr>
          <w:rFonts w:cs="Arial"/>
          <w:sz w:val="22"/>
          <w:szCs w:val="22"/>
          <w:shd w:val="clear" w:color="auto" w:fill="FFFFFF"/>
        </w:rPr>
        <w:t xml:space="preserve">To maintain the democratic representativeness of the work, we would </w:t>
      </w:r>
      <w:r w:rsidR="00F25667">
        <w:rPr>
          <w:rFonts w:cs="Arial"/>
          <w:sz w:val="22"/>
          <w:szCs w:val="22"/>
          <w:shd w:val="clear" w:color="auto" w:fill="FFFFFF"/>
        </w:rPr>
        <w:t>expect</w:t>
      </w:r>
      <w:r w:rsidR="00422A2D">
        <w:rPr>
          <w:rFonts w:cs="Arial"/>
          <w:sz w:val="22"/>
          <w:szCs w:val="22"/>
          <w:shd w:val="clear" w:color="auto" w:fill="FFFFFF"/>
        </w:rPr>
        <w:t xml:space="preserve"> the papers to privilege large sample data and consider representativeness of all findings.   </w:t>
      </w:r>
    </w:p>
    <w:p w:rsidR="001064AA" w:rsidRDefault="001064AA" w:rsidP="00FD57D1">
      <w:pPr>
        <w:rPr>
          <w:rFonts w:cs="Arial"/>
          <w:sz w:val="22"/>
          <w:szCs w:val="22"/>
          <w:shd w:val="clear" w:color="auto" w:fill="FFFFFF"/>
        </w:rPr>
      </w:pPr>
    </w:p>
    <w:p w:rsidR="00733576" w:rsidRDefault="00353382" w:rsidP="00733576">
      <w:pPr>
        <w:jc w:val="both"/>
        <w:rPr>
          <w:rFonts w:cs="Arial"/>
          <w:sz w:val="22"/>
          <w:szCs w:val="22"/>
          <w:shd w:val="clear" w:color="auto" w:fill="FFFFFF"/>
        </w:rPr>
      </w:pPr>
      <w:r w:rsidRPr="00F25667">
        <w:rPr>
          <w:rFonts w:cs="Arial"/>
          <w:sz w:val="22"/>
          <w:szCs w:val="22"/>
          <w:shd w:val="clear" w:color="auto" w:fill="FFFFFF"/>
        </w:rPr>
        <w:t xml:space="preserve">We </w:t>
      </w:r>
      <w:r w:rsidR="001064AA" w:rsidRPr="00F25667">
        <w:rPr>
          <w:rFonts w:cs="Arial"/>
          <w:sz w:val="22"/>
          <w:szCs w:val="22"/>
          <w:shd w:val="clear" w:color="auto" w:fill="FFFFFF"/>
        </w:rPr>
        <w:t xml:space="preserve">seek to </w:t>
      </w:r>
      <w:r w:rsidR="00AA237D" w:rsidRPr="00F25667">
        <w:rPr>
          <w:rFonts w:cs="Arial"/>
          <w:sz w:val="22"/>
          <w:szCs w:val="22"/>
          <w:shd w:val="clear" w:color="auto" w:fill="FFFFFF"/>
        </w:rPr>
        <w:t xml:space="preserve">four </w:t>
      </w:r>
      <w:r w:rsidR="001064AA" w:rsidRPr="00F25667">
        <w:rPr>
          <w:rFonts w:cs="Arial"/>
          <w:sz w:val="22"/>
          <w:szCs w:val="22"/>
          <w:shd w:val="clear" w:color="auto" w:fill="FFFFFF"/>
        </w:rPr>
        <w:t>commission</w:t>
      </w:r>
      <w:r w:rsidR="00733576" w:rsidRPr="00F25667">
        <w:rPr>
          <w:rFonts w:cs="Arial"/>
          <w:sz w:val="22"/>
          <w:szCs w:val="22"/>
          <w:shd w:val="clear" w:color="auto" w:fill="FFFFFF"/>
        </w:rPr>
        <w:t xml:space="preserve"> papers</w:t>
      </w:r>
      <w:r w:rsidR="00AA237D" w:rsidRPr="00F25667">
        <w:rPr>
          <w:rFonts w:cs="Arial"/>
          <w:sz w:val="22"/>
          <w:szCs w:val="22"/>
          <w:shd w:val="clear" w:color="auto" w:fill="FFFFFF"/>
        </w:rPr>
        <w:t xml:space="preserve">, </w:t>
      </w:r>
      <w:r w:rsidR="00733576" w:rsidRPr="00F25667">
        <w:rPr>
          <w:rFonts w:cs="Arial"/>
          <w:sz w:val="22"/>
          <w:szCs w:val="22"/>
          <w:shd w:val="clear" w:color="auto" w:fill="FFFFFF"/>
        </w:rPr>
        <w:t>on</w:t>
      </w:r>
      <w:r w:rsidR="00AA237D" w:rsidRPr="00F25667">
        <w:rPr>
          <w:rFonts w:cs="Arial"/>
          <w:sz w:val="22"/>
          <w:szCs w:val="22"/>
          <w:shd w:val="clear" w:color="auto" w:fill="FFFFFF"/>
        </w:rPr>
        <w:t>e each on</w:t>
      </w:r>
      <w:r w:rsidR="00733576" w:rsidRPr="00F25667">
        <w:rPr>
          <w:rFonts w:cs="Arial"/>
          <w:sz w:val="22"/>
          <w:szCs w:val="22"/>
          <w:shd w:val="clear" w:color="auto" w:fill="FFFFFF"/>
        </w:rPr>
        <w:t xml:space="preserve"> four themes</w:t>
      </w:r>
      <w:r w:rsidR="00733576">
        <w:rPr>
          <w:rFonts w:cs="Arial"/>
          <w:sz w:val="22"/>
          <w:szCs w:val="22"/>
          <w:shd w:val="clear" w:color="auto" w:fill="FFFFFF"/>
        </w:rPr>
        <w:t xml:space="preserve"> that enable us to map out and understand in depth how development and context are similar and different for children and young people growing up in the north of England than for children elsewhere in England and to tease out specific issues requiring policy attention in plans for devolution or for government generally. </w:t>
      </w:r>
      <w:r w:rsidR="00AA237D">
        <w:rPr>
          <w:rFonts w:cs="Arial"/>
          <w:sz w:val="22"/>
          <w:szCs w:val="22"/>
          <w:shd w:val="clear" w:color="auto" w:fill="FFFFFF"/>
        </w:rPr>
        <w:t xml:space="preserve">The papers are grouped into two projects to make the work manageable but we seek four distinct papers, and the two papers in each project </w:t>
      </w:r>
      <w:r w:rsidR="006E742F">
        <w:rPr>
          <w:rFonts w:cs="Arial"/>
          <w:sz w:val="22"/>
          <w:szCs w:val="22"/>
          <w:shd w:val="clear" w:color="auto" w:fill="FFFFFF"/>
        </w:rPr>
        <w:t xml:space="preserve">will </w:t>
      </w:r>
      <w:r w:rsidR="00AA237D">
        <w:rPr>
          <w:rFonts w:cs="Arial"/>
          <w:sz w:val="22"/>
          <w:szCs w:val="22"/>
          <w:shd w:val="clear" w:color="auto" w:fill="FFFFFF"/>
        </w:rPr>
        <w:t xml:space="preserve">be distinct. The groupings provide an opportunity to share methods and research across two topics but we are </w:t>
      </w:r>
      <w:r w:rsidR="00AA237D" w:rsidRPr="00AA237D">
        <w:rPr>
          <w:rFonts w:cs="Arial"/>
          <w:sz w:val="22"/>
          <w:szCs w:val="22"/>
          <w:shd w:val="clear" w:color="auto" w:fill="FFFFFF"/>
        </w:rPr>
        <w:t xml:space="preserve">not </w:t>
      </w:r>
      <w:r w:rsidR="00AA237D">
        <w:rPr>
          <w:rFonts w:cs="Arial"/>
          <w:sz w:val="22"/>
          <w:szCs w:val="22"/>
          <w:shd w:val="clear" w:color="auto" w:fill="FFFFFF"/>
        </w:rPr>
        <w:t>specifically interested in the relationship between the two papers in each project.</w:t>
      </w:r>
    </w:p>
    <w:p w:rsidR="00733576" w:rsidRDefault="00733576" w:rsidP="00733576">
      <w:pPr>
        <w:jc w:val="both"/>
        <w:rPr>
          <w:rFonts w:cs="Arial"/>
          <w:sz w:val="22"/>
          <w:szCs w:val="22"/>
          <w:shd w:val="clear" w:color="auto" w:fill="FFFFFF"/>
        </w:rPr>
      </w:pPr>
    </w:p>
    <w:p w:rsidR="00F25667" w:rsidRDefault="00AA237D" w:rsidP="00F25667">
      <w:pPr>
        <w:jc w:val="both"/>
        <w:rPr>
          <w:rFonts w:cs="Arial"/>
          <w:sz w:val="22"/>
          <w:szCs w:val="22"/>
          <w:shd w:val="clear" w:color="auto" w:fill="FFFFFF"/>
        </w:rPr>
      </w:pPr>
      <w:r w:rsidRPr="00AA237D">
        <w:rPr>
          <w:rFonts w:cs="Arial"/>
          <w:sz w:val="22"/>
          <w:szCs w:val="22"/>
          <w:u w:val="single"/>
          <w:shd w:val="clear" w:color="auto" w:fill="FFFFFF"/>
        </w:rPr>
        <w:t xml:space="preserve">Project 1. </w:t>
      </w:r>
      <w:r w:rsidR="00F329FD" w:rsidRPr="00AA237D">
        <w:rPr>
          <w:rFonts w:cs="Arial"/>
          <w:sz w:val="22"/>
          <w:szCs w:val="22"/>
          <w:u w:val="single"/>
          <w:shd w:val="clear" w:color="auto" w:fill="FFFFFF"/>
        </w:rPr>
        <w:t>Progression</w:t>
      </w:r>
      <w:r w:rsidR="00BC7F8A" w:rsidRPr="00AA237D">
        <w:rPr>
          <w:rFonts w:cs="Arial"/>
          <w:sz w:val="22"/>
          <w:szCs w:val="22"/>
          <w:u w:val="single"/>
          <w:shd w:val="clear" w:color="auto" w:fill="FFFFFF"/>
        </w:rPr>
        <w:t xml:space="preserve"> and mobility</w:t>
      </w:r>
      <w:r w:rsidR="00F329FD" w:rsidRPr="00AA237D">
        <w:rPr>
          <w:rFonts w:cs="Arial"/>
          <w:sz w:val="22"/>
          <w:szCs w:val="22"/>
          <w:shd w:val="clear" w:color="auto" w:fill="FFFFFF"/>
        </w:rPr>
        <w:t xml:space="preserve">. </w:t>
      </w:r>
      <w:r w:rsidR="00BC7F8A" w:rsidRPr="00AA237D">
        <w:rPr>
          <w:rFonts w:cs="Arial"/>
          <w:i/>
          <w:sz w:val="22"/>
          <w:szCs w:val="22"/>
          <w:shd w:val="clear" w:color="auto" w:fill="FFFFFF"/>
        </w:rPr>
        <w:t>P</w:t>
      </w:r>
      <w:r w:rsidRPr="00AA237D">
        <w:rPr>
          <w:rFonts w:cs="Arial"/>
          <w:i/>
          <w:sz w:val="22"/>
          <w:szCs w:val="22"/>
          <w:shd w:val="clear" w:color="auto" w:fill="FFFFFF"/>
        </w:rPr>
        <w:t>aper 1. P</w:t>
      </w:r>
      <w:r w:rsidR="00BC7F8A" w:rsidRPr="00AA237D">
        <w:rPr>
          <w:rFonts w:cs="Arial"/>
          <w:i/>
          <w:sz w:val="22"/>
          <w:szCs w:val="22"/>
          <w:shd w:val="clear" w:color="auto" w:fill="FFFFFF"/>
        </w:rPr>
        <w:t>rogression</w:t>
      </w:r>
      <w:r w:rsidR="00BC7F8A" w:rsidRPr="00AA237D">
        <w:rPr>
          <w:rFonts w:cs="Arial"/>
          <w:sz w:val="22"/>
          <w:szCs w:val="22"/>
          <w:shd w:val="clear" w:color="auto" w:fill="FFFFFF"/>
        </w:rPr>
        <w:t xml:space="preserve">: </w:t>
      </w:r>
      <w:r w:rsidR="00F329FD" w:rsidRPr="00AA237D">
        <w:rPr>
          <w:rFonts w:cs="Arial"/>
          <w:sz w:val="22"/>
          <w:szCs w:val="22"/>
          <w:shd w:val="clear" w:color="auto" w:fill="FFFFFF"/>
        </w:rPr>
        <w:t>The progress of young people in terms of skills and achievement as they transition through early years settings, school, FE, HE and then into the workforce. We want to understand where children are excelling, and where they are being left behind, and the key points of divergence</w:t>
      </w:r>
      <w:r w:rsidR="00993F75" w:rsidRPr="00AA237D">
        <w:rPr>
          <w:rFonts w:cs="Arial"/>
          <w:sz w:val="22"/>
          <w:szCs w:val="22"/>
          <w:shd w:val="clear" w:color="auto" w:fill="FFFFFF"/>
        </w:rPr>
        <w:t xml:space="preserve">. </w:t>
      </w:r>
      <w:r w:rsidR="00F85561">
        <w:rPr>
          <w:rFonts w:cs="Arial"/>
          <w:sz w:val="22"/>
          <w:szCs w:val="22"/>
          <w:shd w:val="clear" w:color="auto" w:fill="FFFFFF"/>
        </w:rPr>
        <w:t xml:space="preserve">There is a considerable range of </w:t>
      </w:r>
      <w:r w:rsidR="00F85561">
        <w:rPr>
          <w:rFonts w:cs="Arial"/>
          <w:sz w:val="22"/>
          <w:szCs w:val="22"/>
          <w:shd w:val="clear" w:color="auto" w:fill="FFFFFF"/>
        </w:rPr>
        <w:lastRenderedPageBreak/>
        <w:t xml:space="preserve">data published by area on children’s progression through the education system and into the labour market, comprising both administrative data and research data such as cohort studies. </w:t>
      </w:r>
      <w:r w:rsidR="00F25667" w:rsidRPr="00F25667">
        <w:rPr>
          <w:rFonts w:cs="Arial"/>
          <w:sz w:val="22"/>
          <w:szCs w:val="22"/>
          <w:shd w:val="clear" w:color="auto" w:fill="FFFFFF"/>
        </w:rPr>
        <w:t>The funds available for paper 1 is larger than for the other three papers in light of the additional material and large sample data available on the theme of progression.</w:t>
      </w:r>
    </w:p>
    <w:p w:rsidR="00F25667" w:rsidRDefault="00F25667" w:rsidP="00AA237D">
      <w:pPr>
        <w:jc w:val="both"/>
        <w:rPr>
          <w:rFonts w:cs="Arial"/>
          <w:i/>
          <w:sz w:val="22"/>
          <w:szCs w:val="22"/>
          <w:shd w:val="clear" w:color="auto" w:fill="FFFFFF"/>
        </w:rPr>
      </w:pPr>
    </w:p>
    <w:p w:rsidR="00993F75" w:rsidRPr="00AA237D" w:rsidRDefault="00AA237D" w:rsidP="00AA237D">
      <w:pPr>
        <w:jc w:val="both"/>
        <w:rPr>
          <w:rFonts w:cs="Arial"/>
          <w:sz w:val="22"/>
          <w:szCs w:val="22"/>
          <w:shd w:val="clear" w:color="auto" w:fill="FFFFFF"/>
        </w:rPr>
      </w:pPr>
      <w:r w:rsidRPr="00AA237D">
        <w:rPr>
          <w:rFonts w:cs="Arial"/>
          <w:i/>
          <w:sz w:val="22"/>
          <w:szCs w:val="22"/>
          <w:shd w:val="clear" w:color="auto" w:fill="FFFFFF"/>
        </w:rPr>
        <w:t>Paper 2. M</w:t>
      </w:r>
      <w:r w:rsidR="00BC7F8A" w:rsidRPr="00AA237D">
        <w:rPr>
          <w:rFonts w:cs="Arial"/>
          <w:i/>
          <w:sz w:val="22"/>
          <w:szCs w:val="22"/>
          <w:shd w:val="clear" w:color="auto" w:fill="FFFFFF"/>
        </w:rPr>
        <w:t>obility</w:t>
      </w:r>
      <w:r w:rsidR="00BC7F8A" w:rsidRPr="00AA237D">
        <w:rPr>
          <w:rFonts w:cs="Arial"/>
          <w:sz w:val="22"/>
          <w:szCs w:val="22"/>
          <w:shd w:val="clear" w:color="auto" w:fill="FFFFFF"/>
        </w:rPr>
        <w:t xml:space="preserve">: </w:t>
      </w:r>
      <w:r w:rsidR="00993F75" w:rsidRPr="00AA237D">
        <w:rPr>
          <w:rFonts w:cs="Arial"/>
          <w:sz w:val="22"/>
          <w:szCs w:val="22"/>
          <w:shd w:val="clear" w:color="auto" w:fill="FFFFFF"/>
        </w:rPr>
        <w:t xml:space="preserve">We are also interested in geographic mobility and the trends in movement within, from and to the North as children transition to adulthood. What is known about patterns of mobility and how these differ for the North than for other regions? </w:t>
      </w:r>
    </w:p>
    <w:p w:rsidR="00AA237D" w:rsidRDefault="00AA237D" w:rsidP="00AA237D">
      <w:pPr>
        <w:jc w:val="both"/>
        <w:rPr>
          <w:rFonts w:cs="Arial"/>
          <w:sz w:val="22"/>
          <w:szCs w:val="22"/>
          <w:shd w:val="clear" w:color="auto" w:fill="FFFFFF"/>
        </w:rPr>
      </w:pPr>
    </w:p>
    <w:p w:rsidR="00F25667" w:rsidRDefault="00AA237D" w:rsidP="00AA237D">
      <w:pPr>
        <w:jc w:val="both"/>
        <w:rPr>
          <w:rFonts w:cs="Arial"/>
          <w:sz w:val="22"/>
          <w:szCs w:val="22"/>
          <w:shd w:val="clear" w:color="auto" w:fill="FFFFFF"/>
        </w:rPr>
      </w:pPr>
      <w:r w:rsidRPr="00AA237D">
        <w:rPr>
          <w:rFonts w:cs="Arial"/>
          <w:sz w:val="22"/>
          <w:szCs w:val="22"/>
          <w:u w:val="single"/>
          <w:shd w:val="clear" w:color="auto" w:fill="FFFFFF"/>
        </w:rPr>
        <w:t xml:space="preserve">Project 2. </w:t>
      </w:r>
      <w:r w:rsidR="00F329FD" w:rsidRPr="00AA237D">
        <w:rPr>
          <w:rFonts w:cs="Arial"/>
          <w:sz w:val="22"/>
          <w:szCs w:val="22"/>
          <w:u w:val="single"/>
          <w:shd w:val="clear" w:color="auto" w:fill="FFFFFF"/>
        </w:rPr>
        <w:t>Identity</w:t>
      </w:r>
      <w:r w:rsidR="00993F75" w:rsidRPr="00AA237D">
        <w:rPr>
          <w:rFonts w:cs="Arial"/>
          <w:sz w:val="22"/>
          <w:szCs w:val="22"/>
          <w:u w:val="single"/>
          <w:shd w:val="clear" w:color="auto" w:fill="FFFFFF"/>
        </w:rPr>
        <w:t xml:space="preserve"> and well-being</w:t>
      </w:r>
      <w:r w:rsidR="00F329FD" w:rsidRPr="00AA237D">
        <w:rPr>
          <w:rFonts w:cs="Arial"/>
          <w:sz w:val="22"/>
          <w:szCs w:val="22"/>
          <w:shd w:val="clear" w:color="auto" w:fill="FFFFFF"/>
        </w:rPr>
        <w:t xml:space="preserve">. </w:t>
      </w:r>
    </w:p>
    <w:p w:rsidR="00F25667" w:rsidRDefault="00AA237D" w:rsidP="00AA237D">
      <w:pPr>
        <w:jc w:val="both"/>
        <w:rPr>
          <w:rFonts w:cs="Arial"/>
          <w:sz w:val="22"/>
          <w:szCs w:val="22"/>
          <w:shd w:val="clear" w:color="auto" w:fill="FFFFFF"/>
        </w:rPr>
      </w:pPr>
      <w:r w:rsidRPr="00AA237D">
        <w:rPr>
          <w:rFonts w:cs="Arial"/>
          <w:i/>
          <w:sz w:val="22"/>
          <w:szCs w:val="22"/>
          <w:shd w:val="clear" w:color="auto" w:fill="FFFFFF"/>
        </w:rPr>
        <w:t xml:space="preserve">Paper </w:t>
      </w:r>
      <w:r w:rsidR="007F1E14">
        <w:rPr>
          <w:rFonts w:cs="Arial"/>
          <w:i/>
          <w:sz w:val="22"/>
          <w:szCs w:val="22"/>
          <w:shd w:val="clear" w:color="auto" w:fill="FFFFFF"/>
        </w:rPr>
        <w:t>3</w:t>
      </w:r>
      <w:r w:rsidRPr="00AA237D">
        <w:rPr>
          <w:rFonts w:cs="Arial"/>
          <w:i/>
          <w:sz w:val="22"/>
          <w:szCs w:val="22"/>
          <w:shd w:val="clear" w:color="auto" w:fill="FFFFFF"/>
        </w:rPr>
        <w:t xml:space="preserve">. </w:t>
      </w:r>
      <w:r w:rsidR="00993F75" w:rsidRPr="00AA237D">
        <w:rPr>
          <w:rFonts w:cs="Arial"/>
          <w:i/>
          <w:sz w:val="22"/>
          <w:szCs w:val="22"/>
          <w:shd w:val="clear" w:color="auto" w:fill="FFFFFF"/>
        </w:rPr>
        <w:t>Identity</w:t>
      </w:r>
      <w:r w:rsidR="00993F75" w:rsidRPr="00AA237D">
        <w:rPr>
          <w:rFonts w:cs="Arial"/>
          <w:sz w:val="22"/>
          <w:szCs w:val="22"/>
          <w:shd w:val="clear" w:color="auto" w:fill="FFFFFF"/>
        </w:rPr>
        <w:t xml:space="preserve">: </w:t>
      </w:r>
      <w:r w:rsidR="00F329FD" w:rsidRPr="00AA237D">
        <w:rPr>
          <w:rFonts w:cs="Arial"/>
          <w:sz w:val="22"/>
          <w:szCs w:val="22"/>
          <w:shd w:val="clear" w:color="auto" w:fill="FFFFFF"/>
        </w:rPr>
        <w:t xml:space="preserve">The formation of children’s aspirations, plans, attitudes and expectations. How different are the patterns of development of these features of identity for children growing up in the North, or within the North? </w:t>
      </w:r>
      <w:r w:rsidR="000B68CA">
        <w:rPr>
          <w:rFonts w:cs="Arial"/>
          <w:sz w:val="22"/>
          <w:szCs w:val="22"/>
          <w:shd w:val="clear" w:color="auto" w:fill="FFFFFF"/>
        </w:rPr>
        <w:t>What do we know from the general literature and w</w:t>
      </w:r>
      <w:r w:rsidR="00F329FD" w:rsidRPr="00AA237D">
        <w:rPr>
          <w:rFonts w:cs="Arial"/>
          <w:sz w:val="22"/>
          <w:szCs w:val="22"/>
          <w:shd w:val="clear" w:color="auto" w:fill="FFFFFF"/>
        </w:rPr>
        <w:t xml:space="preserve">hat </w:t>
      </w:r>
      <w:r w:rsidR="000B68CA">
        <w:rPr>
          <w:rFonts w:cs="Arial"/>
          <w:sz w:val="22"/>
          <w:szCs w:val="22"/>
          <w:shd w:val="clear" w:color="auto" w:fill="FFFFFF"/>
        </w:rPr>
        <w:t xml:space="preserve">do we know form </w:t>
      </w:r>
      <w:r w:rsidR="00F329FD" w:rsidRPr="00AA237D">
        <w:rPr>
          <w:rFonts w:cs="Arial"/>
          <w:sz w:val="22"/>
          <w:szCs w:val="22"/>
          <w:shd w:val="clear" w:color="auto" w:fill="FFFFFF"/>
        </w:rPr>
        <w:t xml:space="preserve">data and evidence specifically about children and young people growing up </w:t>
      </w:r>
      <w:r w:rsidR="007F1E14">
        <w:rPr>
          <w:rFonts w:cs="Arial"/>
          <w:sz w:val="22"/>
          <w:szCs w:val="22"/>
          <w:shd w:val="clear" w:color="auto" w:fill="FFFFFF"/>
        </w:rPr>
        <w:t>i</w:t>
      </w:r>
      <w:r w:rsidR="00F329FD" w:rsidRPr="00AA237D">
        <w:rPr>
          <w:rFonts w:cs="Arial"/>
          <w:sz w:val="22"/>
          <w:szCs w:val="22"/>
          <w:shd w:val="clear" w:color="auto" w:fill="FFFFFF"/>
        </w:rPr>
        <w:t>n the North.</w:t>
      </w:r>
      <w:r w:rsidR="00F25667">
        <w:rPr>
          <w:rFonts w:cs="Arial"/>
          <w:sz w:val="22"/>
          <w:szCs w:val="22"/>
          <w:shd w:val="clear" w:color="auto" w:fill="FFFFFF"/>
        </w:rPr>
        <w:t xml:space="preserve"> What data is available from Local Authorities or social media on these issues?</w:t>
      </w:r>
      <w:r w:rsidR="00F329FD" w:rsidRPr="00AA237D">
        <w:rPr>
          <w:rFonts w:cs="Arial"/>
          <w:sz w:val="22"/>
          <w:szCs w:val="22"/>
          <w:shd w:val="clear" w:color="auto" w:fill="FFFFFF"/>
        </w:rPr>
        <w:t xml:space="preserve"> </w:t>
      </w:r>
    </w:p>
    <w:p w:rsidR="00F25667" w:rsidRDefault="00F25667" w:rsidP="00AA237D">
      <w:pPr>
        <w:jc w:val="both"/>
        <w:rPr>
          <w:rFonts w:cs="Arial"/>
          <w:sz w:val="22"/>
          <w:szCs w:val="22"/>
          <w:shd w:val="clear" w:color="auto" w:fill="FFFFFF"/>
        </w:rPr>
      </w:pPr>
    </w:p>
    <w:p w:rsidR="00F329FD" w:rsidRPr="00AA237D" w:rsidRDefault="00AA237D" w:rsidP="00AA237D">
      <w:pPr>
        <w:jc w:val="both"/>
        <w:rPr>
          <w:rFonts w:cs="Arial"/>
          <w:sz w:val="22"/>
          <w:szCs w:val="22"/>
          <w:shd w:val="clear" w:color="auto" w:fill="FFFFFF"/>
        </w:rPr>
      </w:pPr>
      <w:r w:rsidRPr="00AA237D">
        <w:rPr>
          <w:rFonts w:cs="Arial"/>
          <w:i/>
          <w:sz w:val="22"/>
          <w:szCs w:val="22"/>
          <w:shd w:val="clear" w:color="auto" w:fill="FFFFFF"/>
        </w:rPr>
        <w:t xml:space="preserve">Paper </w:t>
      </w:r>
      <w:r w:rsidR="007F1E14">
        <w:rPr>
          <w:rFonts w:cs="Arial"/>
          <w:i/>
          <w:sz w:val="22"/>
          <w:szCs w:val="22"/>
          <w:shd w:val="clear" w:color="auto" w:fill="FFFFFF"/>
        </w:rPr>
        <w:t>4</w:t>
      </w:r>
      <w:r w:rsidRPr="00AA237D">
        <w:rPr>
          <w:rFonts w:cs="Arial"/>
          <w:i/>
          <w:sz w:val="22"/>
          <w:szCs w:val="22"/>
          <w:shd w:val="clear" w:color="auto" w:fill="FFFFFF"/>
        </w:rPr>
        <w:t xml:space="preserve">. </w:t>
      </w:r>
      <w:r w:rsidR="00993F75" w:rsidRPr="00AA237D">
        <w:rPr>
          <w:rFonts w:cs="Arial"/>
          <w:i/>
          <w:sz w:val="22"/>
          <w:szCs w:val="22"/>
          <w:shd w:val="clear" w:color="auto" w:fill="FFFFFF"/>
        </w:rPr>
        <w:t>Wellbeing</w:t>
      </w:r>
      <w:r w:rsidR="00993F75" w:rsidRPr="00AA237D">
        <w:rPr>
          <w:rFonts w:cs="Arial"/>
          <w:sz w:val="22"/>
          <w:szCs w:val="22"/>
          <w:shd w:val="clear" w:color="auto" w:fill="FFFFFF"/>
        </w:rPr>
        <w:t xml:space="preserve">: </w:t>
      </w:r>
      <w:r w:rsidR="00F329FD" w:rsidRPr="00AA237D">
        <w:rPr>
          <w:rFonts w:cs="Arial"/>
          <w:sz w:val="22"/>
          <w:szCs w:val="22"/>
          <w:shd w:val="clear" w:color="auto" w:fill="FFFFFF"/>
        </w:rPr>
        <w:t xml:space="preserve">What do we know about the patterns and trends in mental health, well-being and vulnerability of children growing up in the North of England? </w:t>
      </w:r>
      <w:r w:rsidR="00F25667">
        <w:rPr>
          <w:rFonts w:cs="Arial"/>
          <w:sz w:val="22"/>
          <w:szCs w:val="22"/>
          <w:shd w:val="clear" w:color="auto" w:fill="FFFFFF"/>
        </w:rPr>
        <w:t>How does well-being differ by family background, gender, ethnicity and language for children growing up in the North and how different are the mental health and well-being for children in different sub-groups in the North compared to similar sub-groups in other regions? H</w:t>
      </w:r>
      <w:r w:rsidR="00F329FD" w:rsidRPr="00AA237D">
        <w:rPr>
          <w:rFonts w:cs="Arial"/>
          <w:sz w:val="22"/>
          <w:szCs w:val="22"/>
          <w:shd w:val="clear" w:color="auto" w:fill="FFFFFF"/>
        </w:rPr>
        <w:t>ow different is the relationship between achievement and wellbeing. As children mature through schooling and develop human capital, how does the relationship change between i) elements of achievement and human capital formation and ii) elements of wellbeing and mental health, and how different are these relationships for children growing up in the North or within the North?</w:t>
      </w:r>
    </w:p>
    <w:p w:rsidR="00AA237D" w:rsidRDefault="00AA237D" w:rsidP="00F329FD">
      <w:pPr>
        <w:jc w:val="both"/>
        <w:rPr>
          <w:rFonts w:cs="Arial"/>
          <w:sz w:val="22"/>
          <w:szCs w:val="22"/>
          <w:shd w:val="clear" w:color="auto" w:fill="FFFFFF"/>
        </w:rPr>
      </w:pPr>
    </w:p>
    <w:p w:rsidR="00F329FD" w:rsidRDefault="00422A2D" w:rsidP="00F329FD">
      <w:pPr>
        <w:jc w:val="both"/>
        <w:rPr>
          <w:rFonts w:cs="Arial"/>
          <w:sz w:val="22"/>
          <w:szCs w:val="22"/>
        </w:rPr>
      </w:pPr>
      <w:r w:rsidRPr="007F1E14">
        <w:rPr>
          <w:rFonts w:cs="Arial"/>
          <w:sz w:val="22"/>
          <w:szCs w:val="22"/>
          <w:shd w:val="clear" w:color="auto" w:fill="FFFFFF"/>
        </w:rPr>
        <w:t>Each of the 4 themes concerns a feature of the lives of children that might be considered in</w:t>
      </w:r>
      <w:r>
        <w:rPr>
          <w:rFonts w:cs="Arial"/>
          <w:sz w:val="22"/>
          <w:szCs w:val="22"/>
          <w:shd w:val="clear" w:color="auto" w:fill="FFFFFF"/>
        </w:rPr>
        <w:t xml:space="preserve"> terms of average phenomena for different groups. Care is required about how groups are defined. One obvious “group” is children growing up in the North of England. Other geographical groupings include regions, LEPs and Local Authority or ward boundaries. It is also natural to group by gender, age, ethnicity, language, family or household income and other features of circumstance. </w:t>
      </w:r>
      <w:r w:rsidR="00AA237D">
        <w:rPr>
          <w:rFonts w:cs="Arial"/>
          <w:sz w:val="22"/>
          <w:szCs w:val="22"/>
          <w:shd w:val="clear" w:color="auto" w:fill="FFFFFF"/>
        </w:rPr>
        <w:t>Each of these characteristics can be used to determine groups and further sub-groups when interacted with other characteristics. I</w:t>
      </w:r>
      <w:r>
        <w:rPr>
          <w:rFonts w:cs="Arial"/>
          <w:sz w:val="22"/>
          <w:szCs w:val="22"/>
          <w:shd w:val="clear" w:color="auto" w:fill="FFFFFF"/>
        </w:rPr>
        <w:t>t is important that analyses recognise the distinction between aggregate findings and individual lives</w:t>
      </w:r>
      <w:r w:rsidR="00AA237D">
        <w:rPr>
          <w:rFonts w:cs="Arial"/>
          <w:sz w:val="22"/>
          <w:szCs w:val="22"/>
          <w:shd w:val="clear" w:color="auto" w:fill="FFFFFF"/>
        </w:rPr>
        <w:t xml:space="preserve"> and that the work is careful in how it uses sub-groups to define groups of children to consider similarities and differences inter- and intra regionally</w:t>
      </w:r>
      <w:r>
        <w:rPr>
          <w:rFonts w:cs="Arial"/>
          <w:sz w:val="22"/>
          <w:szCs w:val="22"/>
          <w:shd w:val="clear" w:color="auto" w:fill="FFFFFF"/>
        </w:rPr>
        <w:t>.</w:t>
      </w:r>
      <w:r w:rsidR="00F329FD" w:rsidRPr="00F329FD">
        <w:rPr>
          <w:rFonts w:cs="Arial"/>
          <w:sz w:val="22"/>
          <w:szCs w:val="22"/>
          <w:shd w:val="clear" w:color="auto" w:fill="FFFFFF"/>
        </w:rPr>
        <w:t xml:space="preserve"> </w:t>
      </w:r>
      <w:r w:rsidR="00F329FD">
        <w:rPr>
          <w:rFonts w:cs="Arial"/>
          <w:sz w:val="22"/>
          <w:szCs w:val="22"/>
          <w:shd w:val="clear" w:color="auto" w:fill="FFFFFF"/>
        </w:rPr>
        <w:t xml:space="preserve">In each theme we </w:t>
      </w:r>
      <w:r w:rsidR="00F329FD">
        <w:rPr>
          <w:rFonts w:cs="Arial"/>
          <w:sz w:val="22"/>
          <w:szCs w:val="22"/>
        </w:rPr>
        <w:t>are interested to know</w:t>
      </w:r>
      <w:r w:rsidR="00F329FD" w:rsidRPr="00353382">
        <w:rPr>
          <w:rFonts w:cs="Arial"/>
          <w:sz w:val="22"/>
          <w:szCs w:val="22"/>
        </w:rPr>
        <w:t xml:space="preserve"> what the evidence tells us about</w:t>
      </w:r>
      <w:r w:rsidR="00F329FD" w:rsidRPr="002B16F0">
        <w:rPr>
          <w:rFonts w:cs="Arial"/>
          <w:sz w:val="22"/>
          <w:szCs w:val="22"/>
        </w:rPr>
        <w:t xml:space="preserve"> </w:t>
      </w:r>
      <w:r w:rsidR="00F329FD" w:rsidRPr="00733576">
        <w:rPr>
          <w:rFonts w:cs="Arial"/>
          <w:sz w:val="22"/>
          <w:szCs w:val="22"/>
        </w:rPr>
        <w:t>a) how different children in the North fare compared with each other and with similar people in other parts of the country</w:t>
      </w:r>
      <w:r w:rsidR="00F329FD">
        <w:rPr>
          <w:rFonts w:cs="Arial"/>
          <w:sz w:val="22"/>
          <w:szCs w:val="22"/>
        </w:rPr>
        <w:t>, and b)</w:t>
      </w:r>
      <w:r w:rsidR="00F329FD" w:rsidRPr="00F329FD">
        <w:rPr>
          <w:rFonts w:cs="Arial"/>
          <w:sz w:val="22"/>
          <w:szCs w:val="22"/>
        </w:rPr>
        <w:t xml:space="preserve"> </w:t>
      </w:r>
      <w:r w:rsidR="00F329FD" w:rsidRPr="00733576">
        <w:rPr>
          <w:rFonts w:cs="Arial"/>
          <w:sz w:val="22"/>
          <w:szCs w:val="22"/>
        </w:rPr>
        <w:t>who children in the North are compared with child</w:t>
      </w:r>
      <w:r w:rsidR="00F329FD">
        <w:rPr>
          <w:rFonts w:cs="Arial"/>
          <w:sz w:val="22"/>
          <w:szCs w:val="22"/>
        </w:rPr>
        <w:t>ren in the rest of the country.</w:t>
      </w:r>
    </w:p>
    <w:p w:rsidR="00F329FD" w:rsidRDefault="00F329FD" w:rsidP="00F329FD">
      <w:pPr>
        <w:jc w:val="both"/>
        <w:rPr>
          <w:rFonts w:cs="Arial"/>
          <w:sz w:val="22"/>
          <w:szCs w:val="22"/>
        </w:rPr>
      </w:pPr>
    </w:p>
    <w:p w:rsidR="00F329FD" w:rsidRPr="002B16F0" w:rsidRDefault="00F329FD" w:rsidP="00F329FD">
      <w:pPr>
        <w:jc w:val="both"/>
        <w:rPr>
          <w:rFonts w:cs="Arial"/>
          <w:sz w:val="22"/>
          <w:szCs w:val="22"/>
        </w:rPr>
      </w:pPr>
      <w:r w:rsidRPr="007F1E14">
        <w:rPr>
          <w:rFonts w:cs="Arial"/>
          <w:sz w:val="22"/>
          <w:szCs w:val="22"/>
        </w:rPr>
        <w:t>Thus for each theme we would like to know how key features:</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for children in the North than for other regions in England;</w:t>
      </w:r>
    </w:p>
    <w:p w:rsidR="00F329FD" w:rsidRPr="002B16F0" w:rsidRDefault="007F1E14" w:rsidP="00F329FD">
      <w:pPr>
        <w:pStyle w:val="ListParagraph"/>
        <w:numPr>
          <w:ilvl w:val="0"/>
          <w:numId w:val="30"/>
        </w:numPr>
        <w:jc w:val="both"/>
        <w:rPr>
          <w:rFonts w:ascii="Arial" w:hAnsi="Arial"/>
        </w:rPr>
      </w:pPr>
      <w:r>
        <w:rPr>
          <w:rFonts w:ascii="Arial" w:hAnsi="Arial"/>
        </w:rPr>
        <w:t>V</w:t>
      </w:r>
      <w:r w:rsidR="00F329FD" w:rsidRPr="002B16F0">
        <w:rPr>
          <w:rFonts w:ascii="Arial" w:hAnsi="Arial"/>
        </w:rPr>
        <w:t xml:space="preserve">ary by age, stage and level of </w:t>
      </w:r>
      <w:r>
        <w:rPr>
          <w:rFonts w:ascii="Arial" w:hAnsi="Arial"/>
        </w:rPr>
        <w:t>development</w:t>
      </w:r>
      <w:r w:rsidR="00F329FD" w:rsidRPr="002B16F0">
        <w:rPr>
          <w:rFonts w:ascii="Arial" w:hAnsi="Arial"/>
        </w:rPr>
        <w:t>. For example, how different are regional gaps at age 5 and age 16? How different are rates of HE participation for high achieving children in the North than in other regions?</w:t>
      </w:r>
      <w:r>
        <w:rPr>
          <w:rFonts w:ascii="Arial" w:hAnsi="Arial"/>
        </w:rPr>
        <w:t xml:space="preserve"> </w:t>
      </w:r>
    </w:p>
    <w:p w:rsidR="00F329FD" w:rsidRPr="002B16F0" w:rsidRDefault="007F1E14" w:rsidP="00F329FD">
      <w:pPr>
        <w:pStyle w:val="ListParagraph"/>
        <w:numPr>
          <w:ilvl w:val="0"/>
          <w:numId w:val="30"/>
        </w:numPr>
        <w:jc w:val="both"/>
        <w:rPr>
          <w:rFonts w:ascii="Arial" w:hAnsi="Arial"/>
        </w:rPr>
      </w:pPr>
      <w:r>
        <w:rPr>
          <w:rFonts w:ascii="Arial" w:hAnsi="Arial"/>
        </w:rPr>
        <w:t>H</w:t>
      </w:r>
      <w:r w:rsidR="00F329FD" w:rsidRPr="002B16F0">
        <w:rPr>
          <w:rFonts w:ascii="Arial" w:hAnsi="Arial"/>
        </w:rPr>
        <w:t>ave changed over time;</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between parts of the North;</w:t>
      </w:r>
    </w:p>
    <w:p w:rsidR="00F329FD" w:rsidRPr="002B16F0" w:rsidRDefault="007F1E14" w:rsidP="00F329FD">
      <w:pPr>
        <w:pStyle w:val="ListParagraph"/>
        <w:numPr>
          <w:ilvl w:val="0"/>
          <w:numId w:val="30"/>
        </w:numPr>
        <w:jc w:val="both"/>
        <w:rPr>
          <w:rFonts w:ascii="Arial" w:hAnsi="Arial"/>
        </w:rPr>
      </w:pPr>
      <w:r>
        <w:rPr>
          <w:rFonts w:ascii="Arial" w:hAnsi="Arial"/>
        </w:rPr>
        <w:t>D</w:t>
      </w:r>
      <w:r w:rsidR="00F329FD" w:rsidRPr="002B16F0">
        <w:rPr>
          <w:rFonts w:ascii="Arial" w:hAnsi="Arial"/>
        </w:rPr>
        <w:t>iffer by family background and early development;</w:t>
      </w:r>
    </w:p>
    <w:p w:rsidR="00F329FD" w:rsidRPr="002B16F0" w:rsidRDefault="00F329FD" w:rsidP="00F329FD">
      <w:pPr>
        <w:jc w:val="both"/>
        <w:rPr>
          <w:rFonts w:cs="Arial"/>
          <w:sz w:val="22"/>
          <w:szCs w:val="22"/>
        </w:rPr>
      </w:pPr>
      <w:r w:rsidRPr="002B16F0">
        <w:rPr>
          <w:rFonts w:cs="Arial"/>
          <w:sz w:val="22"/>
          <w:szCs w:val="22"/>
        </w:rPr>
        <w:t xml:space="preserve">We are further interested to know: </w:t>
      </w:r>
    </w:p>
    <w:p w:rsidR="00F329FD" w:rsidRPr="002B16F0" w:rsidRDefault="00F329FD" w:rsidP="00F329FD">
      <w:pPr>
        <w:pStyle w:val="ListParagraph"/>
        <w:numPr>
          <w:ilvl w:val="0"/>
          <w:numId w:val="31"/>
        </w:numPr>
        <w:jc w:val="both"/>
        <w:rPr>
          <w:rFonts w:ascii="Arial" w:hAnsi="Arial"/>
        </w:rPr>
      </w:pPr>
      <w:r w:rsidRPr="002B16F0">
        <w:rPr>
          <w:rFonts w:ascii="Arial" w:hAnsi="Arial"/>
        </w:rPr>
        <w:t>How different are social and economic contexts for children growing up in the North</w:t>
      </w:r>
      <w:r w:rsidR="007F1E14">
        <w:rPr>
          <w:rFonts w:ascii="Arial" w:hAnsi="Arial"/>
        </w:rPr>
        <w:t xml:space="preserve"> n ways that have been theorized or found to have influenced the theme</w:t>
      </w:r>
      <w:r w:rsidRPr="002B16F0">
        <w:rPr>
          <w:rFonts w:ascii="Arial" w:hAnsi="Arial"/>
        </w:rPr>
        <w:t>;</w:t>
      </w:r>
    </w:p>
    <w:p w:rsidR="00F329FD" w:rsidRPr="002B16F0" w:rsidRDefault="00F329FD" w:rsidP="00F329FD">
      <w:pPr>
        <w:pStyle w:val="ListParagraph"/>
        <w:numPr>
          <w:ilvl w:val="0"/>
          <w:numId w:val="31"/>
        </w:numPr>
        <w:jc w:val="both"/>
        <w:rPr>
          <w:rFonts w:ascii="Arial" w:hAnsi="Arial"/>
        </w:rPr>
      </w:pPr>
      <w:r w:rsidRPr="002B16F0">
        <w:rPr>
          <w:rFonts w:ascii="Arial" w:hAnsi="Arial"/>
        </w:rPr>
        <w:lastRenderedPageBreak/>
        <w:t>What has been learnt about intra- and inter-regional variation from Understanding Society, the UK Cohort studies and from analysis of Official statistics such as the National Pupil Database?</w:t>
      </w:r>
    </w:p>
    <w:p w:rsidR="00F329FD" w:rsidRPr="00733576" w:rsidRDefault="00F329FD" w:rsidP="00F329FD">
      <w:pPr>
        <w:pStyle w:val="ListParagraph"/>
        <w:numPr>
          <w:ilvl w:val="0"/>
          <w:numId w:val="31"/>
        </w:numPr>
        <w:jc w:val="both"/>
        <w:rPr>
          <w:rFonts w:ascii="Arial" w:hAnsi="Arial"/>
        </w:rPr>
      </w:pPr>
      <w:r w:rsidRPr="002B16F0">
        <w:rPr>
          <w:rFonts w:ascii="Arial" w:hAnsi="Arial"/>
        </w:rPr>
        <w:t>What are the key gaps in evidence?</w:t>
      </w:r>
    </w:p>
    <w:p w:rsidR="00106862" w:rsidRDefault="00F329FD" w:rsidP="00106862">
      <w:pPr>
        <w:jc w:val="both"/>
        <w:rPr>
          <w:sz w:val="22"/>
          <w:szCs w:val="22"/>
        </w:rPr>
      </w:pPr>
      <w:r>
        <w:rPr>
          <w:rFonts w:cs="Arial"/>
          <w:sz w:val="22"/>
          <w:szCs w:val="22"/>
          <w:shd w:val="clear" w:color="auto" w:fill="FFFFFF"/>
        </w:rPr>
        <w:t>The</w:t>
      </w:r>
      <w:r w:rsidR="00FD57D1">
        <w:rPr>
          <w:rFonts w:cs="Arial"/>
          <w:sz w:val="22"/>
          <w:szCs w:val="22"/>
          <w:shd w:val="clear" w:color="auto" w:fill="FFFFFF"/>
        </w:rPr>
        <w:t xml:space="preserve"> work should comprise a</w:t>
      </w:r>
      <w:r w:rsidR="00FD57D1" w:rsidRPr="00FD57D1">
        <w:rPr>
          <w:rFonts w:cs="Arial"/>
          <w:sz w:val="22"/>
          <w:szCs w:val="22"/>
          <w:shd w:val="clear" w:color="auto" w:fill="FFFFFF"/>
        </w:rPr>
        <w:t xml:space="preserve"> rapid review of the published evidence</w:t>
      </w:r>
      <w:r w:rsidR="00FD57D1">
        <w:rPr>
          <w:rFonts w:cs="Arial"/>
          <w:sz w:val="22"/>
          <w:szCs w:val="22"/>
          <w:shd w:val="clear" w:color="auto" w:fill="FFFFFF"/>
        </w:rPr>
        <w:t xml:space="preserve">. </w:t>
      </w:r>
      <w:r w:rsidR="00FD57D1" w:rsidRPr="00FD57D1">
        <w:rPr>
          <w:rFonts w:cs="Arial"/>
          <w:sz w:val="22"/>
          <w:szCs w:val="22"/>
          <w:shd w:val="clear" w:color="auto" w:fill="FFFFFF"/>
        </w:rPr>
        <w:t>It will concentrate on research from large datasets</w:t>
      </w:r>
      <w:r w:rsidR="00F25667">
        <w:rPr>
          <w:rFonts w:cs="Arial"/>
          <w:sz w:val="22"/>
          <w:szCs w:val="22"/>
          <w:shd w:val="clear" w:color="auto" w:fill="FFFFFF"/>
        </w:rPr>
        <w:t>, but should draw on the best data available</w:t>
      </w:r>
      <w:r w:rsidR="00FD57D1" w:rsidRPr="00FD57D1">
        <w:rPr>
          <w:rFonts w:cs="Arial"/>
          <w:sz w:val="22"/>
          <w:szCs w:val="22"/>
          <w:shd w:val="clear" w:color="auto" w:fill="FFFFFF"/>
        </w:rPr>
        <w:t xml:space="preserve">. </w:t>
      </w:r>
      <w:r>
        <w:rPr>
          <w:rFonts w:cs="Arial"/>
          <w:sz w:val="22"/>
          <w:szCs w:val="22"/>
          <w:shd w:val="clear" w:color="auto" w:fill="FFFFFF"/>
        </w:rPr>
        <w:t>It should include both</w:t>
      </w:r>
      <w:r w:rsidR="00FD57D1" w:rsidRPr="00FD57D1">
        <w:rPr>
          <w:rFonts w:cs="Arial"/>
          <w:sz w:val="22"/>
          <w:szCs w:val="22"/>
          <w:shd w:val="clear" w:color="auto" w:fill="FFFFFF"/>
        </w:rPr>
        <w:t xml:space="preserve"> research by Governmental bodies (Ofsted, Northern Schools Review, Social Mobility Commission) and think tanks</w:t>
      </w:r>
      <w:r w:rsidR="00900258">
        <w:rPr>
          <w:rFonts w:cs="Arial"/>
          <w:sz w:val="22"/>
          <w:szCs w:val="22"/>
          <w:shd w:val="clear" w:color="auto" w:fill="FFFFFF"/>
        </w:rPr>
        <w:t>, such</w:t>
      </w:r>
      <w:r>
        <w:rPr>
          <w:rFonts w:cs="Arial"/>
          <w:sz w:val="22"/>
          <w:szCs w:val="22"/>
          <w:shd w:val="clear" w:color="auto" w:fill="FFFFFF"/>
        </w:rPr>
        <w:t xml:space="preserve"> as the IPPR and Education Datal</w:t>
      </w:r>
      <w:r w:rsidR="00900258">
        <w:rPr>
          <w:rFonts w:cs="Arial"/>
          <w:sz w:val="22"/>
          <w:szCs w:val="22"/>
          <w:shd w:val="clear" w:color="auto" w:fill="FFFFFF"/>
        </w:rPr>
        <w:t>ab</w:t>
      </w:r>
      <w:r>
        <w:rPr>
          <w:rFonts w:cs="Arial"/>
          <w:sz w:val="22"/>
          <w:szCs w:val="22"/>
          <w:shd w:val="clear" w:color="auto" w:fill="FFFFFF"/>
        </w:rPr>
        <w:t xml:space="preserve"> and</w:t>
      </w:r>
      <w:r w:rsidR="00FD57D1" w:rsidRPr="00FD57D1">
        <w:rPr>
          <w:rFonts w:cs="Arial"/>
          <w:sz w:val="22"/>
          <w:szCs w:val="22"/>
          <w:shd w:val="clear" w:color="auto" w:fill="FFFFFF"/>
        </w:rPr>
        <w:t xml:space="preserve"> </w:t>
      </w:r>
      <w:r>
        <w:rPr>
          <w:rFonts w:cs="Arial"/>
          <w:sz w:val="22"/>
          <w:szCs w:val="22"/>
          <w:shd w:val="clear" w:color="auto" w:fill="FFFFFF"/>
        </w:rPr>
        <w:t xml:space="preserve">also </w:t>
      </w:r>
      <w:r w:rsidR="00FD57D1" w:rsidRPr="00FD57D1">
        <w:rPr>
          <w:rFonts w:cs="Arial"/>
          <w:sz w:val="22"/>
          <w:szCs w:val="22"/>
          <w:shd w:val="clear" w:color="auto" w:fill="FFFFFF"/>
        </w:rPr>
        <w:t>include academic research very closely related to the</w:t>
      </w:r>
      <w:r w:rsidR="00FD57D1">
        <w:rPr>
          <w:rFonts w:cs="Arial"/>
          <w:sz w:val="22"/>
          <w:szCs w:val="22"/>
          <w:shd w:val="clear" w:color="auto" w:fill="FFFFFF"/>
        </w:rPr>
        <w:t>se</w:t>
      </w:r>
      <w:r w:rsidR="00FD57D1" w:rsidRPr="00FD57D1">
        <w:rPr>
          <w:rFonts w:cs="Arial"/>
          <w:sz w:val="22"/>
          <w:szCs w:val="22"/>
          <w:shd w:val="clear" w:color="auto" w:fill="FFFFFF"/>
        </w:rPr>
        <w:t xml:space="preserve"> main theme</w:t>
      </w:r>
      <w:r>
        <w:rPr>
          <w:rFonts w:cs="Arial"/>
          <w:sz w:val="22"/>
          <w:szCs w:val="22"/>
          <w:shd w:val="clear" w:color="auto" w:fill="FFFFFF"/>
        </w:rPr>
        <w:t>. It</w:t>
      </w:r>
      <w:r w:rsidR="00106862">
        <w:rPr>
          <w:sz w:val="22"/>
          <w:szCs w:val="22"/>
        </w:rPr>
        <w:t xml:space="preserve"> is important that Potential Providers demonstrate that their approach will add value to and go beyond the findings of policy-orientated reviews of existing research, such as the IPPR Report ‘Putting Education at the Heart of the Northern Powerhouse</w:t>
      </w:r>
      <w:r w:rsidR="004A7F3F">
        <w:rPr>
          <w:sz w:val="22"/>
          <w:szCs w:val="22"/>
        </w:rPr>
        <w:t>,’ which is an important source.</w:t>
      </w:r>
    </w:p>
    <w:p w:rsidR="00596F47" w:rsidRDefault="00596F47" w:rsidP="00C1338A">
      <w:pPr>
        <w:jc w:val="both"/>
        <w:rPr>
          <w:sz w:val="22"/>
          <w:szCs w:val="22"/>
        </w:rPr>
      </w:pPr>
    </w:p>
    <w:p w:rsidR="004A7F3F" w:rsidRDefault="00B1667E" w:rsidP="004A7F3F">
      <w:pPr>
        <w:rPr>
          <w:sz w:val="22"/>
          <w:szCs w:val="22"/>
        </w:rPr>
      </w:pPr>
      <w:r>
        <w:rPr>
          <w:sz w:val="22"/>
          <w:szCs w:val="22"/>
        </w:rPr>
        <w:t xml:space="preserve">We are open to a range of approaches to bidding. </w:t>
      </w:r>
      <w:r w:rsidRPr="00F25667">
        <w:rPr>
          <w:sz w:val="22"/>
          <w:szCs w:val="22"/>
        </w:rPr>
        <w:t xml:space="preserve">We would welcome bids that address all four </w:t>
      </w:r>
      <w:r w:rsidR="00F329FD" w:rsidRPr="00F25667">
        <w:rPr>
          <w:sz w:val="22"/>
          <w:szCs w:val="22"/>
        </w:rPr>
        <w:t>papers</w:t>
      </w:r>
      <w:r w:rsidRPr="00F25667">
        <w:rPr>
          <w:sz w:val="22"/>
          <w:szCs w:val="22"/>
        </w:rPr>
        <w:t xml:space="preserve"> and also </w:t>
      </w:r>
      <w:r w:rsidR="00F25667" w:rsidRPr="00F25667">
        <w:rPr>
          <w:sz w:val="22"/>
          <w:szCs w:val="22"/>
        </w:rPr>
        <w:t xml:space="preserve">more </w:t>
      </w:r>
      <w:r w:rsidRPr="00F25667">
        <w:rPr>
          <w:sz w:val="22"/>
          <w:szCs w:val="22"/>
        </w:rPr>
        <w:t>specialist proposals that might address only one</w:t>
      </w:r>
      <w:r w:rsidR="00F25667" w:rsidRPr="00F25667">
        <w:rPr>
          <w:sz w:val="22"/>
          <w:szCs w:val="22"/>
        </w:rPr>
        <w:t xml:space="preserve"> project</w:t>
      </w:r>
      <w:r w:rsidRPr="00F25667">
        <w:rPr>
          <w:sz w:val="22"/>
          <w:szCs w:val="22"/>
        </w:rPr>
        <w:t xml:space="preserve">. </w:t>
      </w:r>
      <w:r w:rsidR="00F25667">
        <w:rPr>
          <w:sz w:val="22"/>
          <w:szCs w:val="22"/>
        </w:rPr>
        <w:t xml:space="preserve">Bidders for both projects should set out how they </w:t>
      </w:r>
      <w:r w:rsidR="00F85561">
        <w:rPr>
          <w:sz w:val="22"/>
          <w:szCs w:val="22"/>
        </w:rPr>
        <w:t xml:space="preserve">see the </w:t>
      </w:r>
      <w:r w:rsidR="00F25667">
        <w:rPr>
          <w:sz w:val="22"/>
          <w:szCs w:val="22"/>
        </w:rPr>
        <w:t xml:space="preserve">relevant methods and </w:t>
      </w:r>
      <w:r w:rsidR="00F85561">
        <w:rPr>
          <w:sz w:val="22"/>
          <w:szCs w:val="22"/>
        </w:rPr>
        <w:t>issues</w:t>
      </w:r>
      <w:r w:rsidR="00F25667">
        <w:rPr>
          <w:sz w:val="22"/>
          <w:szCs w:val="22"/>
        </w:rPr>
        <w:t xml:space="preserve"> for each project</w:t>
      </w:r>
      <w:r w:rsidR="00F85561">
        <w:rPr>
          <w:sz w:val="22"/>
          <w:szCs w:val="22"/>
        </w:rPr>
        <w:t xml:space="preserve"> separately</w:t>
      </w:r>
      <w:r w:rsidR="00F25667">
        <w:rPr>
          <w:sz w:val="22"/>
          <w:szCs w:val="22"/>
        </w:rPr>
        <w:t>. Potential Providers should clarify whether their preferred option is to tackle</w:t>
      </w:r>
      <w:r w:rsidR="00CF5E12" w:rsidRPr="00F25667">
        <w:rPr>
          <w:sz w:val="22"/>
          <w:szCs w:val="22"/>
        </w:rPr>
        <w:t xml:space="preserve"> </w:t>
      </w:r>
      <w:r w:rsidR="00F25667" w:rsidRPr="00F25667">
        <w:rPr>
          <w:sz w:val="22"/>
          <w:szCs w:val="22"/>
        </w:rPr>
        <w:t>both</w:t>
      </w:r>
      <w:r w:rsidR="00CF5E12" w:rsidRPr="00F25667">
        <w:rPr>
          <w:sz w:val="22"/>
          <w:szCs w:val="22"/>
        </w:rPr>
        <w:t xml:space="preserve"> project</w:t>
      </w:r>
      <w:r w:rsidR="00F25667" w:rsidRPr="00F25667">
        <w:rPr>
          <w:sz w:val="22"/>
          <w:szCs w:val="22"/>
        </w:rPr>
        <w:t xml:space="preserve">s or </w:t>
      </w:r>
      <w:r w:rsidR="00CF5E12" w:rsidRPr="00F25667">
        <w:rPr>
          <w:sz w:val="22"/>
          <w:szCs w:val="22"/>
        </w:rPr>
        <w:t>one</w:t>
      </w:r>
      <w:r w:rsidR="00F25667">
        <w:rPr>
          <w:sz w:val="22"/>
          <w:szCs w:val="22"/>
        </w:rPr>
        <w:t xml:space="preserve"> specifically</w:t>
      </w:r>
      <w:r w:rsidR="00CF5E12" w:rsidRPr="00F25667">
        <w:rPr>
          <w:sz w:val="22"/>
          <w:szCs w:val="22"/>
        </w:rPr>
        <w:t xml:space="preserve">, </w:t>
      </w:r>
      <w:r w:rsidR="00F25667">
        <w:rPr>
          <w:sz w:val="22"/>
          <w:szCs w:val="22"/>
        </w:rPr>
        <w:t>and</w:t>
      </w:r>
      <w:r w:rsidR="00CF5E12" w:rsidRPr="00F25667">
        <w:rPr>
          <w:sz w:val="22"/>
          <w:szCs w:val="22"/>
        </w:rPr>
        <w:t xml:space="preserve"> indicate their willingness and ability to </w:t>
      </w:r>
      <w:r w:rsidR="00F25667">
        <w:rPr>
          <w:sz w:val="22"/>
          <w:szCs w:val="22"/>
        </w:rPr>
        <w:t>consider</w:t>
      </w:r>
      <w:r w:rsidR="00F25667" w:rsidRPr="00F25667">
        <w:rPr>
          <w:sz w:val="22"/>
          <w:szCs w:val="22"/>
        </w:rPr>
        <w:t xml:space="preserve"> alternative arrangements</w:t>
      </w:r>
      <w:r w:rsidRPr="00F25667">
        <w:rPr>
          <w:sz w:val="22"/>
          <w:szCs w:val="22"/>
        </w:rPr>
        <w:t>.</w:t>
      </w:r>
      <w:r w:rsidR="00CF5E12" w:rsidRPr="00CF5E12">
        <w:rPr>
          <w:sz w:val="22"/>
          <w:szCs w:val="22"/>
        </w:rPr>
        <w:t xml:space="preserve"> </w:t>
      </w:r>
    </w:p>
    <w:p w:rsidR="004A7F3F" w:rsidRDefault="004A7F3F" w:rsidP="004A7F3F">
      <w:pPr>
        <w:rPr>
          <w:sz w:val="22"/>
          <w:szCs w:val="22"/>
        </w:rPr>
      </w:pPr>
    </w:p>
    <w:p w:rsidR="00C1338A" w:rsidRPr="004A7F3F" w:rsidRDefault="004A7F3F" w:rsidP="004A7F3F">
      <w:pPr>
        <w:rPr>
          <w:rFonts w:cs="Arial"/>
          <w:sz w:val="22"/>
          <w:szCs w:val="22"/>
          <w:shd w:val="clear" w:color="auto" w:fill="FFFFFF"/>
        </w:rPr>
      </w:pPr>
      <w:r>
        <w:rPr>
          <w:rFonts w:cs="Arial"/>
          <w:sz w:val="22"/>
          <w:szCs w:val="22"/>
          <w:shd w:val="clear" w:color="auto" w:fill="FFFFFF"/>
        </w:rPr>
        <w:t xml:space="preserve">We recognise this framework of interest is very broad and so we will look for potential contractors to define approaches and feasible priorities within this framework. </w:t>
      </w:r>
      <w:r>
        <w:rPr>
          <w:sz w:val="22"/>
          <w:szCs w:val="22"/>
        </w:rPr>
        <w:t>The</w:t>
      </w:r>
      <w:r w:rsidR="00CF5E12" w:rsidRPr="00C1338A">
        <w:rPr>
          <w:sz w:val="22"/>
          <w:szCs w:val="22"/>
        </w:rPr>
        <w:t xml:space="preserve"> </w:t>
      </w:r>
      <w:r>
        <w:rPr>
          <w:sz w:val="22"/>
          <w:szCs w:val="22"/>
        </w:rPr>
        <w:t xml:space="preserve">precise, final </w:t>
      </w:r>
      <w:r w:rsidR="00CF5E12" w:rsidRPr="00C1338A">
        <w:rPr>
          <w:sz w:val="22"/>
          <w:szCs w:val="22"/>
        </w:rPr>
        <w:t xml:space="preserve">research questions will be agreed between the successful provider and the </w:t>
      </w:r>
      <w:r w:rsidR="005561AA">
        <w:rPr>
          <w:sz w:val="22"/>
          <w:szCs w:val="22"/>
        </w:rPr>
        <w:t>CCO</w:t>
      </w:r>
      <w:r w:rsidR="00CF5E12" w:rsidRPr="00C1338A">
        <w:rPr>
          <w:sz w:val="22"/>
          <w:szCs w:val="22"/>
        </w:rPr>
        <w:t xml:space="preserve"> once the contract is awarded.</w:t>
      </w:r>
      <w:r w:rsidR="005561AA">
        <w:rPr>
          <w:sz w:val="22"/>
          <w:szCs w:val="22"/>
        </w:rPr>
        <w:t xml:space="preserve"> There will be scope for discussions with the CCO, with other paper authors and for early discussion with the advisory group and wider representative organisations. It is important contractors allow time for at least one </w:t>
      </w:r>
      <w:r w:rsidR="004935FF">
        <w:rPr>
          <w:sz w:val="22"/>
          <w:szCs w:val="22"/>
        </w:rPr>
        <w:t>Growing up North Advisory G</w:t>
      </w:r>
      <w:r w:rsidR="005561AA">
        <w:rPr>
          <w:sz w:val="22"/>
          <w:szCs w:val="22"/>
        </w:rPr>
        <w:t xml:space="preserve">roup meeting alongside each milestone and have systems in place to ensure that the feedback from the meetings can shape and help set priorities for the work. </w:t>
      </w:r>
      <w:r w:rsidR="004935FF">
        <w:rPr>
          <w:sz w:val="22"/>
          <w:szCs w:val="22"/>
        </w:rPr>
        <w:t xml:space="preserve">The full set of governance requirements can be seen in 3.7 below. </w:t>
      </w:r>
    </w:p>
    <w:p w:rsidR="00BF1F5D" w:rsidRDefault="00BF1F5D" w:rsidP="003E71ED">
      <w:pPr>
        <w:pStyle w:val="NoSpacing"/>
        <w:rPr>
          <w:rFonts w:cs="Arial"/>
          <w:b/>
          <w:sz w:val="22"/>
          <w:szCs w:val="22"/>
        </w:rPr>
      </w:pPr>
    </w:p>
    <w:p w:rsidR="003E71ED" w:rsidRDefault="00F235ED" w:rsidP="003E71ED">
      <w:pPr>
        <w:pStyle w:val="NoSpacing"/>
        <w:rPr>
          <w:rFonts w:cs="Arial"/>
          <w:b/>
          <w:sz w:val="22"/>
          <w:szCs w:val="22"/>
        </w:rPr>
      </w:pPr>
      <w:r>
        <w:rPr>
          <w:rFonts w:cs="Arial"/>
          <w:b/>
          <w:sz w:val="22"/>
          <w:szCs w:val="22"/>
        </w:rPr>
        <w:t>3.4</w:t>
      </w:r>
      <w:r w:rsidR="003E71ED" w:rsidRPr="00584D89">
        <w:rPr>
          <w:rFonts w:cs="Arial"/>
          <w:b/>
          <w:sz w:val="22"/>
          <w:szCs w:val="22"/>
        </w:rPr>
        <w:tab/>
        <w:t>Research Design</w:t>
      </w:r>
    </w:p>
    <w:p w:rsidR="00780629" w:rsidRDefault="00780629" w:rsidP="003E71ED">
      <w:pPr>
        <w:pStyle w:val="NoSpacing"/>
        <w:rPr>
          <w:rFonts w:cs="Arial"/>
          <w:b/>
          <w:sz w:val="22"/>
          <w:szCs w:val="22"/>
        </w:rPr>
      </w:pPr>
    </w:p>
    <w:p w:rsidR="00780629" w:rsidRPr="00FA0216" w:rsidRDefault="00780629" w:rsidP="00780629">
      <w:pPr>
        <w:spacing w:line="276" w:lineRule="auto"/>
      </w:pPr>
      <w:r>
        <w:rPr>
          <w:rFonts w:cs="Arial"/>
          <w:sz w:val="22"/>
          <w:szCs w:val="22"/>
        </w:rPr>
        <w:t>We have set out some thoughts on t</w:t>
      </w:r>
      <w:r w:rsidR="0088251A">
        <w:rPr>
          <w:rFonts w:cs="Arial"/>
          <w:sz w:val="22"/>
          <w:szCs w:val="22"/>
        </w:rPr>
        <w:t>he approach for this work below,</w:t>
      </w:r>
      <w:r w:rsidR="002C0169">
        <w:rPr>
          <w:rFonts w:cs="Arial"/>
          <w:sz w:val="22"/>
          <w:szCs w:val="22"/>
        </w:rPr>
        <w:t xml:space="preserve"> however, we are seeking T</w:t>
      </w:r>
      <w:r>
        <w:rPr>
          <w:rFonts w:cs="Arial"/>
          <w:sz w:val="22"/>
          <w:szCs w:val="22"/>
        </w:rPr>
        <w:t>enders that demonstrate</w:t>
      </w:r>
      <w:r w:rsidR="00FB1648">
        <w:rPr>
          <w:rFonts w:cs="Arial"/>
          <w:sz w:val="22"/>
          <w:szCs w:val="22"/>
        </w:rPr>
        <w:t xml:space="preserve"> Potential P</w:t>
      </w:r>
      <w:r w:rsidR="00DE73D8">
        <w:rPr>
          <w:rFonts w:cs="Arial"/>
          <w:sz w:val="22"/>
          <w:szCs w:val="22"/>
        </w:rPr>
        <w:t>roviders’</w:t>
      </w:r>
      <w:r>
        <w:rPr>
          <w:rFonts w:cs="Arial"/>
          <w:sz w:val="22"/>
          <w:szCs w:val="22"/>
        </w:rPr>
        <w:t xml:space="preserve"> knowledge of the sector and research design and that seek to address the study research objectives</w:t>
      </w:r>
      <w:r w:rsidR="004A7F3F" w:rsidRPr="004A7F3F">
        <w:rPr>
          <w:rFonts w:cs="Arial"/>
          <w:sz w:val="22"/>
          <w:szCs w:val="22"/>
        </w:rPr>
        <w:t xml:space="preserve"> </w:t>
      </w:r>
      <w:r w:rsidR="004A7F3F">
        <w:rPr>
          <w:rFonts w:cs="Arial"/>
          <w:sz w:val="22"/>
          <w:szCs w:val="22"/>
        </w:rPr>
        <w:t>robustly, innovatively and ethically</w:t>
      </w:r>
      <w:r>
        <w:rPr>
          <w:rFonts w:cs="Arial"/>
          <w:sz w:val="22"/>
          <w:szCs w:val="22"/>
        </w:rPr>
        <w:t>.</w:t>
      </w:r>
      <w:r w:rsidR="005561AA">
        <w:rPr>
          <w:rFonts w:cs="Arial"/>
          <w:sz w:val="22"/>
          <w:szCs w:val="22"/>
        </w:rPr>
        <w:t xml:space="preserve"> </w:t>
      </w:r>
    </w:p>
    <w:p w:rsidR="00780629" w:rsidRPr="00780629" w:rsidRDefault="00780629" w:rsidP="003E71ED">
      <w:pPr>
        <w:pStyle w:val="NoSpacing"/>
        <w:rPr>
          <w:rFonts w:cs="Arial"/>
          <w:sz w:val="22"/>
          <w:szCs w:val="22"/>
        </w:rPr>
      </w:pPr>
    </w:p>
    <w:p w:rsidR="003E71ED" w:rsidRPr="00584D89" w:rsidRDefault="003E71ED" w:rsidP="003E71ED">
      <w:pPr>
        <w:pStyle w:val="Default"/>
        <w:rPr>
          <w:bCs/>
          <w:sz w:val="22"/>
          <w:szCs w:val="22"/>
        </w:rPr>
      </w:pPr>
    </w:p>
    <w:p w:rsidR="007E188D" w:rsidRDefault="00F235ED" w:rsidP="0075397E">
      <w:pPr>
        <w:widowControl/>
        <w:overflowPunct/>
        <w:textAlignment w:val="auto"/>
        <w:rPr>
          <w:rFonts w:cs="Arial"/>
          <w:b/>
          <w:sz w:val="22"/>
          <w:szCs w:val="22"/>
          <w:lang w:eastAsia="en-GB"/>
        </w:rPr>
      </w:pPr>
      <w:r>
        <w:rPr>
          <w:rFonts w:cs="Arial"/>
          <w:b/>
          <w:sz w:val="22"/>
          <w:szCs w:val="22"/>
          <w:lang w:eastAsia="en-GB"/>
        </w:rPr>
        <w:t>3.4</w:t>
      </w:r>
      <w:r w:rsidR="00EB197A">
        <w:rPr>
          <w:rFonts w:cs="Arial"/>
          <w:b/>
          <w:sz w:val="22"/>
          <w:szCs w:val="22"/>
          <w:lang w:eastAsia="en-GB"/>
        </w:rPr>
        <w:t xml:space="preserve">.1 </w:t>
      </w:r>
      <w:r w:rsidR="005E2EEF">
        <w:rPr>
          <w:rFonts w:cs="Arial"/>
          <w:b/>
          <w:sz w:val="22"/>
          <w:szCs w:val="22"/>
          <w:lang w:eastAsia="en-GB"/>
        </w:rPr>
        <w:t>Identifying and mapping the existing evidence</w:t>
      </w:r>
    </w:p>
    <w:p w:rsidR="005E2EEF" w:rsidRDefault="005E2EEF" w:rsidP="0075397E">
      <w:pPr>
        <w:widowControl/>
        <w:overflowPunct/>
        <w:textAlignment w:val="auto"/>
        <w:rPr>
          <w:rFonts w:cs="Arial"/>
          <w:b/>
          <w:sz w:val="22"/>
          <w:szCs w:val="22"/>
          <w:lang w:eastAsia="en-GB"/>
        </w:rPr>
      </w:pPr>
    </w:p>
    <w:p w:rsidR="00B22883" w:rsidRPr="00B22883" w:rsidRDefault="00F329FD" w:rsidP="00B018E9">
      <w:pPr>
        <w:widowControl/>
        <w:overflowPunct/>
        <w:textAlignment w:val="auto"/>
        <w:rPr>
          <w:rFonts w:cs="Arial"/>
          <w:sz w:val="22"/>
          <w:szCs w:val="22"/>
          <w:lang w:eastAsia="en-GB"/>
        </w:rPr>
      </w:pPr>
      <w:r w:rsidRPr="00B22883">
        <w:rPr>
          <w:rFonts w:cs="Arial"/>
          <w:sz w:val="22"/>
          <w:szCs w:val="22"/>
          <w:lang w:eastAsia="en-GB"/>
        </w:rPr>
        <w:t>We expect that t</w:t>
      </w:r>
      <w:r w:rsidR="00E86003" w:rsidRPr="00B22883">
        <w:rPr>
          <w:rFonts w:cs="Arial"/>
          <w:sz w:val="22"/>
          <w:szCs w:val="22"/>
          <w:lang w:eastAsia="en-GB"/>
        </w:rPr>
        <w:t xml:space="preserve">he first stage of this work is to identify the </w:t>
      </w:r>
      <w:r w:rsidR="00B018E9" w:rsidRPr="00B22883">
        <w:rPr>
          <w:rFonts w:cs="Arial"/>
          <w:sz w:val="22"/>
          <w:szCs w:val="22"/>
          <w:lang w:eastAsia="en-GB"/>
        </w:rPr>
        <w:t xml:space="preserve">key studies that have been conducted. </w:t>
      </w:r>
    </w:p>
    <w:p w:rsidR="00B22883" w:rsidRPr="00B22883" w:rsidRDefault="00B22883" w:rsidP="00B018E9">
      <w:pPr>
        <w:widowControl/>
        <w:overflowPunct/>
        <w:textAlignment w:val="auto"/>
        <w:rPr>
          <w:rFonts w:cs="Arial"/>
          <w:sz w:val="22"/>
          <w:szCs w:val="22"/>
          <w:lang w:eastAsia="en-GB"/>
        </w:rPr>
      </w:pPr>
    </w:p>
    <w:p w:rsidR="00B22883" w:rsidRPr="00B22883" w:rsidRDefault="00B22883" w:rsidP="00B22883">
      <w:pPr>
        <w:rPr>
          <w:sz w:val="22"/>
          <w:szCs w:val="22"/>
          <w:lang w:eastAsia="en-GB"/>
        </w:rPr>
      </w:pPr>
      <w:r w:rsidRPr="00B22883">
        <w:rPr>
          <w:sz w:val="22"/>
          <w:szCs w:val="22"/>
          <w:lang w:eastAsia="en-GB"/>
        </w:rPr>
        <w:t xml:space="preserve">The review should include all major </w:t>
      </w:r>
      <w:r w:rsidR="00F85561">
        <w:rPr>
          <w:sz w:val="22"/>
          <w:szCs w:val="22"/>
          <w:lang w:eastAsia="en-GB"/>
        </w:rPr>
        <w:t xml:space="preserve">articles and </w:t>
      </w:r>
      <w:r w:rsidRPr="00B22883">
        <w:rPr>
          <w:sz w:val="22"/>
          <w:szCs w:val="22"/>
          <w:lang w:eastAsia="en-GB"/>
        </w:rPr>
        <w:t>reviews published since April 2010</w:t>
      </w:r>
      <w:r w:rsidR="00F85561">
        <w:rPr>
          <w:sz w:val="22"/>
          <w:szCs w:val="22"/>
          <w:lang w:eastAsia="en-GB"/>
        </w:rPr>
        <w:t xml:space="preserve"> as a minimum</w:t>
      </w:r>
      <w:r w:rsidRPr="00B22883">
        <w:rPr>
          <w:sz w:val="22"/>
          <w:szCs w:val="22"/>
          <w:lang w:eastAsia="en-GB"/>
        </w:rPr>
        <w:t xml:space="preserve">. </w:t>
      </w:r>
    </w:p>
    <w:p w:rsidR="00B22883" w:rsidRPr="00B22883" w:rsidRDefault="00B22883" w:rsidP="00B22883">
      <w:pPr>
        <w:rPr>
          <w:sz w:val="22"/>
          <w:szCs w:val="22"/>
          <w:lang w:eastAsia="en-GB"/>
        </w:rPr>
      </w:pPr>
    </w:p>
    <w:p w:rsidR="00F85561" w:rsidRDefault="00B018E9" w:rsidP="00F85561">
      <w:pPr>
        <w:widowControl/>
        <w:overflowPunct/>
        <w:textAlignment w:val="auto"/>
        <w:rPr>
          <w:sz w:val="22"/>
          <w:szCs w:val="22"/>
          <w:lang w:eastAsia="en-GB"/>
        </w:rPr>
      </w:pPr>
      <w:r w:rsidRPr="00B22883">
        <w:rPr>
          <w:rFonts w:cs="Arial"/>
          <w:sz w:val="22"/>
          <w:szCs w:val="22"/>
          <w:lang w:eastAsia="en-GB"/>
        </w:rPr>
        <w:t>Although a full systematic review is not possible in the time available, the work should be undertaken in systematic terms, with clear specification of search criteria</w:t>
      </w:r>
      <w:r w:rsidR="00E92DA2" w:rsidRPr="00B22883">
        <w:rPr>
          <w:rFonts w:cs="Arial"/>
          <w:sz w:val="22"/>
          <w:szCs w:val="22"/>
          <w:lang w:eastAsia="en-GB"/>
        </w:rPr>
        <w:t xml:space="preserve"> and terms for inclusion and exclusion</w:t>
      </w:r>
      <w:r w:rsidRPr="00B22883">
        <w:rPr>
          <w:rFonts w:cs="Arial"/>
          <w:sz w:val="22"/>
          <w:szCs w:val="22"/>
          <w:lang w:eastAsia="en-GB"/>
        </w:rPr>
        <w:t>. We would expect the work to include use of key official sources such as National Statistics and publications from Government sources as well as academic publications and work from think tanks and other agencies.</w:t>
      </w:r>
      <w:r w:rsidR="00353382" w:rsidRPr="00B22883">
        <w:rPr>
          <w:rFonts w:cs="Arial"/>
          <w:sz w:val="22"/>
          <w:szCs w:val="22"/>
          <w:lang w:eastAsia="en-GB"/>
        </w:rPr>
        <w:t xml:space="preserve"> </w:t>
      </w:r>
      <w:r w:rsidR="00246673" w:rsidRPr="00B22883">
        <w:rPr>
          <w:sz w:val="22"/>
          <w:szCs w:val="22"/>
          <w:lang w:eastAsia="en-GB"/>
        </w:rPr>
        <w:t>I</w:t>
      </w:r>
      <w:r w:rsidR="000B676B" w:rsidRPr="00B22883">
        <w:rPr>
          <w:sz w:val="22"/>
          <w:szCs w:val="22"/>
          <w:lang w:eastAsia="en-GB"/>
        </w:rPr>
        <w:t>t is expected that the successful contract</w:t>
      </w:r>
      <w:r w:rsidR="0088251A" w:rsidRPr="00B22883">
        <w:rPr>
          <w:sz w:val="22"/>
          <w:szCs w:val="22"/>
          <w:lang w:eastAsia="en-GB"/>
        </w:rPr>
        <w:t>or</w:t>
      </w:r>
      <w:r w:rsidR="00BC7F8A">
        <w:rPr>
          <w:sz w:val="22"/>
          <w:szCs w:val="22"/>
          <w:lang w:eastAsia="en-GB"/>
        </w:rPr>
        <w:t>(s)</w:t>
      </w:r>
      <w:r w:rsidR="000B676B" w:rsidRPr="00B22883">
        <w:rPr>
          <w:sz w:val="22"/>
          <w:szCs w:val="22"/>
          <w:lang w:eastAsia="en-GB"/>
        </w:rPr>
        <w:t xml:space="preserve"> will have their own contacts </w:t>
      </w:r>
      <w:r w:rsidR="00F329FD" w:rsidRPr="00B22883">
        <w:rPr>
          <w:sz w:val="22"/>
          <w:szCs w:val="22"/>
          <w:lang w:eastAsia="en-GB"/>
        </w:rPr>
        <w:t xml:space="preserve">to inform </w:t>
      </w:r>
      <w:r w:rsidR="00B22883" w:rsidRPr="00B22883">
        <w:rPr>
          <w:sz w:val="22"/>
          <w:szCs w:val="22"/>
          <w:lang w:eastAsia="en-GB"/>
        </w:rPr>
        <w:t>identification of key papers</w:t>
      </w:r>
      <w:r w:rsidR="00F329FD" w:rsidRPr="00B22883">
        <w:rPr>
          <w:sz w:val="22"/>
          <w:szCs w:val="22"/>
          <w:lang w:eastAsia="en-GB"/>
        </w:rPr>
        <w:t xml:space="preserve"> </w:t>
      </w:r>
      <w:r w:rsidR="00B22883" w:rsidRPr="00B22883">
        <w:rPr>
          <w:sz w:val="22"/>
          <w:szCs w:val="22"/>
          <w:lang w:eastAsia="en-GB"/>
        </w:rPr>
        <w:t xml:space="preserve">in the grey literature </w:t>
      </w:r>
      <w:r w:rsidR="000B676B" w:rsidRPr="00B22883">
        <w:rPr>
          <w:sz w:val="22"/>
          <w:szCs w:val="22"/>
          <w:lang w:eastAsia="en-GB"/>
        </w:rPr>
        <w:t xml:space="preserve">and </w:t>
      </w:r>
      <w:r w:rsidR="00FB1648" w:rsidRPr="00B22883">
        <w:rPr>
          <w:sz w:val="22"/>
          <w:szCs w:val="22"/>
          <w:lang w:eastAsia="en-GB"/>
        </w:rPr>
        <w:t>Potential P</w:t>
      </w:r>
      <w:r w:rsidR="00DE73D8" w:rsidRPr="00B22883">
        <w:rPr>
          <w:sz w:val="22"/>
          <w:szCs w:val="22"/>
          <w:lang w:eastAsia="en-GB"/>
        </w:rPr>
        <w:t>roviders</w:t>
      </w:r>
      <w:r w:rsidR="000B676B" w:rsidRPr="00B22883">
        <w:rPr>
          <w:sz w:val="22"/>
          <w:szCs w:val="22"/>
          <w:lang w:eastAsia="en-GB"/>
        </w:rPr>
        <w:t xml:space="preserve"> are asked to articulate a clear strategy for accessing all relevant organisations and individu</w:t>
      </w:r>
      <w:r w:rsidR="004056BE" w:rsidRPr="00B22883">
        <w:rPr>
          <w:sz w:val="22"/>
          <w:szCs w:val="22"/>
          <w:lang w:eastAsia="en-GB"/>
        </w:rPr>
        <w:t xml:space="preserve">als with a clear indication of how this will fit with the project </w:t>
      </w:r>
      <w:r w:rsidR="004056BE" w:rsidRPr="00B22883">
        <w:rPr>
          <w:sz w:val="22"/>
          <w:szCs w:val="22"/>
          <w:lang w:eastAsia="en-GB"/>
        </w:rPr>
        <w:lastRenderedPageBreak/>
        <w:t>timeline.</w:t>
      </w:r>
      <w:r w:rsidR="00246673" w:rsidRPr="00B22883">
        <w:rPr>
          <w:sz w:val="22"/>
          <w:szCs w:val="22"/>
          <w:lang w:eastAsia="en-GB"/>
        </w:rPr>
        <w:t xml:space="preserve"> There will also be a project advisory group who will guide the project and assist in decisions around who is contacted.</w:t>
      </w:r>
      <w:r w:rsidR="00F85561">
        <w:rPr>
          <w:rFonts w:cs="Arial"/>
          <w:sz w:val="22"/>
          <w:szCs w:val="22"/>
          <w:lang w:eastAsia="en-GB"/>
        </w:rPr>
        <w:t xml:space="preserve"> </w:t>
      </w:r>
      <w:r w:rsidR="00E92DA2">
        <w:rPr>
          <w:sz w:val="22"/>
          <w:szCs w:val="22"/>
          <w:lang w:eastAsia="en-GB"/>
        </w:rPr>
        <w:t>Potential Providers</w:t>
      </w:r>
      <w:r w:rsidR="00E92DA2" w:rsidRPr="004056BE">
        <w:rPr>
          <w:sz w:val="22"/>
          <w:szCs w:val="22"/>
          <w:lang w:eastAsia="en-GB"/>
        </w:rPr>
        <w:t xml:space="preserve"> are asked to reflect on how this element of the work can be made as systematic, comprehensive and rigorous as possible</w:t>
      </w:r>
      <w:r w:rsidR="00E92DA2">
        <w:rPr>
          <w:sz w:val="22"/>
          <w:szCs w:val="22"/>
          <w:lang w:eastAsia="en-GB"/>
        </w:rPr>
        <w:t xml:space="preserve"> and to articulate a clear plan for this in their methodology. </w:t>
      </w:r>
    </w:p>
    <w:p w:rsidR="00F85561" w:rsidRDefault="00F85561" w:rsidP="00F85561">
      <w:pPr>
        <w:widowControl/>
        <w:overflowPunct/>
        <w:textAlignment w:val="auto"/>
        <w:rPr>
          <w:sz w:val="22"/>
          <w:szCs w:val="22"/>
          <w:lang w:eastAsia="en-GB"/>
        </w:rPr>
      </w:pPr>
    </w:p>
    <w:p w:rsidR="00F85561" w:rsidRPr="00B22883" w:rsidRDefault="00F85561" w:rsidP="00F85561">
      <w:pPr>
        <w:widowControl/>
        <w:overflowPunct/>
        <w:textAlignment w:val="auto"/>
        <w:rPr>
          <w:rFonts w:cs="Arial"/>
          <w:sz w:val="22"/>
          <w:szCs w:val="22"/>
          <w:lang w:eastAsia="en-GB"/>
        </w:rPr>
      </w:pPr>
      <w:r w:rsidRPr="00B22883">
        <w:rPr>
          <w:rFonts w:cs="Arial"/>
          <w:sz w:val="22"/>
          <w:szCs w:val="22"/>
          <w:lang w:eastAsia="en-GB"/>
        </w:rPr>
        <w:t xml:space="preserve">The requirement to capture representative information about patterns of progression mean that issues of sample size should be addressed and large samples should be prioritised, although all forms of research are potential in scope where value is added. </w:t>
      </w:r>
    </w:p>
    <w:p w:rsidR="00E92DA2" w:rsidRPr="004056BE" w:rsidRDefault="00E92DA2" w:rsidP="00E92DA2">
      <w:pPr>
        <w:rPr>
          <w:sz w:val="22"/>
          <w:szCs w:val="22"/>
          <w:lang w:eastAsia="en-GB"/>
        </w:rPr>
      </w:pPr>
    </w:p>
    <w:p w:rsidR="004056BE" w:rsidRPr="00E34E36" w:rsidRDefault="009A6101" w:rsidP="00FD2645">
      <w:pPr>
        <w:rPr>
          <w:sz w:val="22"/>
          <w:szCs w:val="22"/>
          <w:lang w:eastAsia="en-GB"/>
        </w:rPr>
      </w:pPr>
      <w:r w:rsidRPr="00E34E36">
        <w:rPr>
          <w:sz w:val="22"/>
          <w:szCs w:val="22"/>
          <w:lang w:eastAsia="en-GB"/>
        </w:rPr>
        <w:t xml:space="preserve">Potential Providers should also consider how this data is captured and presented. The </w:t>
      </w:r>
      <w:r w:rsidR="009775A1">
        <w:rPr>
          <w:sz w:val="22"/>
          <w:szCs w:val="22"/>
          <w:lang w:eastAsia="en-GB"/>
        </w:rPr>
        <w:t>Authority</w:t>
      </w:r>
      <w:r w:rsidRPr="00E34E36">
        <w:rPr>
          <w:sz w:val="22"/>
          <w:szCs w:val="22"/>
          <w:lang w:eastAsia="en-GB"/>
        </w:rPr>
        <w:t xml:space="preserve"> suggests that the out</w:t>
      </w:r>
      <w:r w:rsidR="004A689A">
        <w:rPr>
          <w:sz w:val="22"/>
          <w:szCs w:val="22"/>
          <w:lang w:eastAsia="en-GB"/>
        </w:rPr>
        <w:t>puts from this exercise include</w:t>
      </w:r>
      <w:r w:rsidRPr="00E34E36">
        <w:rPr>
          <w:sz w:val="22"/>
          <w:szCs w:val="22"/>
          <w:lang w:eastAsia="en-GB"/>
        </w:rPr>
        <w:t xml:space="preserve"> a spread</w:t>
      </w:r>
      <w:r w:rsidR="004A689A">
        <w:rPr>
          <w:sz w:val="22"/>
          <w:szCs w:val="22"/>
          <w:lang w:eastAsia="en-GB"/>
        </w:rPr>
        <w:t xml:space="preserve">sheet of this information (see </w:t>
      </w:r>
      <w:r w:rsidR="00C856C4">
        <w:rPr>
          <w:sz w:val="22"/>
          <w:szCs w:val="22"/>
          <w:lang w:eastAsia="en-GB"/>
        </w:rPr>
        <w:t xml:space="preserve">Communications and </w:t>
      </w:r>
      <w:r w:rsidR="004A689A">
        <w:rPr>
          <w:sz w:val="22"/>
          <w:szCs w:val="22"/>
          <w:lang w:eastAsia="en-GB"/>
        </w:rPr>
        <w:t>O</w:t>
      </w:r>
      <w:r w:rsidRPr="00E34E36">
        <w:rPr>
          <w:sz w:val="22"/>
          <w:szCs w:val="22"/>
          <w:lang w:eastAsia="en-GB"/>
        </w:rPr>
        <w:t>utputs below), however we are open to suggestions from bidders about other formats that comprehensively detail the findings of the mapping exercise.</w:t>
      </w:r>
    </w:p>
    <w:p w:rsidR="00947552" w:rsidRPr="00E34E36" w:rsidRDefault="00947552" w:rsidP="00FD2645">
      <w:pPr>
        <w:rPr>
          <w:sz w:val="22"/>
          <w:szCs w:val="22"/>
          <w:lang w:eastAsia="en-GB"/>
        </w:rPr>
      </w:pPr>
    </w:p>
    <w:p w:rsidR="00534166" w:rsidRDefault="00534166" w:rsidP="00FD2645">
      <w:pPr>
        <w:rPr>
          <w:b/>
          <w:sz w:val="22"/>
          <w:szCs w:val="22"/>
          <w:lang w:eastAsia="en-GB"/>
        </w:rPr>
      </w:pPr>
    </w:p>
    <w:p w:rsidR="00947552" w:rsidRDefault="00F235ED" w:rsidP="00FD2645">
      <w:pPr>
        <w:rPr>
          <w:b/>
          <w:sz w:val="22"/>
          <w:szCs w:val="22"/>
          <w:lang w:eastAsia="en-GB"/>
        </w:rPr>
      </w:pPr>
      <w:r>
        <w:rPr>
          <w:b/>
          <w:sz w:val="22"/>
          <w:szCs w:val="22"/>
          <w:lang w:eastAsia="en-GB"/>
        </w:rPr>
        <w:t>3.4</w:t>
      </w:r>
      <w:r w:rsidR="00EB197A">
        <w:rPr>
          <w:b/>
          <w:sz w:val="22"/>
          <w:szCs w:val="22"/>
          <w:lang w:eastAsia="en-GB"/>
        </w:rPr>
        <w:t xml:space="preserve">.2 </w:t>
      </w:r>
      <w:r w:rsidR="00E92DA2">
        <w:rPr>
          <w:b/>
          <w:sz w:val="22"/>
          <w:szCs w:val="22"/>
          <w:lang w:eastAsia="en-GB"/>
        </w:rPr>
        <w:t>Interpreting</w:t>
      </w:r>
      <w:r w:rsidR="00353382">
        <w:rPr>
          <w:b/>
          <w:sz w:val="22"/>
          <w:szCs w:val="22"/>
          <w:lang w:eastAsia="en-GB"/>
        </w:rPr>
        <w:t xml:space="preserve">, </w:t>
      </w:r>
      <w:r w:rsidR="00E92DA2">
        <w:rPr>
          <w:b/>
          <w:sz w:val="22"/>
          <w:szCs w:val="22"/>
          <w:lang w:eastAsia="en-GB"/>
        </w:rPr>
        <w:t>summarising</w:t>
      </w:r>
      <w:r w:rsidR="00947552" w:rsidRPr="00947552">
        <w:rPr>
          <w:b/>
          <w:sz w:val="22"/>
          <w:szCs w:val="22"/>
          <w:lang w:eastAsia="en-GB"/>
        </w:rPr>
        <w:t xml:space="preserve"> </w:t>
      </w:r>
      <w:r w:rsidR="00353382">
        <w:rPr>
          <w:b/>
          <w:sz w:val="22"/>
          <w:szCs w:val="22"/>
          <w:lang w:eastAsia="en-GB"/>
        </w:rPr>
        <w:t xml:space="preserve">and reporting </w:t>
      </w:r>
      <w:r w:rsidR="00947552" w:rsidRPr="00947552">
        <w:rPr>
          <w:b/>
          <w:sz w:val="22"/>
          <w:szCs w:val="22"/>
          <w:lang w:eastAsia="en-GB"/>
        </w:rPr>
        <w:t>the evidence</w:t>
      </w:r>
      <w:r w:rsidR="00246673">
        <w:rPr>
          <w:b/>
          <w:sz w:val="22"/>
          <w:szCs w:val="22"/>
          <w:lang w:eastAsia="en-GB"/>
        </w:rPr>
        <w:t xml:space="preserve"> </w:t>
      </w:r>
    </w:p>
    <w:p w:rsidR="00947552" w:rsidRDefault="00947552" w:rsidP="00FD2645">
      <w:pPr>
        <w:rPr>
          <w:b/>
          <w:sz w:val="22"/>
          <w:szCs w:val="22"/>
          <w:lang w:eastAsia="en-GB"/>
        </w:rPr>
      </w:pPr>
    </w:p>
    <w:p w:rsidR="005C1E5D" w:rsidRDefault="00F30968" w:rsidP="00FD2645">
      <w:pPr>
        <w:rPr>
          <w:sz w:val="22"/>
          <w:szCs w:val="22"/>
          <w:lang w:eastAsia="en-GB"/>
        </w:rPr>
      </w:pPr>
      <w:r>
        <w:rPr>
          <w:sz w:val="22"/>
          <w:szCs w:val="22"/>
          <w:lang w:eastAsia="en-GB"/>
        </w:rPr>
        <w:t>The second stage</w:t>
      </w:r>
      <w:r w:rsidR="00FB1648">
        <w:rPr>
          <w:sz w:val="22"/>
          <w:szCs w:val="22"/>
          <w:lang w:eastAsia="en-GB"/>
        </w:rPr>
        <w:t xml:space="preserve"> of this work</w:t>
      </w:r>
      <w:r>
        <w:rPr>
          <w:sz w:val="22"/>
          <w:szCs w:val="22"/>
          <w:lang w:eastAsia="en-GB"/>
        </w:rPr>
        <w:t xml:space="preserve"> is to review the evidence</w:t>
      </w:r>
      <w:r w:rsidR="007A45A2">
        <w:rPr>
          <w:sz w:val="22"/>
          <w:szCs w:val="22"/>
          <w:lang w:eastAsia="en-GB"/>
        </w:rPr>
        <w:t xml:space="preserve"> </w:t>
      </w:r>
      <w:r w:rsidR="00E92DA2">
        <w:rPr>
          <w:sz w:val="22"/>
          <w:szCs w:val="22"/>
          <w:lang w:eastAsia="en-GB"/>
        </w:rPr>
        <w:t xml:space="preserve">and summarise core findings in relation to the research questions. It is important </w:t>
      </w:r>
      <w:r w:rsidR="00604369">
        <w:rPr>
          <w:sz w:val="22"/>
          <w:szCs w:val="22"/>
          <w:lang w:eastAsia="en-GB"/>
        </w:rPr>
        <w:t>P</w:t>
      </w:r>
      <w:r w:rsidR="00E92DA2">
        <w:rPr>
          <w:sz w:val="22"/>
          <w:szCs w:val="22"/>
          <w:lang w:eastAsia="en-GB"/>
        </w:rPr>
        <w:t xml:space="preserve">otential </w:t>
      </w:r>
      <w:r w:rsidR="00604369">
        <w:rPr>
          <w:sz w:val="22"/>
          <w:szCs w:val="22"/>
          <w:lang w:eastAsia="en-GB"/>
        </w:rPr>
        <w:t>P</w:t>
      </w:r>
      <w:r w:rsidR="00E92DA2">
        <w:rPr>
          <w:sz w:val="22"/>
          <w:szCs w:val="22"/>
          <w:lang w:eastAsia="en-GB"/>
        </w:rPr>
        <w:t xml:space="preserve">roviders show a systematic approach to assessing the </w:t>
      </w:r>
      <w:r w:rsidR="003D7F5F">
        <w:rPr>
          <w:sz w:val="22"/>
          <w:szCs w:val="22"/>
          <w:lang w:eastAsia="en-GB"/>
        </w:rPr>
        <w:t>relative strength</w:t>
      </w:r>
      <w:r>
        <w:rPr>
          <w:sz w:val="22"/>
          <w:szCs w:val="22"/>
          <w:lang w:eastAsia="en-GB"/>
        </w:rPr>
        <w:t>s</w:t>
      </w:r>
      <w:r w:rsidR="003D7F5F">
        <w:rPr>
          <w:sz w:val="22"/>
          <w:szCs w:val="22"/>
          <w:lang w:eastAsia="en-GB"/>
        </w:rPr>
        <w:t xml:space="preserve"> and weaknesses</w:t>
      </w:r>
      <w:r w:rsidR="00E92DA2">
        <w:rPr>
          <w:sz w:val="22"/>
          <w:szCs w:val="22"/>
          <w:lang w:eastAsia="en-GB"/>
        </w:rPr>
        <w:t xml:space="preserve"> of evidence such that different sorts of evidence can be included with a clear sense of appropriate interpretation</w:t>
      </w:r>
      <w:r w:rsidR="003D7F5F">
        <w:rPr>
          <w:sz w:val="22"/>
          <w:szCs w:val="22"/>
          <w:lang w:eastAsia="en-GB"/>
        </w:rPr>
        <w:t xml:space="preserve">. </w:t>
      </w:r>
      <w:r w:rsidR="005C1E5D">
        <w:rPr>
          <w:sz w:val="22"/>
          <w:szCs w:val="22"/>
          <w:lang w:eastAsia="en-GB"/>
        </w:rPr>
        <w:t>Potential Providers should consider the types of criteria that they may wish to use for this quality assessment exerc</w:t>
      </w:r>
      <w:r w:rsidR="00FB1648">
        <w:rPr>
          <w:sz w:val="22"/>
          <w:szCs w:val="22"/>
          <w:lang w:eastAsia="en-GB"/>
        </w:rPr>
        <w:t>ise and outline these in their T</w:t>
      </w:r>
      <w:r w:rsidR="005C1E5D">
        <w:rPr>
          <w:sz w:val="22"/>
          <w:szCs w:val="22"/>
          <w:lang w:eastAsia="en-GB"/>
        </w:rPr>
        <w:t xml:space="preserve">ender. </w:t>
      </w:r>
    </w:p>
    <w:p w:rsidR="002B16F0" w:rsidRDefault="002B16F0" w:rsidP="00FD2645">
      <w:pPr>
        <w:rPr>
          <w:sz w:val="22"/>
          <w:szCs w:val="22"/>
          <w:lang w:eastAsia="en-GB"/>
        </w:rPr>
      </w:pPr>
    </w:p>
    <w:p w:rsidR="00E92DA2" w:rsidRDefault="00E92DA2" w:rsidP="00FD2645">
      <w:pPr>
        <w:rPr>
          <w:sz w:val="22"/>
          <w:szCs w:val="22"/>
          <w:lang w:eastAsia="en-GB"/>
        </w:rPr>
      </w:pPr>
      <w:r>
        <w:rPr>
          <w:sz w:val="22"/>
          <w:szCs w:val="22"/>
          <w:lang w:eastAsia="en-GB"/>
        </w:rPr>
        <w:t xml:space="preserve">Potential </w:t>
      </w:r>
      <w:r w:rsidR="00604369">
        <w:rPr>
          <w:sz w:val="22"/>
          <w:szCs w:val="22"/>
          <w:lang w:eastAsia="en-GB"/>
        </w:rPr>
        <w:t>P</w:t>
      </w:r>
      <w:r>
        <w:rPr>
          <w:sz w:val="22"/>
          <w:szCs w:val="22"/>
          <w:lang w:eastAsia="en-GB"/>
        </w:rPr>
        <w:t>roviders should also set out how they will summarise disparate and complex findings from different studies in accessible and informative ways.</w:t>
      </w:r>
      <w:r w:rsidR="004A7F3F">
        <w:rPr>
          <w:sz w:val="22"/>
          <w:szCs w:val="22"/>
          <w:lang w:eastAsia="en-GB"/>
        </w:rPr>
        <w:t xml:space="preserve"> This will be a critical feature in awarding the contract.</w:t>
      </w:r>
    </w:p>
    <w:p w:rsidR="005E2EEF" w:rsidRDefault="005E2EEF" w:rsidP="0075397E">
      <w:pPr>
        <w:widowControl/>
        <w:overflowPunct/>
        <w:textAlignment w:val="auto"/>
        <w:rPr>
          <w:rFonts w:cs="Arial"/>
          <w:sz w:val="22"/>
          <w:szCs w:val="22"/>
          <w:lang w:eastAsia="en-GB"/>
        </w:rPr>
      </w:pPr>
    </w:p>
    <w:p w:rsidR="007F04CD" w:rsidRPr="007F04CD" w:rsidRDefault="007F04CD" w:rsidP="007F04CD">
      <w:pPr>
        <w:rPr>
          <w:b/>
          <w:sz w:val="22"/>
          <w:szCs w:val="22"/>
          <w:lang w:eastAsia="en-GB"/>
        </w:rPr>
      </w:pPr>
      <w:r w:rsidRPr="007F04CD">
        <w:rPr>
          <w:b/>
          <w:sz w:val="22"/>
          <w:szCs w:val="22"/>
          <w:lang w:eastAsia="en-GB"/>
        </w:rPr>
        <w:t>3.4.3 Recommendations</w:t>
      </w:r>
    </w:p>
    <w:p w:rsidR="007F04CD" w:rsidRDefault="007F04CD" w:rsidP="0075397E">
      <w:pPr>
        <w:widowControl/>
        <w:overflowPunct/>
        <w:textAlignment w:val="auto"/>
        <w:rPr>
          <w:rFonts w:cs="Arial"/>
          <w:sz w:val="22"/>
          <w:szCs w:val="22"/>
          <w:lang w:eastAsia="en-GB"/>
        </w:rPr>
      </w:pPr>
      <w:r>
        <w:rPr>
          <w:rFonts w:cs="Arial"/>
          <w:sz w:val="22"/>
          <w:szCs w:val="22"/>
          <w:lang w:eastAsia="en-GB"/>
        </w:rPr>
        <w:t>In addition to a clear statement of findings we would also like the final report to include recommendations about what feasible new analysis might usefully be undertaken to address gaps in the evidence</w:t>
      </w:r>
      <w:r w:rsidR="00B22883">
        <w:rPr>
          <w:rFonts w:cs="Arial"/>
          <w:sz w:val="22"/>
          <w:szCs w:val="22"/>
          <w:lang w:eastAsia="en-GB"/>
        </w:rPr>
        <w:t xml:space="preserve"> or test key hypotheses</w:t>
      </w:r>
      <w:r>
        <w:rPr>
          <w:rFonts w:cs="Arial"/>
          <w:sz w:val="22"/>
          <w:szCs w:val="22"/>
          <w:lang w:eastAsia="en-GB"/>
        </w:rPr>
        <w:t>. These recommendations should be based in part on discussions with the project</w:t>
      </w:r>
      <w:r w:rsidR="004A7F3F">
        <w:rPr>
          <w:rFonts w:cs="Arial"/>
          <w:sz w:val="22"/>
          <w:szCs w:val="22"/>
          <w:lang w:eastAsia="en-GB"/>
        </w:rPr>
        <w:t>’</w:t>
      </w:r>
      <w:r>
        <w:rPr>
          <w:rFonts w:cs="Arial"/>
          <w:sz w:val="22"/>
          <w:szCs w:val="22"/>
          <w:lang w:eastAsia="en-GB"/>
        </w:rPr>
        <w:t>s Advisory Group.</w:t>
      </w:r>
    </w:p>
    <w:p w:rsidR="007F04CD" w:rsidRDefault="007F04CD" w:rsidP="0075397E">
      <w:pPr>
        <w:widowControl/>
        <w:overflowPunct/>
        <w:textAlignment w:val="auto"/>
        <w:rPr>
          <w:rFonts w:cs="Arial"/>
          <w:sz w:val="22"/>
          <w:szCs w:val="22"/>
          <w:lang w:eastAsia="en-GB"/>
        </w:rPr>
      </w:pPr>
    </w:p>
    <w:p w:rsidR="007F04CD" w:rsidRPr="00416648" w:rsidRDefault="007F04CD" w:rsidP="0075397E">
      <w:pPr>
        <w:widowControl/>
        <w:overflowPunct/>
        <w:textAlignment w:val="auto"/>
        <w:rPr>
          <w:rFonts w:cs="Arial"/>
          <w:sz w:val="22"/>
          <w:szCs w:val="22"/>
          <w:lang w:eastAsia="en-GB"/>
        </w:rPr>
      </w:pPr>
    </w:p>
    <w:p w:rsidR="003E71ED" w:rsidRPr="00584D89" w:rsidRDefault="00F235ED" w:rsidP="003E71ED">
      <w:pPr>
        <w:tabs>
          <w:tab w:val="center" w:pos="4255"/>
        </w:tabs>
        <w:ind w:right="-296"/>
        <w:rPr>
          <w:rFonts w:cs="Arial"/>
          <w:b/>
          <w:sz w:val="22"/>
          <w:szCs w:val="22"/>
          <w:lang w:eastAsia="en-GB"/>
        </w:rPr>
      </w:pPr>
      <w:r>
        <w:rPr>
          <w:rFonts w:cs="Arial"/>
          <w:b/>
          <w:sz w:val="22"/>
          <w:szCs w:val="22"/>
          <w:lang w:eastAsia="en-GB"/>
        </w:rPr>
        <w:t>3.5</w:t>
      </w:r>
      <w:r w:rsidR="003E71ED" w:rsidRPr="00584D89">
        <w:rPr>
          <w:rFonts w:cs="Arial"/>
          <w:b/>
          <w:sz w:val="22"/>
          <w:szCs w:val="22"/>
          <w:lang w:eastAsia="en-GB"/>
        </w:rPr>
        <w:t xml:space="preserve"> </w:t>
      </w:r>
      <w:r w:rsidR="007A57DE">
        <w:rPr>
          <w:rFonts w:cs="Arial"/>
          <w:b/>
          <w:sz w:val="22"/>
          <w:szCs w:val="22"/>
          <w:lang w:eastAsia="en-GB"/>
        </w:rPr>
        <w:t xml:space="preserve">  </w:t>
      </w:r>
      <w:r w:rsidR="004D7268">
        <w:rPr>
          <w:rFonts w:cs="Arial"/>
          <w:b/>
          <w:sz w:val="22"/>
          <w:szCs w:val="22"/>
          <w:lang w:eastAsia="en-GB"/>
        </w:rPr>
        <w:t xml:space="preserve">Research </w:t>
      </w:r>
      <w:r w:rsidR="001F5293">
        <w:rPr>
          <w:rFonts w:cs="Arial"/>
          <w:b/>
          <w:sz w:val="22"/>
          <w:szCs w:val="22"/>
          <w:lang w:eastAsia="en-GB"/>
        </w:rPr>
        <w:t>Ethics</w:t>
      </w:r>
      <w:r w:rsidR="003E71ED" w:rsidRPr="00584D89">
        <w:rPr>
          <w:rFonts w:cs="Arial"/>
          <w:b/>
          <w:sz w:val="22"/>
          <w:szCs w:val="22"/>
          <w:lang w:eastAsia="en-GB"/>
        </w:rPr>
        <w:t xml:space="preserve"> </w:t>
      </w:r>
      <w:r w:rsidR="002B16F0">
        <w:rPr>
          <w:rFonts w:cs="Arial"/>
          <w:b/>
          <w:sz w:val="22"/>
          <w:szCs w:val="22"/>
          <w:lang w:eastAsia="en-GB"/>
        </w:rPr>
        <w:t xml:space="preserve">and </w:t>
      </w:r>
      <w:r w:rsidR="002B16F0" w:rsidRPr="004D7268">
        <w:rPr>
          <w:rFonts w:cs="Arial"/>
          <w:b/>
          <w:bCs/>
          <w:iCs/>
          <w:sz w:val="22"/>
          <w:szCs w:val="22"/>
        </w:rPr>
        <w:t>Safeguarding</w:t>
      </w:r>
    </w:p>
    <w:p w:rsidR="003E71ED" w:rsidRPr="00127C76" w:rsidRDefault="003E71ED" w:rsidP="00B907E5">
      <w:pPr>
        <w:ind w:right="-296"/>
        <w:jc w:val="both"/>
        <w:rPr>
          <w:rFonts w:cs="Arial"/>
          <w:sz w:val="20"/>
          <w:szCs w:val="22"/>
        </w:rPr>
      </w:pPr>
    </w:p>
    <w:p w:rsidR="001D54D5" w:rsidRPr="00127C76" w:rsidRDefault="001D54D5" w:rsidP="001D54D5">
      <w:pPr>
        <w:ind w:right="-296"/>
        <w:jc w:val="both"/>
        <w:rPr>
          <w:sz w:val="22"/>
          <w:lang w:eastAsia="en-GB"/>
        </w:rPr>
      </w:pPr>
      <w:r>
        <w:rPr>
          <w:sz w:val="22"/>
          <w:lang w:eastAsia="en-GB"/>
        </w:rPr>
        <w:t>It is anticipated that this research will not involve any direct contact with Children and Young people and will focus on secondary analysis of existing research. However, i</w:t>
      </w:r>
      <w:r w:rsidRPr="00127C76">
        <w:rPr>
          <w:sz w:val="22"/>
          <w:lang w:eastAsia="en-GB"/>
        </w:rPr>
        <w:t xml:space="preserve">t is important that when conducting </w:t>
      </w:r>
      <w:r>
        <w:rPr>
          <w:sz w:val="22"/>
          <w:lang w:eastAsia="en-GB"/>
        </w:rPr>
        <w:t>any</w:t>
      </w:r>
      <w:r w:rsidRPr="00127C76">
        <w:rPr>
          <w:sz w:val="22"/>
          <w:lang w:eastAsia="en-GB"/>
        </w:rPr>
        <w:t xml:space="preserve"> research, that the highest possible ethical standa</w:t>
      </w:r>
      <w:r>
        <w:rPr>
          <w:sz w:val="22"/>
          <w:lang w:eastAsia="en-GB"/>
        </w:rPr>
        <w:t xml:space="preserve">rds are applied and maintained. </w:t>
      </w:r>
      <w:r w:rsidRPr="00127C76">
        <w:rPr>
          <w:sz w:val="22"/>
          <w:lang w:eastAsia="en-GB"/>
        </w:rPr>
        <w:t xml:space="preserve">The Authority will therefore look to assess the ethical framework and guidelines which Potential Providers propose to use in light of the Authority’s </w:t>
      </w:r>
      <w:hyperlink r:id="rId14" w:history="1">
        <w:r w:rsidRPr="00ED2E04">
          <w:rPr>
            <w:rStyle w:val="Hyperlink"/>
            <w:sz w:val="22"/>
            <w:lang w:eastAsia="en-GB"/>
          </w:rPr>
          <w:t>Safeguarding</w:t>
        </w:r>
      </w:hyperlink>
      <w:r>
        <w:rPr>
          <w:sz w:val="22"/>
          <w:lang w:eastAsia="en-GB"/>
        </w:rPr>
        <w:t xml:space="preserve"> Policy, </w:t>
      </w:r>
      <w:hyperlink r:id="rId15" w:history="1">
        <w:r w:rsidRPr="00ED2E04">
          <w:rPr>
            <w:rStyle w:val="Hyperlink"/>
            <w:sz w:val="22"/>
            <w:lang w:eastAsia="en-GB"/>
          </w:rPr>
          <w:t>Information Risk Management Policy</w:t>
        </w:r>
      </w:hyperlink>
      <w:r>
        <w:rPr>
          <w:sz w:val="22"/>
          <w:lang w:eastAsia="en-GB"/>
        </w:rPr>
        <w:t xml:space="preserve">, </w:t>
      </w:r>
      <w:hyperlink r:id="rId16" w:history="1">
        <w:r w:rsidRPr="00ED2E04">
          <w:rPr>
            <w:rStyle w:val="Hyperlink"/>
            <w:sz w:val="22"/>
            <w:lang w:eastAsia="en-GB"/>
          </w:rPr>
          <w:t>Data Protection Policy</w:t>
        </w:r>
      </w:hyperlink>
      <w:r w:rsidRPr="00127C76">
        <w:rPr>
          <w:sz w:val="22"/>
          <w:lang w:eastAsia="en-GB"/>
        </w:rPr>
        <w:t xml:space="preserve"> and </w:t>
      </w:r>
      <w:hyperlink r:id="rId17" w:history="1">
        <w:r w:rsidRPr="00ED2E04">
          <w:rPr>
            <w:rStyle w:val="Hyperlink"/>
            <w:sz w:val="22"/>
            <w:lang w:eastAsia="en-GB"/>
          </w:rPr>
          <w:t>System Operating Procedures</w:t>
        </w:r>
      </w:hyperlink>
      <w:r w:rsidRPr="00127C76">
        <w:rPr>
          <w:sz w:val="22"/>
          <w:lang w:eastAsia="en-GB"/>
        </w:rPr>
        <w:t xml:space="preserve">.  </w:t>
      </w:r>
      <w:r>
        <w:rPr>
          <w:sz w:val="22"/>
          <w:lang w:eastAsia="en-GB"/>
        </w:rPr>
        <w:t>Potential Providers are asked to reflect on the sensitivities involved in this work and how they propose to manage them.</w:t>
      </w:r>
      <w:r w:rsidR="002B16F0" w:rsidRPr="002B16F0">
        <w:rPr>
          <w:sz w:val="22"/>
          <w:lang w:eastAsia="en-GB"/>
        </w:rPr>
        <w:t xml:space="preserve"> </w:t>
      </w:r>
      <w:r w:rsidR="002B16F0" w:rsidRPr="00127C76">
        <w:rPr>
          <w:sz w:val="22"/>
          <w:lang w:eastAsia="en-GB"/>
        </w:rPr>
        <w:t xml:space="preserve">We expect colleagues working on our behalf, including those undertaking research and project work, to </w:t>
      </w:r>
      <w:r w:rsidR="004A7F3F">
        <w:rPr>
          <w:sz w:val="22"/>
          <w:lang w:eastAsia="en-GB"/>
        </w:rPr>
        <w:t xml:space="preserve">adhere to </w:t>
      </w:r>
      <w:r w:rsidR="002B16F0" w:rsidRPr="00127C76">
        <w:rPr>
          <w:sz w:val="22"/>
          <w:lang w:eastAsia="en-GB"/>
        </w:rPr>
        <w:t>the principles in our policy statement</w:t>
      </w:r>
      <w:r w:rsidR="002B16F0">
        <w:rPr>
          <w:sz w:val="22"/>
          <w:lang w:eastAsia="en-GB"/>
        </w:rPr>
        <w:t xml:space="preserve"> as published on our </w:t>
      </w:r>
      <w:hyperlink r:id="rId18" w:history="1">
        <w:r w:rsidR="002B16F0" w:rsidRPr="00ED2E04">
          <w:rPr>
            <w:rStyle w:val="Hyperlink"/>
            <w:sz w:val="22"/>
            <w:lang w:eastAsia="en-GB"/>
          </w:rPr>
          <w:t>website</w:t>
        </w:r>
      </w:hyperlink>
      <w:r w:rsidR="002B16F0" w:rsidRPr="00127C76">
        <w:rPr>
          <w:sz w:val="22"/>
          <w:lang w:eastAsia="en-GB"/>
        </w:rPr>
        <w:t>.</w:t>
      </w:r>
    </w:p>
    <w:p w:rsidR="00C41AC7" w:rsidRDefault="00C41AC7" w:rsidP="00C41AC7">
      <w:pPr>
        <w:ind w:right="-296"/>
        <w:jc w:val="both"/>
        <w:rPr>
          <w:rFonts w:cs="Arial"/>
          <w:bCs/>
          <w:iCs/>
          <w:sz w:val="22"/>
          <w:szCs w:val="22"/>
        </w:rPr>
      </w:pPr>
    </w:p>
    <w:p w:rsidR="00C41AC7" w:rsidRPr="00584D89" w:rsidRDefault="00C41AC7" w:rsidP="009C31B9">
      <w:pPr>
        <w:tabs>
          <w:tab w:val="center" w:pos="4255"/>
        </w:tabs>
        <w:rPr>
          <w:rFonts w:cs="Arial"/>
          <w:b/>
          <w:sz w:val="22"/>
          <w:szCs w:val="22"/>
          <w:lang w:eastAsia="en-GB"/>
        </w:rPr>
      </w:pPr>
      <w:r>
        <w:rPr>
          <w:rFonts w:cs="Arial"/>
          <w:b/>
          <w:sz w:val="22"/>
          <w:szCs w:val="22"/>
          <w:lang w:eastAsia="en-GB"/>
        </w:rPr>
        <w:t>3.</w:t>
      </w:r>
      <w:r w:rsidR="009C31B9">
        <w:rPr>
          <w:rFonts w:cs="Arial"/>
          <w:b/>
          <w:sz w:val="22"/>
          <w:szCs w:val="22"/>
          <w:lang w:eastAsia="en-GB"/>
        </w:rPr>
        <w:t>6</w:t>
      </w:r>
      <w:r w:rsidRPr="00B55337">
        <w:rPr>
          <w:rFonts w:cs="Arial"/>
          <w:b/>
          <w:sz w:val="22"/>
          <w:szCs w:val="22"/>
          <w:lang w:eastAsia="en-GB"/>
        </w:rPr>
        <w:t xml:space="preserve">   Communications and outputs</w:t>
      </w:r>
    </w:p>
    <w:p w:rsidR="00C41AC7" w:rsidRPr="00584D89" w:rsidRDefault="00C41AC7" w:rsidP="00C41AC7">
      <w:pPr>
        <w:rPr>
          <w:rFonts w:cs="Arial"/>
          <w:sz w:val="22"/>
          <w:szCs w:val="22"/>
        </w:rPr>
      </w:pPr>
    </w:p>
    <w:p w:rsidR="00C41AC7" w:rsidRPr="00B1667E" w:rsidRDefault="00C41AC7" w:rsidP="00C41AC7">
      <w:pPr>
        <w:jc w:val="both"/>
        <w:rPr>
          <w:sz w:val="22"/>
          <w:szCs w:val="22"/>
        </w:rPr>
      </w:pPr>
      <w:r w:rsidRPr="0055405D">
        <w:rPr>
          <w:sz w:val="22"/>
          <w:szCs w:val="22"/>
        </w:rPr>
        <w:t xml:space="preserve">The </w:t>
      </w:r>
      <w:r w:rsidR="002B16F0">
        <w:rPr>
          <w:sz w:val="22"/>
          <w:szCs w:val="22"/>
        </w:rPr>
        <w:t>work will be carried out between January and May 2017</w:t>
      </w:r>
      <w:r w:rsidR="00B1667E">
        <w:rPr>
          <w:sz w:val="22"/>
          <w:szCs w:val="22"/>
        </w:rPr>
        <w:t>. T</w:t>
      </w:r>
      <w:r w:rsidR="002B16F0">
        <w:rPr>
          <w:sz w:val="22"/>
          <w:szCs w:val="22"/>
        </w:rPr>
        <w:t>he successful contractor</w:t>
      </w:r>
      <w:r w:rsidR="00BC7F8A">
        <w:rPr>
          <w:sz w:val="22"/>
          <w:szCs w:val="22"/>
        </w:rPr>
        <w:t>(s)</w:t>
      </w:r>
      <w:r w:rsidR="002B16F0">
        <w:rPr>
          <w:sz w:val="22"/>
          <w:szCs w:val="22"/>
        </w:rPr>
        <w:t xml:space="preserve"> will </w:t>
      </w:r>
      <w:r w:rsidR="002B16F0" w:rsidRPr="00B1667E">
        <w:rPr>
          <w:sz w:val="22"/>
          <w:szCs w:val="22"/>
        </w:rPr>
        <w:t xml:space="preserve">sequence work such that initial outputs will </w:t>
      </w:r>
      <w:r w:rsidRPr="00B1667E">
        <w:rPr>
          <w:sz w:val="22"/>
          <w:szCs w:val="22"/>
        </w:rPr>
        <w:t>include</w:t>
      </w:r>
      <w:r w:rsidR="00F85561">
        <w:rPr>
          <w:sz w:val="22"/>
          <w:szCs w:val="22"/>
        </w:rPr>
        <w:t xml:space="preserve"> </w:t>
      </w:r>
      <w:r w:rsidR="00F85561" w:rsidRPr="00F85561">
        <w:rPr>
          <w:sz w:val="22"/>
          <w:szCs w:val="22"/>
          <w:u w:val="single"/>
        </w:rPr>
        <w:t>for each paper</w:t>
      </w:r>
      <w:r w:rsidRPr="00B1667E">
        <w:rPr>
          <w:sz w:val="22"/>
          <w:szCs w:val="22"/>
        </w:rPr>
        <w:t>:</w:t>
      </w:r>
    </w:p>
    <w:p w:rsidR="00CC7D34" w:rsidRPr="00B1667E" w:rsidRDefault="002C626A" w:rsidP="007C08BE">
      <w:pPr>
        <w:pStyle w:val="ListParagraph"/>
        <w:numPr>
          <w:ilvl w:val="0"/>
          <w:numId w:val="27"/>
        </w:numPr>
        <w:jc w:val="both"/>
        <w:rPr>
          <w:rFonts w:ascii="Arial" w:hAnsi="Arial"/>
        </w:rPr>
      </w:pPr>
      <w:r>
        <w:rPr>
          <w:rFonts w:ascii="Arial" w:hAnsi="Arial"/>
        </w:rPr>
        <w:t xml:space="preserve">Milestone 1. </w:t>
      </w:r>
      <w:r w:rsidR="00CC7D34" w:rsidRPr="00B1667E">
        <w:rPr>
          <w:rFonts w:ascii="Arial" w:hAnsi="Arial"/>
        </w:rPr>
        <w:t>An interim pr</w:t>
      </w:r>
      <w:r w:rsidR="00B84687" w:rsidRPr="00B1667E">
        <w:rPr>
          <w:rFonts w:ascii="Arial" w:hAnsi="Arial"/>
        </w:rPr>
        <w:t>esentation to the advisory g</w:t>
      </w:r>
      <w:r w:rsidR="00CC7D34" w:rsidRPr="00B1667E">
        <w:rPr>
          <w:rFonts w:ascii="Arial" w:hAnsi="Arial"/>
        </w:rPr>
        <w:t>roup in February 2017</w:t>
      </w:r>
      <w:r w:rsidR="002B16F0" w:rsidRPr="00B1667E">
        <w:rPr>
          <w:rFonts w:ascii="Arial" w:hAnsi="Arial"/>
        </w:rPr>
        <w:t>;</w:t>
      </w:r>
    </w:p>
    <w:p w:rsidR="00C41AC7" w:rsidRPr="00B1667E" w:rsidRDefault="002C626A" w:rsidP="007C08BE">
      <w:pPr>
        <w:pStyle w:val="ListParagraph"/>
        <w:numPr>
          <w:ilvl w:val="0"/>
          <w:numId w:val="25"/>
        </w:numPr>
        <w:jc w:val="both"/>
        <w:rPr>
          <w:rFonts w:ascii="Arial" w:hAnsi="Arial"/>
        </w:rPr>
      </w:pPr>
      <w:r>
        <w:rPr>
          <w:rFonts w:ascii="Arial" w:hAnsi="Arial"/>
        </w:rPr>
        <w:t xml:space="preserve">Milestone 2. </w:t>
      </w:r>
      <w:r w:rsidR="002B16F0" w:rsidRPr="00B1667E">
        <w:rPr>
          <w:rFonts w:ascii="Arial" w:hAnsi="Arial"/>
        </w:rPr>
        <w:t xml:space="preserve">An interim report by March 31 including final, headline and </w:t>
      </w:r>
      <w:r w:rsidR="009C31B9">
        <w:rPr>
          <w:rFonts w:ascii="Arial" w:hAnsi="Arial"/>
        </w:rPr>
        <w:t>publish</w:t>
      </w:r>
      <w:r w:rsidR="002B16F0" w:rsidRPr="00B1667E">
        <w:rPr>
          <w:rFonts w:ascii="Arial" w:hAnsi="Arial"/>
        </w:rPr>
        <w:t>able findings in some domains of the research;</w:t>
      </w:r>
    </w:p>
    <w:p w:rsidR="00C41AC7" w:rsidRPr="00B1667E" w:rsidRDefault="002C626A" w:rsidP="007C08BE">
      <w:pPr>
        <w:pStyle w:val="ListParagraph"/>
        <w:numPr>
          <w:ilvl w:val="0"/>
          <w:numId w:val="25"/>
        </w:numPr>
        <w:jc w:val="both"/>
        <w:rPr>
          <w:rFonts w:ascii="Arial" w:hAnsi="Arial"/>
        </w:rPr>
      </w:pPr>
      <w:r>
        <w:rPr>
          <w:rFonts w:ascii="Arial" w:hAnsi="Arial"/>
        </w:rPr>
        <w:lastRenderedPageBreak/>
        <w:t xml:space="preserve">Milestone 3. </w:t>
      </w:r>
      <w:r w:rsidR="00C41AC7" w:rsidRPr="00B1667E">
        <w:rPr>
          <w:rFonts w:ascii="Arial" w:hAnsi="Arial"/>
        </w:rPr>
        <w:t xml:space="preserve">A </w:t>
      </w:r>
      <w:r w:rsidR="002B16F0" w:rsidRPr="00B1667E">
        <w:rPr>
          <w:rFonts w:ascii="Arial" w:hAnsi="Arial"/>
        </w:rPr>
        <w:t>final</w:t>
      </w:r>
      <w:r w:rsidR="008F0C98" w:rsidRPr="00B1667E">
        <w:rPr>
          <w:rFonts w:ascii="Arial" w:hAnsi="Arial"/>
        </w:rPr>
        <w:t>,</w:t>
      </w:r>
      <w:r w:rsidR="003A1AE2" w:rsidRPr="00B1667E">
        <w:rPr>
          <w:rFonts w:ascii="Arial" w:hAnsi="Arial"/>
        </w:rPr>
        <w:t xml:space="preserve"> </w:t>
      </w:r>
      <w:r w:rsidR="008F0C98" w:rsidRPr="00B1667E">
        <w:rPr>
          <w:rFonts w:ascii="Arial" w:hAnsi="Arial"/>
        </w:rPr>
        <w:t xml:space="preserve">overall </w:t>
      </w:r>
      <w:r w:rsidR="00C41AC7" w:rsidRPr="00B1667E">
        <w:rPr>
          <w:rFonts w:ascii="Arial" w:hAnsi="Arial"/>
        </w:rPr>
        <w:t xml:space="preserve">report </w:t>
      </w:r>
      <w:r w:rsidR="003A1AE2" w:rsidRPr="00B1667E">
        <w:rPr>
          <w:rFonts w:ascii="Arial" w:hAnsi="Arial"/>
        </w:rPr>
        <w:t>by Ma</w:t>
      </w:r>
      <w:r w:rsidR="002B16F0" w:rsidRPr="00B1667E">
        <w:rPr>
          <w:rFonts w:ascii="Arial" w:hAnsi="Arial"/>
        </w:rPr>
        <w:t>y</w:t>
      </w:r>
      <w:r w:rsidR="003A1AE2" w:rsidRPr="00B1667E">
        <w:rPr>
          <w:rFonts w:ascii="Arial" w:hAnsi="Arial"/>
        </w:rPr>
        <w:t xml:space="preserve"> 31</w:t>
      </w:r>
      <w:r w:rsidR="003A1AE2" w:rsidRPr="00B1667E">
        <w:rPr>
          <w:rFonts w:ascii="Arial" w:hAnsi="Arial"/>
          <w:vertAlign w:val="superscript"/>
        </w:rPr>
        <w:t>st</w:t>
      </w:r>
      <w:r w:rsidR="003A1AE2" w:rsidRPr="00B1667E">
        <w:rPr>
          <w:rFonts w:ascii="Arial" w:hAnsi="Arial"/>
        </w:rPr>
        <w:t xml:space="preserve"> </w:t>
      </w:r>
      <w:r w:rsidR="00C41AC7" w:rsidRPr="00B1667E">
        <w:rPr>
          <w:rFonts w:ascii="Arial" w:hAnsi="Arial"/>
        </w:rPr>
        <w:t xml:space="preserve">detailing the </w:t>
      </w:r>
      <w:r w:rsidR="003A1AE2" w:rsidRPr="00B1667E">
        <w:rPr>
          <w:rFonts w:ascii="Arial" w:hAnsi="Arial"/>
        </w:rPr>
        <w:t xml:space="preserve">purpose, methods and </w:t>
      </w:r>
      <w:r w:rsidR="008F0C98" w:rsidRPr="00B1667E">
        <w:rPr>
          <w:rFonts w:ascii="Arial" w:hAnsi="Arial"/>
        </w:rPr>
        <w:t xml:space="preserve">full </w:t>
      </w:r>
      <w:r w:rsidR="00C41AC7" w:rsidRPr="00B1667E">
        <w:rPr>
          <w:rFonts w:ascii="Arial" w:hAnsi="Arial"/>
        </w:rPr>
        <w:t>results of the review</w:t>
      </w:r>
      <w:r w:rsidR="003A1AE2" w:rsidRPr="00B1667E">
        <w:rPr>
          <w:rFonts w:ascii="Arial" w:hAnsi="Arial"/>
        </w:rPr>
        <w:t>, including recommendations as per 3.4.3</w:t>
      </w:r>
      <w:r w:rsidR="002B16F0" w:rsidRPr="00B1667E">
        <w:rPr>
          <w:rFonts w:ascii="Arial" w:hAnsi="Arial"/>
        </w:rPr>
        <w:t>.</w:t>
      </w:r>
    </w:p>
    <w:p w:rsidR="003A1AE2" w:rsidRPr="003A1AE2" w:rsidRDefault="003A1AE2" w:rsidP="003A1AE2">
      <w:pPr>
        <w:jc w:val="both"/>
        <w:rPr>
          <w:sz w:val="22"/>
          <w:szCs w:val="22"/>
        </w:rPr>
      </w:pPr>
      <w:r w:rsidRPr="003A1AE2">
        <w:rPr>
          <w:sz w:val="22"/>
          <w:szCs w:val="22"/>
        </w:rPr>
        <w:t xml:space="preserve">The </w:t>
      </w:r>
      <w:r w:rsidR="00B22883">
        <w:rPr>
          <w:sz w:val="22"/>
          <w:szCs w:val="22"/>
        </w:rPr>
        <w:t>CCO</w:t>
      </w:r>
      <w:r w:rsidRPr="003A1AE2">
        <w:rPr>
          <w:sz w:val="22"/>
          <w:szCs w:val="22"/>
        </w:rPr>
        <w:t xml:space="preserve"> shall work with the successful Provider</w:t>
      </w:r>
      <w:r w:rsidR="009C31B9">
        <w:rPr>
          <w:sz w:val="22"/>
          <w:szCs w:val="22"/>
        </w:rPr>
        <w:t>(s)</w:t>
      </w:r>
      <w:r w:rsidRPr="003A1AE2">
        <w:rPr>
          <w:sz w:val="22"/>
          <w:szCs w:val="22"/>
        </w:rPr>
        <w:t xml:space="preserve"> to develop and deliver a </w:t>
      </w:r>
      <w:r w:rsidR="00B1667E">
        <w:rPr>
          <w:sz w:val="22"/>
          <w:szCs w:val="22"/>
        </w:rPr>
        <w:t xml:space="preserve">clear, detailed timeline at project initiation and a </w:t>
      </w:r>
      <w:r w:rsidRPr="003A1AE2">
        <w:rPr>
          <w:sz w:val="22"/>
          <w:szCs w:val="22"/>
        </w:rPr>
        <w:t xml:space="preserve">communication plan to support the </w:t>
      </w:r>
      <w:r>
        <w:rPr>
          <w:sz w:val="22"/>
          <w:szCs w:val="22"/>
        </w:rPr>
        <w:t>publication of findings</w:t>
      </w:r>
      <w:r w:rsidRPr="003A1AE2">
        <w:rPr>
          <w:sz w:val="22"/>
          <w:szCs w:val="22"/>
        </w:rPr>
        <w:t xml:space="preserve">. The </w:t>
      </w:r>
      <w:r w:rsidR="00B22883">
        <w:rPr>
          <w:sz w:val="22"/>
          <w:szCs w:val="22"/>
        </w:rPr>
        <w:t>CCO</w:t>
      </w:r>
      <w:r w:rsidRPr="003A1AE2">
        <w:rPr>
          <w:sz w:val="22"/>
          <w:szCs w:val="22"/>
        </w:rPr>
        <w:t xml:space="preserve"> shall expect that report</w:t>
      </w:r>
      <w:r w:rsidR="008F0C98">
        <w:rPr>
          <w:sz w:val="22"/>
          <w:szCs w:val="22"/>
        </w:rPr>
        <w:t xml:space="preserve">s </w:t>
      </w:r>
      <w:r w:rsidRPr="003A1AE2">
        <w:rPr>
          <w:sz w:val="22"/>
          <w:szCs w:val="22"/>
        </w:rPr>
        <w:t xml:space="preserve">written for the </w:t>
      </w:r>
      <w:r w:rsidR="00B22883">
        <w:rPr>
          <w:sz w:val="22"/>
          <w:szCs w:val="22"/>
        </w:rPr>
        <w:t xml:space="preserve">CCO </w:t>
      </w:r>
      <w:r w:rsidRPr="003A1AE2">
        <w:rPr>
          <w:sz w:val="22"/>
          <w:szCs w:val="22"/>
        </w:rPr>
        <w:t xml:space="preserve">from the research conform to our house style and brand guidelines. Potential Providers are asked to outline in their Tenders the sorts of communications and research materials that they propose to use. All research materials and communications will be signed off by the </w:t>
      </w:r>
      <w:r w:rsidR="00B22883">
        <w:rPr>
          <w:sz w:val="22"/>
          <w:szCs w:val="22"/>
        </w:rPr>
        <w:t>CCO</w:t>
      </w:r>
      <w:r w:rsidRPr="003A1AE2">
        <w:rPr>
          <w:sz w:val="22"/>
          <w:szCs w:val="22"/>
        </w:rPr>
        <w:t xml:space="preserve"> and, in some cases, the project advisory group.</w:t>
      </w:r>
    </w:p>
    <w:p w:rsidR="003A1AE2" w:rsidRPr="003A1AE2" w:rsidRDefault="003A1AE2" w:rsidP="003A1AE2">
      <w:pPr>
        <w:jc w:val="both"/>
      </w:pPr>
    </w:p>
    <w:p w:rsidR="002F78E2" w:rsidRDefault="002F78E2" w:rsidP="00B907E5">
      <w:pPr>
        <w:ind w:right="-296"/>
        <w:jc w:val="both"/>
        <w:rPr>
          <w:rFonts w:cs="Arial"/>
          <w:bCs/>
          <w:iCs/>
          <w:sz w:val="22"/>
          <w:szCs w:val="22"/>
        </w:rPr>
      </w:pPr>
    </w:p>
    <w:p w:rsidR="003E71ED" w:rsidRPr="004935FF" w:rsidRDefault="00F235ED" w:rsidP="003E71ED">
      <w:pPr>
        <w:tabs>
          <w:tab w:val="center" w:pos="4255"/>
        </w:tabs>
        <w:rPr>
          <w:rFonts w:cs="Arial"/>
          <w:sz w:val="22"/>
          <w:szCs w:val="22"/>
          <w:lang w:eastAsia="en-GB"/>
        </w:rPr>
      </w:pPr>
      <w:r>
        <w:rPr>
          <w:rFonts w:cs="Arial"/>
          <w:b/>
          <w:sz w:val="22"/>
          <w:szCs w:val="22"/>
          <w:lang w:eastAsia="en-GB"/>
        </w:rPr>
        <w:t>3.</w:t>
      </w:r>
      <w:r w:rsidR="009C31B9">
        <w:rPr>
          <w:rFonts w:cs="Arial"/>
          <w:b/>
          <w:sz w:val="22"/>
          <w:szCs w:val="22"/>
          <w:lang w:eastAsia="en-GB"/>
        </w:rPr>
        <w:t>7</w:t>
      </w:r>
      <w:r w:rsidR="003E71ED" w:rsidRPr="00584D89">
        <w:rPr>
          <w:rFonts w:cs="Arial"/>
          <w:b/>
          <w:sz w:val="22"/>
          <w:szCs w:val="22"/>
          <w:lang w:eastAsia="en-GB"/>
        </w:rPr>
        <w:t xml:space="preserve"> </w:t>
      </w:r>
      <w:r w:rsidR="007A57DE">
        <w:rPr>
          <w:rFonts w:cs="Arial"/>
          <w:b/>
          <w:sz w:val="22"/>
          <w:szCs w:val="22"/>
          <w:lang w:eastAsia="en-GB"/>
        </w:rPr>
        <w:t xml:space="preserve">  </w:t>
      </w:r>
      <w:r w:rsidR="003E71ED" w:rsidRPr="00584D89">
        <w:rPr>
          <w:rFonts w:cs="Arial"/>
          <w:b/>
          <w:sz w:val="22"/>
          <w:szCs w:val="22"/>
          <w:lang w:eastAsia="en-GB"/>
        </w:rPr>
        <w:t xml:space="preserve">Research </w:t>
      </w:r>
      <w:r w:rsidR="002063D0">
        <w:rPr>
          <w:rFonts w:cs="Arial"/>
          <w:b/>
          <w:sz w:val="22"/>
          <w:szCs w:val="22"/>
          <w:lang w:eastAsia="en-GB"/>
        </w:rPr>
        <w:t>G</w:t>
      </w:r>
      <w:r w:rsidR="003E71ED" w:rsidRPr="00584D89">
        <w:rPr>
          <w:rFonts w:cs="Arial"/>
          <w:b/>
          <w:sz w:val="22"/>
          <w:szCs w:val="22"/>
          <w:lang w:eastAsia="en-GB"/>
        </w:rPr>
        <w:t>overnance:</w:t>
      </w:r>
      <w:r w:rsidR="003E71ED" w:rsidRPr="00A35E13">
        <w:rPr>
          <w:rFonts w:cs="Arial"/>
          <w:b/>
          <w:sz w:val="22"/>
          <w:szCs w:val="22"/>
          <w:highlight w:val="yellow"/>
          <w:lang w:eastAsia="en-GB"/>
        </w:rPr>
        <w:br/>
      </w:r>
      <w:r w:rsidR="004935FF" w:rsidRPr="004935FF">
        <w:rPr>
          <w:rFonts w:cs="Arial"/>
          <w:sz w:val="22"/>
          <w:szCs w:val="22"/>
          <w:lang w:eastAsia="en-GB"/>
        </w:rPr>
        <w:t>It is important contractors allot time within the budget to enable participation in governance activities.</w:t>
      </w:r>
      <w:r w:rsidR="004935FF">
        <w:rPr>
          <w:rFonts w:cs="Arial"/>
          <w:sz w:val="22"/>
          <w:szCs w:val="22"/>
          <w:lang w:eastAsia="en-GB"/>
        </w:rPr>
        <w:t xml:space="preserve"> </w:t>
      </w:r>
      <w:r w:rsidR="00F85561" w:rsidRPr="00F85561">
        <w:rPr>
          <w:rFonts w:cs="Arial"/>
          <w:sz w:val="22"/>
          <w:szCs w:val="22"/>
          <w:lang w:eastAsia="en-GB"/>
        </w:rPr>
        <w:t xml:space="preserve">The specific arrangement for ongoing monitoring and management of the projects and risks will depend </w:t>
      </w:r>
      <w:r w:rsidR="00F85561">
        <w:rPr>
          <w:rFonts w:cs="Arial"/>
          <w:sz w:val="22"/>
          <w:szCs w:val="22"/>
          <w:lang w:eastAsia="en-GB"/>
        </w:rPr>
        <w:t xml:space="preserve">in part </w:t>
      </w:r>
      <w:r w:rsidR="00F85561" w:rsidRPr="00F85561">
        <w:rPr>
          <w:rFonts w:cs="Arial"/>
          <w:sz w:val="22"/>
          <w:szCs w:val="22"/>
          <w:lang w:eastAsia="en-GB"/>
        </w:rPr>
        <w:t>on the propositions of the successful bidder and will be agreed at project initiation.</w:t>
      </w:r>
      <w:r w:rsidR="00F85561">
        <w:rPr>
          <w:rFonts w:cs="Arial"/>
          <w:sz w:val="22"/>
          <w:szCs w:val="22"/>
          <w:lang w:eastAsia="en-GB"/>
        </w:rPr>
        <w:t xml:space="preserve"> However,</w:t>
      </w:r>
      <w:r w:rsidR="004935FF">
        <w:rPr>
          <w:rFonts w:cs="Arial"/>
          <w:sz w:val="22"/>
          <w:szCs w:val="22"/>
          <w:lang w:eastAsia="en-GB"/>
        </w:rPr>
        <w:t xml:space="preserve"> as a rough guide </w:t>
      </w:r>
      <w:r w:rsidR="00F85561">
        <w:rPr>
          <w:rFonts w:cs="Arial"/>
          <w:sz w:val="22"/>
          <w:szCs w:val="22"/>
          <w:lang w:eastAsia="en-GB"/>
        </w:rPr>
        <w:t>we would expect the following sort of arrangement</w:t>
      </w:r>
      <w:r w:rsidR="004935FF">
        <w:rPr>
          <w:rFonts w:cs="Arial"/>
          <w:sz w:val="22"/>
          <w:szCs w:val="22"/>
          <w:lang w:eastAsia="en-GB"/>
        </w:rPr>
        <w:t>:</w:t>
      </w:r>
    </w:p>
    <w:p w:rsidR="004935FF" w:rsidRPr="004935FF" w:rsidRDefault="004935FF" w:rsidP="003E71ED">
      <w:pPr>
        <w:tabs>
          <w:tab w:val="center" w:pos="4255"/>
        </w:tabs>
        <w:rPr>
          <w:rFonts w:cs="Arial"/>
          <w:b/>
          <w:sz w:val="22"/>
          <w:szCs w:val="22"/>
          <w:lang w:eastAsia="en-GB"/>
        </w:rPr>
      </w:pPr>
    </w:p>
    <w:p w:rsidR="003E71ED" w:rsidRPr="00C46D1E" w:rsidRDefault="003E71ED" w:rsidP="007C08BE">
      <w:pPr>
        <w:pStyle w:val="NoSpacing"/>
        <w:numPr>
          <w:ilvl w:val="0"/>
          <w:numId w:val="11"/>
        </w:numPr>
        <w:rPr>
          <w:rFonts w:cs="Arial"/>
          <w:sz w:val="22"/>
          <w:szCs w:val="22"/>
        </w:rPr>
      </w:pPr>
      <w:r w:rsidRPr="00C46D1E">
        <w:rPr>
          <w:rFonts w:cs="Arial"/>
          <w:sz w:val="22"/>
          <w:szCs w:val="22"/>
        </w:rPr>
        <w:t xml:space="preserve">The </w:t>
      </w:r>
      <w:r w:rsidR="00246673">
        <w:rPr>
          <w:rFonts w:cs="Arial"/>
          <w:sz w:val="22"/>
          <w:szCs w:val="22"/>
        </w:rPr>
        <w:t>commission</w:t>
      </w:r>
      <w:r w:rsidRPr="00C46D1E">
        <w:rPr>
          <w:rFonts w:cs="Arial"/>
          <w:sz w:val="22"/>
          <w:szCs w:val="22"/>
        </w:rPr>
        <w:t xml:space="preserve"> will be overseen and managed </w:t>
      </w:r>
      <w:r w:rsidR="00246673">
        <w:rPr>
          <w:rFonts w:cs="Arial"/>
          <w:sz w:val="22"/>
          <w:szCs w:val="22"/>
        </w:rPr>
        <w:t xml:space="preserve">on behalf of the Authority by </w:t>
      </w:r>
      <w:r w:rsidR="00C46D1E" w:rsidRPr="00C46D1E">
        <w:rPr>
          <w:rFonts w:cs="Arial"/>
          <w:sz w:val="22"/>
          <w:szCs w:val="22"/>
        </w:rPr>
        <w:t>Professor Leon Feinstein, Director of Evidence</w:t>
      </w:r>
      <w:r w:rsidR="00C46D1E">
        <w:rPr>
          <w:rFonts w:cs="Arial"/>
          <w:sz w:val="22"/>
          <w:szCs w:val="22"/>
        </w:rPr>
        <w:t>.</w:t>
      </w:r>
    </w:p>
    <w:p w:rsidR="00DE73D8" w:rsidRPr="00DE73D8" w:rsidRDefault="00DE73D8" w:rsidP="00DE73D8">
      <w:pPr>
        <w:pStyle w:val="NoSpacing"/>
        <w:ind w:left="720"/>
        <w:rPr>
          <w:rFonts w:cs="Arial"/>
          <w:sz w:val="22"/>
          <w:szCs w:val="22"/>
        </w:rPr>
      </w:pPr>
    </w:p>
    <w:p w:rsidR="004935FF" w:rsidRPr="004935FF" w:rsidRDefault="00B84687" w:rsidP="004935FF">
      <w:pPr>
        <w:numPr>
          <w:ilvl w:val="0"/>
          <w:numId w:val="11"/>
        </w:numPr>
        <w:tabs>
          <w:tab w:val="center" w:pos="4255"/>
        </w:tabs>
        <w:jc w:val="both"/>
        <w:rPr>
          <w:rFonts w:cs="Arial"/>
          <w:sz w:val="22"/>
          <w:szCs w:val="22"/>
          <w:lang w:eastAsia="en-GB"/>
        </w:rPr>
      </w:pPr>
      <w:r>
        <w:rPr>
          <w:rFonts w:cs="Arial"/>
          <w:bCs/>
          <w:sz w:val="22"/>
          <w:szCs w:val="22"/>
        </w:rPr>
        <w:t>Potential P</w:t>
      </w:r>
      <w:r w:rsidR="00DE73D8">
        <w:rPr>
          <w:rFonts w:cs="Arial"/>
          <w:bCs/>
          <w:sz w:val="22"/>
          <w:szCs w:val="22"/>
        </w:rPr>
        <w:t>roviders should name a project manager who will have responsibility for the project as a whole.</w:t>
      </w:r>
      <w:r w:rsidR="00B22883">
        <w:rPr>
          <w:rFonts w:cs="Arial"/>
          <w:bCs/>
          <w:sz w:val="22"/>
          <w:szCs w:val="22"/>
        </w:rPr>
        <w:t xml:space="preserve"> </w:t>
      </w:r>
      <w:r w:rsidR="004935FF">
        <w:rPr>
          <w:rFonts w:cs="Arial"/>
          <w:sz w:val="22"/>
          <w:szCs w:val="22"/>
          <w:lang w:eastAsia="en-GB"/>
        </w:rPr>
        <w:t>There will be weekly calls between the OCC and each team</w:t>
      </w:r>
      <w:r w:rsidR="00F85561">
        <w:rPr>
          <w:rFonts w:cs="Arial"/>
          <w:sz w:val="22"/>
          <w:szCs w:val="22"/>
          <w:lang w:eastAsia="en-GB"/>
        </w:rPr>
        <w:t>, at least in the first phase</w:t>
      </w:r>
      <w:r w:rsidR="004935FF">
        <w:rPr>
          <w:rFonts w:cs="Arial"/>
          <w:sz w:val="22"/>
          <w:szCs w:val="22"/>
          <w:lang w:eastAsia="en-GB"/>
        </w:rPr>
        <w:t>.</w:t>
      </w:r>
    </w:p>
    <w:p w:rsidR="00B84687" w:rsidRDefault="00B84687" w:rsidP="00F85561">
      <w:pPr>
        <w:tabs>
          <w:tab w:val="center" w:pos="4255"/>
        </w:tabs>
        <w:jc w:val="both"/>
        <w:rPr>
          <w:rFonts w:cs="Arial"/>
          <w:sz w:val="22"/>
          <w:szCs w:val="22"/>
          <w:lang w:eastAsia="en-GB"/>
        </w:rPr>
      </w:pPr>
    </w:p>
    <w:p w:rsidR="00C46D1E" w:rsidRDefault="00C46D1E" w:rsidP="004935FF">
      <w:pPr>
        <w:numPr>
          <w:ilvl w:val="1"/>
          <w:numId w:val="11"/>
        </w:numPr>
        <w:tabs>
          <w:tab w:val="clear" w:pos="1440"/>
          <w:tab w:val="num" w:pos="720"/>
          <w:tab w:val="center" w:pos="4255"/>
        </w:tabs>
        <w:ind w:left="720"/>
        <w:jc w:val="both"/>
        <w:rPr>
          <w:rFonts w:cs="Arial"/>
          <w:sz w:val="22"/>
          <w:szCs w:val="22"/>
          <w:lang w:eastAsia="en-GB"/>
        </w:rPr>
      </w:pPr>
      <w:r w:rsidRPr="00EC1384">
        <w:rPr>
          <w:rFonts w:cs="Arial"/>
          <w:sz w:val="22"/>
          <w:szCs w:val="22"/>
          <w:lang w:eastAsia="en-GB"/>
        </w:rPr>
        <w:t xml:space="preserve">There will be </w:t>
      </w:r>
      <w:r w:rsidR="00A457E8">
        <w:rPr>
          <w:rFonts w:cs="Arial"/>
          <w:sz w:val="22"/>
          <w:szCs w:val="22"/>
          <w:lang w:eastAsia="en-GB"/>
        </w:rPr>
        <w:t>a steering</w:t>
      </w:r>
      <w:r w:rsidRPr="00EC1384">
        <w:rPr>
          <w:rFonts w:cs="Arial"/>
          <w:sz w:val="22"/>
          <w:szCs w:val="22"/>
          <w:lang w:eastAsia="en-GB"/>
        </w:rPr>
        <w:t xml:space="preserve"> </w:t>
      </w:r>
      <w:r>
        <w:rPr>
          <w:rFonts w:cs="Arial"/>
          <w:sz w:val="22"/>
          <w:szCs w:val="22"/>
          <w:lang w:eastAsia="en-GB"/>
        </w:rPr>
        <w:t>g</w:t>
      </w:r>
      <w:r w:rsidRPr="00EC1384">
        <w:rPr>
          <w:rFonts w:cs="Arial"/>
          <w:sz w:val="22"/>
          <w:szCs w:val="22"/>
          <w:lang w:eastAsia="en-GB"/>
        </w:rPr>
        <w:t xml:space="preserve">roup to </w:t>
      </w:r>
      <w:r w:rsidR="004935FF">
        <w:rPr>
          <w:rFonts w:cs="Arial"/>
          <w:sz w:val="22"/>
          <w:szCs w:val="22"/>
          <w:lang w:eastAsia="en-GB"/>
        </w:rPr>
        <w:t>provide</w:t>
      </w:r>
      <w:r w:rsidRPr="00EC1384">
        <w:rPr>
          <w:rFonts w:cs="Arial"/>
          <w:sz w:val="22"/>
          <w:szCs w:val="22"/>
          <w:lang w:eastAsia="en-GB"/>
        </w:rPr>
        <w:t xml:space="preserve"> </w:t>
      </w:r>
      <w:r w:rsidR="009C31B9">
        <w:rPr>
          <w:rFonts w:cs="Arial"/>
          <w:sz w:val="22"/>
          <w:szCs w:val="22"/>
          <w:lang w:eastAsia="en-GB"/>
        </w:rPr>
        <w:t>oversight</w:t>
      </w:r>
      <w:r w:rsidRPr="00EC1384">
        <w:rPr>
          <w:rFonts w:cs="Arial"/>
          <w:sz w:val="22"/>
          <w:szCs w:val="22"/>
          <w:lang w:eastAsia="en-GB"/>
        </w:rPr>
        <w:t xml:space="preserve"> of the project</w:t>
      </w:r>
      <w:r w:rsidR="004935FF">
        <w:rPr>
          <w:rFonts w:cs="Arial"/>
          <w:sz w:val="22"/>
          <w:szCs w:val="22"/>
          <w:lang w:eastAsia="en-GB"/>
        </w:rPr>
        <w:t xml:space="preserve"> and support coherence across strands</w:t>
      </w:r>
      <w:r w:rsidRPr="00EC1384">
        <w:rPr>
          <w:rFonts w:cs="Arial"/>
          <w:sz w:val="22"/>
          <w:szCs w:val="22"/>
          <w:lang w:eastAsia="en-GB"/>
        </w:rPr>
        <w:t xml:space="preserve">. </w:t>
      </w:r>
      <w:r w:rsidR="004935FF">
        <w:rPr>
          <w:rFonts w:cs="Arial"/>
          <w:sz w:val="22"/>
          <w:szCs w:val="22"/>
          <w:lang w:eastAsia="en-GB"/>
        </w:rPr>
        <w:t>It will make decisions about publications and ensure timeliness and value for money in the work. This group will meet at most 3 times during the life of the project. The SG</w:t>
      </w:r>
      <w:r w:rsidRPr="004935FF">
        <w:rPr>
          <w:rFonts w:cs="Arial"/>
          <w:sz w:val="22"/>
          <w:szCs w:val="22"/>
          <w:lang w:eastAsia="en-GB"/>
        </w:rPr>
        <w:t xml:space="preserve"> will include senior internal </w:t>
      </w:r>
      <w:r w:rsidR="00B22883" w:rsidRPr="004935FF">
        <w:rPr>
          <w:rFonts w:cs="Arial"/>
          <w:sz w:val="22"/>
          <w:szCs w:val="22"/>
          <w:lang w:eastAsia="en-GB"/>
        </w:rPr>
        <w:t>CCO</w:t>
      </w:r>
      <w:r w:rsidRPr="004935FF">
        <w:rPr>
          <w:rFonts w:cs="Arial"/>
          <w:sz w:val="22"/>
          <w:szCs w:val="22"/>
          <w:lang w:eastAsia="en-GB"/>
        </w:rPr>
        <w:t xml:space="preserve"> staff </w:t>
      </w:r>
      <w:r w:rsidR="004935FF">
        <w:rPr>
          <w:rFonts w:cs="Arial"/>
          <w:sz w:val="22"/>
          <w:szCs w:val="22"/>
          <w:lang w:eastAsia="en-GB"/>
        </w:rPr>
        <w:t>and a small number of</w:t>
      </w:r>
      <w:r w:rsidRPr="004935FF">
        <w:rPr>
          <w:rFonts w:cs="Arial"/>
          <w:sz w:val="22"/>
          <w:szCs w:val="22"/>
          <w:lang w:eastAsia="en-GB"/>
        </w:rPr>
        <w:t xml:space="preserve"> external experts.</w:t>
      </w:r>
    </w:p>
    <w:p w:rsidR="004935FF" w:rsidRPr="004935FF" w:rsidRDefault="004935FF" w:rsidP="004935FF">
      <w:pPr>
        <w:tabs>
          <w:tab w:val="center" w:pos="4255"/>
        </w:tabs>
        <w:ind w:left="720"/>
        <w:jc w:val="both"/>
        <w:rPr>
          <w:rFonts w:cs="Arial"/>
          <w:sz w:val="22"/>
          <w:szCs w:val="22"/>
          <w:lang w:eastAsia="en-GB"/>
        </w:rPr>
      </w:pPr>
    </w:p>
    <w:p w:rsidR="004935FF" w:rsidRDefault="004935FF" w:rsidP="004935FF">
      <w:pPr>
        <w:numPr>
          <w:ilvl w:val="0"/>
          <w:numId w:val="11"/>
        </w:numPr>
        <w:tabs>
          <w:tab w:val="center" w:pos="4255"/>
        </w:tabs>
        <w:jc w:val="both"/>
        <w:rPr>
          <w:rFonts w:cs="Arial"/>
          <w:sz w:val="22"/>
          <w:szCs w:val="22"/>
          <w:lang w:eastAsia="en-GB"/>
        </w:rPr>
      </w:pPr>
      <w:r>
        <w:rPr>
          <w:rFonts w:cs="Arial"/>
          <w:sz w:val="22"/>
          <w:szCs w:val="22"/>
          <w:lang w:eastAsia="en-GB"/>
        </w:rPr>
        <w:t>The papers will be presented to the wider Growing up North Advisory Group alongside publication of outputs in March and May.</w:t>
      </w:r>
    </w:p>
    <w:p w:rsidR="004935FF" w:rsidRDefault="004935FF" w:rsidP="004935FF">
      <w:pPr>
        <w:tabs>
          <w:tab w:val="center" w:pos="4255"/>
        </w:tabs>
        <w:ind w:left="720"/>
        <w:jc w:val="both"/>
        <w:rPr>
          <w:rFonts w:cs="Arial"/>
          <w:sz w:val="22"/>
          <w:szCs w:val="22"/>
          <w:lang w:eastAsia="en-GB"/>
        </w:rPr>
      </w:pPr>
    </w:p>
    <w:p w:rsidR="00C46D1E" w:rsidRDefault="004935FF" w:rsidP="003E71ED">
      <w:pPr>
        <w:numPr>
          <w:ilvl w:val="0"/>
          <w:numId w:val="11"/>
        </w:numPr>
        <w:tabs>
          <w:tab w:val="center" w:pos="4255"/>
        </w:tabs>
        <w:jc w:val="both"/>
        <w:rPr>
          <w:rFonts w:cs="Arial"/>
          <w:sz w:val="22"/>
          <w:szCs w:val="22"/>
        </w:rPr>
      </w:pPr>
      <w:r w:rsidRPr="004935FF">
        <w:rPr>
          <w:rFonts w:cs="Arial"/>
          <w:sz w:val="22"/>
          <w:szCs w:val="22"/>
          <w:lang w:eastAsia="en-GB"/>
        </w:rPr>
        <w:t>An operational group will meet fortnightly. This will ensure consistency across strands and make sure</w:t>
      </w:r>
      <w:r w:rsidR="00F85561">
        <w:rPr>
          <w:rFonts w:cs="Arial"/>
          <w:sz w:val="22"/>
          <w:szCs w:val="22"/>
          <w:lang w:eastAsia="en-GB"/>
        </w:rPr>
        <w:t xml:space="preserve"> the work stays on track</w:t>
      </w:r>
      <w:r w:rsidRPr="004935FF">
        <w:rPr>
          <w:rFonts w:cs="Arial"/>
          <w:sz w:val="22"/>
          <w:szCs w:val="22"/>
          <w:lang w:eastAsia="en-GB"/>
        </w:rPr>
        <w:t xml:space="preserve">. Providers can dial in to this meeting. </w:t>
      </w:r>
    </w:p>
    <w:p w:rsidR="004935FF" w:rsidRPr="004935FF" w:rsidRDefault="004935FF" w:rsidP="004935FF">
      <w:pPr>
        <w:tabs>
          <w:tab w:val="center" w:pos="4255"/>
        </w:tabs>
        <w:jc w:val="both"/>
        <w:rPr>
          <w:rFonts w:cs="Arial"/>
          <w:sz w:val="22"/>
          <w:szCs w:val="22"/>
        </w:rPr>
      </w:pPr>
    </w:p>
    <w:p w:rsidR="00B1667E" w:rsidRDefault="00EC1384" w:rsidP="007C08BE">
      <w:pPr>
        <w:pStyle w:val="ListParagraph"/>
        <w:numPr>
          <w:ilvl w:val="0"/>
          <w:numId w:val="26"/>
        </w:numPr>
        <w:tabs>
          <w:tab w:val="center" w:pos="4255"/>
        </w:tabs>
        <w:jc w:val="both"/>
        <w:rPr>
          <w:lang w:eastAsia="en-GB"/>
        </w:rPr>
      </w:pPr>
      <w:r w:rsidRPr="00EC1384">
        <w:rPr>
          <w:rFonts w:ascii="Arial" w:hAnsi="Arial"/>
          <w:lang w:eastAsia="en-GB"/>
        </w:rPr>
        <w:t>Potential Providers are asked to demonstrate their approach to research ethics, systems for project management, risk management and project governance within their Tenders</w:t>
      </w:r>
      <w:r>
        <w:rPr>
          <w:lang w:eastAsia="en-GB"/>
        </w:rPr>
        <w:t>.</w:t>
      </w:r>
    </w:p>
    <w:p w:rsidR="004935FF" w:rsidRPr="00EC1384" w:rsidRDefault="004935FF" w:rsidP="004935FF">
      <w:pPr>
        <w:pStyle w:val="ListParagraph"/>
        <w:tabs>
          <w:tab w:val="center" w:pos="4255"/>
        </w:tabs>
        <w:jc w:val="both"/>
        <w:rPr>
          <w:lang w:eastAsia="en-GB"/>
        </w:rPr>
      </w:pPr>
    </w:p>
    <w:p w:rsidR="003A1AE2" w:rsidRPr="00DE73D8" w:rsidRDefault="003A1AE2" w:rsidP="007C08BE">
      <w:pPr>
        <w:pStyle w:val="ListParagraph"/>
        <w:numPr>
          <w:ilvl w:val="0"/>
          <w:numId w:val="26"/>
        </w:numPr>
        <w:spacing w:after="0" w:line="240" w:lineRule="auto"/>
        <w:ind w:right="-296"/>
        <w:jc w:val="both"/>
        <w:rPr>
          <w:rFonts w:ascii="Arial" w:eastAsia="Times New Roman" w:hAnsi="Arial"/>
          <w:lang w:val="en-GB" w:bidi="ar-SA"/>
        </w:rPr>
      </w:pPr>
      <w:r>
        <w:rPr>
          <w:rFonts w:ascii="Arial" w:eastAsia="Times New Roman" w:hAnsi="Arial"/>
          <w:lang w:val="en-GB" w:bidi="ar-SA"/>
        </w:rPr>
        <w:t>The starting expectations are that once the successful</w:t>
      </w:r>
      <w:r w:rsidRPr="00DE73D8">
        <w:rPr>
          <w:rFonts w:ascii="Arial" w:eastAsia="Times New Roman" w:hAnsi="Arial"/>
          <w:lang w:val="en-GB" w:bidi="ar-SA"/>
        </w:rPr>
        <w:t xml:space="preserve"> Provider has been appointed, the </w:t>
      </w:r>
      <w:r w:rsidR="00B22883">
        <w:rPr>
          <w:rFonts w:ascii="Arial" w:eastAsia="Times New Roman" w:hAnsi="Arial"/>
          <w:lang w:val="en-GB" w:bidi="ar-SA"/>
        </w:rPr>
        <w:t>CCO</w:t>
      </w:r>
      <w:r w:rsidRPr="00DE73D8">
        <w:rPr>
          <w:rFonts w:ascii="Arial" w:eastAsia="Times New Roman" w:hAnsi="Arial"/>
          <w:lang w:val="en-GB" w:bidi="ar-SA"/>
        </w:rPr>
        <w:t xml:space="preserve"> shall expect a start-up </w:t>
      </w:r>
      <w:r w:rsidR="00B1667E">
        <w:rPr>
          <w:rFonts w:ascii="Arial" w:eastAsia="Times New Roman" w:hAnsi="Arial"/>
          <w:lang w:val="en-GB" w:bidi="ar-SA"/>
        </w:rPr>
        <w:t>schedule to be agreed</w:t>
      </w:r>
      <w:r w:rsidRPr="00DE73D8">
        <w:rPr>
          <w:rFonts w:ascii="Arial" w:eastAsia="Times New Roman" w:hAnsi="Arial"/>
          <w:lang w:val="en-GB" w:bidi="ar-SA"/>
        </w:rPr>
        <w:t xml:space="preserve"> within the first week</w:t>
      </w:r>
      <w:r>
        <w:rPr>
          <w:rFonts w:ascii="Arial" w:eastAsia="Times New Roman" w:hAnsi="Arial"/>
          <w:lang w:val="en-GB" w:bidi="ar-SA"/>
        </w:rPr>
        <w:t xml:space="preserve">, with weekly email </w:t>
      </w:r>
      <w:r w:rsidRPr="00DE73D8">
        <w:rPr>
          <w:rFonts w:ascii="Arial" w:eastAsia="Times New Roman" w:hAnsi="Arial"/>
          <w:lang w:val="en-GB" w:bidi="ar-SA"/>
        </w:rPr>
        <w:t xml:space="preserve">updates to the </w:t>
      </w:r>
      <w:r>
        <w:rPr>
          <w:rFonts w:ascii="Arial" w:eastAsia="Times New Roman" w:hAnsi="Arial"/>
          <w:lang w:val="en-GB" w:bidi="ar-SA"/>
        </w:rPr>
        <w:t>Authority</w:t>
      </w:r>
      <w:r w:rsidRPr="00DE73D8">
        <w:rPr>
          <w:rFonts w:ascii="Arial" w:eastAsia="Times New Roman" w:hAnsi="Arial"/>
          <w:lang w:val="en-GB" w:bidi="ar-SA"/>
        </w:rPr>
        <w:t xml:space="preserve"> thereafter. </w:t>
      </w:r>
    </w:p>
    <w:p w:rsidR="003A1AE2" w:rsidRPr="00266053" w:rsidRDefault="003A1AE2" w:rsidP="003A1AE2">
      <w:pPr>
        <w:ind w:right="-296"/>
        <w:jc w:val="both"/>
      </w:pPr>
    </w:p>
    <w:p w:rsidR="00B40002" w:rsidRPr="003978D0" w:rsidRDefault="00B40002" w:rsidP="007E188D">
      <w:pPr>
        <w:jc w:val="both"/>
        <w:rPr>
          <w:rFonts w:cs="Arial"/>
          <w:sz w:val="22"/>
          <w:szCs w:val="22"/>
        </w:rPr>
      </w:pPr>
    </w:p>
    <w:p w:rsidR="007E188D" w:rsidRPr="003978D0" w:rsidRDefault="00174785" w:rsidP="007E188D">
      <w:pPr>
        <w:rPr>
          <w:rFonts w:cs="Arial"/>
          <w:b/>
          <w:sz w:val="22"/>
          <w:szCs w:val="22"/>
        </w:rPr>
      </w:pPr>
      <w:r w:rsidRPr="003978D0">
        <w:rPr>
          <w:rFonts w:cs="Arial"/>
          <w:b/>
          <w:sz w:val="22"/>
          <w:szCs w:val="22"/>
        </w:rPr>
        <w:t>3.</w:t>
      </w:r>
      <w:r w:rsidR="009C31B9">
        <w:rPr>
          <w:rFonts w:cs="Arial"/>
          <w:b/>
          <w:sz w:val="22"/>
          <w:szCs w:val="22"/>
        </w:rPr>
        <w:t>8</w:t>
      </w:r>
      <w:r w:rsidR="00F235ED">
        <w:rPr>
          <w:rFonts w:cs="Arial"/>
          <w:b/>
          <w:sz w:val="22"/>
          <w:szCs w:val="22"/>
        </w:rPr>
        <w:t xml:space="preserve"> </w:t>
      </w:r>
      <w:r w:rsidR="007E188D" w:rsidRPr="003978D0">
        <w:rPr>
          <w:rFonts w:cs="Arial"/>
          <w:b/>
          <w:sz w:val="22"/>
          <w:szCs w:val="22"/>
        </w:rPr>
        <w:t xml:space="preserve">Timeline </w:t>
      </w:r>
      <w:r w:rsidR="007E188D" w:rsidRPr="003978D0">
        <w:rPr>
          <w:rFonts w:cs="Arial"/>
          <w:b/>
          <w:sz w:val="22"/>
          <w:szCs w:val="22"/>
        </w:rPr>
        <w:br/>
      </w:r>
    </w:p>
    <w:p w:rsidR="007E188D" w:rsidRDefault="007E188D" w:rsidP="007E188D">
      <w:pPr>
        <w:jc w:val="both"/>
        <w:rPr>
          <w:rFonts w:cs="Arial"/>
          <w:sz w:val="22"/>
          <w:szCs w:val="22"/>
        </w:rPr>
      </w:pPr>
      <w:r w:rsidRPr="00416648">
        <w:rPr>
          <w:rFonts w:cs="Arial"/>
          <w:sz w:val="22"/>
          <w:szCs w:val="22"/>
        </w:rPr>
        <w:t>The provisional timeline for the process is outlined below:</w:t>
      </w:r>
    </w:p>
    <w:p w:rsidR="00E14935" w:rsidRDefault="00E14935" w:rsidP="007E188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E14935" w:rsidRPr="003978D0" w:rsidTr="00007B71">
        <w:trPr>
          <w:cantSplit/>
          <w:trHeight w:val="397"/>
          <w:tblHeader/>
        </w:trPr>
        <w:tc>
          <w:tcPr>
            <w:tcW w:w="306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DATE</w:t>
            </w:r>
          </w:p>
        </w:tc>
        <w:tc>
          <w:tcPr>
            <w:tcW w:w="603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ACTIVITY</w:t>
            </w:r>
          </w:p>
        </w:tc>
      </w:tr>
      <w:tr w:rsidR="00E14935" w:rsidRPr="009C31B9" w:rsidTr="00007B71">
        <w:trPr>
          <w:cantSplit/>
          <w:trHeight w:val="397"/>
        </w:trPr>
        <w:tc>
          <w:tcPr>
            <w:tcW w:w="3060" w:type="dxa"/>
            <w:vAlign w:val="center"/>
          </w:tcPr>
          <w:p w:rsidR="00E14935" w:rsidRPr="009C31B9" w:rsidRDefault="000B68CA" w:rsidP="000B68CA">
            <w:pPr>
              <w:pStyle w:val="MarginText"/>
              <w:jc w:val="left"/>
              <w:rPr>
                <w:rFonts w:cs="Arial"/>
                <w:sz w:val="22"/>
                <w:szCs w:val="22"/>
              </w:rPr>
            </w:pPr>
            <w:r>
              <w:rPr>
                <w:rFonts w:cs="Arial"/>
                <w:sz w:val="22"/>
                <w:szCs w:val="22"/>
              </w:rPr>
              <w:lastRenderedPageBreak/>
              <w:t>Tues</w:t>
            </w:r>
            <w:r w:rsidR="003A1AE2" w:rsidRPr="009C31B9">
              <w:rPr>
                <w:rFonts w:cs="Arial"/>
                <w:sz w:val="22"/>
                <w:szCs w:val="22"/>
              </w:rPr>
              <w:t xml:space="preserve">day </w:t>
            </w:r>
            <w:r w:rsidR="005561AA">
              <w:rPr>
                <w:rFonts w:cs="Arial"/>
                <w:sz w:val="22"/>
                <w:szCs w:val="22"/>
              </w:rPr>
              <w:t>1</w:t>
            </w:r>
            <w:r>
              <w:rPr>
                <w:rFonts w:cs="Arial"/>
                <w:sz w:val="22"/>
                <w:szCs w:val="22"/>
              </w:rPr>
              <w:t>3</w:t>
            </w:r>
            <w:r w:rsidR="003A1AE2" w:rsidRPr="009C31B9">
              <w:rPr>
                <w:rFonts w:cs="Arial"/>
                <w:sz w:val="22"/>
                <w:szCs w:val="22"/>
                <w:vertAlign w:val="superscript"/>
              </w:rPr>
              <w:t>h</w:t>
            </w:r>
            <w:r w:rsidR="003A1AE2" w:rsidRPr="009C31B9">
              <w:rPr>
                <w:rFonts w:cs="Arial"/>
                <w:sz w:val="22"/>
                <w:szCs w:val="22"/>
              </w:rPr>
              <w:t xml:space="preserve"> </w:t>
            </w:r>
            <w:r w:rsidR="00E92DA2" w:rsidRPr="009C31B9">
              <w:rPr>
                <w:rFonts w:cs="Arial"/>
                <w:sz w:val="22"/>
                <w:szCs w:val="22"/>
              </w:rPr>
              <w:t>Dec</w:t>
            </w:r>
            <w:r w:rsidR="0055405D" w:rsidRPr="009C31B9">
              <w:rPr>
                <w:rFonts w:cs="Arial"/>
                <w:sz w:val="22"/>
                <w:szCs w:val="22"/>
              </w:rPr>
              <w:t>ember 2016</w:t>
            </w:r>
          </w:p>
        </w:tc>
        <w:tc>
          <w:tcPr>
            <w:tcW w:w="6030" w:type="dxa"/>
          </w:tcPr>
          <w:p w:rsidR="00E14935" w:rsidRPr="009C31B9" w:rsidRDefault="009C31B9" w:rsidP="005B571F">
            <w:pPr>
              <w:pStyle w:val="MarginText"/>
              <w:jc w:val="left"/>
              <w:rPr>
                <w:rFonts w:cs="Arial"/>
                <w:sz w:val="22"/>
                <w:szCs w:val="22"/>
              </w:rPr>
            </w:pPr>
            <w:r>
              <w:rPr>
                <w:rFonts w:cs="Arial"/>
                <w:sz w:val="22"/>
                <w:szCs w:val="22"/>
              </w:rPr>
              <w:t>Publication</w:t>
            </w:r>
            <w:r w:rsidR="00E14935" w:rsidRPr="009C31B9">
              <w:rPr>
                <w:rFonts w:cs="Arial"/>
                <w:sz w:val="22"/>
                <w:szCs w:val="22"/>
              </w:rPr>
              <w:t xml:space="preserve"> of the ITT </w:t>
            </w:r>
          </w:p>
        </w:tc>
      </w:tr>
      <w:tr w:rsidR="000272D7" w:rsidRPr="009C31B9" w:rsidTr="00007B71">
        <w:trPr>
          <w:cantSplit/>
          <w:trHeight w:val="397"/>
        </w:trPr>
        <w:tc>
          <w:tcPr>
            <w:tcW w:w="3060" w:type="dxa"/>
            <w:vAlign w:val="center"/>
          </w:tcPr>
          <w:p w:rsidR="000272D7" w:rsidRPr="009C31B9" w:rsidRDefault="00CF5E12" w:rsidP="005B571F">
            <w:pPr>
              <w:pStyle w:val="MarginText"/>
              <w:jc w:val="left"/>
              <w:rPr>
                <w:rFonts w:cs="Arial"/>
                <w:sz w:val="22"/>
                <w:szCs w:val="22"/>
              </w:rPr>
            </w:pPr>
            <w:r w:rsidRPr="009C31B9">
              <w:rPr>
                <w:rFonts w:cs="Arial"/>
                <w:sz w:val="22"/>
                <w:szCs w:val="22"/>
              </w:rPr>
              <w:t>Friday 6</w:t>
            </w:r>
            <w:r w:rsidRPr="009C31B9">
              <w:rPr>
                <w:rFonts w:cs="Arial"/>
                <w:sz w:val="22"/>
                <w:szCs w:val="22"/>
                <w:vertAlign w:val="superscript"/>
              </w:rPr>
              <w:t>th</w:t>
            </w:r>
            <w:r w:rsidRPr="009C31B9">
              <w:rPr>
                <w:rFonts w:cs="Arial"/>
                <w:sz w:val="22"/>
                <w:szCs w:val="22"/>
              </w:rPr>
              <w:t xml:space="preserve"> January</w:t>
            </w:r>
            <w:r w:rsidR="003A1AE2" w:rsidRPr="009C31B9">
              <w:rPr>
                <w:rFonts w:cs="Arial"/>
                <w:sz w:val="22"/>
                <w:szCs w:val="22"/>
              </w:rPr>
              <w:t xml:space="preserve"> </w:t>
            </w:r>
          </w:p>
        </w:tc>
        <w:tc>
          <w:tcPr>
            <w:tcW w:w="6030" w:type="dxa"/>
          </w:tcPr>
          <w:p w:rsidR="000272D7" w:rsidRPr="009C31B9" w:rsidRDefault="000272D7" w:rsidP="005B571F">
            <w:pPr>
              <w:pStyle w:val="MarginText"/>
              <w:jc w:val="left"/>
              <w:rPr>
                <w:rFonts w:cs="Arial"/>
                <w:sz w:val="22"/>
                <w:szCs w:val="22"/>
              </w:rPr>
            </w:pPr>
            <w:r w:rsidRPr="009C31B9">
              <w:rPr>
                <w:rFonts w:cs="Arial"/>
                <w:sz w:val="22"/>
                <w:szCs w:val="22"/>
              </w:rPr>
              <w:t>Deadline for submission of questions relating to this Procurement</w:t>
            </w:r>
          </w:p>
        </w:tc>
      </w:tr>
      <w:tr w:rsidR="00A52DC4" w:rsidRPr="003978D0" w:rsidTr="00007B71">
        <w:trPr>
          <w:cantSplit/>
          <w:trHeight w:val="397"/>
        </w:trPr>
        <w:tc>
          <w:tcPr>
            <w:tcW w:w="3060" w:type="dxa"/>
            <w:vAlign w:val="center"/>
          </w:tcPr>
          <w:p w:rsidR="00A52DC4" w:rsidRPr="009C31B9" w:rsidRDefault="007C08BE" w:rsidP="005B571F">
            <w:pPr>
              <w:pStyle w:val="MarginText"/>
              <w:jc w:val="left"/>
              <w:rPr>
                <w:rFonts w:cs="Arial"/>
                <w:sz w:val="22"/>
                <w:szCs w:val="22"/>
              </w:rPr>
            </w:pPr>
            <w:r w:rsidRPr="009C31B9">
              <w:rPr>
                <w:rFonts w:cs="Arial"/>
                <w:sz w:val="22"/>
                <w:szCs w:val="22"/>
              </w:rPr>
              <w:t>Thurs</w:t>
            </w:r>
            <w:r w:rsidR="00FD5BE9" w:rsidRPr="009C31B9">
              <w:rPr>
                <w:rFonts w:cs="Arial"/>
                <w:sz w:val="22"/>
                <w:szCs w:val="22"/>
              </w:rPr>
              <w:t xml:space="preserve">day </w:t>
            </w:r>
            <w:r w:rsidR="00F850C4" w:rsidRPr="009C31B9">
              <w:rPr>
                <w:rFonts w:cs="Arial"/>
                <w:sz w:val="22"/>
                <w:szCs w:val="22"/>
              </w:rPr>
              <w:t>12</w:t>
            </w:r>
            <w:r w:rsidR="00F850C4" w:rsidRPr="009C31B9">
              <w:rPr>
                <w:rFonts w:cs="Arial"/>
                <w:sz w:val="22"/>
                <w:szCs w:val="22"/>
                <w:vertAlign w:val="superscript"/>
              </w:rPr>
              <w:t>th</w:t>
            </w:r>
            <w:r w:rsidR="00F850C4" w:rsidRPr="009C31B9">
              <w:rPr>
                <w:rFonts w:cs="Arial"/>
                <w:sz w:val="22"/>
                <w:szCs w:val="22"/>
              </w:rPr>
              <w:t xml:space="preserve"> </w:t>
            </w:r>
            <w:r w:rsidR="00FD5BE9" w:rsidRPr="009C31B9">
              <w:rPr>
                <w:rFonts w:cs="Arial"/>
                <w:sz w:val="22"/>
                <w:szCs w:val="22"/>
              </w:rPr>
              <w:t>January</w:t>
            </w:r>
            <w:r w:rsidR="00A52DC4" w:rsidRPr="009C31B9">
              <w:rPr>
                <w:rFonts w:cs="Arial"/>
                <w:sz w:val="22"/>
                <w:szCs w:val="22"/>
              </w:rPr>
              <w:t xml:space="preserve"> 201</w:t>
            </w:r>
            <w:r w:rsidR="00FD5BE9" w:rsidRPr="009C31B9">
              <w:rPr>
                <w:rFonts w:cs="Arial"/>
                <w:sz w:val="22"/>
                <w:szCs w:val="22"/>
              </w:rPr>
              <w:t>7</w:t>
            </w:r>
            <w:r w:rsidR="00A52DC4" w:rsidRPr="009C31B9">
              <w:rPr>
                <w:rFonts w:cs="Arial"/>
                <w:sz w:val="22"/>
                <w:szCs w:val="22"/>
              </w:rPr>
              <w:t xml:space="preserve"> by 5pm</w:t>
            </w:r>
          </w:p>
        </w:tc>
        <w:tc>
          <w:tcPr>
            <w:tcW w:w="6030" w:type="dxa"/>
          </w:tcPr>
          <w:p w:rsidR="00A52DC4" w:rsidRPr="003978D0" w:rsidRDefault="00A52DC4" w:rsidP="005B571F">
            <w:pPr>
              <w:pStyle w:val="MarginText"/>
              <w:jc w:val="left"/>
              <w:rPr>
                <w:rFonts w:cs="Arial"/>
                <w:sz w:val="22"/>
                <w:szCs w:val="22"/>
              </w:rPr>
            </w:pPr>
            <w:r w:rsidRPr="009C31B9">
              <w:rPr>
                <w:rFonts w:cs="Arial"/>
                <w:sz w:val="22"/>
                <w:szCs w:val="22"/>
              </w:rPr>
              <w:t>Deadline for submission of ITT Responses to the Authority (“Tender Submission Deadline”)</w:t>
            </w:r>
            <w:r w:rsidRPr="003978D0">
              <w:rPr>
                <w:rFonts w:cs="Arial"/>
                <w:sz w:val="22"/>
                <w:szCs w:val="22"/>
              </w:rPr>
              <w:t xml:space="preserve"> </w:t>
            </w:r>
          </w:p>
        </w:tc>
      </w:tr>
      <w:tr w:rsidR="00A52DC4" w:rsidRPr="003978D0" w:rsidTr="00007B71">
        <w:trPr>
          <w:cantSplit/>
          <w:trHeight w:val="397"/>
        </w:trPr>
        <w:tc>
          <w:tcPr>
            <w:tcW w:w="3060" w:type="dxa"/>
            <w:vAlign w:val="center"/>
          </w:tcPr>
          <w:p w:rsidR="00A52DC4" w:rsidRPr="007C39D3" w:rsidRDefault="00F850C4" w:rsidP="005B571F">
            <w:pPr>
              <w:pStyle w:val="MarginText"/>
              <w:jc w:val="left"/>
              <w:rPr>
                <w:rFonts w:cs="Arial"/>
                <w:sz w:val="22"/>
                <w:szCs w:val="22"/>
                <w:highlight w:val="yellow"/>
              </w:rPr>
            </w:pPr>
            <w:r>
              <w:rPr>
                <w:rFonts w:cs="Arial"/>
                <w:sz w:val="22"/>
                <w:szCs w:val="22"/>
              </w:rPr>
              <w:t>W/c</w:t>
            </w:r>
            <w:r w:rsidRPr="00B84687">
              <w:rPr>
                <w:rFonts w:cs="Arial"/>
                <w:sz w:val="22"/>
                <w:szCs w:val="22"/>
              </w:rPr>
              <w:t xml:space="preserve"> </w:t>
            </w:r>
            <w:r>
              <w:rPr>
                <w:rFonts w:cs="Arial"/>
                <w:sz w:val="22"/>
                <w:szCs w:val="22"/>
              </w:rPr>
              <w:t>16</w:t>
            </w:r>
            <w:r w:rsidRPr="00B84687">
              <w:rPr>
                <w:rFonts w:cs="Arial"/>
                <w:sz w:val="22"/>
                <w:szCs w:val="22"/>
                <w:vertAlign w:val="superscript"/>
              </w:rPr>
              <w:t>th</w:t>
            </w:r>
            <w:r w:rsidRPr="00B84687">
              <w:rPr>
                <w:rFonts w:cs="Arial"/>
                <w:sz w:val="22"/>
                <w:szCs w:val="22"/>
              </w:rPr>
              <w:t xml:space="preserve"> </w:t>
            </w:r>
            <w:r w:rsidR="00A52DC4" w:rsidRPr="00B84687">
              <w:rPr>
                <w:rFonts w:cs="Arial"/>
                <w:sz w:val="22"/>
                <w:szCs w:val="22"/>
              </w:rPr>
              <w:t>January 2017</w:t>
            </w:r>
          </w:p>
        </w:tc>
        <w:tc>
          <w:tcPr>
            <w:tcW w:w="6030" w:type="dxa"/>
          </w:tcPr>
          <w:p w:rsidR="00A52DC4" w:rsidRPr="003978D0" w:rsidRDefault="00F850C4" w:rsidP="005B571F">
            <w:pPr>
              <w:pStyle w:val="MarginText"/>
              <w:jc w:val="left"/>
              <w:rPr>
                <w:rFonts w:cs="Arial"/>
                <w:sz w:val="22"/>
                <w:szCs w:val="22"/>
              </w:rPr>
            </w:pPr>
            <w:r>
              <w:rPr>
                <w:rFonts w:cs="Arial"/>
                <w:sz w:val="22"/>
                <w:szCs w:val="22"/>
              </w:rPr>
              <w:t>Telephone i</w:t>
            </w:r>
            <w:r w:rsidR="00A52DC4" w:rsidRPr="003978D0">
              <w:rPr>
                <w:rFonts w:cs="Arial"/>
                <w:sz w:val="22"/>
                <w:szCs w:val="22"/>
              </w:rPr>
              <w:t>nterviews for shortlisted organisations</w:t>
            </w:r>
            <w:r>
              <w:rPr>
                <w:rFonts w:cs="Arial"/>
                <w:sz w:val="22"/>
                <w:szCs w:val="22"/>
              </w:rPr>
              <w:t xml:space="preserve"> (possible, subject to tenders and issues arising)</w:t>
            </w:r>
          </w:p>
        </w:tc>
      </w:tr>
      <w:tr w:rsidR="00A52DC4" w:rsidRPr="003978D0" w:rsidTr="00007B71">
        <w:trPr>
          <w:cantSplit/>
          <w:trHeight w:val="397"/>
        </w:trPr>
        <w:tc>
          <w:tcPr>
            <w:tcW w:w="3060" w:type="dxa"/>
            <w:vAlign w:val="center"/>
          </w:tcPr>
          <w:p w:rsidR="00A52DC4" w:rsidRPr="007C39D3" w:rsidRDefault="00FD5BE9" w:rsidP="005B571F">
            <w:pPr>
              <w:pStyle w:val="MarginText"/>
              <w:jc w:val="left"/>
              <w:rPr>
                <w:rFonts w:cs="Arial"/>
                <w:sz w:val="22"/>
                <w:szCs w:val="22"/>
                <w:highlight w:val="yellow"/>
              </w:rPr>
            </w:pPr>
            <w:r>
              <w:rPr>
                <w:rFonts w:cs="Arial"/>
                <w:sz w:val="22"/>
                <w:szCs w:val="22"/>
              </w:rPr>
              <w:t>Fri</w:t>
            </w:r>
            <w:r w:rsidR="00A52DC4" w:rsidRPr="00B84687">
              <w:rPr>
                <w:rFonts w:cs="Arial"/>
                <w:sz w:val="22"/>
                <w:szCs w:val="22"/>
              </w:rPr>
              <w:t xml:space="preserve">day </w:t>
            </w:r>
            <w:r w:rsidR="00F850C4">
              <w:rPr>
                <w:rFonts w:cs="Arial"/>
                <w:sz w:val="22"/>
                <w:szCs w:val="22"/>
              </w:rPr>
              <w:t>20</w:t>
            </w:r>
            <w:r w:rsidR="00F850C4">
              <w:rPr>
                <w:rFonts w:cs="Arial"/>
                <w:sz w:val="22"/>
                <w:szCs w:val="22"/>
                <w:vertAlign w:val="superscript"/>
              </w:rPr>
              <w:t>th</w:t>
            </w:r>
            <w:r w:rsidR="00F850C4" w:rsidRPr="00B84687">
              <w:rPr>
                <w:rFonts w:cs="Arial"/>
                <w:sz w:val="22"/>
                <w:szCs w:val="22"/>
              </w:rPr>
              <w:t xml:space="preserve"> </w:t>
            </w:r>
            <w:r w:rsidR="00A52DC4" w:rsidRPr="00B84687">
              <w:rPr>
                <w:rFonts w:cs="Arial"/>
                <w:sz w:val="22"/>
                <w:szCs w:val="22"/>
              </w:rPr>
              <w:t>January 2017</w:t>
            </w:r>
          </w:p>
        </w:tc>
        <w:tc>
          <w:tcPr>
            <w:tcW w:w="6030" w:type="dxa"/>
          </w:tcPr>
          <w:p w:rsidR="00A52DC4" w:rsidRPr="003978D0" w:rsidRDefault="00A52DC4" w:rsidP="005B571F">
            <w:pPr>
              <w:pStyle w:val="MarginText"/>
              <w:jc w:val="left"/>
              <w:rPr>
                <w:rFonts w:cs="Arial"/>
                <w:sz w:val="22"/>
                <w:szCs w:val="22"/>
              </w:rPr>
            </w:pPr>
            <w:r w:rsidRPr="003978D0">
              <w:rPr>
                <w:rFonts w:cs="Arial"/>
                <w:sz w:val="22"/>
                <w:szCs w:val="22"/>
              </w:rPr>
              <w:t>Intention to award notification issued to successful and u</w:t>
            </w:r>
            <w:r>
              <w:rPr>
                <w:rFonts w:cs="Arial"/>
                <w:sz w:val="22"/>
                <w:szCs w:val="22"/>
              </w:rPr>
              <w:t>nsuccessful Potential Providers</w:t>
            </w:r>
          </w:p>
        </w:tc>
      </w:tr>
      <w:tr w:rsidR="00FD5BE9" w:rsidRPr="003978D0" w:rsidTr="00007B71">
        <w:trPr>
          <w:cantSplit/>
          <w:trHeight w:val="397"/>
        </w:trPr>
        <w:tc>
          <w:tcPr>
            <w:tcW w:w="3060" w:type="dxa"/>
            <w:vAlign w:val="center"/>
          </w:tcPr>
          <w:p w:rsidR="00FD5BE9" w:rsidRPr="007C39D3" w:rsidRDefault="00FD5BE9" w:rsidP="005B571F">
            <w:pPr>
              <w:pStyle w:val="MarginText"/>
              <w:jc w:val="left"/>
              <w:rPr>
                <w:rFonts w:cs="Arial"/>
                <w:sz w:val="22"/>
                <w:szCs w:val="22"/>
                <w:highlight w:val="yellow"/>
              </w:rPr>
            </w:pPr>
            <w:r>
              <w:rPr>
                <w:rFonts w:cs="Arial"/>
                <w:sz w:val="22"/>
                <w:szCs w:val="22"/>
              </w:rPr>
              <w:t xml:space="preserve">Week commencing </w:t>
            </w:r>
            <w:r w:rsidRPr="00B84687">
              <w:rPr>
                <w:rFonts w:cs="Arial"/>
                <w:sz w:val="22"/>
                <w:szCs w:val="22"/>
              </w:rPr>
              <w:t xml:space="preserve">Monday </w:t>
            </w:r>
            <w:r w:rsidR="00CF5E12">
              <w:rPr>
                <w:rFonts w:cs="Arial"/>
                <w:sz w:val="22"/>
                <w:szCs w:val="22"/>
              </w:rPr>
              <w:t>23</w:t>
            </w:r>
            <w:r w:rsidR="00CF5E12" w:rsidRPr="00CF5E12">
              <w:rPr>
                <w:rFonts w:cs="Arial"/>
                <w:sz w:val="22"/>
                <w:szCs w:val="22"/>
                <w:vertAlign w:val="superscript"/>
              </w:rPr>
              <w:t>rd</w:t>
            </w:r>
            <w:r w:rsidR="00CF5E12">
              <w:rPr>
                <w:rFonts w:cs="Arial"/>
                <w:sz w:val="22"/>
                <w:szCs w:val="22"/>
              </w:rPr>
              <w:t xml:space="preserve"> </w:t>
            </w:r>
            <w:r w:rsidRPr="00B84687">
              <w:rPr>
                <w:rFonts w:cs="Arial"/>
                <w:sz w:val="22"/>
                <w:szCs w:val="22"/>
              </w:rPr>
              <w:t>January 2017</w:t>
            </w:r>
          </w:p>
        </w:tc>
        <w:tc>
          <w:tcPr>
            <w:tcW w:w="6030" w:type="dxa"/>
          </w:tcPr>
          <w:p w:rsidR="00FD5BE9" w:rsidRPr="003978D0" w:rsidRDefault="00FD5BE9" w:rsidP="005561AA">
            <w:pPr>
              <w:pStyle w:val="MarginText"/>
              <w:jc w:val="left"/>
              <w:rPr>
                <w:rFonts w:cs="Arial"/>
                <w:sz w:val="22"/>
                <w:szCs w:val="22"/>
              </w:rPr>
            </w:pPr>
            <w:r w:rsidRPr="003978D0">
              <w:rPr>
                <w:rFonts w:cs="Arial"/>
                <w:sz w:val="22"/>
                <w:szCs w:val="22"/>
              </w:rPr>
              <w:t>Expected commencement date</w:t>
            </w:r>
            <w:r>
              <w:rPr>
                <w:rFonts w:cs="Arial"/>
                <w:sz w:val="22"/>
                <w:szCs w:val="22"/>
              </w:rPr>
              <w:t xml:space="preserve"> </w:t>
            </w:r>
            <w:r w:rsidRPr="003978D0">
              <w:rPr>
                <w:rFonts w:cs="Arial"/>
                <w:sz w:val="22"/>
                <w:szCs w:val="22"/>
              </w:rPr>
              <w:t>for the Contract</w:t>
            </w:r>
            <w:r w:rsidR="005561AA">
              <w:rPr>
                <w:rFonts w:cs="Arial"/>
                <w:sz w:val="22"/>
                <w:szCs w:val="22"/>
              </w:rPr>
              <w:t>; Agreement of detailed schedule of outputs</w:t>
            </w:r>
          </w:p>
        </w:tc>
      </w:tr>
      <w:tr w:rsidR="003A1AE2" w:rsidRPr="003978D0" w:rsidTr="00007B71">
        <w:trPr>
          <w:cantSplit/>
          <w:trHeight w:val="397"/>
        </w:trPr>
        <w:tc>
          <w:tcPr>
            <w:tcW w:w="3060" w:type="dxa"/>
            <w:vAlign w:val="center"/>
          </w:tcPr>
          <w:p w:rsidR="003A1AE2" w:rsidRPr="00B84687" w:rsidRDefault="009C31B9" w:rsidP="005B571F">
            <w:pPr>
              <w:pStyle w:val="MarginText"/>
              <w:jc w:val="left"/>
              <w:rPr>
                <w:rFonts w:cs="Arial"/>
                <w:sz w:val="22"/>
                <w:szCs w:val="22"/>
              </w:rPr>
            </w:pPr>
            <w:r>
              <w:rPr>
                <w:rFonts w:cs="Arial"/>
                <w:sz w:val="22"/>
                <w:szCs w:val="22"/>
              </w:rPr>
              <w:t>W/c Feb 20</w:t>
            </w:r>
          </w:p>
        </w:tc>
        <w:tc>
          <w:tcPr>
            <w:tcW w:w="6030" w:type="dxa"/>
          </w:tcPr>
          <w:p w:rsidR="003A1AE2" w:rsidRPr="003978D0" w:rsidRDefault="009C31B9" w:rsidP="005B571F">
            <w:pPr>
              <w:pStyle w:val="MarginText"/>
              <w:jc w:val="left"/>
              <w:rPr>
                <w:rFonts w:cs="Arial"/>
                <w:sz w:val="22"/>
                <w:szCs w:val="22"/>
              </w:rPr>
            </w:pPr>
            <w:r>
              <w:rPr>
                <w:rFonts w:cs="Arial"/>
                <w:sz w:val="22"/>
                <w:szCs w:val="22"/>
              </w:rPr>
              <w:t>Interim presentation to Advisory Group</w:t>
            </w:r>
          </w:p>
        </w:tc>
      </w:tr>
      <w:tr w:rsidR="00A52DC4" w:rsidRPr="005B571F" w:rsidTr="00007B71">
        <w:trPr>
          <w:cantSplit/>
          <w:trHeight w:val="397"/>
        </w:trPr>
        <w:tc>
          <w:tcPr>
            <w:tcW w:w="3060" w:type="dxa"/>
            <w:vAlign w:val="center"/>
          </w:tcPr>
          <w:p w:rsidR="00A52DC4" w:rsidRPr="005B571F" w:rsidRDefault="00A52DC4" w:rsidP="005B571F">
            <w:pPr>
              <w:pStyle w:val="MarginText"/>
              <w:jc w:val="left"/>
              <w:rPr>
                <w:rFonts w:cs="Arial"/>
                <w:sz w:val="22"/>
                <w:szCs w:val="22"/>
              </w:rPr>
            </w:pPr>
            <w:r w:rsidRPr="005B571F">
              <w:rPr>
                <w:rFonts w:cs="Arial"/>
                <w:sz w:val="22"/>
                <w:szCs w:val="22"/>
              </w:rPr>
              <w:t>31st March 2017</w:t>
            </w:r>
          </w:p>
        </w:tc>
        <w:tc>
          <w:tcPr>
            <w:tcW w:w="6030" w:type="dxa"/>
          </w:tcPr>
          <w:p w:rsidR="00A52DC4" w:rsidRPr="003978D0" w:rsidRDefault="005B571F" w:rsidP="005B571F">
            <w:pPr>
              <w:pStyle w:val="MarginText"/>
              <w:jc w:val="left"/>
              <w:rPr>
                <w:rFonts w:cs="Arial"/>
                <w:sz w:val="22"/>
                <w:szCs w:val="22"/>
              </w:rPr>
            </w:pPr>
            <w:r w:rsidRPr="005B571F">
              <w:rPr>
                <w:rFonts w:cs="Arial"/>
                <w:sz w:val="22"/>
                <w:szCs w:val="22"/>
              </w:rPr>
              <w:t>Submiss</w:t>
            </w:r>
            <w:r w:rsidR="00A52DC4" w:rsidRPr="005B571F">
              <w:rPr>
                <w:rFonts w:cs="Arial"/>
                <w:sz w:val="22"/>
                <w:szCs w:val="22"/>
              </w:rPr>
              <w:t xml:space="preserve">ion </w:t>
            </w:r>
            <w:r w:rsidR="00CF5E12">
              <w:rPr>
                <w:rFonts w:cs="Arial"/>
                <w:sz w:val="22"/>
                <w:szCs w:val="22"/>
              </w:rPr>
              <w:t>of interim report and initial presentations</w:t>
            </w:r>
            <w:r>
              <w:rPr>
                <w:rFonts w:cs="Arial"/>
                <w:sz w:val="22"/>
                <w:szCs w:val="22"/>
              </w:rPr>
              <w:t xml:space="preserve"> of findings</w:t>
            </w:r>
          </w:p>
        </w:tc>
      </w:tr>
      <w:tr w:rsidR="00CF5E12" w:rsidRPr="005B571F" w:rsidTr="00007B71">
        <w:trPr>
          <w:cantSplit/>
          <w:trHeight w:val="397"/>
        </w:trPr>
        <w:tc>
          <w:tcPr>
            <w:tcW w:w="3060" w:type="dxa"/>
            <w:vAlign w:val="center"/>
          </w:tcPr>
          <w:p w:rsidR="00CF5E12" w:rsidRPr="005B571F" w:rsidRDefault="00CF5E12" w:rsidP="005B571F">
            <w:pPr>
              <w:pStyle w:val="MarginText"/>
              <w:jc w:val="left"/>
              <w:rPr>
                <w:rFonts w:cs="Arial"/>
                <w:sz w:val="22"/>
                <w:szCs w:val="22"/>
              </w:rPr>
            </w:pPr>
            <w:r w:rsidRPr="005B571F">
              <w:rPr>
                <w:rFonts w:cs="Arial"/>
                <w:sz w:val="22"/>
                <w:szCs w:val="22"/>
              </w:rPr>
              <w:t xml:space="preserve">31st May 2017 </w:t>
            </w:r>
          </w:p>
        </w:tc>
        <w:tc>
          <w:tcPr>
            <w:tcW w:w="6030" w:type="dxa"/>
          </w:tcPr>
          <w:p w:rsidR="00CF5E12" w:rsidRPr="005B571F" w:rsidRDefault="00CF5E12" w:rsidP="005B571F">
            <w:pPr>
              <w:pStyle w:val="MarginText"/>
              <w:jc w:val="left"/>
              <w:rPr>
                <w:rFonts w:cs="Arial"/>
                <w:sz w:val="22"/>
                <w:szCs w:val="22"/>
              </w:rPr>
            </w:pPr>
            <w:r w:rsidRPr="005B571F">
              <w:rPr>
                <w:rFonts w:cs="Arial"/>
                <w:sz w:val="22"/>
                <w:szCs w:val="22"/>
              </w:rPr>
              <w:t>Completion of final report</w:t>
            </w:r>
          </w:p>
        </w:tc>
      </w:tr>
    </w:tbl>
    <w:p w:rsidR="00D835ED" w:rsidRPr="003978D0" w:rsidRDefault="00D835ED" w:rsidP="00D835ED">
      <w:pPr>
        <w:ind w:right="-296"/>
        <w:jc w:val="both"/>
        <w:rPr>
          <w:rFonts w:cs="Arial"/>
          <w:sz w:val="22"/>
          <w:szCs w:val="22"/>
        </w:rPr>
      </w:pPr>
    </w:p>
    <w:p w:rsidR="00C45C31" w:rsidRDefault="00C45C31" w:rsidP="00D835ED">
      <w:pPr>
        <w:widowControl/>
        <w:overflowPunct/>
        <w:autoSpaceDE/>
        <w:autoSpaceDN/>
        <w:adjustRightInd/>
        <w:ind w:right="-296"/>
        <w:jc w:val="both"/>
        <w:textAlignment w:val="auto"/>
        <w:rPr>
          <w:rFonts w:cs="Arial"/>
          <w:b/>
          <w:sz w:val="22"/>
          <w:szCs w:val="22"/>
        </w:rPr>
      </w:pPr>
    </w:p>
    <w:p w:rsidR="00D835ED" w:rsidRPr="003978D0" w:rsidRDefault="00F235ED" w:rsidP="00D835ED">
      <w:pPr>
        <w:widowControl/>
        <w:overflowPunct/>
        <w:autoSpaceDE/>
        <w:autoSpaceDN/>
        <w:adjustRightInd/>
        <w:ind w:right="-296"/>
        <w:jc w:val="both"/>
        <w:textAlignment w:val="auto"/>
        <w:rPr>
          <w:rFonts w:cs="Arial"/>
          <w:b/>
          <w:sz w:val="22"/>
          <w:szCs w:val="22"/>
        </w:rPr>
      </w:pPr>
      <w:r>
        <w:rPr>
          <w:rFonts w:cs="Arial"/>
          <w:b/>
          <w:sz w:val="22"/>
          <w:szCs w:val="22"/>
        </w:rPr>
        <w:t>3.11</w:t>
      </w:r>
      <w:r w:rsidR="00D835ED" w:rsidRPr="003978D0">
        <w:rPr>
          <w:rFonts w:cs="Arial"/>
          <w:b/>
          <w:sz w:val="22"/>
          <w:szCs w:val="22"/>
        </w:rPr>
        <w:t xml:space="preserve">   </w:t>
      </w:r>
      <w:r w:rsidR="00EA6A93" w:rsidRPr="003978D0">
        <w:rPr>
          <w:rFonts w:cs="Arial"/>
          <w:b/>
          <w:sz w:val="22"/>
          <w:szCs w:val="22"/>
        </w:rPr>
        <w:t>Contract Value</w:t>
      </w:r>
      <w:r w:rsidR="00D835ED" w:rsidRPr="003978D0">
        <w:rPr>
          <w:rFonts w:cs="Arial"/>
          <w:b/>
          <w:sz w:val="22"/>
          <w:szCs w:val="22"/>
        </w:rPr>
        <w:t xml:space="preserve"> </w:t>
      </w:r>
      <w:r w:rsidR="002C626A">
        <w:rPr>
          <w:rFonts w:cs="Arial"/>
          <w:b/>
          <w:sz w:val="22"/>
          <w:szCs w:val="22"/>
        </w:rPr>
        <w:t>and payment milestones</w:t>
      </w:r>
    </w:p>
    <w:p w:rsidR="00D835ED" w:rsidRPr="00416648" w:rsidRDefault="00D835ED" w:rsidP="00D835ED">
      <w:pPr>
        <w:rPr>
          <w:rFonts w:cs="Arial"/>
          <w:sz w:val="22"/>
          <w:szCs w:val="22"/>
        </w:rPr>
      </w:pPr>
    </w:p>
    <w:p w:rsidR="009F2E10" w:rsidRDefault="004B1A82" w:rsidP="00127C76">
      <w:pPr>
        <w:jc w:val="both"/>
        <w:rPr>
          <w:sz w:val="22"/>
          <w:lang w:eastAsia="en-GB"/>
        </w:rPr>
      </w:pPr>
      <w:r w:rsidRPr="004B1A82">
        <w:rPr>
          <w:sz w:val="22"/>
          <w:lang w:eastAsia="en-GB"/>
        </w:rPr>
        <w:t xml:space="preserve">The </w:t>
      </w:r>
      <w:r w:rsidR="00D835ED" w:rsidRPr="004B1A82">
        <w:rPr>
          <w:sz w:val="22"/>
          <w:lang w:eastAsia="en-GB"/>
        </w:rPr>
        <w:t>value of th</w:t>
      </w:r>
      <w:r w:rsidR="00EA6A93" w:rsidRPr="004B1A82">
        <w:rPr>
          <w:sz w:val="22"/>
          <w:lang w:eastAsia="en-GB"/>
        </w:rPr>
        <w:t>e</w:t>
      </w:r>
      <w:r w:rsidR="00D835ED" w:rsidRPr="004B1A82">
        <w:rPr>
          <w:sz w:val="22"/>
          <w:lang w:eastAsia="en-GB"/>
        </w:rPr>
        <w:t xml:space="preserve"> </w:t>
      </w:r>
      <w:r w:rsidR="00EA6A93" w:rsidRPr="004B1A82">
        <w:rPr>
          <w:sz w:val="22"/>
          <w:lang w:eastAsia="en-GB"/>
        </w:rPr>
        <w:t>C</w:t>
      </w:r>
      <w:r w:rsidR="00D835ED" w:rsidRPr="004B1A82">
        <w:rPr>
          <w:sz w:val="22"/>
          <w:lang w:eastAsia="en-GB"/>
        </w:rPr>
        <w:t xml:space="preserve">ontract </w:t>
      </w:r>
      <w:r w:rsidR="00EA6A93" w:rsidRPr="004B1A82">
        <w:rPr>
          <w:sz w:val="22"/>
          <w:lang w:eastAsia="en-GB"/>
        </w:rPr>
        <w:t>that is the subject of this Procure</w:t>
      </w:r>
      <w:r w:rsidR="001D2666">
        <w:rPr>
          <w:sz w:val="22"/>
          <w:lang w:eastAsia="en-GB"/>
        </w:rPr>
        <w:t xml:space="preserve">ment </w:t>
      </w:r>
      <w:r w:rsidR="00E614D0">
        <w:rPr>
          <w:sz w:val="22"/>
          <w:lang w:eastAsia="en-GB"/>
        </w:rPr>
        <w:t xml:space="preserve">has a maximum value </w:t>
      </w:r>
      <w:r w:rsidR="00993F75">
        <w:rPr>
          <w:sz w:val="22"/>
          <w:lang w:eastAsia="en-GB"/>
        </w:rPr>
        <w:t xml:space="preserve">of £60,000 </w:t>
      </w:r>
      <w:r w:rsidR="00D835ED" w:rsidRPr="004B1A82">
        <w:rPr>
          <w:b/>
          <w:sz w:val="22"/>
          <w:lang w:eastAsia="en-GB"/>
        </w:rPr>
        <w:t>including</w:t>
      </w:r>
      <w:r w:rsidR="00347097">
        <w:rPr>
          <w:b/>
          <w:sz w:val="22"/>
          <w:lang w:eastAsia="en-GB"/>
        </w:rPr>
        <w:t xml:space="preserve"> all expenses and</w:t>
      </w:r>
      <w:r w:rsidR="00D835ED" w:rsidRPr="004B1A82">
        <w:rPr>
          <w:b/>
          <w:sz w:val="22"/>
          <w:lang w:eastAsia="en-GB"/>
        </w:rPr>
        <w:t xml:space="preserve"> VAT</w:t>
      </w:r>
      <w:r w:rsidR="00D835ED" w:rsidRPr="004B1A82">
        <w:rPr>
          <w:sz w:val="22"/>
          <w:lang w:eastAsia="en-GB"/>
        </w:rPr>
        <w:t xml:space="preserve">. </w:t>
      </w:r>
    </w:p>
    <w:p w:rsidR="00993F75" w:rsidRDefault="00993F75" w:rsidP="00127C76">
      <w:pPr>
        <w:jc w:val="both"/>
        <w:rPr>
          <w:sz w:val="22"/>
          <w:lang w:eastAsia="en-GB"/>
        </w:rPr>
      </w:pPr>
    </w:p>
    <w:p w:rsidR="00993F75" w:rsidRPr="00F85561" w:rsidRDefault="006E742F" w:rsidP="00127C76">
      <w:pPr>
        <w:jc w:val="both"/>
        <w:rPr>
          <w:sz w:val="22"/>
          <w:lang w:eastAsia="en-GB"/>
        </w:rPr>
      </w:pPr>
      <w:r w:rsidRPr="00F85561">
        <w:rPr>
          <w:sz w:val="22"/>
          <w:lang w:eastAsia="en-GB"/>
        </w:rPr>
        <w:t>Payment for P</w:t>
      </w:r>
      <w:r w:rsidR="006D1906">
        <w:rPr>
          <w:sz w:val="22"/>
          <w:lang w:eastAsia="en-GB"/>
        </w:rPr>
        <w:t>roject</w:t>
      </w:r>
      <w:r w:rsidRPr="00F85561">
        <w:rPr>
          <w:sz w:val="22"/>
          <w:lang w:eastAsia="en-GB"/>
        </w:rPr>
        <w:t xml:space="preserve"> 1 (</w:t>
      </w:r>
      <w:r w:rsidR="00993F75" w:rsidRPr="00F85561">
        <w:rPr>
          <w:sz w:val="22"/>
          <w:lang w:eastAsia="en-GB"/>
        </w:rPr>
        <w:t>Progression</w:t>
      </w:r>
      <w:r w:rsidR="006D1906">
        <w:rPr>
          <w:sz w:val="22"/>
          <w:lang w:eastAsia="en-GB"/>
        </w:rPr>
        <w:t xml:space="preserve"> and mobility</w:t>
      </w:r>
      <w:r w:rsidRPr="00F85561">
        <w:rPr>
          <w:sz w:val="22"/>
          <w:lang w:eastAsia="en-GB"/>
        </w:rPr>
        <w:t>)</w:t>
      </w:r>
      <w:r w:rsidR="00993F75" w:rsidRPr="00F85561">
        <w:rPr>
          <w:sz w:val="22"/>
          <w:lang w:eastAsia="en-GB"/>
        </w:rPr>
        <w:t xml:space="preserve"> shall have a maximum of £</w:t>
      </w:r>
      <w:r w:rsidR="00F85561" w:rsidRPr="00F85561">
        <w:rPr>
          <w:sz w:val="22"/>
          <w:lang w:eastAsia="en-GB"/>
        </w:rPr>
        <w:t>35</w:t>
      </w:r>
      <w:r w:rsidR="00993F75" w:rsidRPr="00F85561">
        <w:rPr>
          <w:sz w:val="22"/>
          <w:lang w:eastAsia="en-GB"/>
        </w:rPr>
        <w:t>,000 including all expenses and VAT.</w:t>
      </w:r>
    </w:p>
    <w:p w:rsidR="00993F75" w:rsidRDefault="00993F75" w:rsidP="00993F75">
      <w:pPr>
        <w:jc w:val="both"/>
        <w:rPr>
          <w:sz w:val="22"/>
          <w:lang w:eastAsia="en-GB"/>
        </w:rPr>
      </w:pPr>
      <w:r w:rsidRPr="00F85561">
        <w:rPr>
          <w:sz w:val="22"/>
          <w:lang w:eastAsia="en-GB"/>
        </w:rPr>
        <w:t xml:space="preserve">Payments </w:t>
      </w:r>
      <w:r w:rsidR="000B68CA">
        <w:rPr>
          <w:sz w:val="22"/>
          <w:lang w:eastAsia="en-GB"/>
        </w:rPr>
        <w:t xml:space="preserve">for </w:t>
      </w:r>
      <w:r w:rsidR="006D1906">
        <w:rPr>
          <w:sz w:val="22"/>
          <w:lang w:eastAsia="en-GB"/>
        </w:rPr>
        <w:t>Project 2 (Identity and well-being)</w:t>
      </w:r>
      <w:r w:rsidRPr="00F85561">
        <w:rPr>
          <w:sz w:val="22"/>
          <w:lang w:eastAsia="en-GB"/>
        </w:rPr>
        <w:t xml:space="preserve"> shall have a maximum of £</w:t>
      </w:r>
      <w:r w:rsidR="00F85561" w:rsidRPr="00F85561">
        <w:rPr>
          <w:sz w:val="22"/>
          <w:lang w:eastAsia="en-GB"/>
        </w:rPr>
        <w:t>25</w:t>
      </w:r>
      <w:r w:rsidRPr="00F85561">
        <w:rPr>
          <w:sz w:val="22"/>
          <w:lang w:eastAsia="en-GB"/>
        </w:rPr>
        <w:t>,000 including all expenses and VAT.</w:t>
      </w:r>
    </w:p>
    <w:p w:rsidR="009F2E10" w:rsidRDefault="009F2E10" w:rsidP="002D7839">
      <w:pPr>
        <w:rPr>
          <w:rFonts w:cs="Arial"/>
          <w:sz w:val="22"/>
          <w:szCs w:val="22"/>
        </w:rPr>
      </w:pPr>
    </w:p>
    <w:p w:rsidR="002C626A" w:rsidRDefault="000B68CA" w:rsidP="002D7839">
      <w:pPr>
        <w:rPr>
          <w:rFonts w:cs="Arial"/>
          <w:sz w:val="22"/>
          <w:szCs w:val="22"/>
        </w:rPr>
      </w:pPr>
      <w:r>
        <w:rPr>
          <w:rFonts w:cs="Arial"/>
          <w:sz w:val="22"/>
          <w:szCs w:val="22"/>
        </w:rPr>
        <w:t>F</w:t>
      </w:r>
      <w:r w:rsidR="002C626A">
        <w:rPr>
          <w:rFonts w:cs="Arial"/>
          <w:sz w:val="22"/>
          <w:szCs w:val="22"/>
        </w:rPr>
        <w:t xml:space="preserve">unds will be paid out </w:t>
      </w:r>
      <w:r w:rsidR="005B571F">
        <w:rPr>
          <w:rFonts w:cs="Arial"/>
          <w:sz w:val="22"/>
          <w:szCs w:val="22"/>
        </w:rPr>
        <w:t>broadly according to the following schedule</w:t>
      </w:r>
      <w:r w:rsidR="002C626A">
        <w:rPr>
          <w:rFonts w:cs="Arial"/>
          <w:sz w:val="22"/>
          <w:szCs w:val="22"/>
        </w:rPr>
        <w:t>:</w:t>
      </w:r>
    </w:p>
    <w:p w:rsidR="002C626A" w:rsidRDefault="002C626A" w:rsidP="002D7839">
      <w:pPr>
        <w:rPr>
          <w:rFonts w:cs="Arial"/>
          <w:sz w:val="22"/>
          <w:szCs w:val="22"/>
        </w:rPr>
      </w:pPr>
    </w:p>
    <w:p w:rsidR="002C626A" w:rsidRPr="00F85561" w:rsidRDefault="002C626A" w:rsidP="002D7839">
      <w:pPr>
        <w:rPr>
          <w:rFonts w:cs="Arial"/>
          <w:sz w:val="22"/>
          <w:szCs w:val="22"/>
        </w:rPr>
      </w:pPr>
      <w:r w:rsidRPr="00F85561">
        <w:rPr>
          <w:rFonts w:cs="Arial"/>
          <w:sz w:val="22"/>
          <w:szCs w:val="22"/>
        </w:rPr>
        <w:t xml:space="preserve">Milestone 1. </w:t>
      </w:r>
      <w:r w:rsidR="005561AA" w:rsidRPr="00F85561">
        <w:rPr>
          <w:rFonts w:cs="Arial"/>
          <w:sz w:val="22"/>
          <w:szCs w:val="22"/>
        </w:rPr>
        <w:t>20%</w:t>
      </w:r>
    </w:p>
    <w:p w:rsidR="002C626A" w:rsidRPr="00F85561" w:rsidRDefault="002C626A" w:rsidP="002D7839">
      <w:pPr>
        <w:rPr>
          <w:rFonts w:cs="Arial"/>
          <w:sz w:val="22"/>
          <w:szCs w:val="22"/>
        </w:rPr>
      </w:pPr>
      <w:r w:rsidRPr="00F85561">
        <w:rPr>
          <w:rFonts w:cs="Arial"/>
          <w:sz w:val="22"/>
          <w:szCs w:val="22"/>
        </w:rPr>
        <w:t xml:space="preserve">Milestone 2, </w:t>
      </w:r>
      <w:r w:rsidR="005561AA" w:rsidRPr="00F85561">
        <w:rPr>
          <w:rFonts w:cs="Arial"/>
          <w:sz w:val="22"/>
          <w:szCs w:val="22"/>
        </w:rPr>
        <w:t>50%</w:t>
      </w:r>
    </w:p>
    <w:p w:rsidR="002C626A" w:rsidRDefault="002C626A" w:rsidP="002D7839">
      <w:pPr>
        <w:rPr>
          <w:rFonts w:cs="Arial"/>
          <w:sz w:val="22"/>
          <w:szCs w:val="22"/>
        </w:rPr>
      </w:pPr>
      <w:r w:rsidRPr="00F85561">
        <w:rPr>
          <w:rFonts w:cs="Arial"/>
          <w:sz w:val="22"/>
          <w:szCs w:val="22"/>
        </w:rPr>
        <w:t xml:space="preserve">Milestone 3, </w:t>
      </w:r>
      <w:r w:rsidR="005561AA" w:rsidRPr="00F85561">
        <w:rPr>
          <w:rFonts w:cs="Arial"/>
          <w:sz w:val="22"/>
          <w:szCs w:val="22"/>
        </w:rPr>
        <w:t>30%</w:t>
      </w:r>
    </w:p>
    <w:p w:rsidR="002C626A" w:rsidRDefault="002C626A" w:rsidP="002D7839">
      <w:pPr>
        <w:rPr>
          <w:rFonts w:cs="Arial"/>
          <w:sz w:val="22"/>
          <w:szCs w:val="22"/>
        </w:rPr>
      </w:pPr>
    </w:p>
    <w:p w:rsidR="002C626A" w:rsidRDefault="002C626A" w:rsidP="002D7839">
      <w:pPr>
        <w:rPr>
          <w:rFonts w:cs="Arial"/>
          <w:sz w:val="22"/>
          <w:szCs w:val="22"/>
        </w:rPr>
      </w:pPr>
      <w:r>
        <w:rPr>
          <w:rFonts w:cs="Arial"/>
          <w:sz w:val="22"/>
          <w:szCs w:val="22"/>
        </w:rPr>
        <w:t xml:space="preserve">This payment schedule reflects the requirement to produce a substantial initial set of findings by the end of March 2017 </w:t>
      </w:r>
    </w:p>
    <w:p w:rsidR="0037090A" w:rsidRPr="003978D0" w:rsidRDefault="0037090A" w:rsidP="002D7839">
      <w:pPr>
        <w:rPr>
          <w:rFonts w:cs="Arial"/>
          <w:sz w:val="22"/>
          <w:szCs w:val="22"/>
        </w:rPr>
      </w:pPr>
    </w:p>
    <w:p w:rsidR="0037090A" w:rsidRPr="003978D0" w:rsidRDefault="00B84687" w:rsidP="00D50618">
      <w:pPr>
        <w:pStyle w:val="ListParagraph"/>
        <w:numPr>
          <w:ilvl w:val="0"/>
          <w:numId w:val="7"/>
        </w:numPr>
        <w:rPr>
          <w:rFonts w:ascii="Arial" w:eastAsia="Times New Roman" w:hAnsi="Arial"/>
          <w:b/>
          <w:lang w:val="en-GB" w:bidi="ar-SA"/>
        </w:rPr>
      </w:pPr>
      <w:r>
        <w:rPr>
          <w:rFonts w:ascii="Arial" w:eastAsia="Times New Roman" w:hAnsi="Arial"/>
          <w:b/>
          <w:lang w:val="en-GB" w:bidi="ar-SA"/>
        </w:rPr>
        <w:t>Completing and submitting a tender</w:t>
      </w:r>
    </w:p>
    <w:p w:rsidR="00DE7DF4" w:rsidRPr="00DC6B71" w:rsidRDefault="0037090A" w:rsidP="00153CA2">
      <w:pPr>
        <w:jc w:val="both"/>
        <w:rPr>
          <w:b/>
          <w:sz w:val="22"/>
          <w:lang w:eastAsia="en-GB"/>
        </w:rPr>
      </w:pPr>
      <w:r w:rsidRPr="004B1A82">
        <w:rPr>
          <w:sz w:val="22"/>
          <w:lang w:eastAsia="en-GB"/>
        </w:rPr>
        <w:t xml:space="preserve">The </w:t>
      </w:r>
      <w:r w:rsidR="005561AA">
        <w:rPr>
          <w:sz w:val="22"/>
          <w:lang w:eastAsia="en-GB"/>
        </w:rPr>
        <w:t>CCO</w:t>
      </w:r>
      <w:r w:rsidRPr="004B1A82">
        <w:rPr>
          <w:sz w:val="22"/>
          <w:lang w:eastAsia="en-GB"/>
        </w:rPr>
        <w:t xml:space="preserve"> </w:t>
      </w:r>
      <w:r w:rsidR="00DE7DF4" w:rsidRPr="004B1A82">
        <w:rPr>
          <w:sz w:val="22"/>
          <w:lang w:eastAsia="en-GB"/>
        </w:rPr>
        <w:t xml:space="preserve">would like to hear from you if you feel you are able to provide the </w:t>
      </w:r>
      <w:r w:rsidR="00F521B5" w:rsidRPr="004B1A82">
        <w:rPr>
          <w:sz w:val="22"/>
          <w:lang w:eastAsia="en-GB"/>
        </w:rPr>
        <w:t>S</w:t>
      </w:r>
      <w:r w:rsidR="00DE7DF4" w:rsidRPr="004B1A82">
        <w:rPr>
          <w:sz w:val="22"/>
          <w:lang w:eastAsia="en-GB"/>
        </w:rPr>
        <w:t>ervice</w:t>
      </w:r>
      <w:r w:rsidR="00F521B5" w:rsidRPr="004B1A82">
        <w:rPr>
          <w:sz w:val="22"/>
          <w:lang w:eastAsia="en-GB"/>
        </w:rPr>
        <w:t>s</w:t>
      </w:r>
      <w:r w:rsidR="00DE7DF4" w:rsidRPr="004B1A82">
        <w:rPr>
          <w:sz w:val="22"/>
          <w:lang w:eastAsia="en-GB"/>
        </w:rPr>
        <w:t xml:space="preserve"> detailed in the specifications</w:t>
      </w:r>
      <w:r w:rsidR="00F521B5" w:rsidRPr="004B1A82">
        <w:rPr>
          <w:sz w:val="22"/>
          <w:lang w:eastAsia="en-GB"/>
        </w:rPr>
        <w:t xml:space="preserve"> in Contract Schedule 1 (Services)</w:t>
      </w:r>
      <w:r w:rsidR="00DE7DF4" w:rsidRPr="004B1A82">
        <w:rPr>
          <w:sz w:val="22"/>
          <w:lang w:eastAsia="en-GB"/>
        </w:rPr>
        <w:t xml:space="preserve">. We reserve the right not to accept any </w:t>
      </w:r>
      <w:r w:rsidR="00F521B5" w:rsidRPr="004B1A82">
        <w:rPr>
          <w:sz w:val="22"/>
          <w:lang w:eastAsia="en-GB"/>
        </w:rPr>
        <w:t>T</w:t>
      </w:r>
      <w:r w:rsidR="00DE7DF4" w:rsidRPr="004B1A82">
        <w:rPr>
          <w:sz w:val="22"/>
          <w:lang w:eastAsia="en-GB"/>
        </w:rPr>
        <w:t xml:space="preserve">enders or award any contracts as a result of this </w:t>
      </w:r>
      <w:r w:rsidR="00F521B5" w:rsidRPr="004B1A82">
        <w:rPr>
          <w:sz w:val="22"/>
          <w:lang w:eastAsia="en-GB"/>
        </w:rPr>
        <w:t>T</w:t>
      </w:r>
      <w:r w:rsidR="00DE7DF4" w:rsidRPr="004B1A82">
        <w:rPr>
          <w:sz w:val="22"/>
          <w:lang w:eastAsia="en-GB"/>
        </w:rPr>
        <w:t xml:space="preserve">ender exercise.  </w:t>
      </w:r>
      <w:r w:rsidR="00DC6B71">
        <w:rPr>
          <w:sz w:val="22"/>
          <w:lang w:eastAsia="en-GB"/>
        </w:rPr>
        <w:t xml:space="preserve">The deadline for the submission of Tenders </w:t>
      </w:r>
      <w:r w:rsidR="00DC6B71" w:rsidRPr="00A52DC4">
        <w:rPr>
          <w:sz w:val="22"/>
          <w:lang w:eastAsia="en-GB"/>
        </w:rPr>
        <w:t xml:space="preserve">is </w:t>
      </w:r>
      <w:r w:rsidR="00FD5BE9" w:rsidRPr="00430D57">
        <w:rPr>
          <w:b/>
          <w:sz w:val="22"/>
          <w:lang w:eastAsia="en-GB"/>
        </w:rPr>
        <w:t xml:space="preserve">Thursday </w:t>
      </w:r>
      <w:r w:rsidR="002C626A" w:rsidRPr="00430D57">
        <w:rPr>
          <w:b/>
          <w:sz w:val="22"/>
          <w:lang w:eastAsia="en-GB"/>
        </w:rPr>
        <w:t>12</w:t>
      </w:r>
      <w:r w:rsidR="00FD5BE9" w:rsidRPr="00430D57">
        <w:rPr>
          <w:b/>
          <w:sz w:val="22"/>
          <w:vertAlign w:val="superscript"/>
          <w:lang w:eastAsia="en-GB"/>
        </w:rPr>
        <w:t>th</w:t>
      </w:r>
      <w:r w:rsidR="00FD5BE9" w:rsidRPr="00430D57">
        <w:rPr>
          <w:b/>
          <w:sz w:val="22"/>
          <w:lang w:eastAsia="en-GB"/>
        </w:rPr>
        <w:t xml:space="preserve"> January 2017 by 5pm</w:t>
      </w:r>
      <w:r w:rsidR="00A52DC4">
        <w:rPr>
          <w:b/>
          <w:sz w:val="22"/>
          <w:lang w:eastAsia="en-GB"/>
        </w:rPr>
        <w:t>.</w:t>
      </w:r>
    </w:p>
    <w:p w:rsidR="001D2666" w:rsidRDefault="001D2666" w:rsidP="00153CA2">
      <w:pPr>
        <w:jc w:val="both"/>
        <w:rPr>
          <w:sz w:val="22"/>
          <w:lang w:eastAsia="en-GB"/>
        </w:rPr>
      </w:pPr>
    </w:p>
    <w:p w:rsidR="00DE7DF4" w:rsidRPr="004B1A82" w:rsidRDefault="00F521B5" w:rsidP="002D7839">
      <w:pPr>
        <w:rPr>
          <w:sz w:val="22"/>
          <w:lang w:eastAsia="en-GB"/>
        </w:rPr>
      </w:pPr>
      <w:r w:rsidRPr="003978D0">
        <w:rPr>
          <w:rFonts w:cs="Arial"/>
          <w:b/>
          <w:sz w:val="22"/>
          <w:szCs w:val="22"/>
        </w:rPr>
        <w:lastRenderedPageBreak/>
        <w:t>4.</w:t>
      </w:r>
      <w:r w:rsidR="005B571F">
        <w:rPr>
          <w:rFonts w:cs="Arial"/>
          <w:b/>
          <w:sz w:val="22"/>
          <w:szCs w:val="22"/>
        </w:rPr>
        <w:t>1</w:t>
      </w:r>
      <w:r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Tender requirements</w:t>
      </w:r>
      <w:r w:rsidR="00DE7DF4" w:rsidRPr="003978D0">
        <w:rPr>
          <w:rFonts w:cs="Arial"/>
          <w:b/>
          <w:sz w:val="22"/>
          <w:szCs w:val="22"/>
        </w:rPr>
        <w:br/>
      </w:r>
    </w:p>
    <w:p w:rsidR="00DE7DF4" w:rsidRDefault="00DE7DF4" w:rsidP="00153CA2">
      <w:pPr>
        <w:pStyle w:val="ListParagraph"/>
        <w:ind w:left="0"/>
        <w:jc w:val="both"/>
        <w:rPr>
          <w:rFonts w:ascii="Arial" w:eastAsia="Times New Roman" w:hAnsi="Arial" w:cs="Times New Roman"/>
          <w:szCs w:val="20"/>
          <w:lang w:val="en-GB" w:eastAsia="en-GB" w:bidi="ar-SA"/>
        </w:rPr>
      </w:pPr>
      <w:r w:rsidRPr="004B1A82">
        <w:rPr>
          <w:rFonts w:ascii="Arial" w:eastAsia="Times New Roman" w:hAnsi="Arial" w:cs="Times New Roman"/>
          <w:szCs w:val="20"/>
          <w:lang w:val="en-GB" w:eastAsia="en-GB" w:bidi="ar-SA"/>
        </w:rPr>
        <w:t>Tenderers are</w:t>
      </w:r>
      <w:r w:rsidR="002D7839" w:rsidRPr="004B1A82">
        <w:rPr>
          <w:rFonts w:ascii="Arial" w:eastAsia="Times New Roman" w:hAnsi="Arial" w:cs="Times New Roman"/>
          <w:szCs w:val="20"/>
          <w:lang w:val="en-GB" w:eastAsia="en-GB" w:bidi="ar-SA"/>
        </w:rPr>
        <w:t xml:space="preserve"> requested to include in their </w:t>
      </w:r>
      <w:r w:rsidR="00F521B5" w:rsidRPr="004B1A82">
        <w:rPr>
          <w:rFonts w:ascii="Arial" w:eastAsia="Times New Roman" w:hAnsi="Arial" w:cs="Times New Roman"/>
          <w:szCs w:val="20"/>
          <w:lang w:val="en-GB" w:eastAsia="en-GB" w:bidi="ar-SA"/>
        </w:rPr>
        <w:t>T</w:t>
      </w:r>
      <w:r w:rsidRPr="004B1A82">
        <w:rPr>
          <w:rFonts w:ascii="Arial" w:eastAsia="Times New Roman" w:hAnsi="Arial" w:cs="Times New Roman"/>
          <w:szCs w:val="20"/>
          <w:lang w:val="en-GB" w:eastAsia="en-GB" w:bidi="ar-SA"/>
        </w:rPr>
        <w:t xml:space="preserve">ender submission the following information: </w:t>
      </w:r>
    </w:p>
    <w:p w:rsidR="00604369" w:rsidRDefault="00604369" w:rsidP="00153CA2">
      <w:pPr>
        <w:pStyle w:val="ListParagraph"/>
        <w:ind w:left="0"/>
        <w:jc w:val="both"/>
        <w:rPr>
          <w:rFonts w:ascii="Arial" w:eastAsia="Times New Roman" w:hAnsi="Arial" w:cs="Times New Roman"/>
          <w:szCs w:val="20"/>
          <w:lang w:val="en-GB" w:eastAsia="en-GB" w:bidi="ar-SA"/>
        </w:rPr>
      </w:pPr>
    </w:p>
    <w:p w:rsidR="00DE7DF4" w:rsidRDefault="005B571F" w:rsidP="002D7839">
      <w:pPr>
        <w:jc w:val="both"/>
        <w:rPr>
          <w:rFonts w:cs="Arial"/>
          <w:b/>
          <w:sz w:val="22"/>
          <w:szCs w:val="22"/>
        </w:rPr>
      </w:pPr>
      <w:r>
        <w:rPr>
          <w:rFonts w:cs="Arial"/>
          <w:b/>
          <w:sz w:val="22"/>
          <w:szCs w:val="22"/>
        </w:rPr>
        <w:t>4</w:t>
      </w:r>
      <w:r w:rsidR="00F521B5" w:rsidRPr="003978D0">
        <w:rPr>
          <w:rFonts w:cs="Arial"/>
          <w:b/>
          <w:sz w:val="22"/>
          <w:szCs w:val="22"/>
        </w:rPr>
        <w:t>.</w:t>
      </w:r>
      <w:r>
        <w:rPr>
          <w:rFonts w:cs="Arial"/>
          <w:b/>
          <w:sz w:val="22"/>
          <w:szCs w:val="22"/>
        </w:rPr>
        <w:t>1</w:t>
      </w:r>
      <w:r w:rsidR="002C626A">
        <w:rPr>
          <w:rFonts w:cs="Arial"/>
          <w:b/>
          <w:sz w:val="22"/>
          <w:szCs w:val="22"/>
        </w:rPr>
        <w:t>.1</w:t>
      </w:r>
      <w:r w:rsidR="00F521B5"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Details of the organisation</w:t>
      </w:r>
    </w:p>
    <w:p w:rsidR="003978D0" w:rsidRPr="003978D0" w:rsidRDefault="003978D0" w:rsidP="002D7839">
      <w:pPr>
        <w:jc w:val="both"/>
        <w:rPr>
          <w:rFonts w:cs="Arial"/>
          <w:b/>
          <w:sz w:val="22"/>
          <w:szCs w:val="22"/>
        </w:rPr>
      </w:pPr>
    </w:p>
    <w:p w:rsidR="002F78E2" w:rsidRPr="00153CA2" w:rsidRDefault="00F521B5" w:rsidP="00153CA2">
      <w:pPr>
        <w:pStyle w:val="ListParagraph"/>
        <w:ind w:left="0"/>
        <w:jc w:val="both"/>
        <w:rPr>
          <w:rFonts w:ascii="Arial" w:eastAsia="Times New Roman" w:hAnsi="Arial"/>
          <w:lang w:val="en-GB" w:bidi="ar-SA"/>
        </w:rPr>
      </w:pPr>
      <w:r w:rsidRPr="002F78E2">
        <w:rPr>
          <w:rFonts w:ascii="Arial" w:eastAsia="Times New Roman" w:hAnsi="Arial"/>
          <w:lang w:val="en-GB" w:bidi="ar-SA"/>
        </w:rPr>
        <w:t>Information provided in th</w:t>
      </w:r>
      <w:r w:rsidR="001D2666">
        <w:rPr>
          <w:rFonts w:ascii="Arial" w:eastAsia="Times New Roman" w:hAnsi="Arial"/>
          <w:lang w:val="en-GB" w:bidi="ar-SA"/>
        </w:rPr>
        <w:t>is section is required for back</w:t>
      </w:r>
      <w:r w:rsidRPr="002F78E2">
        <w:rPr>
          <w:rFonts w:ascii="Arial" w:eastAsia="Times New Roman" w:hAnsi="Arial"/>
          <w:lang w:val="en-GB" w:bidi="ar-SA"/>
        </w:rPr>
        <w:t xml:space="preserve">ground and to enable the Authority to carry out an assessment of the </w:t>
      </w:r>
      <w:r w:rsidR="006C0B4B" w:rsidRPr="002F78E2">
        <w:rPr>
          <w:rFonts w:ascii="Arial" w:eastAsia="Times New Roman" w:hAnsi="Arial"/>
          <w:lang w:val="en-GB" w:bidi="ar-SA"/>
        </w:rPr>
        <w:t>Potential Providers</w:t>
      </w:r>
      <w:r w:rsidRPr="002F78E2">
        <w:rPr>
          <w:rFonts w:ascii="Arial" w:eastAsia="Times New Roman" w:hAnsi="Arial"/>
          <w:lang w:val="en-GB" w:bidi="ar-SA"/>
        </w:rPr>
        <w:t>’ economic and financial standing. Details provided here will be used by the Authority to issue any notices should your orga</w:t>
      </w:r>
      <w:r w:rsidR="006C0B4B" w:rsidRPr="002F78E2">
        <w:rPr>
          <w:rFonts w:ascii="Arial" w:eastAsia="Times New Roman" w:hAnsi="Arial"/>
          <w:lang w:val="en-GB" w:bidi="ar-SA"/>
        </w:rPr>
        <w:t>nisation be successful at this P</w:t>
      </w:r>
      <w:r w:rsidRPr="002F78E2">
        <w:rPr>
          <w:rFonts w:ascii="Arial" w:eastAsia="Times New Roman" w:hAnsi="Arial"/>
          <w:lang w:val="en-GB" w:bidi="ar-SA"/>
        </w:rPr>
        <w:t>rocurement</w:t>
      </w:r>
      <w:r w:rsidR="001D2666">
        <w:rPr>
          <w:rFonts w:ascii="Arial" w:eastAsia="Times New Roman" w:hAnsi="Arial"/>
          <w:lang w:val="en-GB" w:bidi="ar-SA"/>
        </w:rPr>
        <w:t>.</w:t>
      </w:r>
    </w:p>
    <w:p w:rsidR="00DE7DF4" w:rsidRDefault="00041A08" w:rsidP="00153CA2">
      <w:pPr>
        <w:jc w:val="both"/>
        <w:rPr>
          <w:sz w:val="22"/>
        </w:rPr>
      </w:pPr>
      <w:r w:rsidRPr="00153CA2">
        <w:rPr>
          <w:sz w:val="22"/>
        </w:rPr>
        <w:t>Background information on the o</w:t>
      </w:r>
      <w:r w:rsidR="00DE7DF4" w:rsidRPr="00153CA2">
        <w:rPr>
          <w:sz w:val="22"/>
        </w:rPr>
        <w:t>rganisation to include:</w:t>
      </w:r>
    </w:p>
    <w:p w:rsidR="00153CA2" w:rsidRPr="00153CA2" w:rsidRDefault="00153CA2" w:rsidP="00153CA2">
      <w:pPr>
        <w:jc w:val="both"/>
        <w:rPr>
          <w:sz w:val="22"/>
        </w:rPr>
      </w:pPr>
    </w:p>
    <w:p w:rsidR="00F521B5" w:rsidRPr="00C62D42" w:rsidRDefault="00174785" w:rsidP="007C08BE">
      <w:pPr>
        <w:pStyle w:val="DfESBullets"/>
        <w:numPr>
          <w:ilvl w:val="0"/>
          <w:numId w:val="24"/>
        </w:numPr>
        <w:spacing w:after="0"/>
        <w:jc w:val="both"/>
        <w:rPr>
          <w:szCs w:val="22"/>
        </w:rPr>
      </w:pPr>
      <w:r w:rsidRPr="00C62D42">
        <w:rPr>
          <w:szCs w:val="22"/>
        </w:rPr>
        <w:t>t</w:t>
      </w:r>
      <w:r w:rsidR="00F521B5" w:rsidRPr="00C62D42">
        <w:rPr>
          <w:szCs w:val="22"/>
        </w:rPr>
        <w:t>he organisation’s full legal name &amp; address;</w:t>
      </w:r>
    </w:p>
    <w:p w:rsidR="00174785" w:rsidRPr="00C62D42" w:rsidRDefault="00174785" w:rsidP="007C08BE">
      <w:pPr>
        <w:pStyle w:val="DfESBullets"/>
        <w:numPr>
          <w:ilvl w:val="0"/>
          <w:numId w:val="24"/>
        </w:numPr>
        <w:spacing w:after="0"/>
        <w:jc w:val="both"/>
        <w:rPr>
          <w:szCs w:val="22"/>
        </w:rPr>
      </w:pPr>
      <w:r w:rsidRPr="00C62D42">
        <w:rPr>
          <w:szCs w:val="22"/>
        </w:rPr>
        <w:t>type of organisation;</w:t>
      </w:r>
    </w:p>
    <w:p w:rsidR="00DE7DF4" w:rsidRPr="00C62D42" w:rsidRDefault="002D7839" w:rsidP="007C08BE">
      <w:pPr>
        <w:pStyle w:val="DfESBullets"/>
        <w:numPr>
          <w:ilvl w:val="0"/>
          <w:numId w:val="24"/>
        </w:numPr>
        <w:spacing w:after="0"/>
        <w:jc w:val="both"/>
        <w:rPr>
          <w:szCs w:val="22"/>
        </w:rPr>
      </w:pPr>
      <w:r w:rsidRPr="00C62D42">
        <w:rPr>
          <w:szCs w:val="22"/>
        </w:rPr>
        <w:t>the management structure</w:t>
      </w:r>
      <w:r w:rsidR="00174785" w:rsidRPr="00C62D42">
        <w:rPr>
          <w:szCs w:val="22"/>
        </w:rPr>
        <w:t>;</w:t>
      </w:r>
    </w:p>
    <w:p w:rsidR="00DE7DF4" w:rsidRPr="00C62D42" w:rsidRDefault="00DE7DF4" w:rsidP="007C08BE">
      <w:pPr>
        <w:pStyle w:val="DfESBullets"/>
        <w:numPr>
          <w:ilvl w:val="0"/>
          <w:numId w:val="24"/>
        </w:numPr>
        <w:spacing w:after="0"/>
        <w:jc w:val="both"/>
        <w:rPr>
          <w:szCs w:val="22"/>
        </w:rPr>
      </w:pPr>
      <w:r w:rsidRPr="00C62D42">
        <w:rPr>
          <w:szCs w:val="22"/>
        </w:rPr>
        <w:t>the resource available locally, and in other offices</w:t>
      </w:r>
      <w:r w:rsidR="00174785" w:rsidRPr="00C62D42">
        <w:rPr>
          <w:szCs w:val="22"/>
        </w:rPr>
        <w:t>;</w:t>
      </w:r>
    </w:p>
    <w:p w:rsidR="00DE7DF4" w:rsidRPr="00C62D42" w:rsidRDefault="00DE7DF4" w:rsidP="007C08BE">
      <w:pPr>
        <w:pStyle w:val="DfESBullets"/>
        <w:numPr>
          <w:ilvl w:val="0"/>
          <w:numId w:val="24"/>
        </w:numPr>
        <w:spacing w:after="0"/>
        <w:jc w:val="both"/>
        <w:rPr>
          <w:szCs w:val="22"/>
        </w:rPr>
      </w:pPr>
      <w:r w:rsidRPr="00C62D42">
        <w:rPr>
          <w:szCs w:val="22"/>
        </w:rPr>
        <w:t xml:space="preserve">any specialist </w:t>
      </w:r>
      <w:r w:rsidR="002D7839" w:rsidRPr="00C62D42">
        <w:rPr>
          <w:szCs w:val="22"/>
        </w:rPr>
        <w:t>knowledge available to the firm</w:t>
      </w:r>
      <w:r w:rsidR="00174785" w:rsidRPr="00C62D42">
        <w:rPr>
          <w:szCs w:val="22"/>
        </w:rPr>
        <w:t>;</w:t>
      </w:r>
    </w:p>
    <w:p w:rsidR="00174785" w:rsidRPr="00C62D42" w:rsidRDefault="00174785" w:rsidP="007C08BE">
      <w:pPr>
        <w:pStyle w:val="DfESBullets"/>
        <w:numPr>
          <w:ilvl w:val="0"/>
          <w:numId w:val="24"/>
        </w:numPr>
        <w:spacing w:after="0"/>
        <w:jc w:val="both"/>
        <w:rPr>
          <w:szCs w:val="22"/>
        </w:rPr>
      </w:pPr>
      <w:r w:rsidRPr="00C62D42">
        <w:rPr>
          <w:szCs w:val="22"/>
        </w:rPr>
        <w:t>the organisation’s contact and email address;</w:t>
      </w:r>
    </w:p>
    <w:p w:rsidR="00041A08" w:rsidRPr="00C62D42" w:rsidRDefault="004B1A82" w:rsidP="007C08BE">
      <w:pPr>
        <w:pStyle w:val="DfESBullets"/>
        <w:numPr>
          <w:ilvl w:val="0"/>
          <w:numId w:val="24"/>
        </w:numPr>
        <w:spacing w:after="0"/>
        <w:jc w:val="both"/>
        <w:rPr>
          <w:szCs w:val="22"/>
        </w:rPr>
      </w:pPr>
      <w:r w:rsidRPr="00C62D42">
        <w:rPr>
          <w:szCs w:val="22"/>
        </w:rPr>
        <w:t>financial</w:t>
      </w:r>
      <w:r w:rsidR="002D7839" w:rsidRPr="00C62D42">
        <w:rPr>
          <w:szCs w:val="22"/>
        </w:rPr>
        <w:t xml:space="preserve"> statement </w:t>
      </w:r>
      <w:r w:rsidR="00174785" w:rsidRPr="00C62D42">
        <w:rPr>
          <w:szCs w:val="22"/>
        </w:rPr>
        <w:t xml:space="preserve">and solvency </w:t>
      </w:r>
      <w:r w:rsidR="007A57DE" w:rsidRPr="00C62D42">
        <w:rPr>
          <w:szCs w:val="22"/>
        </w:rPr>
        <w:t>information (</w:t>
      </w:r>
      <w:r w:rsidR="002D7839" w:rsidRPr="00C62D42">
        <w:rPr>
          <w:szCs w:val="22"/>
        </w:rPr>
        <w:t>annual report)</w:t>
      </w:r>
      <w:r w:rsidR="001D2666">
        <w:rPr>
          <w:szCs w:val="22"/>
        </w:rPr>
        <w:t>; and</w:t>
      </w:r>
    </w:p>
    <w:p w:rsidR="00041A08" w:rsidRPr="00C62D42" w:rsidRDefault="001D2666" w:rsidP="007C08BE">
      <w:pPr>
        <w:pStyle w:val="ListParagraph"/>
        <w:numPr>
          <w:ilvl w:val="0"/>
          <w:numId w:val="24"/>
        </w:numPr>
        <w:jc w:val="both"/>
        <w:rPr>
          <w:rFonts w:ascii="Arial" w:eastAsia="Times New Roman" w:hAnsi="Arial"/>
          <w:lang w:val="en-GB" w:bidi="ar-SA"/>
        </w:rPr>
      </w:pPr>
      <w:r>
        <w:rPr>
          <w:rFonts w:ascii="Arial" w:eastAsia="Times New Roman" w:hAnsi="Arial"/>
          <w:lang w:val="en-GB" w:bidi="ar-SA"/>
        </w:rPr>
        <w:t>a</w:t>
      </w:r>
      <w:r w:rsidR="00DE7DF4" w:rsidRPr="00C62D42">
        <w:rPr>
          <w:rFonts w:ascii="Arial" w:eastAsia="Times New Roman" w:hAnsi="Arial"/>
          <w:lang w:val="en-GB" w:bidi="ar-SA"/>
        </w:rPr>
        <w:t xml:space="preserve"> commitment to ensuring that </w:t>
      </w:r>
      <w:r w:rsidR="00174785" w:rsidRPr="00C62D42">
        <w:rPr>
          <w:rFonts w:ascii="Arial" w:eastAsia="Times New Roman" w:hAnsi="Arial"/>
          <w:lang w:val="en-GB" w:bidi="ar-SA"/>
        </w:rPr>
        <w:t xml:space="preserve">supplier </w:t>
      </w:r>
      <w:r w:rsidR="00DE7DF4" w:rsidRPr="00C62D42">
        <w:rPr>
          <w:rFonts w:ascii="Arial" w:eastAsia="Times New Roman" w:hAnsi="Arial"/>
          <w:lang w:val="en-GB" w:bidi="ar-SA"/>
        </w:rPr>
        <w:t>staff and m</w:t>
      </w:r>
      <w:r w:rsidR="004030B1" w:rsidRPr="00C62D42">
        <w:rPr>
          <w:rFonts w:ascii="Arial" w:eastAsia="Times New Roman" w:hAnsi="Arial"/>
          <w:lang w:val="en-GB" w:bidi="ar-SA"/>
        </w:rPr>
        <w:t xml:space="preserve">anagers involved in the project </w:t>
      </w:r>
      <w:r w:rsidR="00DE7DF4" w:rsidRPr="00C62D42">
        <w:rPr>
          <w:rFonts w:ascii="Arial" w:eastAsia="Times New Roman" w:hAnsi="Arial"/>
          <w:lang w:val="en-GB" w:bidi="ar-SA"/>
        </w:rPr>
        <w:t xml:space="preserve">will be </w:t>
      </w:r>
      <w:r w:rsidR="00174785" w:rsidRPr="00C62D42">
        <w:rPr>
          <w:rFonts w:ascii="Arial" w:eastAsia="Times New Roman" w:hAnsi="Arial"/>
          <w:lang w:val="en-GB" w:bidi="ar-SA"/>
        </w:rPr>
        <w:t>DBS</w:t>
      </w:r>
      <w:r w:rsidR="00DE7DF4" w:rsidRPr="00C62D42">
        <w:rPr>
          <w:rFonts w:ascii="Arial" w:eastAsia="Times New Roman" w:hAnsi="Arial"/>
          <w:lang w:val="en-GB" w:bidi="ar-SA"/>
        </w:rPr>
        <w:t xml:space="preserve"> checked (where relevant). </w:t>
      </w:r>
    </w:p>
    <w:p w:rsidR="00DE7DF4" w:rsidRPr="00C62D42" w:rsidRDefault="00DE7DF4" w:rsidP="00153CA2">
      <w:pPr>
        <w:rPr>
          <w:rFonts w:cs="Arial"/>
          <w:sz w:val="22"/>
          <w:szCs w:val="22"/>
        </w:rPr>
      </w:pPr>
      <w:r w:rsidRPr="00C62D42">
        <w:rPr>
          <w:rFonts w:cs="Arial"/>
          <w:sz w:val="22"/>
          <w:szCs w:val="22"/>
        </w:rPr>
        <w:t>Copies of policies (or support</w:t>
      </w:r>
      <w:r w:rsidR="004030B1" w:rsidRPr="00C62D42">
        <w:rPr>
          <w:rFonts w:cs="Arial"/>
          <w:sz w:val="22"/>
          <w:szCs w:val="22"/>
        </w:rPr>
        <w:t xml:space="preserve">ing statements) validating your </w:t>
      </w:r>
      <w:r w:rsidR="00F86E0D" w:rsidRPr="00C62D42">
        <w:rPr>
          <w:rFonts w:cs="Arial"/>
          <w:sz w:val="22"/>
          <w:szCs w:val="22"/>
        </w:rPr>
        <w:t xml:space="preserve">organisations </w:t>
      </w:r>
      <w:r w:rsidRPr="00C62D42">
        <w:rPr>
          <w:rFonts w:cs="Arial"/>
          <w:sz w:val="22"/>
          <w:szCs w:val="22"/>
        </w:rPr>
        <w:t xml:space="preserve">commitment to: </w:t>
      </w:r>
    </w:p>
    <w:p w:rsidR="00DE7DF4" w:rsidRPr="00153CA2" w:rsidRDefault="009964B5" w:rsidP="007C08BE">
      <w:pPr>
        <w:pStyle w:val="DfESBullets"/>
        <w:numPr>
          <w:ilvl w:val="0"/>
          <w:numId w:val="24"/>
        </w:numPr>
        <w:spacing w:after="0"/>
        <w:jc w:val="both"/>
        <w:rPr>
          <w:szCs w:val="22"/>
        </w:rPr>
      </w:pPr>
      <w:r w:rsidRPr="00153CA2">
        <w:rPr>
          <w:szCs w:val="22"/>
        </w:rPr>
        <w:t>c</w:t>
      </w:r>
      <w:r w:rsidR="00DE7DF4" w:rsidRPr="00153CA2">
        <w:rPr>
          <w:szCs w:val="22"/>
        </w:rPr>
        <w:t>hild protection</w:t>
      </w:r>
      <w:r w:rsidR="00174785" w:rsidRPr="00153CA2">
        <w:rPr>
          <w:szCs w:val="22"/>
        </w:rPr>
        <w:t>.</w:t>
      </w:r>
    </w:p>
    <w:p w:rsidR="00DE7DF4" w:rsidRPr="00153CA2" w:rsidRDefault="009964B5" w:rsidP="007C08BE">
      <w:pPr>
        <w:pStyle w:val="DfESBullets"/>
        <w:numPr>
          <w:ilvl w:val="0"/>
          <w:numId w:val="24"/>
        </w:numPr>
        <w:spacing w:after="0"/>
        <w:jc w:val="both"/>
        <w:rPr>
          <w:szCs w:val="22"/>
        </w:rPr>
      </w:pPr>
      <w:r w:rsidRPr="00153CA2">
        <w:rPr>
          <w:szCs w:val="22"/>
        </w:rPr>
        <w:t>s</w:t>
      </w:r>
      <w:r w:rsidR="00DE7DF4" w:rsidRPr="00153CA2">
        <w:rPr>
          <w:szCs w:val="22"/>
        </w:rPr>
        <w:t>ustainable development.</w:t>
      </w:r>
    </w:p>
    <w:p w:rsidR="00DE7DF4" w:rsidRPr="00153CA2" w:rsidRDefault="009964B5" w:rsidP="007C08BE">
      <w:pPr>
        <w:pStyle w:val="DfESBullets"/>
        <w:numPr>
          <w:ilvl w:val="0"/>
          <w:numId w:val="24"/>
        </w:numPr>
        <w:spacing w:after="0"/>
        <w:jc w:val="both"/>
        <w:rPr>
          <w:szCs w:val="22"/>
        </w:rPr>
      </w:pPr>
      <w:r w:rsidRPr="00153CA2">
        <w:rPr>
          <w:szCs w:val="22"/>
        </w:rPr>
        <w:t>e</w:t>
      </w:r>
      <w:r w:rsidR="00DE7DF4" w:rsidRPr="00153CA2">
        <w:rPr>
          <w:szCs w:val="22"/>
        </w:rPr>
        <w:t xml:space="preserve">qual opportunities </w:t>
      </w:r>
      <w:r w:rsidRPr="00153CA2">
        <w:rPr>
          <w:szCs w:val="22"/>
        </w:rPr>
        <w:t>and</w:t>
      </w:r>
      <w:r w:rsidR="00DE7DF4" w:rsidRPr="00153CA2">
        <w:rPr>
          <w:szCs w:val="22"/>
        </w:rPr>
        <w:t xml:space="preserve"> </w:t>
      </w:r>
      <w:r w:rsidR="00174785" w:rsidRPr="00153CA2">
        <w:rPr>
          <w:szCs w:val="22"/>
        </w:rPr>
        <w:t>diversities</w:t>
      </w:r>
      <w:r w:rsidR="00DE7DF4" w:rsidRPr="00153CA2">
        <w:rPr>
          <w:szCs w:val="22"/>
        </w:rPr>
        <w:t>.</w:t>
      </w:r>
    </w:p>
    <w:p w:rsidR="00DE7DF4" w:rsidRPr="00153CA2" w:rsidRDefault="009964B5" w:rsidP="007C08BE">
      <w:pPr>
        <w:pStyle w:val="DfESBullets"/>
        <w:numPr>
          <w:ilvl w:val="0"/>
          <w:numId w:val="24"/>
        </w:numPr>
        <w:spacing w:after="0"/>
        <w:jc w:val="both"/>
        <w:rPr>
          <w:szCs w:val="22"/>
        </w:rPr>
      </w:pPr>
      <w:r w:rsidRPr="00153CA2">
        <w:rPr>
          <w:szCs w:val="22"/>
        </w:rPr>
        <w:t>r</w:t>
      </w:r>
      <w:r w:rsidR="00DE7DF4" w:rsidRPr="00153CA2">
        <w:rPr>
          <w:szCs w:val="22"/>
        </w:rPr>
        <w:t>isk management.</w:t>
      </w:r>
    </w:p>
    <w:p w:rsidR="00DE7DF4" w:rsidRPr="00153CA2" w:rsidRDefault="009964B5" w:rsidP="007C08BE">
      <w:pPr>
        <w:pStyle w:val="DfESBullets"/>
        <w:numPr>
          <w:ilvl w:val="0"/>
          <w:numId w:val="24"/>
        </w:numPr>
        <w:spacing w:after="0"/>
        <w:jc w:val="both"/>
        <w:rPr>
          <w:szCs w:val="22"/>
        </w:rPr>
      </w:pPr>
      <w:r w:rsidRPr="00153CA2">
        <w:rPr>
          <w:szCs w:val="22"/>
        </w:rPr>
        <w:t>b</w:t>
      </w:r>
      <w:r w:rsidR="00DE7DF4" w:rsidRPr="00153CA2">
        <w:rPr>
          <w:szCs w:val="22"/>
        </w:rPr>
        <w:t>usiness ethics.</w:t>
      </w:r>
    </w:p>
    <w:p w:rsidR="00DE7DF4" w:rsidRPr="0037090A" w:rsidRDefault="00DE7DF4" w:rsidP="002D7839">
      <w:pPr>
        <w:pStyle w:val="DfESBullets"/>
        <w:numPr>
          <w:ilvl w:val="0"/>
          <w:numId w:val="0"/>
        </w:numPr>
        <w:spacing w:after="0"/>
        <w:jc w:val="both"/>
        <w:rPr>
          <w:szCs w:val="22"/>
        </w:rPr>
      </w:pPr>
    </w:p>
    <w:p w:rsidR="00041A08" w:rsidRPr="002C626A" w:rsidRDefault="002C626A" w:rsidP="002C626A">
      <w:pPr>
        <w:jc w:val="both"/>
        <w:rPr>
          <w:rFonts w:cs="Arial"/>
          <w:b/>
          <w:sz w:val="22"/>
          <w:szCs w:val="22"/>
        </w:rPr>
      </w:pPr>
      <w:r w:rsidRPr="002C626A">
        <w:rPr>
          <w:rFonts w:cs="Arial"/>
          <w:b/>
          <w:sz w:val="22"/>
          <w:szCs w:val="22"/>
        </w:rPr>
        <w:t>4.</w:t>
      </w:r>
      <w:r w:rsidR="005B571F">
        <w:rPr>
          <w:rFonts w:cs="Arial"/>
          <w:b/>
          <w:sz w:val="22"/>
          <w:szCs w:val="22"/>
        </w:rPr>
        <w:t>1</w:t>
      </w:r>
      <w:r w:rsidRPr="002C626A">
        <w:rPr>
          <w:rFonts w:cs="Arial"/>
          <w:b/>
          <w:sz w:val="22"/>
          <w:szCs w:val="22"/>
        </w:rPr>
        <w:t xml:space="preserve">.2 </w:t>
      </w:r>
      <w:r w:rsidR="005D0C4B" w:rsidRPr="002C626A">
        <w:rPr>
          <w:rFonts w:cs="Arial"/>
          <w:b/>
          <w:sz w:val="22"/>
          <w:szCs w:val="22"/>
        </w:rPr>
        <w:t xml:space="preserve">Delivery of services  </w:t>
      </w:r>
    </w:p>
    <w:p w:rsidR="002C626A" w:rsidRDefault="002C626A" w:rsidP="004D39E9">
      <w:pPr>
        <w:jc w:val="both"/>
        <w:rPr>
          <w:rFonts w:cs="Arial"/>
          <w:sz w:val="22"/>
          <w:szCs w:val="22"/>
        </w:rPr>
      </w:pPr>
    </w:p>
    <w:p w:rsidR="004D39E9" w:rsidRDefault="00347097" w:rsidP="004D39E9">
      <w:pPr>
        <w:jc w:val="both"/>
        <w:rPr>
          <w:rFonts w:cs="Arial"/>
          <w:sz w:val="22"/>
          <w:szCs w:val="22"/>
        </w:rPr>
      </w:pPr>
      <w:r w:rsidRPr="004D39E9">
        <w:rPr>
          <w:rFonts w:cs="Arial"/>
          <w:sz w:val="22"/>
          <w:szCs w:val="22"/>
        </w:rPr>
        <w:t>Potential Providers’</w:t>
      </w:r>
      <w:r w:rsidR="004D39E9" w:rsidRPr="004D39E9">
        <w:rPr>
          <w:rFonts w:cs="Arial"/>
          <w:sz w:val="22"/>
          <w:szCs w:val="22"/>
        </w:rPr>
        <w:t xml:space="preserve"> T</w:t>
      </w:r>
      <w:r w:rsidRPr="004D39E9">
        <w:rPr>
          <w:rFonts w:cs="Arial"/>
          <w:sz w:val="22"/>
          <w:szCs w:val="22"/>
        </w:rPr>
        <w:t>enders should include the following</w:t>
      </w:r>
      <w:r w:rsidR="004D39E9" w:rsidRPr="004D39E9">
        <w:rPr>
          <w:rFonts w:cs="Arial"/>
          <w:sz w:val="22"/>
          <w:szCs w:val="22"/>
        </w:rPr>
        <w:t xml:space="preserve"> (see Annex 1 for required format of Tenders)</w:t>
      </w:r>
      <w:r w:rsidR="00C17A28" w:rsidRPr="004D39E9">
        <w:rPr>
          <w:rFonts w:cs="Arial"/>
          <w:sz w:val="22"/>
          <w:szCs w:val="22"/>
        </w:rPr>
        <w:t>:</w:t>
      </w:r>
      <w:r>
        <w:rPr>
          <w:rFonts w:cs="Arial"/>
          <w:sz w:val="22"/>
          <w:szCs w:val="22"/>
        </w:rPr>
        <w:t xml:space="preserve"> </w:t>
      </w:r>
    </w:p>
    <w:p w:rsidR="004D39E9" w:rsidRDefault="004D39E9" w:rsidP="004D39E9">
      <w:pPr>
        <w:jc w:val="both"/>
        <w:rPr>
          <w:rFonts w:cs="Arial"/>
          <w:sz w:val="22"/>
          <w:szCs w:val="22"/>
        </w:rPr>
      </w:pPr>
    </w:p>
    <w:p w:rsidR="004D39E9" w:rsidRPr="004D39E9" w:rsidRDefault="00347097" w:rsidP="007C08BE">
      <w:pPr>
        <w:numPr>
          <w:ilvl w:val="0"/>
          <w:numId w:val="21"/>
        </w:numPr>
        <w:rPr>
          <w:sz w:val="22"/>
        </w:rPr>
      </w:pPr>
      <w:r w:rsidRPr="004D39E9">
        <w:rPr>
          <w:sz w:val="22"/>
        </w:rPr>
        <w:t>Understanding of the project’s aims and objectives.</w:t>
      </w:r>
    </w:p>
    <w:p w:rsidR="00DE7DF4" w:rsidRPr="004D39E9" w:rsidRDefault="00DE7DF4" w:rsidP="007C08BE">
      <w:pPr>
        <w:numPr>
          <w:ilvl w:val="0"/>
          <w:numId w:val="21"/>
        </w:numPr>
        <w:rPr>
          <w:sz w:val="22"/>
        </w:rPr>
      </w:pPr>
      <w:r w:rsidRPr="004D39E9">
        <w:rPr>
          <w:sz w:val="22"/>
        </w:rPr>
        <w:t xml:space="preserve">Details of the proposed approach and methodology to be applied in the delivery of </w:t>
      </w:r>
      <w:r w:rsidR="00041A08" w:rsidRPr="004D39E9">
        <w:rPr>
          <w:sz w:val="22"/>
        </w:rPr>
        <w:t>all parts of the specification</w:t>
      </w:r>
      <w:r w:rsidR="009964B5" w:rsidRPr="004D39E9">
        <w:rPr>
          <w:sz w:val="22"/>
        </w:rPr>
        <w:t>.</w:t>
      </w:r>
    </w:p>
    <w:p w:rsidR="002C626A" w:rsidRDefault="00DE7DF4" w:rsidP="007C08BE">
      <w:pPr>
        <w:numPr>
          <w:ilvl w:val="0"/>
          <w:numId w:val="21"/>
        </w:numPr>
        <w:rPr>
          <w:sz w:val="22"/>
        </w:rPr>
      </w:pPr>
      <w:r w:rsidRPr="004B1A82">
        <w:rPr>
          <w:sz w:val="22"/>
        </w:rPr>
        <w:t>An outline project plan</w:t>
      </w:r>
      <w:r w:rsidR="00EE0ED2">
        <w:rPr>
          <w:sz w:val="22"/>
        </w:rPr>
        <w:t xml:space="preserve"> addressing the broad content to be delivered at each of the three milestones</w:t>
      </w:r>
      <w:r w:rsidR="009964B5" w:rsidRPr="004B1A82">
        <w:rPr>
          <w:sz w:val="22"/>
        </w:rPr>
        <w:t>.</w:t>
      </w:r>
    </w:p>
    <w:p w:rsidR="00DE7DF4" w:rsidRPr="00F85561" w:rsidRDefault="002C626A" w:rsidP="007C08BE">
      <w:pPr>
        <w:numPr>
          <w:ilvl w:val="0"/>
          <w:numId w:val="21"/>
        </w:numPr>
        <w:rPr>
          <w:sz w:val="22"/>
        </w:rPr>
      </w:pPr>
      <w:r w:rsidRPr="00F85561">
        <w:rPr>
          <w:sz w:val="22"/>
        </w:rPr>
        <w:t xml:space="preserve">A statement on which research </w:t>
      </w:r>
      <w:r w:rsidR="00F85561" w:rsidRPr="00F85561">
        <w:rPr>
          <w:sz w:val="22"/>
        </w:rPr>
        <w:t>project</w:t>
      </w:r>
      <w:r w:rsidRPr="00F85561">
        <w:rPr>
          <w:sz w:val="22"/>
        </w:rPr>
        <w:t xml:space="preserve">s in 3.3 the bid addresses </w:t>
      </w:r>
      <w:r w:rsidR="005B571F" w:rsidRPr="00F85561">
        <w:rPr>
          <w:sz w:val="22"/>
        </w:rPr>
        <w:t xml:space="preserve">as the bidder’s preferred option </w:t>
      </w:r>
      <w:r w:rsidRPr="00F85561">
        <w:rPr>
          <w:sz w:val="22"/>
        </w:rPr>
        <w:t xml:space="preserve">and of willingness and ability to tackle </w:t>
      </w:r>
      <w:r w:rsidR="005B571F" w:rsidRPr="00F85561">
        <w:rPr>
          <w:sz w:val="22"/>
        </w:rPr>
        <w:t>other combinations.</w:t>
      </w:r>
      <w:r w:rsidR="00DE7DF4" w:rsidRPr="00F85561">
        <w:rPr>
          <w:sz w:val="22"/>
        </w:rPr>
        <w:t xml:space="preserve"> </w:t>
      </w:r>
    </w:p>
    <w:p w:rsidR="00C91FBF" w:rsidRPr="004B1A82" w:rsidRDefault="00C91FBF" w:rsidP="007C08BE">
      <w:pPr>
        <w:numPr>
          <w:ilvl w:val="0"/>
          <w:numId w:val="21"/>
        </w:numPr>
        <w:jc w:val="both"/>
        <w:rPr>
          <w:sz w:val="22"/>
        </w:rPr>
      </w:pPr>
      <w:r w:rsidRPr="004B1A82">
        <w:rPr>
          <w:sz w:val="22"/>
        </w:rPr>
        <w:t>A proposal for reporting</w:t>
      </w:r>
      <w:r w:rsidR="00347097">
        <w:rPr>
          <w:sz w:val="22"/>
        </w:rPr>
        <w:t xml:space="preserve"> and outputs</w:t>
      </w:r>
      <w:r w:rsidRPr="004B1A82">
        <w:rPr>
          <w:sz w:val="22"/>
        </w:rPr>
        <w:t xml:space="preserve"> which will make the information as user-friendly as possible</w:t>
      </w:r>
      <w:r w:rsidR="009964B5" w:rsidRPr="004B1A82">
        <w:rPr>
          <w:sz w:val="22"/>
        </w:rPr>
        <w:t>.</w:t>
      </w:r>
    </w:p>
    <w:p w:rsidR="00DE7DF4" w:rsidRPr="004B1A82" w:rsidRDefault="00DE7DF4" w:rsidP="007C08BE">
      <w:pPr>
        <w:numPr>
          <w:ilvl w:val="0"/>
          <w:numId w:val="21"/>
        </w:numPr>
        <w:jc w:val="both"/>
        <w:rPr>
          <w:sz w:val="22"/>
        </w:rPr>
      </w:pPr>
      <w:r w:rsidRPr="004B1A82">
        <w:rPr>
          <w:sz w:val="22"/>
        </w:rPr>
        <w:t>An assessment of the principal risks associated with the project a</w:t>
      </w:r>
      <w:r w:rsidR="0044476C" w:rsidRPr="004B1A82">
        <w:rPr>
          <w:sz w:val="22"/>
        </w:rPr>
        <w:t>nd a plan for dealing with them</w:t>
      </w:r>
      <w:r w:rsidR="009964B5" w:rsidRPr="004B1A82">
        <w:rPr>
          <w:sz w:val="22"/>
        </w:rPr>
        <w:t>.</w:t>
      </w:r>
    </w:p>
    <w:p w:rsidR="00DE7DF4" w:rsidRPr="004B1A82" w:rsidRDefault="00DE7DF4" w:rsidP="007C08BE">
      <w:pPr>
        <w:numPr>
          <w:ilvl w:val="0"/>
          <w:numId w:val="21"/>
        </w:numPr>
        <w:jc w:val="both"/>
        <w:rPr>
          <w:sz w:val="22"/>
        </w:rPr>
      </w:pPr>
      <w:r w:rsidRPr="004B1A82">
        <w:rPr>
          <w:sz w:val="22"/>
        </w:rPr>
        <w:t xml:space="preserve">A nominated project manager for the appointment who shall not be changed during the term of the appointment without the consent of the </w:t>
      </w:r>
      <w:r w:rsidR="00C17A28" w:rsidRPr="004B1A82">
        <w:rPr>
          <w:sz w:val="22"/>
        </w:rPr>
        <w:t>Authority</w:t>
      </w:r>
      <w:r w:rsidRPr="004B1A82">
        <w:rPr>
          <w:sz w:val="22"/>
        </w:rPr>
        <w:t>, together with brief deta</w:t>
      </w:r>
      <w:r w:rsidR="00A52DC4">
        <w:rPr>
          <w:sz w:val="22"/>
        </w:rPr>
        <w:t xml:space="preserve">ils and CVs of the project team </w:t>
      </w:r>
      <w:r w:rsidRPr="004B1A82">
        <w:rPr>
          <w:sz w:val="22"/>
        </w:rPr>
        <w:t xml:space="preserve">to demonstrate that they </w:t>
      </w:r>
      <w:r w:rsidR="00C17A28" w:rsidRPr="004B1A82">
        <w:rPr>
          <w:sz w:val="22"/>
        </w:rPr>
        <w:t>possess</w:t>
      </w:r>
      <w:r w:rsidRPr="004B1A82">
        <w:rPr>
          <w:sz w:val="22"/>
        </w:rPr>
        <w:t xml:space="preserve"> the necessary qualifications and experience </w:t>
      </w:r>
      <w:r w:rsidR="004D39E9">
        <w:rPr>
          <w:sz w:val="22"/>
        </w:rPr>
        <w:t>for</w:t>
      </w:r>
      <w:r w:rsidRPr="004B1A82">
        <w:rPr>
          <w:sz w:val="22"/>
        </w:rPr>
        <w:t xml:space="preserve"> the delivery of the project. The </w:t>
      </w:r>
      <w:r w:rsidR="004F6E58" w:rsidRPr="004B1A82">
        <w:rPr>
          <w:sz w:val="22"/>
        </w:rPr>
        <w:t>Potential Provider</w:t>
      </w:r>
      <w:r w:rsidRPr="004B1A82">
        <w:rPr>
          <w:sz w:val="22"/>
        </w:rPr>
        <w:t xml:space="preserve"> must provide appropriate numbers of sufficiently qualified staff that are properly experienced. </w:t>
      </w:r>
    </w:p>
    <w:p w:rsidR="00D12E06" w:rsidRPr="004B1A82" w:rsidRDefault="00DE7DF4" w:rsidP="007C08BE">
      <w:pPr>
        <w:numPr>
          <w:ilvl w:val="0"/>
          <w:numId w:val="21"/>
        </w:numPr>
        <w:jc w:val="both"/>
        <w:rPr>
          <w:sz w:val="22"/>
        </w:rPr>
      </w:pPr>
      <w:r w:rsidRPr="004B1A82">
        <w:rPr>
          <w:sz w:val="22"/>
        </w:rPr>
        <w:t xml:space="preserve">Details of the </w:t>
      </w:r>
      <w:r w:rsidR="00A52DC4">
        <w:rPr>
          <w:sz w:val="22"/>
        </w:rPr>
        <w:t xml:space="preserve">Potential </w:t>
      </w:r>
      <w:r w:rsidR="00F235ED">
        <w:rPr>
          <w:sz w:val="22"/>
        </w:rPr>
        <w:t>Provider’</w:t>
      </w:r>
      <w:r w:rsidR="00F235ED" w:rsidRPr="004B1A82">
        <w:rPr>
          <w:sz w:val="22"/>
        </w:rPr>
        <w:t>s</w:t>
      </w:r>
      <w:r w:rsidRPr="004B1A82">
        <w:rPr>
          <w:sz w:val="22"/>
        </w:rPr>
        <w:t xml:space="preserve"> relevant experience i</w:t>
      </w:r>
      <w:r w:rsidR="00041A08" w:rsidRPr="004B1A82">
        <w:rPr>
          <w:sz w:val="22"/>
        </w:rPr>
        <w:t xml:space="preserve">n relation to all parts of the </w:t>
      </w:r>
      <w:r w:rsidR="00041A08" w:rsidRPr="004B1A82">
        <w:rPr>
          <w:sz w:val="22"/>
        </w:rPr>
        <w:lastRenderedPageBreak/>
        <w:t>specification</w:t>
      </w:r>
      <w:r w:rsidR="009964B5" w:rsidRPr="004B1A82">
        <w:rPr>
          <w:sz w:val="22"/>
        </w:rPr>
        <w:t>.</w:t>
      </w:r>
      <w:r w:rsidRPr="004B1A82">
        <w:rPr>
          <w:sz w:val="22"/>
        </w:rPr>
        <w:t xml:space="preserve"> </w:t>
      </w:r>
    </w:p>
    <w:p w:rsidR="005B571F" w:rsidRDefault="005B571F" w:rsidP="005B571F">
      <w:pPr>
        <w:jc w:val="both"/>
        <w:rPr>
          <w:sz w:val="22"/>
        </w:rPr>
      </w:pPr>
    </w:p>
    <w:p w:rsidR="00C17A28" w:rsidRDefault="00C17A28" w:rsidP="005B571F">
      <w:pPr>
        <w:jc w:val="both"/>
        <w:rPr>
          <w:sz w:val="22"/>
        </w:rPr>
      </w:pPr>
      <w:r w:rsidRPr="004B1A82">
        <w:rPr>
          <w:sz w:val="22"/>
        </w:rPr>
        <w:t xml:space="preserve">Where it is found that a </w:t>
      </w:r>
      <w:r w:rsidR="004F6E58" w:rsidRPr="004B1A82">
        <w:rPr>
          <w:sz w:val="22"/>
        </w:rPr>
        <w:t>Potential Provider</w:t>
      </w:r>
      <w:r w:rsidRPr="004B1A82">
        <w:rPr>
          <w:sz w:val="22"/>
        </w:rPr>
        <w:t xml:space="preserve"> has withheld or mislead information at any stage of the process they will immediately be disqualified from the Procurement process.</w:t>
      </w:r>
    </w:p>
    <w:p w:rsidR="001D2666" w:rsidRDefault="001D2666" w:rsidP="001D2666">
      <w:pPr>
        <w:jc w:val="both"/>
        <w:rPr>
          <w:sz w:val="22"/>
        </w:rPr>
      </w:pPr>
    </w:p>
    <w:p w:rsidR="00DE7DF4" w:rsidRPr="003978D0" w:rsidRDefault="00DE7DF4" w:rsidP="002F78E2">
      <w:pPr>
        <w:ind w:left="360"/>
        <w:jc w:val="both"/>
        <w:rPr>
          <w:rFonts w:cs="Arial"/>
          <w:b/>
          <w:sz w:val="22"/>
          <w:szCs w:val="22"/>
        </w:rPr>
      </w:pPr>
    </w:p>
    <w:p w:rsidR="00DE7DF4" w:rsidRPr="003978D0" w:rsidRDefault="00EE0ED2" w:rsidP="002D7839">
      <w:pPr>
        <w:jc w:val="both"/>
        <w:rPr>
          <w:rFonts w:cs="Arial"/>
          <w:b/>
          <w:sz w:val="22"/>
          <w:szCs w:val="22"/>
        </w:rPr>
      </w:pPr>
      <w:r>
        <w:rPr>
          <w:rFonts w:cs="Arial"/>
          <w:b/>
          <w:sz w:val="22"/>
          <w:szCs w:val="22"/>
        </w:rPr>
        <w:t>4.</w:t>
      </w:r>
      <w:r w:rsidR="005B571F">
        <w:rPr>
          <w:rFonts w:cs="Arial"/>
          <w:b/>
          <w:sz w:val="22"/>
          <w:szCs w:val="22"/>
        </w:rPr>
        <w:t>1</w:t>
      </w:r>
      <w:r>
        <w:rPr>
          <w:rFonts w:cs="Arial"/>
          <w:b/>
          <w:sz w:val="22"/>
          <w:szCs w:val="22"/>
        </w:rPr>
        <w:t>.3</w:t>
      </w:r>
      <w:r w:rsidR="00C17A28" w:rsidRPr="003978D0">
        <w:rPr>
          <w:rFonts w:cs="Arial"/>
          <w:b/>
          <w:sz w:val="22"/>
          <w:szCs w:val="22"/>
        </w:rPr>
        <w:t xml:space="preserve"> </w:t>
      </w:r>
      <w:r w:rsidR="007A57DE">
        <w:rPr>
          <w:rFonts w:cs="Arial"/>
          <w:b/>
          <w:sz w:val="22"/>
          <w:szCs w:val="22"/>
        </w:rPr>
        <w:t xml:space="preserve"> </w:t>
      </w:r>
      <w:r w:rsidR="005D0C4B" w:rsidRPr="003978D0">
        <w:rPr>
          <w:rFonts w:cs="Arial"/>
          <w:b/>
          <w:sz w:val="22"/>
          <w:szCs w:val="22"/>
        </w:rPr>
        <w:t>Value for money</w:t>
      </w:r>
    </w:p>
    <w:p w:rsidR="00DE7DF4" w:rsidRPr="0037090A" w:rsidRDefault="00DE7DF4" w:rsidP="002D7839">
      <w:pPr>
        <w:jc w:val="both"/>
        <w:rPr>
          <w:rFonts w:cs="Arial"/>
          <w:sz w:val="22"/>
          <w:szCs w:val="22"/>
        </w:rPr>
      </w:pPr>
    </w:p>
    <w:p w:rsidR="00DE7DF4" w:rsidRPr="004B1A82" w:rsidRDefault="004F6E58" w:rsidP="007C08BE">
      <w:pPr>
        <w:numPr>
          <w:ilvl w:val="0"/>
          <w:numId w:val="21"/>
        </w:numPr>
        <w:jc w:val="both"/>
        <w:rPr>
          <w:sz w:val="22"/>
        </w:rPr>
      </w:pPr>
      <w:r w:rsidRPr="004B1A82">
        <w:rPr>
          <w:sz w:val="22"/>
        </w:rPr>
        <w:t>Potential Provider</w:t>
      </w:r>
      <w:r w:rsidR="00DE7DF4" w:rsidRPr="004B1A82">
        <w:rPr>
          <w:sz w:val="22"/>
        </w:rPr>
        <w:t xml:space="preserve">s are required to quantify their costing, submitting a breakdown of costs </w:t>
      </w:r>
      <w:r w:rsidR="00A84479">
        <w:rPr>
          <w:sz w:val="22"/>
        </w:rPr>
        <w:t xml:space="preserve">including a breakdown of staff time and costs </w:t>
      </w:r>
      <w:r w:rsidR="00DE7DF4" w:rsidRPr="004B1A82">
        <w:rPr>
          <w:sz w:val="22"/>
        </w:rPr>
        <w:t>to expla</w:t>
      </w:r>
      <w:r w:rsidR="00041A08" w:rsidRPr="004B1A82">
        <w:rPr>
          <w:sz w:val="22"/>
        </w:rPr>
        <w:t>in the final price calculation</w:t>
      </w:r>
      <w:r w:rsidR="00A84479">
        <w:rPr>
          <w:sz w:val="22"/>
        </w:rPr>
        <w:t>.</w:t>
      </w:r>
    </w:p>
    <w:p w:rsidR="00DE7DF4" w:rsidRPr="004B1A82"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Details of expenses which are chargeable in addition to fees, including</w:t>
      </w:r>
      <w:r w:rsidR="00041A08" w:rsidRPr="004B1A82">
        <w:rPr>
          <w:rFonts w:ascii="Arial" w:eastAsia="Times New Roman" w:hAnsi="Arial" w:cs="Times New Roman"/>
          <w:szCs w:val="20"/>
          <w:lang w:val="en-GB" w:bidi="ar-SA"/>
        </w:rPr>
        <w:t xml:space="preserve"> mileage rates, rail fares </w:t>
      </w:r>
      <w:r w:rsidR="00F235ED" w:rsidRPr="004B1A82">
        <w:rPr>
          <w:rFonts w:ascii="Arial" w:eastAsia="Times New Roman" w:hAnsi="Arial" w:cs="Times New Roman"/>
          <w:szCs w:val="20"/>
          <w:lang w:val="en-GB" w:bidi="ar-SA"/>
        </w:rPr>
        <w:t>etc.</w:t>
      </w:r>
      <w:r w:rsidR="00A52DC4">
        <w:rPr>
          <w:rFonts w:ascii="Arial" w:eastAsia="Times New Roman" w:hAnsi="Arial" w:cs="Times New Roman"/>
          <w:szCs w:val="20"/>
          <w:lang w:val="en-GB" w:bidi="ar-SA"/>
        </w:rPr>
        <w:t xml:space="preserve"> should be included</w:t>
      </w:r>
      <w:r w:rsidR="007A57DE" w:rsidRPr="004B1A82">
        <w:rPr>
          <w:rFonts w:ascii="Arial" w:eastAsia="Times New Roman" w:hAnsi="Arial" w:cs="Times New Roman"/>
          <w:szCs w:val="20"/>
          <w:lang w:val="en-GB" w:bidi="ar-SA"/>
        </w:rPr>
        <w:t>.</w:t>
      </w:r>
    </w:p>
    <w:p w:rsidR="004F384A" w:rsidRPr="004B1A82"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 xml:space="preserve">All Tenders must </w:t>
      </w:r>
      <w:r w:rsidR="004B1A82" w:rsidRPr="004B1A82">
        <w:rPr>
          <w:rFonts w:ascii="Arial" w:eastAsia="Times New Roman" w:hAnsi="Arial" w:cs="Times New Roman"/>
          <w:szCs w:val="20"/>
          <w:lang w:val="en-GB" w:bidi="ar-SA"/>
        </w:rPr>
        <w:t>be structured according to the</w:t>
      </w:r>
      <w:r w:rsidRPr="004B1A82">
        <w:rPr>
          <w:rFonts w:ascii="Arial" w:eastAsia="Times New Roman" w:hAnsi="Arial" w:cs="Times New Roman"/>
          <w:szCs w:val="20"/>
          <w:lang w:val="en-GB" w:bidi="ar-SA"/>
        </w:rPr>
        <w:t xml:space="preserve"> Form of Tender (Annex 1) showing the overall tender sum for the different parts of the specification</w:t>
      </w:r>
      <w:r w:rsidR="009964B5" w:rsidRPr="004B1A82">
        <w:rPr>
          <w:rFonts w:ascii="Arial" w:eastAsia="Times New Roman" w:hAnsi="Arial" w:cs="Times New Roman"/>
          <w:szCs w:val="20"/>
          <w:lang w:val="en-GB" w:bidi="ar-SA"/>
        </w:rPr>
        <w:t>.</w:t>
      </w:r>
    </w:p>
    <w:p w:rsidR="00216ED0" w:rsidRPr="004B1A82" w:rsidRDefault="001A63D0" w:rsidP="007C08BE">
      <w:pPr>
        <w:pStyle w:val="ListParagraph"/>
        <w:numPr>
          <w:ilvl w:val="0"/>
          <w:numId w:val="21"/>
        </w:numPr>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A failure to provide a price where one is required will result in the Tender being deemed non-compliant and shall be disqualified from further participation in this Procurement.</w:t>
      </w:r>
    </w:p>
    <w:p w:rsidR="005100A9" w:rsidRPr="003978D0" w:rsidRDefault="00EE0ED2" w:rsidP="00266053">
      <w:pPr>
        <w:pStyle w:val="Heading2"/>
        <w:jc w:val="both"/>
        <w:rPr>
          <w:rFonts w:cs="Arial"/>
          <w:kern w:val="0"/>
          <w:sz w:val="22"/>
          <w:szCs w:val="22"/>
        </w:rPr>
      </w:pPr>
      <w:r>
        <w:rPr>
          <w:rFonts w:cs="Arial"/>
          <w:kern w:val="0"/>
          <w:sz w:val="22"/>
          <w:szCs w:val="22"/>
        </w:rPr>
        <w:t>4.3</w:t>
      </w:r>
      <w:r w:rsidR="00BF1F5D">
        <w:rPr>
          <w:rFonts w:cs="Arial"/>
          <w:kern w:val="0"/>
          <w:sz w:val="22"/>
          <w:szCs w:val="22"/>
        </w:rPr>
        <w:t xml:space="preserve"> </w:t>
      </w:r>
      <w:r w:rsidR="007A57DE">
        <w:rPr>
          <w:rFonts w:cs="Arial"/>
          <w:kern w:val="0"/>
          <w:sz w:val="22"/>
          <w:szCs w:val="22"/>
        </w:rPr>
        <w:t xml:space="preserve"> </w:t>
      </w:r>
      <w:r w:rsidR="005D0C4B" w:rsidRPr="003978D0">
        <w:rPr>
          <w:rFonts w:cs="Arial"/>
          <w:kern w:val="0"/>
          <w:sz w:val="22"/>
          <w:szCs w:val="22"/>
        </w:rPr>
        <w:t xml:space="preserve">Completion and </w:t>
      </w:r>
      <w:r w:rsidR="00C63B38" w:rsidRPr="003978D0">
        <w:rPr>
          <w:rFonts w:cs="Arial"/>
          <w:kern w:val="0"/>
          <w:sz w:val="22"/>
          <w:szCs w:val="22"/>
        </w:rPr>
        <w:t>R</w:t>
      </w:r>
      <w:r w:rsidR="005D0C4B" w:rsidRPr="003978D0">
        <w:rPr>
          <w:rFonts w:cs="Arial"/>
          <w:kern w:val="0"/>
          <w:sz w:val="22"/>
          <w:szCs w:val="22"/>
        </w:rPr>
        <w:t xml:space="preserve">eturn of </w:t>
      </w:r>
      <w:r w:rsidR="00C63B38" w:rsidRPr="003978D0">
        <w:rPr>
          <w:rFonts w:cs="Arial"/>
          <w:kern w:val="0"/>
          <w:sz w:val="22"/>
          <w:szCs w:val="22"/>
        </w:rPr>
        <w:t>T</w:t>
      </w:r>
      <w:r w:rsidR="005D0C4B" w:rsidRPr="003978D0">
        <w:rPr>
          <w:rFonts w:cs="Arial"/>
          <w:kern w:val="0"/>
          <w:sz w:val="22"/>
          <w:szCs w:val="22"/>
        </w:rPr>
        <w:t>ender</w:t>
      </w:r>
    </w:p>
    <w:p w:rsidR="00DE7DF4" w:rsidRPr="004B1A82" w:rsidRDefault="00216ED0" w:rsidP="007C08BE">
      <w:pPr>
        <w:pStyle w:val="A3"/>
        <w:numPr>
          <w:ilvl w:val="0"/>
          <w:numId w:val="22"/>
        </w:numPr>
        <w:spacing w:before="0"/>
        <w:jc w:val="left"/>
        <w:rPr>
          <w:rStyle w:val="Hyperlink"/>
          <w:rFonts w:cs="Arial"/>
          <w:sz w:val="22"/>
          <w:szCs w:val="22"/>
        </w:rPr>
      </w:pPr>
      <w:r w:rsidRPr="004B1A82">
        <w:rPr>
          <w:rFonts w:cs="Arial"/>
          <w:sz w:val="22"/>
          <w:szCs w:val="22"/>
        </w:rPr>
        <w:t>A</w:t>
      </w:r>
      <w:r w:rsidR="00DE7DF4" w:rsidRPr="004B1A82">
        <w:rPr>
          <w:rFonts w:cs="Arial"/>
          <w:sz w:val="22"/>
          <w:szCs w:val="22"/>
        </w:rPr>
        <w:t xml:space="preserve">ll </w:t>
      </w:r>
      <w:r w:rsidR="006C0B4B" w:rsidRPr="004B1A82">
        <w:rPr>
          <w:rFonts w:cs="Arial"/>
          <w:sz w:val="22"/>
          <w:szCs w:val="22"/>
        </w:rPr>
        <w:t>R</w:t>
      </w:r>
      <w:r w:rsidR="004C04C6">
        <w:rPr>
          <w:rFonts w:cs="Arial"/>
          <w:sz w:val="22"/>
          <w:szCs w:val="22"/>
        </w:rPr>
        <w:t>esponses should be emailed to</w:t>
      </w:r>
      <w:r w:rsidR="00DE7DF4" w:rsidRPr="004B1A82">
        <w:rPr>
          <w:rFonts w:cs="Arial"/>
          <w:sz w:val="22"/>
          <w:szCs w:val="22"/>
        </w:rPr>
        <w:t xml:space="preserve"> </w:t>
      </w:r>
      <w:r w:rsidR="003978D0" w:rsidRPr="004B1A82">
        <w:rPr>
          <w:rFonts w:cs="Arial"/>
          <w:sz w:val="22"/>
          <w:szCs w:val="22"/>
        </w:rPr>
        <w:fldChar w:fldCharType="begin"/>
      </w:r>
      <w:r w:rsidR="003978D0" w:rsidRPr="004B1A82">
        <w:rPr>
          <w:rFonts w:cs="Arial"/>
          <w:sz w:val="22"/>
          <w:szCs w:val="22"/>
        </w:rPr>
        <w:instrText xml:space="preserve"> HYPERLINK "mailto:procurement.mailbox@childrenscommissioner.gsi.gov.uk" </w:instrText>
      </w:r>
      <w:r w:rsidR="003978D0" w:rsidRPr="004B1A82">
        <w:rPr>
          <w:rFonts w:cs="Arial"/>
          <w:sz w:val="22"/>
          <w:szCs w:val="22"/>
        </w:rPr>
        <w:fldChar w:fldCharType="separate"/>
      </w:r>
      <w:r w:rsidR="00D16F67" w:rsidRPr="004B1A82">
        <w:rPr>
          <w:rStyle w:val="Hyperlink"/>
          <w:rFonts w:cs="Arial"/>
          <w:sz w:val="22"/>
          <w:szCs w:val="22"/>
        </w:rPr>
        <w:t>procurement.mailbox@childrenscommissioner.gsi.gov.uk</w:t>
      </w:r>
    </w:p>
    <w:p w:rsidR="00DE7DF4" w:rsidRPr="00BF1F5D" w:rsidRDefault="003978D0" w:rsidP="00216ED0">
      <w:pPr>
        <w:rPr>
          <w:rFonts w:cs="Arial"/>
          <w:sz w:val="12"/>
          <w:szCs w:val="22"/>
        </w:rPr>
      </w:pPr>
      <w:r w:rsidRPr="004B1A82">
        <w:rPr>
          <w:rFonts w:cs="Arial"/>
          <w:sz w:val="22"/>
          <w:szCs w:val="22"/>
        </w:rPr>
        <w:fldChar w:fldCharType="end"/>
      </w:r>
    </w:p>
    <w:p w:rsidR="001A63D0" w:rsidRPr="004B1A82" w:rsidRDefault="00DE7DF4" w:rsidP="007C08BE">
      <w:pPr>
        <w:pStyle w:val="ListParagraph"/>
        <w:numPr>
          <w:ilvl w:val="0"/>
          <w:numId w:val="22"/>
        </w:numPr>
        <w:jc w:val="both"/>
        <w:rPr>
          <w:rFonts w:ascii="Arial" w:hAnsi="Arial"/>
        </w:rPr>
      </w:pPr>
      <w:r w:rsidRPr="004B1A82">
        <w:rPr>
          <w:rFonts w:ascii="Arial" w:hAnsi="Arial"/>
        </w:rPr>
        <w:t xml:space="preserve">All tenders should be sent as an e-mail attachment </w:t>
      </w:r>
      <w:r w:rsidR="00C63B38" w:rsidRPr="004B1A82">
        <w:rPr>
          <w:rFonts w:ascii="Arial" w:hAnsi="Arial"/>
        </w:rPr>
        <w:t xml:space="preserve">not exceeding 19Mb </w:t>
      </w:r>
      <w:r w:rsidRPr="004B1A82">
        <w:rPr>
          <w:rFonts w:ascii="Arial" w:hAnsi="Arial"/>
        </w:rPr>
        <w:t xml:space="preserve">and submitted in PDF format. </w:t>
      </w:r>
      <w:r w:rsidR="004B1A82" w:rsidRPr="004B1A82">
        <w:rPr>
          <w:rFonts w:ascii="Arial" w:hAnsi="Arial"/>
        </w:rPr>
        <w:t xml:space="preserve">The main tender document should not exceed 30 pages, exclusive of attached policies. </w:t>
      </w:r>
      <w:r w:rsidRPr="004B1A82">
        <w:rPr>
          <w:rFonts w:ascii="Arial" w:hAnsi="Arial"/>
        </w:rPr>
        <w:t xml:space="preserve">Please note </w:t>
      </w:r>
      <w:r w:rsidR="00C63B38" w:rsidRPr="004B1A82">
        <w:rPr>
          <w:rFonts w:ascii="Arial" w:hAnsi="Arial"/>
        </w:rPr>
        <w:t xml:space="preserve">that the Authority shall </w:t>
      </w:r>
      <w:r w:rsidRPr="004B1A82">
        <w:rPr>
          <w:rFonts w:ascii="Arial" w:hAnsi="Arial"/>
        </w:rPr>
        <w:t>not accept receipt of hard paper copies unless previous agreement has been reached.</w:t>
      </w:r>
    </w:p>
    <w:p w:rsidR="00CD6A6B" w:rsidRPr="004B1A82" w:rsidRDefault="001A63D0" w:rsidP="007C08BE">
      <w:pPr>
        <w:pStyle w:val="ListParagraph"/>
        <w:numPr>
          <w:ilvl w:val="0"/>
          <w:numId w:val="22"/>
        </w:numPr>
        <w:jc w:val="both"/>
        <w:rPr>
          <w:rFonts w:ascii="Arial" w:hAnsi="Arial"/>
        </w:rPr>
      </w:pPr>
      <w:r w:rsidRPr="004B1A82">
        <w:rPr>
          <w:rFonts w:ascii="Arial" w:hAnsi="Arial"/>
        </w:rPr>
        <w:t xml:space="preserve">All Tenders must be received by the Authority, by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w:t>
      </w:r>
      <w:r w:rsidR="00E32F0A" w:rsidRPr="004B1A82">
        <w:rPr>
          <w:rFonts w:ascii="Arial" w:hAnsi="Arial"/>
        </w:rPr>
        <w:t xml:space="preserve"> as set out in </w:t>
      </w:r>
      <w:r w:rsidR="00C856C4">
        <w:rPr>
          <w:rFonts w:ascii="Arial" w:hAnsi="Arial"/>
        </w:rPr>
        <w:t>paragraph 4.1</w:t>
      </w:r>
      <w:r w:rsidRPr="004B1A82">
        <w:rPr>
          <w:rFonts w:ascii="Arial" w:hAnsi="Arial"/>
        </w:rPr>
        <w:t xml:space="preserve">. The Authority reserves the right to revise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 to a later date.</w:t>
      </w:r>
    </w:p>
    <w:p w:rsidR="00CD6A6B" w:rsidRDefault="00CD6A6B" w:rsidP="007C08BE">
      <w:pPr>
        <w:pStyle w:val="ListParagraph"/>
        <w:numPr>
          <w:ilvl w:val="0"/>
          <w:numId w:val="22"/>
        </w:numPr>
        <w:jc w:val="both"/>
        <w:rPr>
          <w:rFonts w:ascii="Arial" w:hAnsi="Arial"/>
        </w:rPr>
      </w:pPr>
      <w:r w:rsidRPr="004B1A82">
        <w:rPr>
          <w:rFonts w:ascii="Arial" w:hAnsi="Arial"/>
        </w:rPr>
        <w:t>Any submission received after the Tender Submission Deadline specified above will be disqualified. No exceptions will be made for any reason. However, the Authority may, at its own absolute discretion, extend the closing date and time for receipt of tenders specified above without request. Any such extension will apply to all Tenders.</w:t>
      </w:r>
    </w:p>
    <w:p w:rsidR="00DE7DF4" w:rsidRPr="004B1A82" w:rsidRDefault="00DE7DF4" w:rsidP="002D7839">
      <w:pPr>
        <w:jc w:val="both"/>
        <w:rPr>
          <w:rFonts w:cs="Arial"/>
          <w:sz w:val="22"/>
          <w:szCs w:val="22"/>
        </w:rPr>
      </w:pPr>
    </w:p>
    <w:p w:rsidR="00FB3981" w:rsidRPr="003978D0" w:rsidRDefault="00FB3981" w:rsidP="00EE0ED2">
      <w:pPr>
        <w:pStyle w:val="A2"/>
        <w:numPr>
          <w:ilvl w:val="1"/>
          <w:numId w:val="10"/>
        </w:numPr>
        <w:tabs>
          <w:tab w:val="left" w:pos="1440"/>
        </w:tabs>
        <w:spacing w:before="0"/>
        <w:rPr>
          <w:rFonts w:cs="Arial"/>
          <w:b/>
          <w:sz w:val="22"/>
          <w:szCs w:val="22"/>
        </w:rPr>
      </w:pPr>
      <w:r w:rsidRPr="003978D0">
        <w:rPr>
          <w:rFonts w:cs="Arial"/>
          <w:sz w:val="22"/>
          <w:szCs w:val="22"/>
        </w:rPr>
        <w:t xml:space="preserve"> </w:t>
      </w:r>
      <w:r w:rsidR="007A57DE">
        <w:rPr>
          <w:rFonts w:cs="Arial"/>
          <w:sz w:val="22"/>
          <w:szCs w:val="22"/>
        </w:rPr>
        <w:t xml:space="preserve"> </w:t>
      </w:r>
      <w:r w:rsidRPr="003978D0">
        <w:rPr>
          <w:rFonts w:cs="Arial"/>
          <w:b/>
          <w:sz w:val="22"/>
          <w:szCs w:val="22"/>
        </w:rPr>
        <w:t>Costs and Expenses</w:t>
      </w:r>
    </w:p>
    <w:p w:rsidR="00FB3981" w:rsidRPr="00FB3981" w:rsidRDefault="00FB3981" w:rsidP="003978D0">
      <w:pPr>
        <w:pStyle w:val="A3"/>
        <w:numPr>
          <w:ilvl w:val="0"/>
          <w:numId w:val="0"/>
        </w:numPr>
        <w:spacing w:before="0"/>
        <w:rPr>
          <w:rFonts w:cs="Arial"/>
          <w:sz w:val="22"/>
          <w:szCs w:val="22"/>
        </w:rPr>
      </w:pPr>
      <w:r w:rsidRPr="00FB3981">
        <w:rPr>
          <w:rFonts w:cs="Arial"/>
          <w:sz w:val="22"/>
          <w:szCs w:val="22"/>
        </w:rPr>
        <w:t>All costs expenses and liabilities incurred by the Potential Providers in connection with preparation and submission of their Tender submissions will be borne by the Potential Providers.</w:t>
      </w:r>
    </w:p>
    <w:p w:rsidR="00FB3981" w:rsidRDefault="00FB3981" w:rsidP="003978D0">
      <w:pPr>
        <w:pStyle w:val="A3"/>
        <w:numPr>
          <w:ilvl w:val="0"/>
          <w:numId w:val="0"/>
        </w:numPr>
        <w:spacing w:before="0"/>
        <w:rPr>
          <w:rFonts w:cs="Arial"/>
          <w:sz w:val="22"/>
          <w:szCs w:val="22"/>
        </w:rPr>
      </w:pPr>
      <w:r w:rsidRPr="00FB3981">
        <w:rPr>
          <w:rFonts w:cs="Arial"/>
          <w:sz w:val="22"/>
          <w:szCs w:val="22"/>
        </w:rPr>
        <w:t>The Potential Providers shall have no claim whatsoever against the Authority in respect of such costs save as expressly provided for in the Contract.</w:t>
      </w:r>
    </w:p>
    <w:p w:rsidR="00FB3981" w:rsidRPr="003978D0" w:rsidRDefault="00FB3981" w:rsidP="003978D0">
      <w:pPr>
        <w:pStyle w:val="A2"/>
        <w:numPr>
          <w:ilvl w:val="0"/>
          <w:numId w:val="0"/>
        </w:numPr>
        <w:spacing w:before="80"/>
        <w:rPr>
          <w:rFonts w:cs="Arial"/>
          <w:sz w:val="22"/>
          <w:szCs w:val="22"/>
        </w:rPr>
      </w:pPr>
      <w:r w:rsidRPr="003978D0">
        <w:rPr>
          <w:rFonts w:cs="Arial"/>
          <w:sz w:val="22"/>
          <w:szCs w:val="22"/>
        </w:rPr>
        <w:t>The Authority reserves the right:</w:t>
      </w:r>
    </w:p>
    <w:p w:rsidR="00FB3981" w:rsidRPr="003978D0" w:rsidRDefault="00FB3981" w:rsidP="007C08BE">
      <w:pPr>
        <w:pStyle w:val="A2"/>
        <w:numPr>
          <w:ilvl w:val="0"/>
          <w:numId w:val="13"/>
        </w:numPr>
        <w:spacing w:before="80"/>
        <w:rPr>
          <w:rFonts w:cs="Arial"/>
          <w:sz w:val="22"/>
          <w:szCs w:val="22"/>
        </w:rPr>
      </w:pPr>
      <w:r w:rsidRPr="003978D0">
        <w:rPr>
          <w:rFonts w:cs="Arial"/>
          <w:sz w:val="22"/>
          <w:szCs w:val="22"/>
        </w:rPr>
        <w:t>to amend, clarify, cancel, add to or withdraw all or any part of the procurement documentation or the Procurement at any time during the Procurement;</w:t>
      </w:r>
    </w:p>
    <w:p w:rsidR="00FB3981" w:rsidRPr="003978D0" w:rsidRDefault="00FB3981" w:rsidP="007C08BE">
      <w:pPr>
        <w:pStyle w:val="A2"/>
        <w:numPr>
          <w:ilvl w:val="0"/>
          <w:numId w:val="13"/>
        </w:numPr>
        <w:spacing w:before="80"/>
        <w:rPr>
          <w:rFonts w:cs="Arial"/>
          <w:sz w:val="22"/>
          <w:szCs w:val="22"/>
        </w:rPr>
      </w:pPr>
      <w:r w:rsidRPr="003978D0">
        <w:rPr>
          <w:rFonts w:cs="Arial"/>
          <w:sz w:val="22"/>
          <w:szCs w:val="22"/>
        </w:rPr>
        <w:t>to vary any timetable or deadlines set out in the procurement documentation; and</w:t>
      </w:r>
    </w:p>
    <w:p w:rsidR="00FB3981" w:rsidRDefault="006C0B4B" w:rsidP="007C08BE">
      <w:pPr>
        <w:pStyle w:val="A2"/>
        <w:numPr>
          <w:ilvl w:val="0"/>
          <w:numId w:val="13"/>
        </w:numPr>
        <w:spacing w:before="80"/>
        <w:rPr>
          <w:rFonts w:cs="Arial"/>
          <w:sz w:val="22"/>
          <w:szCs w:val="22"/>
        </w:rPr>
      </w:pPr>
      <w:r w:rsidRPr="003978D0">
        <w:rPr>
          <w:rFonts w:cs="Arial"/>
          <w:sz w:val="22"/>
          <w:szCs w:val="22"/>
        </w:rPr>
        <w:t>not to conclude a C</w:t>
      </w:r>
      <w:r w:rsidR="00FB3981" w:rsidRPr="003978D0">
        <w:rPr>
          <w:rFonts w:cs="Arial"/>
          <w:sz w:val="22"/>
          <w:szCs w:val="22"/>
        </w:rPr>
        <w:t xml:space="preserve">ontract for some or all of the Services (as applicable) for </w:t>
      </w:r>
      <w:r w:rsidRPr="003978D0">
        <w:rPr>
          <w:rFonts w:cs="Arial"/>
          <w:sz w:val="22"/>
          <w:szCs w:val="22"/>
        </w:rPr>
        <w:t>which R</w:t>
      </w:r>
      <w:r w:rsidR="00FB3981" w:rsidRPr="003978D0">
        <w:rPr>
          <w:rFonts w:cs="Arial"/>
          <w:sz w:val="22"/>
          <w:szCs w:val="22"/>
        </w:rPr>
        <w:t>esponses are invited.</w:t>
      </w:r>
    </w:p>
    <w:p w:rsidR="000272D7" w:rsidRPr="003978D0" w:rsidRDefault="000272D7" w:rsidP="00DD39AE">
      <w:pPr>
        <w:pStyle w:val="A2"/>
        <w:numPr>
          <w:ilvl w:val="0"/>
          <w:numId w:val="0"/>
        </w:numPr>
        <w:spacing w:before="80"/>
        <w:ind w:left="720"/>
        <w:rPr>
          <w:rFonts w:cs="Arial"/>
          <w:sz w:val="22"/>
          <w:szCs w:val="22"/>
        </w:rPr>
      </w:pPr>
    </w:p>
    <w:p w:rsidR="00FB3981" w:rsidRPr="002B67F2" w:rsidRDefault="007A57DE" w:rsidP="00D50618">
      <w:pPr>
        <w:pStyle w:val="A2"/>
        <w:numPr>
          <w:ilvl w:val="1"/>
          <w:numId w:val="10"/>
        </w:numPr>
        <w:spacing w:before="80"/>
        <w:rPr>
          <w:rFonts w:cs="Arial"/>
          <w:b/>
          <w:sz w:val="22"/>
          <w:szCs w:val="22"/>
        </w:rPr>
      </w:pPr>
      <w:r>
        <w:rPr>
          <w:rFonts w:cs="Arial"/>
          <w:b/>
          <w:sz w:val="22"/>
          <w:szCs w:val="22"/>
        </w:rPr>
        <w:lastRenderedPageBreak/>
        <w:t xml:space="preserve"> </w:t>
      </w:r>
      <w:r w:rsidR="00FB3981" w:rsidRPr="002B67F2">
        <w:rPr>
          <w:rFonts w:cs="Arial"/>
          <w:b/>
          <w:sz w:val="22"/>
          <w:szCs w:val="22"/>
        </w:rPr>
        <w:t>Tender Documents</w:t>
      </w:r>
    </w:p>
    <w:p w:rsidR="00FB3981" w:rsidRPr="003978D0" w:rsidRDefault="00FB3981" w:rsidP="003978D0">
      <w:pPr>
        <w:pStyle w:val="A2"/>
        <w:numPr>
          <w:ilvl w:val="0"/>
          <w:numId w:val="0"/>
        </w:numPr>
        <w:spacing w:before="80"/>
        <w:ind w:left="360"/>
        <w:rPr>
          <w:rFonts w:cs="Arial"/>
          <w:sz w:val="22"/>
          <w:szCs w:val="22"/>
        </w:rPr>
      </w:pPr>
      <w:r w:rsidRPr="003978D0">
        <w:rPr>
          <w:rFonts w:cs="Arial"/>
          <w:sz w:val="22"/>
          <w:szCs w:val="22"/>
        </w:rPr>
        <w:t>The following requirements must be adhered to when submitting Tenders.</w:t>
      </w:r>
    </w:p>
    <w:p w:rsidR="00FB3981" w:rsidRPr="003978D0" w:rsidRDefault="00FB3981" w:rsidP="007C08BE">
      <w:pPr>
        <w:pStyle w:val="A2"/>
        <w:numPr>
          <w:ilvl w:val="0"/>
          <w:numId w:val="12"/>
        </w:numPr>
        <w:spacing w:before="80"/>
        <w:rPr>
          <w:rFonts w:cs="Arial"/>
          <w:sz w:val="22"/>
          <w:szCs w:val="22"/>
        </w:rPr>
      </w:pPr>
      <w:r w:rsidRPr="003978D0">
        <w:rPr>
          <w:rFonts w:cs="Arial"/>
          <w:sz w:val="22"/>
          <w:szCs w:val="22"/>
        </w:rPr>
        <w:t>The Tender must be in English and drafted in accordance with the drafting guidance as set out in this ITT.</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Where documents are embedded within other documents Potential Providers must provide separate electronic copies of the embedded documents.</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Each Tender must be uniquely named or referenced.</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The Tender must be fully cross referenced with a full list of supporting material.</w:t>
      </w:r>
    </w:p>
    <w:p w:rsidR="003978D0" w:rsidRPr="00DD39AE" w:rsidRDefault="00FB3981" w:rsidP="007C08BE">
      <w:pPr>
        <w:pStyle w:val="A2"/>
        <w:numPr>
          <w:ilvl w:val="0"/>
          <w:numId w:val="12"/>
        </w:numPr>
        <w:spacing w:before="0"/>
        <w:rPr>
          <w:rFonts w:cs="Arial"/>
          <w:sz w:val="22"/>
          <w:szCs w:val="22"/>
        </w:rPr>
      </w:pPr>
      <w:r w:rsidRPr="003978D0">
        <w:rPr>
          <w:rFonts w:cs="Arial"/>
          <w:sz w:val="22"/>
          <w:szCs w:val="22"/>
        </w:rPr>
        <w:t xml:space="preserve">Pages must be A4 in size and Potential Providers should use </w:t>
      </w:r>
      <w:r w:rsidR="00246673">
        <w:rPr>
          <w:rFonts w:cs="Arial"/>
          <w:sz w:val="22"/>
          <w:szCs w:val="22"/>
        </w:rPr>
        <w:t>font size</w:t>
      </w:r>
      <w:r w:rsidRPr="003978D0">
        <w:rPr>
          <w:rFonts w:cs="Arial"/>
          <w:sz w:val="22"/>
          <w:szCs w:val="22"/>
        </w:rPr>
        <w:t xml:space="preserve"> 12 double spaced.</w:t>
      </w:r>
    </w:p>
    <w:p w:rsidR="003978D0" w:rsidRPr="003978D0" w:rsidRDefault="00FB3981" w:rsidP="007C08BE">
      <w:pPr>
        <w:pStyle w:val="A2"/>
        <w:numPr>
          <w:ilvl w:val="0"/>
          <w:numId w:val="12"/>
        </w:numPr>
        <w:spacing w:before="0"/>
        <w:rPr>
          <w:rFonts w:cs="Arial"/>
          <w:sz w:val="22"/>
          <w:szCs w:val="22"/>
        </w:rPr>
      </w:pPr>
      <w:r w:rsidRPr="003978D0">
        <w:rPr>
          <w:rFonts w:cs="Arial"/>
          <w:sz w:val="22"/>
          <w:szCs w:val="22"/>
        </w:rPr>
        <w:t>A Potential Provider may modify and resubmit its Tender at any time prior to the Tender Submission Deadline. Tenders cannot be modified by Potential Providers after the Tender Submission Deadline.</w:t>
      </w:r>
    </w:p>
    <w:p w:rsidR="00FB3981" w:rsidRPr="003978D0" w:rsidRDefault="00FB3981" w:rsidP="007C08BE">
      <w:pPr>
        <w:pStyle w:val="A2"/>
        <w:numPr>
          <w:ilvl w:val="0"/>
          <w:numId w:val="12"/>
        </w:numPr>
        <w:spacing w:before="0"/>
        <w:rPr>
          <w:rFonts w:cs="Arial"/>
          <w:sz w:val="22"/>
          <w:szCs w:val="22"/>
        </w:rPr>
      </w:pPr>
      <w:r w:rsidRPr="003978D0">
        <w:rPr>
          <w:rFonts w:cs="Arial"/>
          <w:sz w:val="22"/>
          <w:szCs w:val="22"/>
        </w:rPr>
        <w:t>A Potential Provider may withdraw from this Procurement by choosing not to submit a Tender by the Tender Submission Deadline</w:t>
      </w:r>
    </w:p>
    <w:p w:rsidR="003978D0" w:rsidRPr="002B67F2" w:rsidRDefault="003978D0" w:rsidP="003978D0">
      <w:pPr>
        <w:pStyle w:val="A2"/>
        <w:numPr>
          <w:ilvl w:val="0"/>
          <w:numId w:val="0"/>
        </w:numPr>
        <w:spacing w:before="0"/>
        <w:ind w:left="360"/>
        <w:rPr>
          <w:rFonts w:cs="Arial"/>
          <w:b/>
          <w:sz w:val="22"/>
          <w:szCs w:val="22"/>
        </w:rPr>
      </w:pPr>
    </w:p>
    <w:p w:rsidR="00FB3981" w:rsidRPr="002B67F2" w:rsidRDefault="007A57DE" w:rsidP="00D50618">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Validity Period</w:t>
      </w:r>
    </w:p>
    <w:p w:rsidR="00FB3981" w:rsidRPr="003978D0" w:rsidRDefault="00FB3981" w:rsidP="007C08BE">
      <w:pPr>
        <w:pStyle w:val="A2"/>
        <w:numPr>
          <w:ilvl w:val="0"/>
          <w:numId w:val="14"/>
        </w:numPr>
        <w:spacing w:before="80"/>
        <w:rPr>
          <w:rFonts w:cs="Arial"/>
          <w:sz w:val="22"/>
          <w:szCs w:val="22"/>
        </w:rPr>
      </w:pPr>
      <w:r w:rsidRPr="003978D0">
        <w:rPr>
          <w:rFonts w:cs="Arial"/>
          <w:sz w:val="22"/>
          <w:szCs w:val="22"/>
        </w:rPr>
        <w:t xml:space="preserve">A Tender must remain valid and capable of acceptance by </w:t>
      </w:r>
      <w:r w:rsidR="009500E2" w:rsidRPr="003978D0">
        <w:rPr>
          <w:rFonts w:cs="Arial"/>
          <w:sz w:val="22"/>
          <w:szCs w:val="22"/>
        </w:rPr>
        <w:t>the Authority for a period of 12</w:t>
      </w:r>
      <w:r w:rsidRPr="003978D0">
        <w:rPr>
          <w:rFonts w:cs="Arial"/>
          <w:sz w:val="22"/>
          <w:szCs w:val="22"/>
        </w:rPr>
        <w:t>0 days following the Tender Submission Deadline.</w:t>
      </w:r>
    </w:p>
    <w:p w:rsidR="002B67F2" w:rsidRPr="00751497" w:rsidRDefault="00FB3981" w:rsidP="007C08BE">
      <w:pPr>
        <w:pStyle w:val="A2"/>
        <w:numPr>
          <w:ilvl w:val="0"/>
          <w:numId w:val="14"/>
        </w:numPr>
        <w:spacing w:before="80"/>
        <w:rPr>
          <w:rFonts w:cs="Arial"/>
          <w:sz w:val="22"/>
          <w:szCs w:val="22"/>
        </w:rPr>
      </w:pPr>
      <w:r w:rsidRPr="003978D0">
        <w:rPr>
          <w:rFonts w:cs="Arial"/>
          <w:sz w:val="22"/>
          <w:szCs w:val="22"/>
        </w:rPr>
        <w:t>A Tender with a shorter validity period will be rejected</w:t>
      </w:r>
    </w:p>
    <w:p w:rsidR="002B67F2" w:rsidRPr="003978D0" w:rsidRDefault="002B67F2" w:rsidP="00F86E0D">
      <w:pPr>
        <w:rPr>
          <w:rFonts w:cs="Arial"/>
          <w:sz w:val="22"/>
          <w:szCs w:val="22"/>
        </w:rPr>
      </w:pPr>
    </w:p>
    <w:p w:rsidR="00CD6A6B" w:rsidRPr="002B67F2" w:rsidRDefault="00CD6A6B" w:rsidP="00EE0ED2">
      <w:pPr>
        <w:pStyle w:val="A2"/>
        <w:numPr>
          <w:ilvl w:val="1"/>
          <w:numId w:val="10"/>
        </w:numPr>
        <w:spacing w:before="80"/>
        <w:rPr>
          <w:rFonts w:cs="Arial"/>
          <w:b/>
          <w:sz w:val="22"/>
          <w:szCs w:val="22"/>
        </w:rPr>
      </w:pPr>
      <w:r w:rsidRPr="002B67F2">
        <w:rPr>
          <w:rFonts w:cs="Arial"/>
          <w:b/>
          <w:sz w:val="22"/>
          <w:szCs w:val="22"/>
        </w:rPr>
        <w:t>Clarifications and Questions regarding this Procurement</w:t>
      </w:r>
    </w:p>
    <w:p w:rsidR="00CD6A6B" w:rsidRPr="003978D0" w:rsidRDefault="00CD6A6B" w:rsidP="00F86E0D">
      <w:pPr>
        <w:rPr>
          <w:rFonts w:cs="Arial"/>
          <w:sz w:val="22"/>
          <w:szCs w:val="22"/>
        </w:rPr>
      </w:pPr>
    </w:p>
    <w:p w:rsidR="00216ED0" w:rsidRPr="003978D0" w:rsidRDefault="00DE7DF4" w:rsidP="00F86E0D">
      <w:pPr>
        <w:rPr>
          <w:rFonts w:cs="Arial"/>
          <w:sz w:val="22"/>
          <w:szCs w:val="22"/>
        </w:rPr>
      </w:pPr>
      <w:r w:rsidRPr="003978D0">
        <w:rPr>
          <w:rFonts w:cs="Arial"/>
          <w:sz w:val="22"/>
          <w:szCs w:val="22"/>
        </w:rPr>
        <w:t>Any queries in relation to the submission process should be made to:</w:t>
      </w:r>
    </w:p>
    <w:p w:rsidR="004D7268" w:rsidRDefault="004D7268" w:rsidP="002B67F2">
      <w:pPr>
        <w:rPr>
          <w:rFonts w:cs="Arial"/>
          <w:sz w:val="22"/>
          <w:szCs w:val="22"/>
        </w:rPr>
      </w:pPr>
    </w:p>
    <w:p w:rsidR="00DC6B71" w:rsidRDefault="00C45C31" w:rsidP="00F86E0D">
      <w:pPr>
        <w:rPr>
          <w:rFonts w:cs="Arial"/>
          <w:sz w:val="22"/>
          <w:szCs w:val="22"/>
        </w:rPr>
      </w:pPr>
      <w:r w:rsidRPr="005B571F">
        <w:rPr>
          <w:rFonts w:cs="Arial"/>
          <w:sz w:val="22"/>
          <w:szCs w:val="22"/>
        </w:rPr>
        <w:t>Carly Cloherty (</w:t>
      </w:r>
      <w:hyperlink r:id="rId19" w:history="1">
        <w:r w:rsidRPr="005B571F">
          <w:rPr>
            <w:rStyle w:val="Hyperlink"/>
            <w:rFonts w:cs="Arial"/>
            <w:sz w:val="22"/>
            <w:szCs w:val="22"/>
          </w:rPr>
          <w:t>carly.cloherty@childrenscommissioner.gsi.gov.uk</w:t>
        </w:r>
      </w:hyperlink>
      <w:r w:rsidRPr="005B571F">
        <w:rPr>
          <w:rFonts w:cs="Arial"/>
          <w:sz w:val="22"/>
          <w:szCs w:val="22"/>
        </w:rPr>
        <w:t>)</w:t>
      </w:r>
    </w:p>
    <w:p w:rsidR="00C45C31" w:rsidRDefault="00C45C31" w:rsidP="00F86E0D">
      <w:pPr>
        <w:rPr>
          <w:rFonts w:cs="Arial"/>
          <w:sz w:val="22"/>
          <w:szCs w:val="22"/>
        </w:rPr>
      </w:pPr>
    </w:p>
    <w:p w:rsidR="00DC6B71" w:rsidRDefault="00DC6B71" w:rsidP="00F86E0D">
      <w:pPr>
        <w:rPr>
          <w:rFonts w:cs="Arial"/>
          <w:sz w:val="22"/>
          <w:szCs w:val="22"/>
        </w:rPr>
      </w:pPr>
      <w:r w:rsidRPr="004578B2">
        <w:rPr>
          <w:rFonts w:cs="Arial"/>
          <w:b/>
          <w:sz w:val="22"/>
          <w:szCs w:val="22"/>
        </w:rPr>
        <w:t xml:space="preserve">By </w:t>
      </w:r>
      <w:r w:rsidR="002C626A" w:rsidRPr="004578B2">
        <w:rPr>
          <w:rFonts w:cs="Arial"/>
          <w:b/>
          <w:sz w:val="22"/>
          <w:szCs w:val="22"/>
        </w:rPr>
        <w:t>Friday 6th January</w:t>
      </w:r>
      <w:r w:rsidRPr="005B571F">
        <w:rPr>
          <w:rFonts w:cs="Arial"/>
          <w:sz w:val="22"/>
          <w:szCs w:val="22"/>
        </w:rPr>
        <w:t xml:space="preserve">. Responses to all questions relating to this Procurement will </w:t>
      </w:r>
      <w:r w:rsidR="00246673" w:rsidRPr="005B571F">
        <w:rPr>
          <w:rFonts w:cs="Arial"/>
          <w:sz w:val="22"/>
          <w:szCs w:val="22"/>
        </w:rPr>
        <w:t xml:space="preserve">be </w:t>
      </w:r>
      <w:r w:rsidRPr="005B571F">
        <w:rPr>
          <w:rFonts w:cs="Arial"/>
          <w:sz w:val="22"/>
          <w:szCs w:val="22"/>
        </w:rPr>
        <w:t>posted</w:t>
      </w:r>
      <w:r>
        <w:rPr>
          <w:rFonts w:cs="Arial"/>
          <w:sz w:val="22"/>
          <w:szCs w:val="22"/>
        </w:rPr>
        <w:t xml:space="preserve"> on Contract Finder and on the </w:t>
      </w:r>
      <w:r w:rsidR="009775A1">
        <w:rPr>
          <w:rFonts w:cs="Arial"/>
          <w:sz w:val="22"/>
          <w:szCs w:val="22"/>
        </w:rPr>
        <w:t>Authority</w:t>
      </w:r>
      <w:r>
        <w:rPr>
          <w:rFonts w:cs="Arial"/>
          <w:sz w:val="22"/>
          <w:szCs w:val="22"/>
        </w:rPr>
        <w:t>’s website.</w:t>
      </w:r>
    </w:p>
    <w:p w:rsidR="002D62F1" w:rsidRPr="003978D0" w:rsidRDefault="002D62F1" w:rsidP="00F86E0D">
      <w:pPr>
        <w:rPr>
          <w:rFonts w:cs="Arial"/>
          <w:sz w:val="22"/>
          <w:szCs w:val="22"/>
        </w:rPr>
      </w:pPr>
    </w:p>
    <w:p w:rsidR="00DE7DF4" w:rsidRPr="002B67F2" w:rsidRDefault="00DE7DF4" w:rsidP="007C08BE">
      <w:pPr>
        <w:pStyle w:val="ListParagraph"/>
        <w:numPr>
          <w:ilvl w:val="0"/>
          <w:numId w:val="15"/>
        </w:numPr>
        <w:jc w:val="both"/>
        <w:rPr>
          <w:rFonts w:ascii="Arial" w:eastAsia="Times New Roman" w:hAnsi="Arial"/>
          <w:lang w:val="en-GB" w:bidi="ar-SA"/>
        </w:rPr>
      </w:pPr>
      <w:r w:rsidRPr="003978D0">
        <w:rPr>
          <w:rFonts w:ascii="Arial" w:eastAsia="Times New Roman" w:hAnsi="Arial"/>
          <w:lang w:val="en-GB" w:bidi="ar-SA"/>
        </w:rPr>
        <w:t xml:space="preserve">Every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w:t>
      </w:r>
      <w:r w:rsidR="006C0B4B" w:rsidRPr="003978D0">
        <w:rPr>
          <w:rFonts w:ascii="Arial" w:eastAsia="Times New Roman" w:hAnsi="Arial"/>
          <w:lang w:val="en-GB" w:bidi="ar-SA"/>
        </w:rPr>
        <w:t>R</w:t>
      </w:r>
      <w:r w:rsidRPr="003978D0">
        <w:rPr>
          <w:rFonts w:ascii="Arial" w:eastAsia="Times New Roman" w:hAnsi="Arial"/>
          <w:lang w:val="en-GB" w:bidi="ar-SA"/>
        </w:rPr>
        <w:t xml:space="preserve">esponse received by the </w:t>
      </w:r>
      <w:r w:rsidR="00760DB4" w:rsidRPr="003978D0">
        <w:rPr>
          <w:rFonts w:ascii="Arial" w:eastAsia="Times New Roman" w:hAnsi="Arial"/>
          <w:lang w:val="en-GB" w:bidi="ar-SA"/>
        </w:rPr>
        <w:t>Authority</w:t>
      </w:r>
      <w:r w:rsidRPr="003978D0">
        <w:rPr>
          <w:rFonts w:ascii="Arial" w:eastAsia="Times New Roman" w:hAnsi="Arial"/>
          <w:lang w:val="en-GB" w:bidi="ar-SA"/>
        </w:rPr>
        <w:t xml:space="preserve"> shall be deemed to have been made subject to the conditions of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as set out in this </w:t>
      </w:r>
      <w:r w:rsidR="00760DB4" w:rsidRPr="003978D0">
        <w:rPr>
          <w:rFonts w:ascii="Arial" w:eastAsia="Times New Roman" w:hAnsi="Arial"/>
          <w:lang w:val="en-GB" w:bidi="ar-SA"/>
        </w:rPr>
        <w:t>ITT</w:t>
      </w:r>
      <w:r w:rsidRPr="003978D0">
        <w:rPr>
          <w:rFonts w:ascii="Arial" w:eastAsia="Times New Roman" w:hAnsi="Arial"/>
          <w:lang w:val="en-GB" w:bidi="ar-SA"/>
        </w:rPr>
        <w:t xml:space="preserve">. </w:t>
      </w:r>
      <w:r w:rsidR="00760DB4" w:rsidRPr="003978D0">
        <w:rPr>
          <w:rFonts w:ascii="Arial" w:eastAsia="Times New Roman" w:hAnsi="Arial"/>
          <w:lang w:val="en-GB" w:bidi="ar-SA"/>
        </w:rPr>
        <w:t>The Authority shall only cons</w:t>
      </w:r>
      <w:r w:rsidR="002D62F1">
        <w:rPr>
          <w:rFonts w:ascii="Arial" w:eastAsia="Times New Roman" w:hAnsi="Arial"/>
          <w:lang w:val="en-GB" w:bidi="ar-SA"/>
        </w:rPr>
        <w:t>ider the Tenders that are compl</w:t>
      </w:r>
      <w:r w:rsidR="00760DB4" w:rsidRPr="003978D0">
        <w:rPr>
          <w:rFonts w:ascii="Arial" w:eastAsia="Times New Roman" w:hAnsi="Arial"/>
          <w:lang w:val="en-GB" w:bidi="ar-SA"/>
        </w:rPr>
        <w:t>i</w:t>
      </w:r>
      <w:r w:rsidR="002D62F1">
        <w:rPr>
          <w:rFonts w:ascii="Arial" w:eastAsia="Times New Roman" w:hAnsi="Arial"/>
          <w:lang w:val="en-GB" w:bidi="ar-SA"/>
        </w:rPr>
        <w:t>a</w:t>
      </w:r>
      <w:r w:rsidR="00760DB4" w:rsidRPr="003978D0">
        <w:rPr>
          <w:rFonts w:ascii="Arial" w:eastAsia="Times New Roman" w:hAnsi="Arial"/>
          <w:lang w:val="en-GB" w:bidi="ar-SA"/>
        </w:rPr>
        <w:t>nt with the terms of this ITT</w:t>
      </w:r>
      <w:r w:rsidRPr="003978D0">
        <w:rPr>
          <w:rFonts w:ascii="Arial" w:eastAsia="Times New Roman" w:hAnsi="Arial"/>
          <w:lang w:val="en-GB" w:bidi="ar-SA"/>
        </w:rPr>
        <w:t>.</w:t>
      </w:r>
    </w:p>
    <w:p w:rsidR="00C63E79" w:rsidRPr="003978D0" w:rsidRDefault="00C63E79" w:rsidP="007C08BE">
      <w:pPr>
        <w:pStyle w:val="Heading2"/>
        <w:numPr>
          <w:ilvl w:val="0"/>
          <w:numId w:val="15"/>
        </w:numPr>
        <w:jc w:val="both"/>
        <w:rPr>
          <w:rFonts w:cs="Arial"/>
          <w:b w:val="0"/>
          <w:kern w:val="0"/>
          <w:sz w:val="22"/>
          <w:szCs w:val="22"/>
        </w:rPr>
      </w:pPr>
      <w:r w:rsidRPr="003978D0">
        <w:rPr>
          <w:rFonts w:cs="Arial"/>
          <w:b w:val="0"/>
          <w:kern w:val="0"/>
          <w:sz w:val="22"/>
          <w:szCs w:val="22"/>
        </w:rPr>
        <w:t>The Procurement documentation and any attachments or references have been prepared in good faith but do not purport to be a comprehensive statement of all matters relevant to this Procurement exercise nor has it been independently verified.  Neither the Authority nor its advisers, directors, officers, members, employees or other staff or agents:</w:t>
      </w:r>
    </w:p>
    <w:p w:rsidR="00C63E79" w:rsidRPr="003978D0" w:rsidRDefault="00C63E79" w:rsidP="007C08BE">
      <w:pPr>
        <w:pStyle w:val="Heading3"/>
        <w:numPr>
          <w:ilvl w:val="1"/>
          <w:numId w:val="17"/>
        </w:numPr>
        <w:jc w:val="both"/>
        <w:rPr>
          <w:rFonts w:cs="Arial"/>
          <w:kern w:val="0"/>
          <w:sz w:val="22"/>
          <w:szCs w:val="22"/>
        </w:rPr>
      </w:pPr>
      <w:r w:rsidRPr="003978D0">
        <w:rPr>
          <w:rFonts w:cs="Arial"/>
          <w:kern w:val="0"/>
          <w:sz w:val="22"/>
          <w:szCs w:val="22"/>
        </w:rPr>
        <w:t>accept any liability or responsibility for the adequacy, accuracy or c</w:t>
      </w:r>
      <w:r w:rsidR="00353054" w:rsidRPr="003978D0">
        <w:rPr>
          <w:rFonts w:cs="Arial"/>
          <w:kern w:val="0"/>
          <w:sz w:val="22"/>
          <w:szCs w:val="22"/>
        </w:rPr>
        <w:t>ompleteness of the Procurement d</w:t>
      </w:r>
      <w:r w:rsidRPr="003978D0">
        <w:rPr>
          <w:rFonts w:cs="Arial"/>
          <w:kern w:val="0"/>
          <w:sz w:val="22"/>
          <w:szCs w:val="22"/>
        </w:rPr>
        <w:t xml:space="preserve">ocumentation, </w:t>
      </w:r>
    </w:p>
    <w:p w:rsidR="00C63E79" w:rsidRPr="003978D0" w:rsidRDefault="00C63E79" w:rsidP="007C08BE">
      <w:pPr>
        <w:pStyle w:val="Heading3"/>
        <w:numPr>
          <w:ilvl w:val="1"/>
          <w:numId w:val="17"/>
        </w:numPr>
        <w:jc w:val="both"/>
        <w:rPr>
          <w:rFonts w:cs="Arial"/>
          <w:kern w:val="0"/>
          <w:sz w:val="22"/>
          <w:szCs w:val="22"/>
        </w:rPr>
      </w:pPr>
      <w:r w:rsidRPr="003978D0">
        <w:rPr>
          <w:rFonts w:cs="Arial"/>
          <w:kern w:val="0"/>
          <w:sz w:val="22"/>
          <w:szCs w:val="22"/>
        </w:rPr>
        <w:t>make any representation or warranty, express or implied, with respect to t</w:t>
      </w:r>
      <w:r w:rsidR="00353054" w:rsidRPr="003978D0">
        <w:rPr>
          <w:rFonts w:cs="Arial"/>
          <w:kern w:val="0"/>
          <w:sz w:val="22"/>
          <w:szCs w:val="22"/>
        </w:rPr>
        <w:t>he information the Procurement d</w:t>
      </w:r>
      <w:r w:rsidRPr="003978D0">
        <w:rPr>
          <w:rFonts w:cs="Arial"/>
          <w:kern w:val="0"/>
          <w:sz w:val="22"/>
          <w:szCs w:val="22"/>
        </w:rPr>
        <w:t xml:space="preserve">ocumentation contains nor shall any of them be liable for any loss of damage (other than in respect of fraudulent misrepresentation) arising as a result of reliance on such information or any subsequent communication.  </w:t>
      </w:r>
    </w:p>
    <w:p w:rsidR="00C63E79" w:rsidRPr="003978D0" w:rsidRDefault="00C63E79" w:rsidP="007C08BE">
      <w:pPr>
        <w:pStyle w:val="Heading2"/>
        <w:numPr>
          <w:ilvl w:val="0"/>
          <w:numId w:val="15"/>
        </w:numPr>
        <w:jc w:val="both"/>
        <w:rPr>
          <w:rFonts w:cs="Arial"/>
          <w:b w:val="0"/>
          <w:kern w:val="0"/>
          <w:sz w:val="22"/>
          <w:szCs w:val="22"/>
        </w:rPr>
      </w:pPr>
      <w:r w:rsidRPr="003978D0">
        <w:rPr>
          <w:rFonts w:cs="Arial"/>
          <w:b w:val="0"/>
          <w:kern w:val="0"/>
          <w:sz w:val="22"/>
          <w:szCs w:val="22"/>
        </w:rPr>
        <w:lastRenderedPageBreak/>
        <w:t xml:space="preserve">The </w:t>
      </w:r>
      <w:r w:rsidR="004F6E58" w:rsidRPr="003978D0">
        <w:rPr>
          <w:rFonts w:cs="Arial"/>
          <w:b w:val="0"/>
          <w:kern w:val="0"/>
          <w:sz w:val="22"/>
          <w:szCs w:val="22"/>
        </w:rPr>
        <w:t>Potential Provider</w:t>
      </w:r>
      <w:r w:rsidRPr="003978D0">
        <w:rPr>
          <w:rFonts w:cs="Arial"/>
          <w:b w:val="0"/>
          <w:kern w:val="0"/>
          <w:sz w:val="22"/>
          <w:szCs w:val="22"/>
        </w:rPr>
        <w:t xml:space="preserve"> should form its own conclusions and make its own independent assessment of the Contract requirements and should seek its own financial and legal advice about the methods and resources needed to meet the Authority’s requirements.  </w:t>
      </w:r>
    </w:p>
    <w:p w:rsidR="002454B0" w:rsidRDefault="00CE1AB0" w:rsidP="007C08BE">
      <w:pPr>
        <w:pStyle w:val="ListParagraph"/>
        <w:numPr>
          <w:ilvl w:val="0"/>
          <w:numId w:val="15"/>
        </w:numPr>
        <w:jc w:val="both"/>
        <w:rPr>
          <w:rFonts w:ascii="Arial" w:eastAsia="Times New Roman" w:hAnsi="Arial"/>
          <w:lang w:val="en-GB" w:bidi="ar-SA"/>
        </w:rPr>
      </w:pPr>
      <w:r w:rsidRPr="003978D0">
        <w:rPr>
          <w:rFonts w:ascii="Arial" w:eastAsia="Times New Roman" w:hAnsi="Arial"/>
          <w:lang w:val="en-GB" w:bidi="ar-SA"/>
        </w:rPr>
        <w:t xml:space="preserve">The </w:t>
      </w:r>
      <w:r w:rsidR="004F6E58" w:rsidRPr="003978D0">
        <w:rPr>
          <w:rFonts w:ascii="Arial" w:eastAsia="Times New Roman" w:hAnsi="Arial"/>
          <w:lang w:val="en-GB" w:bidi="ar-SA"/>
        </w:rPr>
        <w:t>Potential Provider</w:t>
      </w:r>
      <w:r w:rsidR="00DE7DF4" w:rsidRPr="003978D0">
        <w:rPr>
          <w:rFonts w:ascii="Arial" w:eastAsia="Times New Roman" w:hAnsi="Arial"/>
          <w:lang w:val="en-GB" w:bidi="ar-SA"/>
        </w:rPr>
        <w:t xml:space="preserve"> </w:t>
      </w:r>
      <w:r w:rsidR="00353054" w:rsidRPr="003978D0">
        <w:rPr>
          <w:rFonts w:ascii="Arial" w:eastAsia="Times New Roman" w:hAnsi="Arial"/>
          <w:lang w:val="en-GB" w:bidi="ar-SA"/>
        </w:rPr>
        <w:t xml:space="preserve">is responsible for obtaining all information required to prepare its Tender at its own expense. </w:t>
      </w:r>
    </w:p>
    <w:p w:rsidR="00C9709F" w:rsidRDefault="00C9709F" w:rsidP="00C9709F">
      <w:pPr>
        <w:pStyle w:val="ListParagraph"/>
        <w:jc w:val="both"/>
        <w:rPr>
          <w:rFonts w:ascii="Arial" w:eastAsia="Times New Roman" w:hAnsi="Arial"/>
          <w:lang w:val="en-GB" w:bidi="ar-SA"/>
        </w:rPr>
      </w:pPr>
    </w:p>
    <w:p w:rsidR="00C9709F" w:rsidRDefault="00C9709F" w:rsidP="007C08BE">
      <w:pPr>
        <w:pStyle w:val="ListParagraph"/>
        <w:numPr>
          <w:ilvl w:val="0"/>
          <w:numId w:val="15"/>
        </w:numPr>
        <w:rPr>
          <w:rFonts w:ascii="Arial" w:eastAsia="Times New Roman" w:hAnsi="Arial"/>
          <w:lang w:val="en-GB" w:bidi="ar-SA"/>
        </w:rPr>
      </w:pPr>
      <w:r>
        <w:rPr>
          <w:rFonts w:ascii="Arial" w:eastAsia="Times New Roman" w:hAnsi="Arial"/>
          <w:lang w:val="en-GB" w:bidi="ar-SA"/>
        </w:rPr>
        <w:t>A</w:t>
      </w:r>
      <w:r w:rsidRPr="007A57DE">
        <w:rPr>
          <w:rFonts w:ascii="Arial" w:eastAsia="Times New Roman" w:hAnsi="Arial"/>
          <w:lang w:val="en-GB" w:bidi="ar-SA"/>
        </w:rPr>
        <w:t>ll potential providers</w:t>
      </w:r>
      <w:r>
        <w:rPr>
          <w:rFonts w:ascii="Arial" w:eastAsia="Times New Roman" w:hAnsi="Arial"/>
          <w:lang w:val="en-GB" w:bidi="ar-SA"/>
        </w:rPr>
        <w:t xml:space="preserve"> must sign and date the</w:t>
      </w:r>
      <w:r w:rsidRPr="007A57DE">
        <w:rPr>
          <w:rFonts w:ascii="Arial" w:eastAsia="Times New Roman" w:hAnsi="Arial"/>
          <w:lang w:val="en-GB" w:bidi="ar-SA"/>
        </w:rPr>
        <w:t xml:space="preserve"> </w:t>
      </w:r>
      <w:r w:rsidRPr="00BF1F5D">
        <w:rPr>
          <w:rFonts w:ascii="Arial" w:eastAsia="Times New Roman" w:hAnsi="Arial"/>
          <w:u w:val="single"/>
          <w:lang w:val="en-GB" w:bidi="ar-SA"/>
        </w:rPr>
        <w:t>Certificate of Conclusive Tendering</w:t>
      </w:r>
      <w:r w:rsidRPr="007A57DE">
        <w:rPr>
          <w:rFonts w:ascii="Arial" w:eastAsia="Times New Roman" w:hAnsi="Arial"/>
          <w:lang w:val="en-GB" w:bidi="ar-SA"/>
        </w:rPr>
        <w:t xml:space="preserve"> (Annex 2) and include it within</w:t>
      </w:r>
      <w:r>
        <w:rPr>
          <w:rFonts w:ascii="Arial" w:eastAsia="Times New Roman" w:hAnsi="Arial"/>
          <w:lang w:val="en-GB" w:bidi="ar-SA"/>
        </w:rPr>
        <w:t xml:space="preserve"> Section 6 of the t</w:t>
      </w:r>
      <w:r w:rsidRPr="007A57DE">
        <w:rPr>
          <w:rFonts w:ascii="Arial" w:eastAsia="Times New Roman" w:hAnsi="Arial"/>
          <w:lang w:val="en-GB" w:bidi="ar-SA"/>
        </w:rPr>
        <w:t>ender (“Declarations, Undertakings and Attachments”). No part of the wording of this document may be changed. Unsigned or altered version of this certificate will invalidate a tender.</w:t>
      </w:r>
    </w:p>
    <w:p w:rsidR="00C9709F" w:rsidRPr="007A57DE" w:rsidRDefault="00C9709F" w:rsidP="00C9709F">
      <w:pPr>
        <w:pStyle w:val="ListParagraph"/>
        <w:rPr>
          <w:rFonts w:ascii="Arial" w:eastAsia="Times New Roman" w:hAnsi="Arial"/>
          <w:lang w:val="en-GB" w:bidi="ar-SA"/>
        </w:rPr>
      </w:pPr>
    </w:p>
    <w:p w:rsidR="00C9709F" w:rsidRPr="00C06064" w:rsidRDefault="00C9709F" w:rsidP="007C08BE">
      <w:pPr>
        <w:pStyle w:val="ListParagraph"/>
        <w:numPr>
          <w:ilvl w:val="0"/>
          <w:numId w:val="15"/>
        </w:numPr>
        <w:rPr>
          <w:rFonts w:ascii="Arial" w:eastAsia="Times New Roman" w:hAnsi="Arial"/>
          <w:lang w:val="en-GB" w:bidi="ar-SA"/>
        </w:rPr>
      </w:pPr>
      <w:r w:rsidRPr="00C06064">
        <w:rPr>
          <w:rFonts w:ascii="Arial" w:eastAsia="Times New Roman" w:hAnsi="Arial"/>
          <w:lang w:val="en-GB" w:bidi="ar-SA"/>
        </w:rPr>
        <w:t xml:space="preserve">The </w:t>
      </w:r>
      <w:r w:rsidR="00A52DC4">
        <w:rPr>
          <w:rFonts w:ascii="Arial" w:eastAsia="Times New Roman" w:hAnsi="Arial"/>
          <w:lang w:val="en-GB" w:bidi="ar-SA"/>
        </w:rPr>
        <w:t>Authority</w:t>
      </w:r>
      <w:r w:rsidRPr="00C06064">
        <w:rPr>
          <w:rFonts w:ascii="Arial" w:eastAsia="Times New Roman" w:hAnsi="Arial"/>
          <w:lang w:val="en-GB" w:bidi="ar-SA"/>
        </w:rPr>
        <w:t xml:space="preserve"> will not enter into dialogue or negotiation with providers over our published contract Terms and Conditions. Please ensure to read </w:t>
      </w:r>
      <w:r>
        <w:rPr>
          <w:rFonts w:ascii="Arial" w:eastAsia="Times New Roman" w:hAnsi="Arial"/>
          <w:lang w:val="en-GB" w:bidi="ar-SA"/>
        </w:rPr>
        <w:t xml:space="preserve">our </w:t>
      </w:r>
      <w:r w:rsidRPr="00C06064">
        <w:rPr>
          <w:rFonts w:ascii="Arial" w:eastAsia="Times New Roman" w:hAnsi="Arial"/>
          <w:lang w:val="en-GB" w:bidi="ar-SA"/>
        </w:rPr>
        <w:t>Terms and Conditions (Annex 3</w:t>
      </w:r>
      <w:r>
        <w:rPr>
          <w:rFonts w:ascii="Arial" w:eastAsia="Times New Roman" w:hAnsi="Arial"/>
          <w:lang w:val="en-GB" w:bidi="ar-SA"/>
        </w:rPr>
        <w:t>, also published on our website</w:t>
      </w:r>
      <w:r w:rsidRPr="00C06064">
        <w:rPr>
          <w:rFonts w:ascii="Arial" w:eastAsia="Times New Roman" w:hAnsi="Arial"/>
          <w:lang w:val="en-GB" w:bidi="ar-SA"/>
        </w:rPr>
        <w:t>) thoroughly before submitting your tender and submit any questions to the Children’s Commissioner Planning</w:t>
      </w:r>
      <w:r>
        <w:rPr>
          <w:rFonts w:ascii="Arial" w:eastAsia="Times New Roman" w:hAnsi="Arial"/>
          <w:lang w:val="en-GB" w:bidi="ar-SA"/>
        </w:rPr>
        <w:t xml:space="preserve"> Performance and Impact Manager.</w:t>
      </w:r>
    </w:p>
    <w:p w:rsidR="00C9709F" w:rsidRPr="00C9709F" w:rsidRDefault="00C9709F" w:rsidP="00C9709F">
      <w:pPr>
        <w:jc w:val="both"/>
      </w:pPr>
    </w:p>
    <w:p w:rsidR="00DE7DF4" w:rsidRPr="00EE0ED2" w:rsidRDefault="005D0C4B" w:rsidP="00EE0ED2">
      <w:pPr>
        <w:pStyle w:val="A2"/>
        <w:numPr>
          <w:ilvl w:val="1"/>
          <w:numId w:val="10"/>
        </w:numPr>
        <w:spacing w:before="80"/>
        <w:rPr>
          <w:rFonts w:cs="Arial"/>
          <w:b/>
          <w:sz w:val="22"/>
          <w:szCs w:val="22"/>
        </w:rPr>
      </w:pPr>
      <w:r w:rsidRPr="004C172E">
        <w:rPr>
          <w:rFonts w:cs="Arial"/>
          <w:b/>
          <w:sz w:val="22"/>
          <w:szCs w:val="22"/>
        </w:rPr>
        <w:t xml:space="preserve">Acceptance of a </w:t>
      </w:r>
      <w:r w:rsidR="00BA3D57" w:rsidRPr="004C172E">
        <w:rPr>
          <w:rFonts w:cs="Arial"/>
          <w:b/>
          <w:sz w:val="22"/>
          <w:szCs w:val="22"/>
        </w:rPr>
        <w:t>S</w:t>
      </w:r>
      <w:r w:rsidRPr="004C172E">
        <w:rPr>
          <w:rFonts w:cs="Arial"/>
          <w:b/>
          <w:sz w:val="22"/>
          <w:szCs w:val="22"/>
        </w:rPr>
        <w:t xml:space="preserve">uccessful </w:t>
      </w:r>
      <w:r w:rsidR="00BA3D57" w:rsidRPr="004C172E">
        <w:rPr>
          <w:rFonts w:cs="Arial"/>
          <w:b/>
          <w:sz w:val="22"/>
          <w:szCs w:val="22"/>
        </w:rPr>
        <w:t>T</w:t>
      </w:r>
      <w:r w:rsidRPr="004C172E">
        <w:rPr>
          <w:rFonts w:cs="Arial"/>
          <w:b/>
          <w:sz w:val="22"/>
          <w:szCs w:val="22"/>
        </w:rPr>
        <w:t>ender</w:t>
      </w:r>
      <w:r w:rsidR="00213E4B">
        <w:rPr>
          <w:rFonts w:cs="Arial"/>
          <w:b/>
          <w:sz w:val="22"/>
          <w:szCs w:val="22"/>
        </w:rPr>
        <w:t xml:space="preserve"> </w:t>
      </w:r>
    </w:p>
    <w:p w:rsidR="00D835ED" w:rsidRPr="0037090A" w:rsidRDefault="00DE7DF4" w:rsidP="003978D0">
      <w:pPr>
        <w:rPr>
          <w:rFonts w:cs="Arial"/>
          <w:sz w:val="22"/>
          <w:szCs w:val="22"/>
        </w:rPr>
      </w:pPr>
      <w:r w:rsidRPr="0037090A">
        <w:rPr>
          <w:rFonts w:cs="Arial"/>
          <w:sz w:val="22"/>
          <w:szCs w:val="22"/>
        </w:rPr>
        <w:t xml:space="preserve">The </w:t>
      </w:r>
      <w:r w:rsidR="00BA3D57">
        <w:rPr>
          <w:rFonts w:cs="Arial"/>
          <w:sz w:val="22"/>
          <w:szCs w:val="22"/>
        </w:rPr>
        <w:t xml:space="preserve">Authority </w:t>
      </w:r>
      <w:r w:rsidRPr="0037090A">
        <w:rPr>
          <w:rFonts w:cs="Arial"/>
          <w:sz w:val="22"/>
          <w:szCs w:val="22"/>
        </w:rPr>
        <w:t>is</w:t>
      </w:r>
      <w:r w:rsidR="00DD39AE">
        <w:rPr>
          <w:rFonts w:cs="Arial"/>
          <w:sz w:val="22"/>
          <w:szCs w:val="22"/>
        </w:rPr>
        <w:t xml:space="preserve"> not bound to accept the lowest-priced </w:t>
      </w:r>
      <w:r w:rsidR="00BA3D57">
        <w:rPr>
          <w:rFonts w:cs="Arial"/>
          <w:sz w:val="22"/>
          <w:szCs w:val="22"/>
        </w:rPr>
        <w:t>T</w:t>
      </w:r>
      <w:r w:rsidRPr="0037090A">
        <w:rPr>
          <w:rFonts w:cs="Arial"/>
          <w:sz w:val="22"/>
          <w:szCs w:val="22"/>
        </w:rPr>
        <w:t xml:space="preserve">ender. The selection criteria, and relative weighting, are as follows: </w:t>
      </w:r>
      <w:r w:rsidRPr="0037090A">
        <w:rPr>
          <w:rFonts w:cs="Arial"/>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8E65B1" w:rsidRPr="003978D0" w:rsidTr="0044476C">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Weighting </w:t>
            </w:r>
          </w:p>
        </w:tc>
      </w:tr>
      <w:tr w:rsidR="008E65B1" w:rsidRPr="003978D0"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rsidR="00C45C31" w:rsidRDefault="008E65B1" w:rsidP="005528B9">
            <w:pPr>
              <w:pStyle w:val="Default1"/>
              <w:rPr>
                <w:rFonts w:cs="Arial"/>
                <w:sz w:val="22"/>
                <w:szCs w:val="22"/>
                <w:lang w:eastAsia="en-US"/>
              </w:rPr>
            </w:pPr>
            <w:r w:rsidRPr="0037090A">
              <w:rPr>
                <w:rFonts w:cs="Arial"/>
                <w:sz w:val="22"/>
                <w:szCs w:val="22"/>
                <w:lang w:eastAsia="en-US"/>
              </w:rPr>
              <w:t xml:space="preserve">Expertise in key areas addressed by </w:t>
            </w:r>
            <w:r w:rsidR="00F85561">
              <w:rPr>
                <w:rFonts w:cs="Arial"/>
                <w:sz w:val="22"/>
                <w:szCs w:val="22"/>
                <w:lang w:eastAsia="en-US"/>
              </w:rPr>
              <w:t>the project</w:t>
            </w:r>
            <w:r w:rsidRPr="0037090A">
              <w:rPr>
                <w:rFonts w:cs="Arial"/>
                <w:sz w:val="22"/>
                <w:szCs w:val="22"/>
                <w:lang w:eastAsia="en-US"/>
              </w:rPr>
              <w:t xml:space="preserve"> including</w:t>
            </w:r>
            <w:r w:rsidR="00C45C31">
              <w:rPr>
                <w:rFonts w:cs="Arial"/>
                <w:sz w:val="22"/>
                <w:szCs w:val="22"/>
                <w:lang w:eastAsia="en-US"/>
              </w:rPr>
              <w:t>:</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Rapid review methods</w:t>
            </w:r>
          </w:p>
          <w:p w:rsidR="00C45C31" w:rsidRDefault="00FD5BE9" w:rsidP="007C08BE">
            <w:pPr>
              <w:pStyle w:val="Default1"/>
              <w:numPr>
                <w:ilvl w:val="0"/>
                <w:numId w:val="28"/>
              </w:numPr>
              <w:rPr>
                <w:rFonts w:cs="Arial"/>
                <w:sz w:val="22"/>
                <w:szCs w:val="22"/>
                <w:lang w:eastAsia="en-US"/>
              </w:rPr>
            </w:pPr>
            <w:r>
              <w:rPr>
                <w:rFonts w:cs="Arial"/>
                <w:sz w:val="22"/>
                <w:szCs w:val="22"/>
                <w:lang w:eastAsia="en-US"/>
              </w:rPr>
              <w:t>Understanding of analysis of social mobility and issues of progression</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Knowledge of the key data sources and reviews</w:t>
            </w:r>
          </w:p>
          <w:p w:rsidR="009739A4" w:rsidRDefault="009739A4" w:rsidP="007C08BE">
            <w:pPr>
              <w:pStyle w:val="Default1"/>
              <w:numPr>
                <w:ilvl w:val="0"/>
                <w:numId w:val="28"/>
              </w:numPr>
              <w:rPr>
                <w:rFonts w:cs="Arial"/>
                <w:sz w:val="22"/>
                <w:szCs w:val="22"/>
                <w:lang w:eastAsia="en-US"/>
              </w:rPr>
            </w:pPr>
            <w:r>
              <w:rPr>
                <w:rFonts w:cs="Arial"/>
                <w:sz w:val="22"/>
                <w:szCs w:val="22"/>
                <w:lang w:eastAsia="en-US"/>
              </w:rPr>
              <w:t>Measurement of features of child development</w:t>
            </w:r>
          </w:p>
          <w:p w:rsidR="00FD5BE9" w:rsidRDefault="00FD5BE9" w:rsidP="007C08BE">
            <w:pPr>
              <w:pStyle w:val="Default1"/>
              <w:numPr>
                <w:ilvl w:val="0"/>
                <w:numId w:val="28"/>
              </w:numPr>
              <w:rPr>
                <w:rFonts w:cs="Arial"/>
                <w:sz w:val="22"/>
                <w:szCs w:val="22"/>
                <w:lang w:eastAsia="en-US"/>
              </w:rPr>
            </w:pPr>
            <w:r>
              <w:rPr>
                <w:rFonts w:cs="Arial"/>
                <w:sz w:val="22"/>
                <w:szCs w:val="22"/>
                <w:lang w:eastAsia="en-US"/>
              </w:rPr>
              <w:t xml:space="preserve">Knowledge of children and young people’s issues and policy. </w:t>
            </w:r>
          </w:p>
          <w:p w:rsidR="00FD5BE9" w:rsidRPr="00FD5BE9" w:rsidRDefault="00FD5BE9" w:rsidP="00FD5BE9"/>
        </w:tc>
        <w:tc>
          <w:tcPr>
            <w:tcW w:w="1541" w:type="dxa"/>
            <w:tcBorders>
              <w:top w:val="single" w:sz="4" w:space="0" w:color="000000"/>
              <w:left w:val="single" w:sz="4" w:space="0" w:color="000000"/>
              <w:bottom w:val="single" w:sz="4" w:space="0" w:color="000000"/>
              <w:right w:val="single" w:sz="4" w:space="0" w:color="000000"/>
            </w:tcBorders>
          </w:tcPr>
          <w:p w:rsidR="008E65B1" w:rsidRPr="003978D0" w:rsidRDefault="00246673" w:rsidP="00CB7D00">
            <w:pPr>
              <w:pStyle w:val="Default1"/>
              <w:rPr>
                <w:rFonts w:cs="Arial"/>
                <w:sz w:val="22"/>
                <w:szCs w:val="22"/>
                <w:lang w:eastAsia="en-US"/>
              </w:rPr>
            </w:pPr>
            <w:r>
              <w:rPr>
                <w:rFonts w:cs="Arial"/>
                <w:sz w:val="22"/>
                <w:szCs w:val="22"/>
                <w:lang w:eastAsia="en-US"/>
              </w:rPr>
              <w:t>25</w:t>
            </w:r>
            <w:r w:rsidR="008E65B1" w:rsidRPr="003978D0">
              <w:rPr>
                <w:rFonts w:cs="Arial"/>
                <w:sz w:val="22"/>
                <w:szCs w:val="22"/>
                <w:lang w:eastAsia="en-US"/>
              </w:rPr>
              <w:t xml:space="preserve"> </w:t>
            </w:r>
          </w:p>
        </w:tc>
      </w:tr>
      <w:tr w:rsidR="0068485C" w:rsidRPr="003978D0"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rsidR="0068485C" w:rsidRPr="0037090A" w:rsidRDefault="0068485C" w:rsidP="0068485C">
            <w:pPr>
              <w:pStyle w:val="Default1"/>
              <w:rPr>
                <w:rFonts w:cs="Arial"/>
                <w:sz w:val="22"/>
                <w:szCs w:val="22"/>
                <w:lang w:eastAsia="en-US"/>
              </w:rPr>
            </w:pPr>
            <w:r w:rsidRPr="0037090A">
              <w:rPr>
                <w:rFonts w:cs="Arial"/>
                <w:sz w:val="22"/>
                <w:szCs w:val="22"/>
                <w:lang w:eastAsia="en-US"/>
              </w:rPr>
              <w:t>METHODOLOGY</w:t>
            </w:r>
          </w:p>
        </w:tc>
        <w:tc>
          <w:tcPr>
            <w:tcW w:w="3488" w:type="dxa"/>
            <w:tcBorders>
              <w:top w:val="single" w:sz="4" w:space="0" w:color="000000"/>
              <w:left w:val="single" w:sz="4" w:space="0" w:color="000000"/>
              <w:bottom w:val="single" w:sz="4" w:space="0" w:color="000000"/>
              <w:right w:val="single" w:sz="4" w:space="0" w:color="000000"/>
            </w:tcBorders>
          </w:tcPr>
          <w:p w:rsidR="0068485C" w:rsidRPr="0037090A" w:rsidRDefault="0068485C" w:rsidP="005B571F">
            <w:pPr>
              <w:pStyle w:val="Default1"/>
              <w:rPr>
                <w:rFonts w:cs="Arial"/>
                <w:sz w:val="22"/>
                <w:szCs w:val="22"/>
                <w:lang w:eastAsia="en-US"/>
              </w:rPr>
            </w:pPr>
            <w:r>
              <w:rPr>
                <w:rFonts w:cs="Arial"/>
                <w:sz w:val="22"/>
                <w:szCs w:val="22"/>
                <w:lang w:eastAsia="en-US"/>
              </w:rPr>
              <w:t xml:space="preserve">Clear understanding of the project aims and objectives. Evidence of a methodology that clearly addresses the research objectives and questions in a robust and ethical manner and which gives sufficient detail on the approach to reviewing the evidence and how </w:t>
            </w:r>
            <w:r w:rsidR="005B571F">
              <w:rPr>
                <w:rFonts w:cs="Arial"/>
                <w:sz w:val="22"/>
                <w:szCs w:val="22"/>
                <w:lang w:eastAsia="en-US"/>
              </w:rPr>
              <w:t>finding</w:t>
            </w:r>
            <w:r>
              <w:rPr>
                <w:rFonts w:cs="Arial"/>
                <w:sz w:val="22"/>
                <w:szCs w:val="22"/>
                <w:lang w:eastAsia="en-US"/>
              </w:rPr>
              <w:t xml:space="preserve">s will be </w:t>
            </w:r>
            <w:r w:rsidR="005B571F">
              <w:rPr>
                <w:rFonts w:cs="Arial"/>
                <w:sz w:val="22"/>
                <w:szCs w:val="22"/>
                <w:lang w:eastAsia="en-US"/>
              </w:rPr>
              <w:t>present</w:t>
            </w:r>
            <w:r>
              <w:rPr>
                <w:rFonts w:cs="Arial"/>
                <w:sz w:val="22"/>
                <w:szCs w:val="22"/>
                <w:lang w:eastAsia="en-US"/>
              </w:rPr>
              <w:t>ed.</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246673" w:rsidP="0068485C">
            <w:pPr>
              <w:pStyle w:val="Default1"/>
              <w:rPr>
                <w:rFonts w:cs="Arial"/>
                <w:sz w:val="22"/>
                <w:szCs w:val="22"/>
                <w:lang w:eastAsia="en-US"/>
              </w:rPr>
            </w:pPr>
            <w:r>
              <w:rPr>
                <w:rFonts w:cs="Arial"/>
                <w:sz w:val="22"/>
                <w:szCs w:val="22"/>
                <w:lang w:eastAsia="en-US"/>
              </w:rPr>
              <w:t>25</w:t>
            </w:r>
          </w:p>
        </w:tc>
      </w:tr>
      <w:tr w:rsidR="0068485C" w:rsidRPr="003978D0" w:rsidTr="0044476C">
        <w:trPr>
          <w:trHeight w:val="573"/>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lastRenderedPageBreak/>
              <w:t>EXPERIENCE</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Experience in undertaking this type of work</w:t>
            </w:r>
            <w:r w:rsidR="00C856C4">
              <w:rPr>
                <w:rFonts w:cs="Arial"/>
                <w:sz w:val="22"/>
                <w:szCs w:val="22"/>
                <w:lang w:eastAsia="en-US"/>
              </w:rPr>
              <w:t>,</w:t>
            </w:r>
            <w:r>
              <w:rPr>
                <w:rFonts w:cs="Arial"/>
                <w:sz w:val="22"/>
                <w:szCs w:val="22"/>
                <w:lang w:eastAsia="en-US"/>
              </w:rPr>
              <w:t xml:space="preserve"> specifically rapid reviews done systematically, mapping exercises and research quality assessment.</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978D0">
              <w:rPr>
                <w:rFonts w:cs="Arial"/>
                <w:sz w:val="22"/>
                <w:szCs w:val="22"/>
                <w:lang w:eastAsia="en-US"/>
              </w:rPr>
              <w:t xml:space="preserve">20 </w:t>
            </w:r>
          </w:p>
        </w:tc>
      </w:tr>
      <w:tr w:rsidR="0068485C" w:rsidRPr="003978D0"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CAPACITY</w:t>
            </w:r>
            <w:r>
              <w:rPr>
                <w:rFonts w:cs="Arial"/>
                <w:sz w:val="22"/>
                <w:szCs w:val="22"/>
                <w:lang w:eastAsia="en-US"/>
              </w:rPr>
              <w:t>, PROJECT MANAGEMENT and GOVERNANCE</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Pr>
                <w:rFonts w:cs="Arial"/>
                <w:sz w:val="22"/>
                <w:szCs w:val="22"/>
                <w:lang w:eastAsia="en-US"/>
              </w:rPr>
              <w:t>Statement of availability of appropriate team. Evidence that the project will use strong systems to ensure that it will be run to time and budget. Evidence of strong governance processes.</w:t>
            </w:r>
            <w:r w:rsidRPr="0037090A">
              <w:rPr>
                <w:rFonts w:cs="Arial"/>
                <w:sz w:val="22"/>
                <w:szCs w:val="22"/>
                <w:lang w:eastAsia="en-US"/>
              </w:rPr>
              <w:t xml:space="preserve">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246673" w:rsidP="0068485C">
            <w:pPr>
              <w:pStyle w:val="Default1"/>
              <w:rPr>
                <w:rFonts w:cs="Arial"/>
                <w:sz w:val="22"/>
                <w:szCs w:val="22"/>
                <w:lang w:eastAsia="en-US"/>
              </w:rPr>
            </w:pPr>
            <w:r>
              <w:rPr>
                <w:rFonts w:cs="Arial"/>
                <w:sz w:val="22"/>
                <w:szCs w:val="22"/>
                <w:lang w:eastAsia="en-US"/>
              </w:rPr>
              <w:t>20</w:t>
            </w:r>
          </w:p>
        </w:tc>
      </w:tr>
      <w:tr w:rsidR="0068485C" w:rsidRPr="003978D0"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7090A">
              <w:rPr>
                <w:rFonts w:cs="Arial"/>
                <w:sz w:val="22"/>
                <w:szCs w:val="22"/>
                <w:lang w:eastAsia="en-US"/>
              </w:rPr>
              <w:t>VALUE FOR MONEY</w:t>
            </w:r>
          </w:p>
        </w:tc>
        <w:tc>
          <w:tcPr>
            <w:tcW w:w="3488"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Pr>
                <w:rFonts w:cs="Arial"/>
                <w:sz w:val="22"/>
                <w:szCs w:val="22"/>
                <w:lang w:eastAsia="en-US"/>
              </w:rPr>
              <w:t>Evidence that the Tender</w:t>
            </w:r>
            <w:r w:rsidRPr="0037090A">
              <w:rPr>
                <w:rFonts w:cs="Arial"/>
                <w:sz w:val="22"/>
                <w:szCs w:val="22"/>
                <w:lang w:eastAsia="en-US"/>
              </w:rPr>
              <w:t xml:space="preserve"> provides good value for money in relation to </w:t>
            </w:r>
            <w:r>
              <w:rPr>
                <w:rFonts w:cs="Arial"/>
                <w:sz w:val="22"/>
                <w:szCs w:val="22"/>
                <w:lang w:eastAsia="en-US"/>
              </w:rPr>
              <w:t>the depth of what will be covered, the robustness of the approach, the expertise that will be used and the resource that will be committed to the project.</w:t>
            </w:r>
          </w:p>
        </w:tc>
        <w:tc>
          <w:tcPr>
            <w:tcW w:w="1541" w:type="dxa"/>
            <w:tcBorders>
              <w:top w:val="single" w:sz="4" w:space="0" w:color="000000"/>
              <w:left w:val="single" w:sz="4" w:space="0" w:color="000000"/>
              <w:bottom w:val="single" w:sz="4" w:space="0" w:color="000000"/>
              <w:right w:val="single" w:sz="4" w:space="0" w:color="000000"/>
            </w:tcBorders>
          </w:tcPr>
          <w:p w:rsidR="0068485C" w:rsidRPr="003978D0" w:rsidRDefault="0068485C" w:rsidP="0068485C">
            <w:pPr>
              <w:pStyle w:val="Default1"/>
              <w:rPr>
                <w:rFonts w:cs="Arial"/>
                <w:sz w:val="22"/>
                <w:szCs w:val="22"/>
                <w:lang w:eastAsia="en-US"/>
              </w:rPr>
            </w:pPr>
            <w:r w:rsidRPr="003978D0">
              <w:rPr>
                <w:rFonts w:cs="Arial"/>
                <w:sz w:val="22"/>
                <w:szCs w:val="22"/>
                <w:lang w:eastAsia="en-US"/>
              </w:rPr>
              <w:t>10</w:t>
            </w:r>
          </w:p>
        </w:tc>
      </w:tr>
      <w:tr w:rsidR="0068485C" w:rsidRPr="003978D0" w:rsidTr="0044476C">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rsidR="0068485C" w:rsidRPr="00C33864" w:rsidRDefault="0068485C" w:rsidP="0068485C">
            <w:pPr>
              <w:pStyle w:val="Default1"/>
              <w:rPr>
                <w:rFonts w:cs="Arial"/>
                <w:b/>
                <w:sz w:val="22"/>
                <w:szCs w:val="22"/>
                <w:lang w:eastAsia="en-US"/>
              </w:rPr>
            </w:pPr>
            <w:r w:rsidRPr="00C33864">
              <w:rPr>
                <w:rFonts w:cs="Arial"/>
                <w:b/>
                <w:sz w:val="22"/>
                <w:szCs w:val="22"/>
                <w:lang w:eastAsia="en-US"/>
              </w:rPr>
              <w:t>TOTAL</w:t>
            </w:r>
          </w:p>
        </w:tc>
        <w:tc>
          <w:tcPr>
            <w:tcW w:w="1541" w:type="dxa"/>
            <w:tcBorders>
              <w:top w:val="single" w:sz="4" w:space="0" w:color="000000"/>
              <w:left w:val="single" w:sz="4" w:space="0" w:color="000000"/>
              <w:bottom w:val="single" w:sz="4" w:space="0" w:color="000000"/>
              <w:right w:val="single" w:sz="4" w:space="0" w:color="000000"/>
            </w:tcBorders>
          </w:tcPr>
          <w:p w:rsidR="0068485C" w:rsidRPr="00C33864" w:rsidRDefault="0068485C" w:rsidP="0068485C">
            <w:pPr>
              <w:pStyle w:val="Default1"/>
              <w:rPr>
                <w:rFonts w:cs="Arial"/>
                <w:b/>
                <w:sz w:val="22"/>
                <w:szCs w:val="22"/>
                <w:lang w:eastAsia="en-US"/>
              </w:rPr>
            </w:pPr>
            <w:r w:rsidRPr="00C33864">
              <w:rPr>
                <w:rFonts w:cs="Arial"/>
                <w:b/>
                <w:sz w:val="22"/>
                <w:szCs w:val="22"/>
                <w:lang w:eastAsia="en-US"/>
              </w:rPr>
              <w:t>100</w:t>
            </w:r>
          </w:p>
        </w:tc>
      </w:tr>
    </w:tbl>
    <w:p w:rsidR="00D835ED" w:rsidRPr="003978D0" w:rsidRDefault="00D835ED" w:rsidP="00D835ED">
      <w:pPr>
        <w:rPr>
          <w:rFonts w:cs="Arial"/>
          <w:sz w:val="22"/>
          <w:szCs w:val="22"/>
        </w:rPr>
      </w:pPr>
    </w:p>
    <w:p w:rsidR="00FF6A2F" w:rsidRPr="0037090A" w:rsidRDefault="00CE1AB0" w:rsidP="00416AC3">
      <w:pPr>
        <w:jc w:val="both"/>
        <w:rPr>
          <w:rFonts w:cs="Arial"/>
          <w:sz w:val="22"/>
          <w:szCs w:val="22"/>
        </w:rPr>
      </w:pPr>
      <w:r w:rsidRPr="0037090A">
        <w:rPr>
          <w:rFonts w:cs="Arial"/>
          <w:sz w:val="22"/>
          <w:szCs w:val="22"/>
        </w:rPr>
        <w:t xml:space="preserve">The successful </w:t>
      </w:r>
      <w:r w:rsidR="00B74B2D">
        <w:rPr>
          <w:rFonts w:cs="Arial"/>
          <w:sz w:val="22"/>
          <w:szCs w:val="22"/>
        </w:rPr>
        <w:t>P</w:t>
      </w:r>
      <w:r w:rsidR="009500E2" w:rsidRPr="009500E2">
        <w:rPr>
          <w:rFonts w:cs="Arial"/>
          <w:sz w:val="22"/>
          <w:szCs w:val="22"/>
        </w:rPr>
        <w:t>rovider</w:t>
      </w:r>
      <w:r w:rsidR="00DE7DF4" w:rsidRPr="0037090A">
        <w:rPr>
          <w:rFonts w:cs="Arial"/>
          <w:sz w:val="22"/>
          <w:szCs w:val="22"/>
        </w:rPr>
        <w:t xml:space="preserve"> will be notified in writing and will be required to enter into a formal agreement with the </w:t>
      </w:r>
      <w:r w:rsidR="009500E2">
        <w:rPr>
          <w:rFonts w:cs="Arial"/>
          <w:sz w:val="22"/>
          <w:szCs w:val="22"/>
        </w:rPr>
        <w:t xml:space="preserve">Authority </w:t>
      </w:r>
      <w:r w:rsidR="00DE7DF4" w:rsidRPr="0037090A">
        <w:rPr>
          <w:rFonts w:cs="Arial"/>
          <w:sz w:val="22"/>
          <w:szCs w:val="22"/>
        </w:rPr>
        <w:t xml:space="preserve">in the form of a </w:t>
      </w:r>
      <w:r w:rsidR="009500E2">
        <w:rPr>
          <w:rFonts w:cs="Arial"/>
          <w:sz w:val="22"/>
          <w:szCs w:val="22"/>
        </w:rPr>
        <w:t>C</w:t>
      </w:r>
      <w:r w:rsidR="00DE7DF4" w:rsidRPr="0037090A">
        <w:rPr>
          <w:rFonts w:cs="Arial"/>
          <w:sz w:val="22"/>
          <w:szCs w:val="22"/>
        </w:rPr>
        <w:t>ontract</w:t>
      </w:r>
      <w:r w:rsidR="00D835ED" w:rsidRPr="0037090A">
        <w:rPr>
          <w:rFonts w:cs="Arial"/>
          <w:sz w:val="22"/>
          <w:szCs w:val="22"/>
        </w:rPr>
        <w:t>.</w:t>
      </w:r>
      <w:r w:rsidR="005B571F">
        <w:rPr>
          <w:rFonts w:cs="Arial"/>
          <w:sz w:val="22"/>
          <w:szCs w:val="22"/>
        </w:rPr>
        <w:t xml:space="preserve"> </w:t>
      </w:r>
      <w:r w:rsidR="00DE7DF4" w:rsidRPr="0037090A">
        <w:rPr>
          <w:rFonts w:cs="Arial"/>
          <w:sz w:val="22"/>
          <w:szCs w:val="22"/>
        </w:rPr>
        <w:t xml:space="preserve">All unsuccessful </w:t>
      </w:r>
      <w:r w:rsidR="009500E2">
        <w:rPr>
          <w:rFonts w:cs="Arial"/>
          <w:sz w:val="22"/>
          <w:szCs w:val="22"/>
        </w:rPr>
        <w:t>T</w:t>
      </w:r>
      <w:r w:rsidR="00DE7DF4" w:rsidRPr="0037090A">
        <w:rPr>
          <w:rFonts w:cs="Arial"/>
          <w:sz w:val="22"/>
          <w:szCs w:val="22"/>
        </w:rPr>
        <w:t>enders will be notified at contract award</w:t>
      </w:r>
      <w:r w:rsidR="00B2532C">
        <w:rPr>
          <w:rFonts w:cs="Arial"/>
          <w:sz w:val="22"/>
          <w:szCs w:val="22"/>
        </w:rPr>
        <w:t xml:space="preserve"> stage</w:t>
      </w:r>
      <w:r w:rsidR="00DE7DF4" w:rsidRPr="0037090A">
        <w:rPr>
          <w:rFonts w:cs="Arial"/>
          <w:sz w:val="22"/>
          <w:szCs w:val="22"/>
        </w:rPr>
        <w:t>.</w:t>
      </w:r>
    </w:p>
    <w:p w:rsidR="002454B0" w:rsidRPr="003978D0" w:rsidRDefault="002454B0" w:rsidP="00F86E0D">
      <w:pPr>
        <w:pStyle w:val="Heading2"/>
        <w:spacing w:before="120" w:after="120"/>
        <w:rPr>
          <w:rFonts w:cs="Arial"/>
          <w:b w:val="0"/>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Canvassing</w:t>
      </w:r>
    </w:p>
    <w:p w:rsidR="00DE7DF4" w:rsidRPr="0037090A" w:rsidRDefault="00DE7DF4" w:rsidP="00416AC3">
      <w:pPr>
        <w:jc w:val="both"/>
        <w:rPr>
          <w:rFonts w:cs="Arial"/>
          <w:sz w:val="22"/>
          <w:szCs w:val="22"/>
        </w:rPr>
      </w:pPr>
      <w:r w:rsidRPr="0037090A">
        <w:rPr>
          <w:rFonts w:cs="Arial"/>
          <w:sz w:val="22"/>
          <w:szCs w:val="22"/>
        </w:rPr>
        <w:t xml:space="preserve">Any </w:t>
      </w:r>
      <w:r w:rsidR="004F6E58">
        <w:rPr>
          <w:rFonts w:cs="Arial"/>
          <w:sz w:val="22"/>
          <w:szCs w:val="22"/>
        </w:rPr>
        <w:t>Potential Provider</w:t>
      </w:r>
      <w:r w:rsidRPr="0037090A">
        <w:rPr>
          <w:rFonts w:cs="Arial"/>
          <w:sz w:val="22"/>
          <w:szCs w:val="22"/>
        </w:rPr>
        <w:t xml:space="preserve"> who directly or indirectly canvas</w:t>
      </w:r>
      <w:r w:rsidR="006C0B4B">
        <w:rPr>
          <w:rFonts w:cs="Arial"/>
          <w:sz w:val="22"/>
          <w:szCs w:val="22"/>
        </w:rPr>
        <w:t>s</w:t>
      </w:r>
      <w:r w:rsidRPr="0037090A">
        <w:rPr>
          <w:rFonts w:cs="Arial"/>
          <w:sz w:val="22"/>
          <w:szCs w:val="22"/>
        </w:rPr>
        <w:t>es any member, official</w:t>
      </w:r>
      <w:r w:rsidR="00B2532C">
        <w:rPr>
          <w:rFonts w:cs="Arial"/>
          <w:sz w:val="22"/>
          <w:szCs w:val="22"/>
        </w:rPr>
        <w:t>, officer, public sector employee</w:t>
      </w:r>
      <w:r w:rsidRPr="0037090A">
        <w:rPr>
          <w:rFonts w:cs="Arial"/>
          <w:sz w:val="22"/>
          <w:szCs w:val="22"/>
        </w:rPr>
        <w:t xml:space="preserve"> or agent of the </w:t>
      </w:r>
      <w:r w:rsidR="00416AC3">
        <w:rPr>
          <w:rFonts w:cs="Arial"/>
          <w:sz w:val="22"/>
          <w:szCs w:val="22"/>
        </w:rPr>
        <w:t xml:space="preserve">Authority </w:t>
      </w:r>
      <w:r w:rsidRPr="0037090A">
        <w:rPr>
          <w:rFonts w:cs="Arial"/>
          <w:sz w:val="22"/>
          <w:szCs w:val="22"/>
        </w:rPr>
        <w:t xml:space="preserve">concerning the award of the Contract for the provision of the </w:t>
      </w:r>
      <w:r w:rsidR="00B2532C">
        <w:rPr>
          <w:rFonts w:cs="Arial"/>
          <w:sz w:val="22"/>
          <w:szCs w:val="22"/>
        </w:rPr>
        <w:t>S</w:t>
      </w:r>
      <w:r w:rsidRPr="0037090A">
        <w:rPr>
          <w:rFonts w:cs="Arial"/>
          <w:sz w:val="22"/>
          <w:szCs w:val="22"/>
        </w:rPr>
        <w:t>ervices, or who directly or indirectly obtains or attempts to obtain information from any member, official</w:t>
      </w:r>
      <w:r w:rsidR="00B2532C">
        <w:rPr>
          <w:rFonts w:cs="Arial"/>
          <w:sz w:val="22"/>
          <w:szCs w:val="22"/>
        </w:rPr>
        <w:t>, officer, public sector employee</w:t>
      </w:r>
      <w:r w:rsidRPr="0037090A">
        <w:rPr>
          <w:rFonts w:cs="Arial"/>
          <w:sz w:val="22"/>
          <w:szCs w:val="22"/>
        </w:rPr>
        <w:t xml:space="preserve"> or agent of the </w:t>
      </w:r>
      <w:r w:rsidR="00B2532C">
        <w:rPr>
          <w:rFonts w:cs="Arial"/>
          <w:sz w:val="22"/>
          <w:szCs w:val="22"/>
        </w:rPr>
        <w:t>Authority</w:t>
      </w:r>
      <w:r w:rsidRPr="0037090A">
        <w:rPr>
          <w:rFonts w:cs="Arial"/>
          <w:sz w:val="22"/>
          <w:szCs w:val="22"/>
        </w:rPr>
        <w:t xml:space="preserve"> concerning any other tender or proposed tender for the </w:t>
      </w:r>
      <w:r w:rsidR="00B2532C">
        <w:rPr>
          <w:rFonts w:cs="Arial"/>
          <w:sz w:val="22"/>
          <w:szCs w:val="22"/>
        </w:rPr>
        <w:t>S</w:t>
      </w:r>
      <w:r w:rsidRPr="0037090A">
        <w:rPr>
          <w:rFonts w:cs="Arial"/>
          <w:sz w:val="22"/>
          <w:szCs w:val="22"/>
        </w:rPr>
        <w:t>ervices described herein, shall be disqualified</w:t>
      </w:r>
      <w:r w:rsidR="00B2532C">
        <w:rPr>
          <w:rFonts w:cs="Arial"/>
          <w:sz w:val="22"/>
          <w:szCs w:val="22"/>
        </w:rPr>
        <w:t xml:space="preserve"> from this Procurement</w:t>
      </w:r>
      <w:r w:rsidRPr="0037090A">
        <w:rPr>
          <w:rFonts w:cs="Arial"/>
          <w:sz w:val="22"/>
          <w:szCs w:val="22"/>
        </w:rPr>
        <w:t>.</w:t>
      </w:r>
    </w:p>
    <w:p w:rsidR="00F036F4" w:rsidRPr="002B67F2" w:rsidRDefault="00F036F4" w:rsidP="00F86E0D">
      <w:pPr>
        <w:pStyle w:val="Heading2"/>
        <w:spacing w:before="120" w:after="120"/>
        <w:rPr>
          <w:rFonts w:cs="Arial"/>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 xml:space="preserve">Confidentiality of </w:t>
      </w:r>
      <w:r w:rsidR="004F6E58" w:rsidRPr="00EE0ED2">
        <w:rPr>
          <w:rFonts w:cs="Arial"/>
          <w:b/>
          <w:sz w:val="22"/>
          <w:szCs w:val="22"/>
        </w:rPr>
        <w:t>T</w:t>
      </w:r>
      <w:r w:rsidRPr="00EE0ED2">
        <w:rPr>
          <w:rFonts w:cs="Arial"/>
          <w:b/>
          <w:sz w:val="22"/>
          <w:szCs w:val="22"/>
        </w:rPr>
        <w:t xml:space="preserve">ender </w:t>
      </w:r>
      <w:r w:rsidR="004F6E58" w:rsidRPr="00EE0ED2">
        <w:rPr>
          <w:rFonts w:cs="Arial"/>
          <w:b/>
          <w:sz w:val="22"/>
          <w:szCs w:val="22"/>
        </w:rPr>
        <w:t>I</w:t>
      </w:r>
      <w:r w:rsidRPr="00EE0ED2">
        <w:rPr>
          <w:rFonts w:cs="Arial"/>
          <w:b/>
          <w:sz w:val="22"/>
          <w:szCs w:val="22"/>
        </w:rPr>
        <w:t xml:space="preserve">nformation and </w:t>
      </w:r>
      <w:r w:rsidR="004F6E58" w:rsidRPr="00EE0ED2">
        <w:rPr>
          <w:rFonts w:cs="Arial"/>
          <w:b/>
          <w:sz w:val="22"/>
          <w:szCs w:val="22"/>
        </w:rPr>
        <w:t>D</w:t>
      </w:r>
      <w:r w:rsidRPr="00EE0ED2">
        <w:rPr>
          <w:rFonts w:cs="Arial"/>
          <w:b/>
          <w:sz w:val="22"/>
          <w:szCs w:val="22"/>
        </w:rPr>
        <w:t>ocumentation</w:t>
      </w:r>
    </w:p>
    <w:p w:rsidR="00DE7DF4" w:rsidRPr="003978D0" w:rsidRDefault="00DE7DF4" w:rsidP="007C08BE">
      <w:pPr>
        <w:pStyle w:val="Heading3"/>
        <w:numPr>
          <w:ilvl w:val="0"/>
          <w:numId w:val="16"/>
        </w:numPr>
        <w:jc w:val="both"/>
        <w:rPr>
          <w:rFonts w:cs="Arial"/>
          <w:kern w:val="0"/>
          <w:sz w:val="22"/>
          <w:szCs w:val="22"/>
        </w:rPr>
      </w:pPr>
      <w:r w:rsidRPr="003978D0">
        <w:rPr>
          <w:rFonts w:cs="Arial"/>
          <w:kern w:val="0"/>
          <w:sz w:val="22"/>
          <w:szCs w:val="22"/>
        </w:rPr>
        <w:t xml:space="preserve">All information supplied by the </w:t>
      </w:r>
      <w:r w:rsidR="00416AC3" w:rsidRPr="003978D0">
        <w:rPr>
          <w:rFonts w:cs="Arial"/>
          <w:kern w:val="0"/>
          <w:sz w:val="22"/>
          <w:szCs w:val="22"/>
        </w:rPr>
        <w:t>Authority</w:t>
      </w:r>
      <w:r w:rsidRPr="003978D0">
        <w:rPr>
          <w:rFonts w:cs="Arial"/>
          <w:kern w:val="0"/>
          <w:sz w:val="22"/>
          <w:szCs w:val="22"/>
        </w:rPr>
        <w:t xml:space="preserve"> in connection with this </w:t>
      </w:r>
      <w:r w:rsidR="00416AC3" w:rsidRPr="003978D0">
        <w:rPr>
          <w:rFonts w:cs="Arial"/>
          <w:kern w:val="0"/>
          <w:sz w:val="22"/>
          <w:szCs w:val="22"/>
        </w:rPr>
        <w:t>T</w:t>
      </w:r>
      <w:r w:rsidRPr="003978D0">
        <w:rPr>
          <w:rFonts w:cs="Arial"/>
          <w:kern w:val="0"/>
          <w:sz w:val="22"/>
          <w:szCs w:val="22"/>
        </w:rPr>
        <w:t>ender shall be regarded as confidential</w:t>
      </w:r>
      <w:r w:rsidR="00416AC3" w:rsidRPr="003978D0">
        <w:rPr>
          <w:rFonts w:cs="Arial"/>
          <w:kern w:val="0"/>
          <w:sz w:val="22"/>
          <w:szCs w:val="22"/>
        </w:rPr>
        <w:t xml:space="preserve"> at all times, unless it is already in the public domain and the </w:t>
      </w:r>
      <w:r w:rsidR="004F6E58" w:rsidRPr="003978D0">
        <w:rPr>
          <w:rFonts w:cs="Arial"/>
          <w:kern w:val="0"/>
          <w:sz w:val="22"/>
          <w:szCs w:val="22"/>
        </w:rPr>
        <w:t>Potential Provider</w:t>
      </w:r>
      <w:r w:rsidR="00416AC3" w:rsidRPr="003978D0">
        <w:rPr>
          <w:rFonts w:cs="Arial"/>
          <w:kern w:val="0"/>
          <w:sz w:val="22"/>
          <w:szCs w:val="22"/>
        </w:rPr>
        <w:t xml:space="preserve"> shall only use</w:t>
      </w:r>
      <w:r w:rsidR="00BF3477" w:rsidRPr="003978D0">
        <w:rPr>
          <w:rFonts w:cs="Arial"/>
          <w:kern w:val="0"/>
          <w:sz w:val="22"/>
          <w:szCs w:val="22"/>
        </w:rPr>
        <w:t xml:space="preserve"> such i</w:t>
      </w:r>
      <w:r w:rsidR="00416AC3" w:rsidRPr="003978D0">
        <w:rPr>
          <w:rFonts w:cs="Arial"/>
          <w:kern w:val="0"/>
          <w:sz w:val="22"/>
          <w:szCs w:val="22"/>
        </w:rPr>
        <w:t xml:space="preserve">nformation for the purposes of preparing a </w:t>
      </w:r>
      <w:r w:rsidR="006C0B4B" w:rsidRPr="003978D0">
        <w:rPr>
          <w:rFonts w:cs="Arial"/>
          <w:kern w:val="0"/>
          <w:sz w:val="22"/>
          <w:szCs w:val="22"/>
        </w:rPr>
        <w:t>R</w:t>
      </w:r>
      <w:r w:rsidR="00416AC3" w:rsidRPr="003978D0">
        <w:rPr>
          <w:rFonts w:cs="Arial"/>
          <w:kern w:val="0"/>
          <w:sz w:val="22"/>
          <w:szCs w:val="22"/>
        </w:rPr>
        <w:t>esponse (or deciding whether to respond)</w:t>
      </w:r>
      <w:r w:rsidR="00BF3477" w:rsidRPr="003978D0">
        <w:rPr>
          <w:rFonts w:cs="Arial"/>
          <w:kern w:val="0"/>
          <w:sz w:val="22"/>
          <w:szCs w:val="22"/>
        </w:rPr>
        <w:t>.</w:t>
      </w:r>
    </w:p>
    <w:p w:rsidR="00DE7DF4" w:rsidRPr="00BF3477" w:rsidRDefault="00DE7DF4" w:rsidP="00F86E0D">
      <w:pPr>
        <w:rPr>
          <w:rFonts w:cs="Arial"/>
          <w:sz w:val="22"/>
          <w:szCs w:val="22"/>
        </w:rPr>
      </w:pPr>
    </w:p>
    <w:p w:rsidR="00DE7DF4" w:rsidRPr="003978D0" w:rsidRDefault="00DE7DF4" w:rsidP="007C08BE">
      <w:pPr>
        <w:pStyle w:val="ListParagraph"/>
        <w:numPr>
          <w:ilvl w:val="0"/>
          <w:numId w:val="16"/>
        </w:numPr>
        <w:jc w:val="both"/>
        <w:rPr>
          <w:rFonts w:ascii="Arial" w:eastAsia="Times New Roman" w:hAnsi="Arial"/>
          <w:lang w:val="en-GB" w:bidi="ar-SA"/>
        </w:rPr>
      </w:pPr>
      <w:r w:rsidRPr="003978D0">
        <w:rPr>
          <w:rFonts w:ascii="Arial" w:eastAsia="Times New Roman" w:hAnsi="Arial"/>
          <w:lang w:val="en-GB" w:bidi="ar-SA"/>
        </w:rPr>
        <w:t>The I</w:t>
      </w:r>
      <w:r w:rsidR="00BF3477" w:rsidRPr="003978D0">
        <w:rPr>
          <w:rFonts w:ascii="Arial" w:eastAsia="Times New Roman" w:hAnsi="Arial"/>
          <w:lang w:val="en-GB" w:bidi="ar-SA"/>
        </w:rPr>
        <w:t>TT</w:t>
      </w:r>
      <w:r w:rsidRPr="003978D0">
        <w:rPr>
          <w:rFonts w:ascii="Arial" w:eastAsia="Times New Roman" w:hAnsi="Arial"/>
          <w:lang w:val="en-GB" w:bidi="ar-SA"/>
        </w:rPr>
        <w:t xml:space="preserve"> and accompanying documentation and publications are and shall remain the property of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and must be returned upon demand to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w:t>
      </w:r>
      <w:r w:rsidR="004F6E58" w:rsidRPr="003978D0">
        <w:rPr>
          <w:rFonts w:ascii="Arial" w:eastAsia="Times New Roman" w:hAnsi="Arial"/>
          <w:lang w:val="en-GB" w:bidi="ar-SA"/>
        </w:rPr>
        <w:t xml:space="preserve">The Potential Providers grant the Authority an irrevocable, perpetual, non-exclusive licence to copy, amend and reproduce any intellectual property contained within the </w:t>
      </w:r>
      <w:r w:rsidR="006C0B4B" w:rsidRPr="003978D0">
        <w:rPr>
          <w:rFonts w:ascii="Arial" w:eastAsia="Times New Roman" w:hAnsi="Arial"/>
          <w:lang w:val="en-GB" w:bidi="ar-SA"/>
        </w:rPr>
        <w:t>R</w:t>
      </w:r>
      <w:r w:rsidR="004F6E58" w:rsidRPr="003978D0">
        <w:rPr>
          <w:rFonts w:ascii="Arial" w:eastAsia="Times New Roman" w:hAnsi="Arial"/>
          <w:lang w:val="en-GB" w:bidi="ar-SA"/>
        </w:rPr>
        <w:t xml:space="preserve">esponse for the purposes of carrying out this Procurement; complying with the law and/or any government guidance; and/or carrying out the Authority’s business activities.  </w:t>
      </w:r>
    </w:p>
    <w:p w:rsidR="00BF3477" w:rsidRPr="003978D0" w:rsidRDefault="00BF3477" w:rsidP="007C08BE">
      <w:pPr>
        <w:pStyle w:val="Heading2"/>
        <w:numPr>
          <w:ilvl w:val="0"/>
          <w:numId w:val="16"/>
        </w:numPr>
        <w:jc w:val="both"/>
        <w:rPr>
          <w:rFonts w:cs="Arial"/>
          <w:b w:val="0"/>
          <w:kern w:val="0"/>
          <w:sz w:val="22"/>
          <w:szCs w:val="22"/>
        </w:rPr>
      </w:pPr>
      <w:bookmarkStart w:id="8" w:name="_Ref273963902"/>
      <w:r w:rsidRPr="003978D0">
        <w:rPr>
          <w:rFonts w:cs="Arial"/>
          <w:b w:val="0"/>
          <w:kern w:val="0"/>
          <w:sz w:val="22"/>
          <w:szCs w:val="22"/>
        </w:rPr>
        <w:lastRenderedPageBreak/>
        <w:t>A Potential Provider may disclose, distribute or pass any of the information</w:t>
      </w:r>
      <w:r w:rsidR="009D1224" w:rsidRPr="003978D0">
        <w:rPr>
          <w:rFonts w:cs="Arial"/>
          <w:b w:val="0"/>
          <w:kern w:val="0"/>
          <w:sz w:val="22"/>
          <w:szCs w:val="22"/>
        </w:rPr>
        <w:t xml:space="preserve"> </w:t>
      </w:r>
      <w:r w:rsidRPr="003978D0">
        <w:rPr>
          <w:rFonts w:cs="Arial"/>
          <w:b w:val="0"/>
          <w:kern w:val="0"/>
          <w:sz w:val="22"/>
          <w:szCs w:val="22"/>
        </w:rPr>
        <w:t>supplied by the Authority to its advisers, agents, subcontractors, consortium members or to another person provided that:</w:t>
      </w:r>
      <w:bookmarkEnd w:id="8"/>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 xml:space="preserve">it is done for the sole purpose of enabling it to submit a </w:t>
      </w:r>
      <w:r w:rsidR="006C0B4B" w:rsidRPr="003978D0">
        <w:rPr>
          <w:rFonts w:cs="Arial"/>
          <w:kern w:val="0"/>
          <w:sz w:val="22"/>
          <w:szCs w:val="22"/>
        </w:rPr>
        <w:t>R</w:t>
      </w:r>
      <w:r w:rsidRPr="003978D0">
        <w:rPr>
          <w:rFonts w:cs="Arial"/>
          <w:kern w:val="0"/>
          <w:sz w:val="22"/>
          <w:szCs w:val="22"/>
        </w:rPr>
        <w:t>espons</w:t>
      </w:r>
      <w:r w:rsidR="002B193A" w:rsidRPr="003978D0">
        <w:rPr>
          <w:rFonts w:cs="Arial"/>
          <w:kern w:val="0"/>
          <w:sz w:val="22"/>
          <w:szCs w:val="22"/>
        </w:rPr>
        <w:t>e and the person receiving the i</w:t>
      </w:r>
      <w:r w:rsidRPr="003978D0">
        <w:rPr>
          <w:rFonts w:cs="Arial"/>
          <w:kern w:val="0"/>
          <w:sz w:val="22"/>
          <w:szCs w:val="22"/>
        </w:rPr>
        <w:t xml:space="preserve">nformation undertakes to keep the </w:t>
      </w:r>
      <w:r w:rsidR="002B193A" w:rsidRPr="003978D0">
        <w:rPr>
          <w:rFonts w:cs="Arial"/>
          <w:kern w:val="0"/>
          <w:sz w:val="22"/>
          <w:szCs w:val="22"/>
        </w:rPr>
        <w:t>i</w:t>
      </w:r>
      <w:r w:rsidRPr="003978D0">
        <w:rPr>
          <w:rFonts w:cs="Arial"/>
          <w:kern w:val="0"/>
          <w:sz w:val="22"/>
          <w:szCs w:val="22"/>
        </w:rPr>
        <w:t>nformation confidential on the same terms imposed by th</w:t>
      </w:r>
      <w:r w:rsidR="002B193A" w:rsidRPr="003978D0">
        <w:rPr>
          <w:rFonts w:cs="Arial"/>
          <w:kern w:val="0"/>
          <w:sz w:val="22"/>
          <w:szCs w:val="22"/>
        </w:rPr>
        <w:t>is ITT</w:t>
      </w:r>
      <w:r w:rsidRPr="003978D0">
        <w:rPr>
          <w:rFonts w:cs="Arial"/>
          <w:kern w:val="0"/>
          <w:sz w:val="22"/>
          <w:szCs w:val="22"/>
        </w:rPr>
        <w:t>;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it obtains the Authority’s prior written consent in relation to such disclosu</w:t>
      </w:r>
      <w:r w:rsidR="002B193A" w:rsidRPr="003978D0">
        <w:rPr>
          <w:rFonts w:cs="Arial"/>
          <w:kern w:val="0"/>
          <w:sz w:val="22"/>
          <w:szCs w:val="22"/>
        </w:rPr>
        <w:t>re, distribution or passing of i</w:t>
      </w:r>
      <w:r w:rsidRPr="003978D0">
        <w:rPr>
          <w:rFonts w:cs="Arial"/>
          <w:kern w:val="0"/>
          <w:sz w:val="22"/>
          <w:szCs w:val="22"/>
        </w:rPr>
        <w:t>nformation;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the disclosure is made for the sole purpose of obtaining legal advice from external lawyers in relation to the Procurement; or</w:t>
      </w:r>
    </w:p>
    <w:p w:rsidR="00BF3477" w:rsidRPr="003978D0" w:rsidRDefault="00BF3477" w:rsidP="007C08BE">
      <w:pPr>
        <w:pStyle w:val="Heading3"/>
        <w:numPr>
          <w:ilvl w:val="0"/>
          <w:numId w:val="18"/>
        </w:numPr>
        <w:jc w:val="both"/>
        <w:rPr>
          <w:rFonts w:cs="Arial"/>
          <w:kern w:val="0"/>
          <w:sz w:val="22"/>
          <w:szCs w:val="22"/>
        </w:rPr>
      </w:pPr>
      <w:r w:rsidRPr="003978D0">
        <w:rPr>
          <w:rFonts w:cs="Arial"/>
          <w:kern w:val="0"/>
          <w:sz w:val="22"/>
          <w:szCs w:val="22"/>
        </w:rPr>
        <w:t>the Potential Provider is legally required to make such a disclosure</w:t>
      </w:r>
      <w:r w:rsidR="006C0B4B" w:rsidRPr="003978D0">
        <w:rPr>
          <w:rFonts w:cs="Arial"/>
          <w:kern w:val="0"/>
          <w:sz w:val="22"/>
          <w:szCs w:val="22"/>
        </w:rPr>
        <w:t>.</w:t>
      </w:r>
    </w:p>
    <w:p w:rsidR="00FF6A2F" w:rsidRPr="003978D0" w:rsidRDefault="00FF6A2F" w:rsidP="00F86E0D">
      <w:pPr>
        <w:pStyle w:val="Heading2"/>
        <w:spacing w:before="120" w:after="120"/>
        <w:rPr>
          <w:rFonts w:cs="Arial"/>
          <w:b w:val="0"/>
          <w:kern w:val="0"/>
          <w:sz w:val="22"/>
          <w:szCs w:val="22"/>
        </w:rPr>
      </w:pPr>
    </w:p>
    <w:p w:rsidR="00DE7DF4" w:rsidRPr="00EE0ED2" w:rsidRDefault="005D0C4B" w:rsidP="00EE0ED2">
      <w:pPr>
        <w:pStyle w:val="A2"/>
        <w:numPr>
          <w:ilvl w:val="1"/>
          <w:numId w:val="10"/>
        </w:numPr>
        <w:spacing w:before="80"/>
        <w:rPr>
          <w:rFonts w:cs="Arial"/>
          <w:b/>
          <w:sz w:val="22"/>
          <w:szCs w:val="22"/>
        </w:rPr>
      </w:pPr>
      <w:r w:rsidRPr="00EE0ED2">
        <w:rPr>
          <w:rFonts w:cs="Arial"/>
          <w:b/>
          <w:sz w:val="22"/>
          <w:szCs w:val="22"/>
        </w:rPr>
        <w:t>Collusion</w:t>
      </w:r>
    </w:p>
    <w:p w:rsidR="00DE7DF4" w:rsidRDefault="00CE1AB0" w:rsidP="00F86E0D">
      <w:pPr>
        <w:rPr>
          <w:rFonts w:cs="Arial"/>
          <w:sz w:val="22"/>
          <w:szCs w:val="22"/>
        </w:rPr>
      </w:pPr>
      <w:r w:rsidRPr="0037090A">
        <w:rPr>
          <w:rFonts w:cs="Arial"/>
          <w:sz w:val="22"/>
          <w:szCs w:val="22"/>
        </w:rPr>
        <w:t xml:space="preserve">Any </w:t>
      </w:r>
      <w:r w:rsidR="004F6E58">
        <w:rPr>
          <w:rFonts w:cs="Arial"/>
          <w:sz w:val="22"/>
          <w:szCs w:val="22"/>
        </w:rPr>
        <w:t>Potential Provider</w:t>
      </w:r>
      <w:r w:rsidR="00DE7DF4" w:rsidRPr="0037090A">
        <w:rPr>
          <w:rFonts w:cs="Arial"/>
          <w:sz w:val="22"/>
          <w:szCs w:val="22"/>
        </w:rPr>
        <w:t xml:space="preserve"> who:</w:t>
      </w:r>
    </w:p>
    <w:p w:rsidR="002B67F2" w:rsidRPr="0037090A" w:rsidRDefault="002B67F2" w:rsidP="00F86E0D">
      <w:pPr>
        <w:rPr>
          <w:rFonts w:cs="Arial"/>
          <w:sz w:val="22"/>
          <w:szCs w:val="22"/>
        </w:rPr>
      </w:pPr>
    </w:p>
    <w:p w:rsidR="0032386B" w:rsidRPr="003978D0"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Fixe</w:t>
      </w:r>
      <w:r w:rsidR="00C225D8" w:rsidRPr="003978D0">
        <w:rPr>
          <w:rFonts w:ascii="Arial" w:eastAsia="Times New Roman" w:hAnsi="Arial"/>
          <w:lang w:val="en-GB" w:bidi="ar-SA"/>
        </w:rPr>
        <w:t xml:space="preserve">s or adjusts the amount of his </w:t>
      </w:r>
      <w:r w:rsidR="00B2532C" w:rsidRPr="003978D0">
        <w:rPr>
          <w:rFonts w:ascii="Arial" w:eastAsia="Times New Roman" w:hAnsi="Arial"/>
          <w:lang w:val="en-GB" w:bidi="ar-SA"/>
        </w:rPr>
        <w:t>T</w:t>
      </w:r>
      <w:r w:rsidRPr="003978D0">
        <w:rPr>
          <w:rFonts w:ascii="Arial" w:eastAsia="Times New Roman" w:hAnsi="Arial"/>
          <w:lang w:val="en-GB" w:bidi="ar-SA"/>
        </w:rPr>
        <w:t>ender by or in accordance with any agreement with any party,</w:t>
      </w:r>
      <w:r w:rsidR="009500E2" w:rsidRPr="003978D0">
        <w:rPr>
          <w:rFonts w:ascii="Arial" w:eastAsia="Times New Roman" w:hAnsi="Arial"/>
          <w:lang w:val="en-GB" w:bidi="ar-SA"/>
        </w:rPr>
        <w:t xml:space="preserve"> OR</w:t>
      </w:r>
    </w:p>
    <w:p w:rsidR="00DE7DF4" w:rsidRPr="002B67F2"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 xml:space="preserve">Communicates to any other party (other than the </w:t>
      </w:r>
      <w:r w:rsidR="00B2532C" w:rsidRPr="003978D0">
        <w:rPr>
          <w:rFonts w:ascii="Arial" w:eastAsia="Times New Roman" w:hAnsi="Arial"/>
          <w:lang w:val="en-GB" w:bidi="ar-SA"/>
        </w:rPr>
        <w:t>Authority</w:t>
      </w:r>
      <w:r w:rsidRPr="003978D0">
        <w:rPr>
          <w:rFonts w:ascii="Arial" w:eastAsia="Times New Roman" w:hAnsi="Arial"/>
          <w:lang w:val="en-GB" w:bidi="ar-SA"/>
        </w:rPr>
        <w:t>) the appr</w:t>
      </w:r>
      <w:r w:rsidR="00CE1AB0" w:rsidRPr="003978D0">
        <w:rPr>
          <w:rFonts w:ascii="Arial" w:eastAsia="Times New Roman" w:hAnsi="Arial"/>
          <w:lang w:val="en-GB" w:bidi="ar-SA"/>
        </w:rPr>
        <w:t xml:space="preserve">oximate amount of the proposed </w:t>
      </w:r>
      <w:r w:rsidR="00B2532C" w:rsidRPr="003978D0">
        <w:rPr>
          <w:rFonts w:ascii="Arial" w:eastAsia="Times New Roman" w:hAnsi="Arial"/>
          <w:lang w:val="en-GB" w:bidi="ar-SA"/>
        </w:rPr>
        <w:t>value,</w:t>
      </w:r>
      <w:r w:rsidR="006C0B4B" w:rsidRPr="003978D0">
        <w:rPr>
          <w:rFonts w:ascii="Arial" w:eastAsia="Times New Roman" w:hAnsi="Arial"/>
          <w:lang w:val="en-GB" w:bidi="ar-SA"/>
        </w:rPr>
        <w:t xml:space="preserve"> price or rates set out in the R</w:t>
      </w:r>
      <w:r w:rsidR="00B2532C" w:rsidRPr="003978D0">
        <w:rPr>
          <w:rFonts w:ascii="Arial" w:eastAsia="Times New Roman" w:hAnsi="Arial"/>
          <w:lang w:val="en-GB" w:bidi="ar-SA"/>
        </w:rPr>
        <w:t xml:space="preserve">esponse </w:t>
      </w:r>
      <w:r w:rsidR="006C0B4B" w:rsidRPr="003978D0">
        <w:rPr>
          <w:rFonts w:ascii="Arial" w:eastAsia="Times New Roman" w:hAnsi="Arial"/>
          <w:lang w:val="en-GB" w:bidi="ar-SA"/>
        </w:rPr>
        <w:t>T</w:t>
      </w:r>
      <w:r w:rsidRPr="003978D0">
        <w:rPr>
          <w:rFonts w:ascii="Arial" w:eastAsia="Times New Roman" w:hAnsi="Arial"/>
          <w:lang w:val="en-GB" w:bidi="ar-SA"/>
        </w:rPr>
        <w:t>ender, (except where disclosure is made confidentiality and is deemed necessary to obtain quotations for insurance and contract guarantee bond valuation),</w:t>
      </w:r>
      <w:r w:rsidR="009500E2" w:rsidRPr="003978D0">
        <w:rPr>
          <w:rFonts w:ascii="Arial" w:eastAsia="Times New Roman" w:hAnsi="Arial"/>
          <w:lang w:val="en-GB" w:bidi="ar-SA"/>
        </w:rPr>
        <w:t xml:space="preserve"> OR</w:t>
      </w:r>
      <w:r w:rsidRPr="003978D0">
        <w:rPr>
          <w:rFonts w:ascii="Arial" w:eastAsia="Times New Roman" w:hAnsi="Arial"/>
          <w:lang w:val="en-GB" w:bidi="ar-SA"/>
        </w:rPr>
        <w:t xml:space="preserve">  </w:t>
      </w:r>
    </w:p>
    <w:p w:rsidR="00DE7DF4" w:rsidRPr="002B67F2"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Enters into an agreement or arrangement with any other party that they will refrain from tender</w:t>
      </w:r>
      <w:r w:rsidR="00CE1AB0" w:rsidRPr="003978D0">
        <w:rPr>
          <w:rFonts w:ascii="Arial" w:eastAsia="Times New Roman" w:hAnsi="Arial"/>
          <w:lang w:val="en-GB" w:bidi="ar-SA"/>
        </w:rPr>
        <w:t>ing or as to the amount of any t</w:t>
      </w:r>
      <w:r w:rsidRPr="003978D0">
        <w:rPr>
          <w:rFonts w:ascii="Arial" w:eastAsia="Times New Roman" w:hAnsi="Arial"/>
          <w:lang w:val="en-GB" w:bidi="ar-SA"/>
        </w:rPr>
        <w:t>ender submitted,</w:t>
      </w:r>
      <w:r w:rsidR="009500E2" w:rsidRPr="003978D0">
        <w:rPr>
          <w:rFonts w:ascii="Arial" w:eastAsia="Times New Roman" w:hAnsi="Arial"/>
          <w:lang w:val="en-GB" w:bidi="ar-SA"/>
        </w:rPr>
        <w:t xml:space="preserve"> OR</w:t>
      </w:r>
    </w:p>
    <w:p w:rsidR="003978D0" w:rsidRPr="003978D0" w:rsidRDefault="00DE7DF4" w:rsidP="007C08BE">
      <w:pPr>
        <w:pStyle w:val="ListParagraph"/>
        <w:numPr>
          <w:ilvl w:val="0"/>
          <w:numId w:val="23"/>
        </w:numPr>
        <w:jc w:val="both"/>
        <w:rPr>
          <w:rFonts w:ascii="Arial" w:eastAsia="Times New Roman" w:hAnsi="Arial"/>
          <w:lang w:val="en-GB" w:bidi="ar-SA"/>
        </w:rPr>
      </w:pPr>
      <w:r w:rsidRPr="003978D0">
        <w:rPr>
          <w:rFonts w:ascii="Arial" w:eastAsia="Times New Roman" w:hAnsi="Arial"/>
          <w:lang w:val="en-GB" w:bidi="ar-SA"/>
        </w:rPr>
        <w:t>Offers or agrees to pay, give, or does pay any sum of money, inducement or valuable consideration directly or indirectly to any person for doing or having done, causing or having caused to be</w:t>
      </w:r>
      <w:r w:rsidR="00CE1AB0" w:rsidRPr="003978D0">
        <w:rPr>
          <w:rFonts w:ascii="Arial" w:eastAsia="Times New Roman" w:hAnsi="Arial"/>
          <w:lang w:val="en-GB" w:bidi="ar-SA"/>
        </w:rPr>
        <w:t xml:space="preserve"> done in relation to any other t</w:t>
      </w:r>
      <w:r w:rsidRPr="003978D0">
        <w:rPr>
          <w:rFonts w:ascii="Arial" w:eastAsia="Times New Roman" w:hAnsi="Arial"/>
          <w:lang w:val="en-GB" w:bidi="ar-SA"/>
        </w:rPr>
        <w:t>ender or proposed Tender for the Service any act or omission,</w:t>
      </w:r>
    </w:p>
    <w:p w:rsidR="003978D0" w:rsidRPr="003978D0" w:rsidRDefault="003978D0" w:rsidP="003978D0">
      <w:pPr>
        <w:pStyle w:val="ListParagraph"/>
        <w:rPr>
          <w:rFonts w:ascii="Arial" w:eastAsia="Times New Roman" w:hAnsi="Arial"/>
          <w:lang w:val="en-GB" w:bidi="ar-SA"/>
        </w:rPr>
      </w:pPr>
    </w:p>
    <w:p w:rsidR="00DE7DF4" w:rsidRPr="003978D0" w:rsidRDefault="00DE7DF4" w:rsidP="003978D0">
      <w:pPr>
        <w:pStyle w:val="ListParagraph"/>
        <w:ind w:left="0"/>
        <w:jc w:val="both"/>
        <w:rPr>
          <w:rFonts w:ascii="Arial" w:eastAsia="Times New Roman" w:hAnsi="Arial"/>
          <w:lang w:val="en-GB" w:bidi="ar-SA"/>
        </w:rPr>
      </w:pPr>
      <w:r w:rsidRPr="003978D0">
        <w:rPr>
          <w:rFonts w:ascii="Arial" w:eastAsia="Times New Roman" w:hAnsi="Arial"/>
          <w:lang w:val="en-GB" w:bidi="ar-SA"/>
        </w:rPr>
        <w:t xml:space="preserve">SHALL (without prejudice to any civil remedies available to the </w:t>
      </w:r>
      <w:r w:rsidR="00B2532C" w:rsidRPr="003978D0">
        <w:rPr>
          <w:rFonts w:ascii="Arial" w:eastAsia="Times New Roman" w:hAnsi="Arial"/>
          <w:lang w:val="en-GB" w:bidi="ar-SA"/>
        </w:rPr>
        <w:t xml:space="preserve">Authority </w:t>
      </w:r>
      <w:r w:rsidRPr="003978D0">
        <w:rPr>
          <w:rFonts w:ascii="Arial" w:eastAsia="Times New Roman" w:hAnsi="Arial"/>
          <w:lang w:val="en-GB" w:bidi="ar-SA"/>
        </w:rPr>
        <w:t xml:space="preserve">and without prejudice to any criminal liability which such conduct by a </w:t>
      </w:r>
      <w:r w:rsidR="004F6E58" w:rsidRPr="003978D0">
        <w:rPr>
          <w:rFonts w:ascii="Arial" w:eastAsia="Times New Roman" w:hAnsi="Arial"/>
          <w:lang w:val="en-GB" w:bidi="ar-SA"/>
        </w:rPr>
        <w:t>Potential Provider</w:t>
      </w:r>
      <w:r w:rsidRPr="003978D0">
        <w:rPr>
          <w:rFonts w:ascii="Arial" w:eastAsia="Times New Roman" w:hAnsi="Arial"/>
          <w:lang w:val="en-GB" w:bidi="ar-SA"/>
        </w:rPr>
        <w:t xml:space="preserve"> may attract) be disqualified</w:t>
      </w:r>
      <w:r w:rsidR="00B2532C" w:rsidRPr="003978D0">
        <w:rPr>
          <w:rFonts w:ascii="Arial" w:eastAsia="Times New Roman" w:hAnsi="Arial"/>
          <w:lang w:val="en-GB" w:bidi="ar-SA"/>
        </w:rPr>
        <w:t xml:space="preserve"> from further participation in the Procurement</w:t>
      </w:r>
      <w:r w:rsidRPr="003978D0">
        <w:rPr>
          <w:rFonts w:ascii="Arial" w:eastAsia="Times New Roman" w:hAnsi="Arial"/>
          <w:lang w:val="en-GB" w:bidi="ar-SA"/>
        </w:rPr>
        <w:t>.</w:t>
      </w:r>
    </w:p>
    <w:p w:rsidR="004F6E58" w:rsidRDefault="004F6E58" w:rsidP="00F86E0D">
      <w:pPr>
        <w:rPr>
          <w:rFonts w:cs="Arial"/>
          <w:b/>
          <w:sz w:val="22"/>
          <w:szCs w:val="22"/>
          <w:lang w:eastAsia="en-GB"/>
        </w:rPr>
      </w:pPr>
    </w:p>
    <w:p w:rsidR="00DE7DF4" w:rsidRPr="0032386B" w:rsidRDefault="005D0C4B" w:rsidP="00EE0ED2">
      <w:pPr>
        <w:pStyle w:val="A2"/>
        <w:numPr>
          <w:ilvl w:val="1"/>
          <w:numId w:val="10"/>
        </w:numPr>
        <w:spacing w:before="80"/>
        <w:rPr>
          <w:rFonts w:cs="Arial"/>
          <w:b/>
          <w:sz w:val="22"/>
          <w:szCs w:val="22"/>
        </w:rPr>
      </w:pPr>
      <w:r w:rsidRPr="0032386B">
        <w:rPr>
          <w:rFonts w:cs="Arial"/>
          <w:b/>
          <w:sz w:val="22"/>
          <w:szCs w:val="22"/>
        </w:rPr>
        <w:t xml:space="preserve">Recycled </w:t>
      </w:r>
      <w:r w:rsidR="006C0B4B">
        <w:rPr>
          <w:rFonts w:cs="Arial"/>
          <w:b/>
          <w:sz w:val="22"/>
          <w:szCs w:val="22"/>
        </w:rPr>
        <w:t>P</w:t>
      </w:r>
      <w:r w:rsidRPr="0032386B">
        <w:rPr>
          <w:rFonts w:cs="Arial"/>
          <w:b/>
          <w:sz w:val="22"/>
          <w:szCs w:val="22"/>
        </w:rPr>
        <w:t>aper</w:t>
      </w:r>
    </w:p>
    <w:p w:rsidR="00DE7DF4" w:rsidRPr="0037090A" w:rsidRDefault="00DE7DF4" w:rsidP="00F86E0D">
      <w:pPr>
        <w:rPr>
          <w:rFonts w:cs="Arial"/>
          <w:sz w:val="22"/>
          <w:szCs w:val="22"/>
          <w:lang w:eastAsia="en-GB"/>
        </w:rPr>
      </w:pPr>
    </w:p>
    <w:p w:rsidR="00594B53" w:rsidRDefault="00DE7DF4" w:rsidP="00F86E0D">
      <w:pPr>
        <w:rPr>
          <w:rFonts w:cs="Arial"/>
          <w:sz w:val="22"/>
          <w:szCs w:val="22"/>
          <w:lang w:eastAsia="en-GB"/>
        </w:rPr>
      </w:pPr>
      <w:r w:rsidRPr="0037090A">
        <w:rPr>
          <w:rFonts w:cs="Arial"/>
          <w:sz w:val="22"/>
          <w:szCs w:val="22"/>
          <w:lang w:eastAsia="en-GB"/>
        </w:rPr>
        <w:t xml:space="preserve">We seek proposals from </w:t>
      </w:r>
      <w:r w:rsidR="00B2532C">
        <w:rPr>
          <w:rFonts w:cs="Arial"/>
          <w:sz w:val="22"/>
          <w:szCs w:val="22"/>
          <w:lang w:eastAsia="en-GB"/>
        </w:rPr>
        <w:t>organisations</w:t>
      </w:r>
      <w:r w:rsidRPr="0037090A">
        <w:rPr>
          <w:rFonts w:cs="Arial"/>
          <w:sz w:val="22"/>
          <w:szCs w:val="22"/>
          <w:lang w:eastAsia="en-GB"/>
        </w:rPr>
        <w:t xml:space="preserve"> that use paper from sustainable sources such as the FSC credited paper stock.</w:t>
      </w:r>
    </w:p>
    <w:p w:rsidR="00DD39AE" w:rsidRDefault="00DD39AE" w:rsidP="00F86E0D">
      <w:pPr>
        <w:rPr>
          <w:rFonts w:cs="Arial"/>
          <w:sz w:val="22"/>
          <w:szCs w:val="22"/>
          <w:lang w:eastAsia="en-GB"/>
        </w:rPr>
      </w:pPr>
    </w:p>
    <w:p w:rsidR="0031599D" w:rsidRPr="007E6FDB" w:rsidRDefault="0031599D" w:rsidP="0031599D">
      <w:pPr>
        <w:rPr>
          <w:rFonts w:cs="Arial"/>
          <w:sz w:val="22"/>
          <w:szCs w:val="22"/>
          <w:lang w:eastAsia="en-GB"/>
        </w:rPr>
      </w:pPr>
      <w:bookmarkStart w:id="9" w:name="_Toc293331435"/>
    </w:p>
    <w:p w:rsidR="004F6E58" w:rsidRPr="00EE0ED2" w:rsidRDefault="004F6E58" w:rsidP="00EE0ED2">
      <w:pPr>
        <w:pStyle w:val="A2"/>
        <w:numPr>
          <w:ilvl w:val="1"/>
          <w:numId w:val="10"/>
        </w:numPr>
        <w:spacing w:before="80"/>
        <w:rPr>
          <w:rFonts w:cs="Arial"/>
          <w:b/>
          <w:sz w:val="22"/>
          <w:szCs w:val="22"/>
        </w:rPr>
      </w:pPr>
      <w:r w:rsidRPr="00EE0ED2">
        <w:rPr>
          <w:rFonts w:cs="Arial"/>
          <w:b/>
          <w:sz w:val="22"/>
          <w:szCs w:val="22"/>
        </w:rPr>
        <w:t>Law and Jurisdiction</w:t>
      </w:r>
      <w:bookmarkEnd w:id="9"/>
    </w:p>
    <w:p w:rsidR="004F6E58" w:rsidRPr="004F6E58" w:rsidRDefault="004F6E58" w:rsidP="004F6E58">
      <w:pPr>
        <w:pStyle w:val="Heading2"/>
        <w:jc w:val="both"/>
        <w:rPr>
          <w:b w:val="0"/>
          <w:sz w:val="22"/>
          <w:szCs w:val="22"/>
        </w:rPr>
      </w:pPr>
      <w:r w:rsidRPr="004F6E58">
        <w:rPr>
          <w:b w:val="0"/>
          <w:sz w:val="22"/>
          <w:szCs w:val="22"/>
        </w:rPr>
        <w:t xml:space="preserve">Any dispute (including non-contractual disputes or claims) relating to this Procurement shall be governed by and construed in accordance with the laws of England and Wales.  </w:t>
      </w:r>
    </w:p>
    <w:p w:rsidR="004F6E58" w:rsidRPr="004F6E58" w:rsidRDefault="004F6E58" w:rsidP="004F6E58">
      <w:pPr>
        <w:pStyle w:val="Heading2"/>
        <w:jc w:val="both"/>
        <w:rPr>
          <w:b w:val="0"/>
          <w:sz w:val="22"/>
          <w:szCs w:val="22"/>
        </w:rPr>
      </w:pPr>
      <w:r w:rsidRPr="004F6E58">
        <w:rPr>
          <w:b w:val="0"/>
          <w:sz w:val="22"/>
          <w:szCs w:val="22"/>
        </w:rPr>
        <w:t>The courts of England and Wales shall have exclusive jurisdiction to settle any dispute or claim that arises out of or in connection with this Procurement (including non-contractual disputes or claims).</w:t>
      </w:r>
    </w:p>
    <w:p w:rsidR="00DE7DF4" w:rsidRPr="0037090A" w:rsidRDefault="0044476C" w:rsidP="00F86E0D">
      <w:pPr>
        <w:rPr>
          <w:rStyle w:val="CharChar1"/>
          <w:sz w:val="22"/>
          <w:szCs w:val="22"/>
        </w:rPr>
      </w:pPr>
      <w:r w:rsidRPr="0037090A">
        <w:rPr>
          <w:rStyle w:val="CharChar1"/>
          <w:sz w:val="22"/>
          <w:szCs w:val="22"/>
        </w:rPr>
        <w:br w:type="page"/>
      </w:r>
      <w:r w:rsidR="00DE7DF4" w:rsidRPr="0037090A">
        <w:rPr>
          <w:rStyle w:val="CharChar1"/>
          <w:sz w:val="22"/>
          <w:szCs w:val="22"/>
        </w:rPr>
        <w:lastRenderedPageBreak/>
        <w:t xml:space="preserve">Annex 1: Form of Tender </w:t>
      </w:r>
    </w:p>
    <w:p w:rsidR="00DE7DF4" w:rsidRPr="0037090A" w:rsidRDefault="00DE7DF4" w:rsidP="00F86E0D">
      <w:pPr>
        <w:rPr>
          <w:rFonts w:cs="Arial"/>
          <w:b/>
          <w:sz w:val="22"/>
          <w:szCs w:val="22"/>
        </w:rPr>
      </w:pPr>
    </w:p>
    <w:p w:rsidR="00DE7DF4" w:rsidRPr="003978D0" w:rsidRDefault="004F6E58" w:rsidP="00F86E0D">
      <w:pPr>
        <w:pStyle w:val="Numbered"/>
        <w:rPr>
          <w:rFonts w:cs="Arial"/>
          <w:sz w:val="22"/>
          <w:szCs w:val="22"/>
        </w:rPr>
      </w:pPr>
      <w:r w:rsidRPr="003978D0">
        <w:rPr>
          <w:rFonts w:cs="Arial"/>
          <w:sz w:val="22"/>
          <w:szCs w:val="22"/>
        </w:rPr>
        <w:t>Potential Provider</w:t>
      </w:r>
      <w:r w:rsidR="00DE7DF4" w:rsidRPr="003978D0">
        <w:rPr>
          <w:rFonts w:cs="Arial"/>
          <w:sz w:val="22"/>
          <w:szCs w:val="22"/>
        </w:rPr>
        <w:t>s should present their proposals in the following format</w:t>
      </w:r>
      <w:r w:rsidR="00E00B89" w:rsidRPr="003978D0">
        <w:rPr>
          <w:rFonts w:cs="Arial"/>
          <w:sz w:val="22"/>
          <w:szCs w:val="22"/>
        </w:rPr>
        <w:t xml:space="preserve"> in a document </w:t>
      </w:r>
      <w:r w:rsidR="00E00B89" w:rsidRPr="003978D0">
        <w:rPr>
          <w:rFonts w:cs="Arial"/>
          <w:sz w:val="22"/>
          <w:szCs w:val="22"/>
          <w:u w:val="single"/>
        </w:rPr>
        <w:t>not exceeding 30 pages</w:t>
      </w:r>
      <w:r w:rsidR="00E00B89" w:rsidRPr="003978D0">
        <w:rPr>
          <w:rFonts w:cs="Arial"/>
          <w:sz w:val="22"/>
          <w:szCs w:val="22"/>
        </w:rPr>
        <w:t>, excluding annexes/</w:t>
      </w:r>
      <w:r w:rsidR="008D1C1D" w:rsidRPr="003978D0">
        <w:rPr>
          <w:rFonts w:cs="Arial"/>
          <w:sz w:val="22"/>
          <w:szCs w:val="22"/>
        </w:rPr>
        <w:t>attachments</w:t>
      </w:r>
      <w:r w:rsidR="003978D0" w:rsidRPr="003978D0">
        <w:rPr>
          <w:rFonts w:cs="Arial"/>
          <w:sz w:val="22"/>
          <w:szCs w:val="22"/>
        </w:rPr>
        <w:t xml:space="preserve">. </w:t>
      </w:r>
    </w:p>
    <w:p w:rsidR="00DE7DF4" w:rsidRPr="0037090A" w:rsidRDefault="00DE7DF4" w:rsidP="00F86E0D">
      <w:pPr>
        <w:pStyle w:val="Numbered"/>
        <w:rPr>
          <w:rFonts w:cs="Arial"/>
          <w:b/>
          <w:sz w:val="22"/>
          <w:szCs w:val="22"/>
        </w:rPr>
      </w:pPr>
      <w:r w:rsidRPr="0037090A">
        <w:rPr>
          <w:rFonts w:cs="Arial"/>
          <w:b/>
          <w:sz w:val="22"/>
          <w:szCs w:val="22"/>
        </w:rPr>
        <w:t>Section 1</w:t>
      </w:r>
      <w:r w:rsidRPr="0037090A">
        <w:rPr>
          <w:rFonts w:cs="Arial"/>
          <w:b/>
          <w:sz w:val="22"/>
          <w:szCs w:val="22"/>
        </w:rPr>
        <w:tab/>
        <w:t>Table of Contents</w:t>
      </w:r>
    </w:p>
    <w:p w:rsidR="00DE7DF4" w:rsidRPr="0037090A" w:rsidRDefault="00DE7DF4" w:rsidP="00F86E0D">
      <w:pPr>
        <w:pStyle w:val="Numbered"/>
        <w:rPr>
          <w:rFonts w:cs="Arial"/>
          <w:b/>
          <w:sz w:val="22"/>
          <w:szCs w:val="22"/>
        </w:rPr>
      </w:pPr>
      <w:r w:rsidRPr="0037090A">
        <w:rPr>
          <w:rFonts w:cs="Arial"/>
          <w:b/>
          <w:sz w:val="22"/>
          <w:szCs w:val="22"/>
        </w:rPr>
        <w:t>Section 2</w:t>
      </w:r>
      <w:r w:rsidRPr="0037090A">
        <w:rPr>
          <w:rFonts w:cs="Arial"/>
          <w:b/>
          <w:sz w:val="22"/>
          <w:szCs w:val="22"/>
        </w:rPr>
        <w:tab/>
        <w:t>Executive Summary</w:t>
      </w:r>
    </w:p>
    <w:p w:rsidR="0068485C" w:rsidRDefault="00DE7DF4" w:rsidP="00F86E0D">
      <w:pPr>
        <w:pStyle w:val="Numbered"/>
        <w:rPr>
          <w:rFonts w:cs="Arial"/>
          <w:b/>
          <w:sz w:val="22"/>
          <w:szCs w:val="22"/>
        </w:rPr>
      </w:pPr>
      <w:r w:rsidRPr="0037090A">
        <w:rPr>
          <w:rFonts w:cs="Arial"/>
          <w:b/>
          <w:sz w:val="22"/>
          <w:szCs w:val="22"/>
        </w:rPr>
        <w:t>Section 3</w:t>
      </w:r>
      <w:r w:rsidRPr="0037090A">
        <w:rPr>
          <w:rFonts w:cs="Arial"/>
          <w:b/>
          <w:sz w:val="22"/>
          <w:szCs w:val="22"/>
        </w:rPr>
        <w:tab/>
        <w:t>Meeting the Specification</w:t>
      </w:r>
    </w:p>
    <w:p w:rsidR="00DE7DF4" w:rsidRPr="0037090A" w:rsidRDefault="0068485C" w:rsidP="0068485C">
      <w:pPr>
        <w:pStyle w:val="Numbered"/>
        <w:numPr>
          <w:ilvl w:val="0"/>
          <w:numId w:val="5"/>
        </w:numPr>
        <w:rPr>
          <w:rFonts w:cs="Arial"/>
          <w:b/>
          <w:sz w:val="22"/>
          <w:szCs w:val="22"/>
        </w:rPr>
      </w:pPr>
      <w:r>
        <w:rPr>
          <w:rFonts w:cs="Arial"/>
          <w:b/>
          <w:sz w:val="22"/>
          <w:szCs w:val="22"/>
        </w:rPr>
        <w:t>Understanding of aims and objectives</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Proposed methodology</w:t>
      </w:r>
      <w:r w:rsidR="0068485C">
        <w:rPr>
          <w:rFonts w:cs="Arial"/>
          <w:b/>
          <w:sz w:val="22"/>
          <w:szCs w:val="22"/>
        </w:rPr>
        <w:t xml:space="preserve"> (including ethics)</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Project management</w:t>
      </w:r>
      <w:r w:rsidR="0068485C">
        <w:rPr>
          <w:rFonts w:cs="Arial"/>
          <w:b/>
          <w:sz w:val="22"/>
          <w:szCs w:val="22"/>
        </w:rPr>
        <w:t xml:space="preserve"> and governance</w:t>
      </w:r>
    </w:p>
    <w:p w:rsidR="00DE7DF4" w:rsidRPr="0037090A" w:rsidRDefault="00DE7DF4" w:rsidP="00D50618">
      <w:pPr>
        <w:pStyle w:val="Numbered"/>
        <w:numPr>
          <w:ilvl w:val="0"/>
          <w:numId w:val="5"/>
        </w:numPr>
        <w:rPr>
          <w:rFonts w:cs="Arial"/>
          <w:b/>
          <w:sz w:val="22"/>
          <w:szCs w:val="22"/>
        </w:rPr>
      </w:pPr>
      <w:r w:rsidRPr="0037090A">
        <w:rPr>
          <w:rFonts w:cs="Arial"/>
          <w:b/>
          <w:sz w:val="22"/>
          <w:szCs w:val="22"/>
        </w:rPr>
        <w:t>Risk assessment</w:t>
      </w:r>
    </w:p>
    <w:p w:rsidR="00DE7DF4" w:rsidRPr="0037090A" w:rsidRDefault="00DE7DF4" w:rsidP="00F86E0D">
      <w:pPr>
        <w:pStyle w:val="Numbered"/>
        <w:rPr>
          <w:rFonts w:cs="Arial"/>
          <w:sz w:val="22"/>
          <w:szCs w:val="22"/>
        </w:rPr>
      </w:pPr>
      <w:r w:rsidRPr="0037090A">
        <w:rPr>
          <w:rFonts w:cs="Arial"/>
          <w:b/>
          <w:sz w:val="22"/>
          <w:szCs w:val="22"/>
        </w:rPr>
        <w:t>Section 4</w:t>
      </w:r>
      <w:r w:rsidRPr="0037090A">
        <w:rPr>
          <w:rFonts w:cs="Arial"/>
          <w:b/>
          <w:sz w:val="22"/>
          <w:szCs w:val="22"/>
        </w:rPr>
        <w:tab/>
        <w:t xml:space="preserve">Cost and Charging Arrangements </w:t>
      </w:r>
      <w:r w:rsidR="00B74B2D">
        <w:rPr>
          <w:rFonts w:cs="Arial"/>
          <w:b/>
          <w:sz w:val="22"/>
          <w:szCs w:val="22"/>
        </w:rPr>
        <w:t>and Value for M</w:t>
      </w:r>
      <w:r w:rsidR="00A17D8F">
        <w:rPr>
          <w:rFonts w:cs="Arial"/>
          <w:b/>
          <w:sz w:val="22"/>
          <w:szCs w:val="22"/>
        </w:rPr>
        <w:t>oney</w:t>
      </w:r>
    </w:p>
    <w:p w:rsidR="00DE7DF4" w:rsidRPr="0037090A" w:rsidRDefault="00DE7DF4" w:rsidP="00F86E0D">
      <w:pPr>
        <w:pStyle w:val="Numbered"/>
        <w:rPr>
          <w:rFonts w:cs="Arial"/>
          <w:sz w:val="22"/>
          <w:szCs w:val="22"/>
        </w:rPr>
      </w:pPr>
      <w:r w:rsidRPr="0037090A">
        <w:rPr>
          <w:rFonts w:cs="Arial"/>
          <w:b/>
          <w:sz w:val="22"/>
          <w:szCs w:val="22"/>
        </w:rPr>
        <w:t>Section 5</w:t>
      </w:r>
      <w:r w:rsidRPr="0037090A">
        <w:rPr>
          <w:rFonts w:cs="Arial"/>
          <w:b/>
          <w:sz w:val="22"/>
          <w:szCs w:val="22"/>
        </w:rPr>
        <w:tab/>
      </w:r>
      <w:r w:rsidR="00A17D8F">
        <w:rPr>
          <w:rFonts w:cs="Arial"/>
          <w:b/>
          <w:sz w:val="22"/>
          <w:szCs w:val="22"/>
        </w:rPr>
        <w:t xml:space="preserve"> Expertise, E</w:t>
      </w:r>
      <w:r w:rsidRPr="0037090A">
        <w:rPr>
          <w:rFonts w:cs="Arial"/>
          <w:b/>
          <w:sz w:val="22"/>
          <w:szCs w:val="22"/>
        </w:rPr>
        <w:t>xperience</w:t>
      </w:r>
      <w:r w:rsidR="0068485C">
        <w:rPr>
          <w:rFonts w:cs="Arial"/>
          <w:b/>
          <w:sz w:val="22"/>
          <w:szCs w:val="22"/>
        </w:rPr>
        <w:t>,</w:t>
      </w:r>
      <w:r w:rsidRPr="0037090A">
        <w:rPr>
          <w:rFonts w:cs="Arial"/>
          <w:b/>
          <w:sz w:val="22"/>
          <w:szCs w:val="22"/>
        </w:rPr>
        <w:t xml:space="preserve"> References</w:t>
      </w:r>
      <w:r w:rsidRPr="0037090A">
        <w:rPr>
          <w:rFonts w:cs="Arial"/>
          <w:sz w:val="22"/>
          <w:szCs w:val="22"/>
        </w:rPr>
        <w:t xml:space="preserve"> </w:t>
      </w:r>
      <w:r w:rsidR="0068485C">
        <w:rPr>
          <w:rFonts w:cs="Arial"/>
          <w:b/>
          <w:sz w:val="22"/>
          <w:szCs w:val="22"/>
        </w:rPr>
        <w:t>and Availabili</w:t>
      </w:r>
      <w:r w:rsidR="0068485C" w:rsidRPr="0068485C">
        <w:rPr>
          <w:rFonts w:cs="Arial"/>
          <w:b/>
          <w:sz w:val="22"/>
          <w:szCs w:val="22"/>
        </w:rPr>
        <w:t>ty</w:t>
      </w:r>
    </w:p>
    <w:p w:rsidR="00DE7DF4" w:rsidRPr="0037090A" w:rsidRDefault="00DE7DF4" w:rsidP="00D50618">
      <w:pPr>
        <w:pStyle w:val="Numbered"/>
        <w:numPr>
          <w:ilvl w:val="0"/>
          <w:numId w:val="6"/>
        </w:numPr>
        <w:rPr>
          <w:rFonts w:cs="Arial"/>
          <w:b/>
          <w:sz w:val="22"/>
          <w:szCs w:val="22"/>
        </w:rPr>
      </w:pPr>
      <w:r w:rsidRPr="0037090A">
        <w:rPr>
          <w:rFonts w:cs="Arial"/>
          <w:b/>
          <w:sz w:val="22"/>
          <w:szCs w:val="22"/>
        </w:rPr>
        <w:t>Bidding organisation</w:t>
      </w:r>
    </w:p>
    <w:p w:rsidR="00DE7DF4" w:rsidRPr="0037090A" w:rsidRDefault="00CE1AB0" w:rsidP="00D50618">
      <w:pPr>
        <w:pStyle w:val="Numbered"/>
        <w:numPr>
          <w:ilvl w:val="0"/>
          <w:numId w:val="6"/>
        </w:numPr>
        <w:rPr>
          <w:rFonts w:cs="Arial"/>
          <w:b/>
          <w:sz w:val="22"/>
          <w:szCs w:val="22"/>
        </w:rPr>
      </w:pPr>
      <w:r w:rsidRPr="0037090A">
        <w:rPr>
          <w:rFonts w:cs="Arial"/>
          <w:b/>
          <w:sz w:val="22"/>
          <w:szCs w:val="22"/>
        </w:rPr>
        <w:t>Individual project manager</w:t>
      </w:r>
    </w:p>
    <w:p w:rsidR="00DE7DF4" w:rsidRPr="0037090A" w:rsidRDefault="00DE7DF4" w:rsidP="00F86E0D">
      <w:pPr>
        <w:pStyle w:val="Numbered"/>
        <w:rPr>
          <w:rFonts w:cs="Arial"/>
          <w:sz w:val="22"/>
          <w:szCs w:val="22"/>
        </w:rPr>
      </w:pPr>
      <w:r w:rsidRPr="0037090A">
        <w:rPr>
          <w:rFonts w:cs="Arial"/>
          <w:b/>
          <w:sz w:val="22"/>
          <w:szCs w:val="22"/>
        </w:rPr>
        <w:t>Section 6</w:t>
      </w:r>
      <w:r w:rsidRPr="0037090A">
        <w:rPr>
          <w:rFonts w:cs="Arial"/>
          <w:b/>
          <w:sz w:val="22"/>
          <w:szCs w:val="22"/>
        </w:rPr>
        <w:tab/>
        <w:t xml:space="preserve">Declarations, Undertakings and Attachments </w:t>
      </w: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DE7DF4" w:rsidRPr="007A57DE" w:rsidRDefault="0044476C" w:rsidP="00F86E0D">
      <w:pPr>
        <w:rPr>
          <w:rFonts w:cs="Arial"/>
          <w:sz w:val="20"/>
          <w:szCs w:val="22"/>
        </w:rPr>
      </w:pPr>
      <w:r w:rsidRPr="0037090A">
        <w:rPr>
          <w:rStyle w:val="CharChar1"/>
          <w:sz w:val="22"/>
          <w:szCs w:val="22"/>
        </w:rPr>
        <w:br w:type="page"/>
      </w:r>
      <w:r w:rsidR="00DE7DF4" w:rsidRPr="007A57DE">
        <w:rPr>
          <w:rStyle w:val="CharChar1"/>
          <w:sz w:val="20"/>
          <w:szCs w:val="22"/>
        </w:rPr>
        <w:lastRenderedPageBreak/>
        <w:t xml:space="preserve">Annex 2: Certificate of Conclusive Tendering </w:t>
      </w:r>
    </w:p>
    <w:p w:rsidR="00DE7DF4" w:rsidRPr="007A57DE" w:rsidRDefault="00DE7DF4" w:rsidP="00F86E0D">
      <w:pPr>
        <w:rPr>
          <w:rFonts w:cs="Arial"/>
          <w:sz w:val="20"/>
          <w:szCs w:val="22"/>
        </w:rPr>
      </w:pPr>
    </w:p>
    <w:p w:rsidR="00DE7DF4" w:rsidRPr="007A57DE" w:rsidRDefault="00DE7DF4" w:rsidP="00F86E0D">
      <w:pPr>
        <w:pStyle w:val="Numbered"/>
        <w:tabs>
          <w:tab w:val="left" w:pos="0"/>
        </w:tabs>
        <w:rPr>
          <w:rFonts w:cs="Arial"/>
          <w:sz w:val="20"/>
          <w:szCs w:val="22"/>
        </w:rPr>
      </w:pPr>
      <w:r w:rsidRPr="007A57DE">
        <w:rPr>
          <w:rFonts w:cs="Arial"/>
          <w:b/>
          <w:sz w:val="20"/>
          <w:szCs w:val="22"/>
        </w:rPr>
        <w:t>DECLARATIONS AND INFORMATION TO BE PROVIDED BY THE TENDERER</w:t>
      </w:r>
    </w:p>
    <w:p w:rsidR="00FF2216" w:rsidRPr="007A57DE" w:rsidRDefault="00FF2216" w:rsidP="00FF2216">
      <w:pPr>
        <w:pStyle w:val="MarginText"/>
        <w:spacing w:before="120" w:after="120"/>
        <w:rPr>
          <w:rFonts w:cs="Arial"/>
          <w:szCs w:val="22"/>
        </w:rPr>
      </w:pPr>
      <w:r w:rsidRPr="007A57DE">
        <w:rPr>
          <w:szCs w:val="22"/>
        </w:rPr>
        <w:t xml:space="preserve">The words and expressions set out in this Certificate of Conclusive Tendering have the meanings given to them in the Invitation to Tender. </w:t>
      </w:r>
    </w:p>
    <w:p w:rsidR="00DE7DF4" w:rsidRPr="007A57DE" w:rsidRDefault="00DE7DF4" w:rsidP="00F86E0D">
      <w:pPr>
        <w:pStyle w:val="Numbered"/>
        <w:rPr>
          <w:rFonts w:cs="Arial"/>
          <w:sz w:val="20"/>
          <w:szCs w:val="22"/>
        </w:rPr>
      </w:pPr>
      <w:r w:rsidRPr="007A57DE">
        <w:rPr>
          <w:rFonts w:cs="Arial"/>
          <w:b/>
          <w:sz w:val="20"/>
          <w:szCs w:val="22"/>
        </w:rPr>
        <w:t>Declarations</w:t>
      </w:r>
      <w:r w:rsidR="007A57DE">
        <w:rPr>
          <w:rFonts w:cs="Arial"/>
          <w:sz w:val="20"/>
          <w:szCs w:val="22"/>
        </w:rPr>
        <w:t>:</w:t>
      </w:r>
    </w:p>
    <w:p w:rsidR="00724DFE" w:rsidRPr="007A57DE" w:rsidRDefault="00DE7DF4" w:rsidP="007A57DE">
      <w:pPr>
        <w:pStyle w:val="Numbered"/>
        <w:rPr>
          <w:rFonts w:cs="Arial"/>
          <w:sz w:val="20"/>
          <w:szCs w:val="22"/>
        </w:rPr>
      </w:pPr>
      <w:r w:rsidRPr="007A57DE">
        <w:rPr>
          <w:rFonts w:cs="Arial"/>
          <w:sz w:val="20"/>
          <w:szCs w:val="22"/>
        </w:rPr>
        <w:t>1</w:t>
      </w:r>
      <w:r w:rsidRPr="007A57DE">
        <w:rPr>
          <w:rFonts w:cs="Arial"/>
          <w:sz w:val="20"/>
          <w:szCs w:val="22"/>
        </w:rPr>
        <w:tab/>
        <w:t xml:space="preserve">...............................................……………………………. </w:t>
      </w:r>
      <w:r w:rsidRPr="007A57DE">
        <w:rPr>
          <w:rFonts w:cs="Arial"/>
          <w:sz w:val="20"/>
          <w:szCs w:val="22"/>
        </w:rPr>
        <w:br/>
        <w:t xml:space="preserve">(Name of </w:t>
      </w:r>
      <w:r w:rsidR="004F6E58" w:rsidRPr="007A57DE">
        <w:rPr>
          <w:rFonts w:cs="Arial"/>
          <w:sz w:val="20"/>
          <w:szCs w:val="22"/>
        </w:rPr>
        <w:t>Potential Provider</w:t>
      </w:r>
      <w:r w:rsidRPr="007A57DE">
        <w:rPr>
          <w:rFonts w:cs="Arial"/>
          <w:sz w:val="20"/>
          <w:szCs w:val="22"/>
        </w:rPr>
        <w:t xml:space="preserve">) </w:t>
      </w:r>
    </w:p>
    <w:p w:rsidR="00DE7DF4" w:rsidRPr="007A57DE" w:rsidRDefault="007A57DE" w:rsidP="00FF2216">
      <w:pPr>
        <w:pStyle w:val="Numbered"/>
        <w:jc w:val="both"/>
        <w:rPr>
          <w:rFonts w:cs="Arial"/>
          <w:sz w:val="20"/>
          <w:szCs w:val="22"/>
        </w:rPr>
      </w:pPr>
      <w:r>
        <w:rPr>
          <w:rFonts w:cs="Arial"/>
          <w:sz w:val="20"/>
          <w:szCs w:val="22"/>
        </w:rPr>
        <w:t xml:space="preserve">2. </w:t>
      </w:r>
      <w:r w:rsidR="00DE7DF4" w:rsidRPr="007A57DE">
        <w:rPr>
          <w:rFonts w:cs="Arial"/>
          <w:sz w:val="20"/>
          <w:szCs w:val="22"/>
        </w:rPr>
        <w:t xml:space="preserve">declare that we have not communicated to any other party the amount or approximate amount of the </w:t>
      </w:r>
      <w:r w:rsidR="00B2532C" w:rsidRPr="007A57DE">
        <w:rPr>
          <w:rFonts w:cs="Arial"/>
          <w:sz w:val="20"/>
          <w:szCs w:val="22"/>
        </w:rPr>
        <w:t>T</w:t>
      </w:r>
      <w:r w:rsidR="00DE7DF4" w:rsidRPr="007A57DE">
        <w:rPr>
          <w:rFonts w:cs="Arial"/>
          <w:sz w:val="20"/>
          <w:szCs w:val="22"/>
        </w:rPr>
        <w:t xml:space="preserve">ender price other than in confidence and for the express purpose of obtaining insurances or a bond in connection with this </w:t>
      </w:r>
      <w:r w:rsidR="00B2532C" w:rsidRPr="007A57DE">
        <w:rPr>
          <w:rFonts w:cs="Arial"/>
          <w:sz w:val="20"/>
          <w:szCs w:val="22"/>
        </w:rPr>
        <w:t>T</w:t>
      </w:r>
      <w:r w:rsidR="00DE7DF4" w:rsidRPr="007A57DE">
        <w:rPr>
          <w:rFonts w:cs="Arial"/>
          <w:sz w:val="20"/>
          <w:szCs w:val="22"/>
        </w:rPr>
        <w:t xml:space="preserve">ender.  The </w:t>
      </w:r>
      <w:r w:rsidR="00B2532C" w:rsidRPr="007A57DE">
        <w:rPr>
          <w:rFonts w:cs="Arial"/>
          <w:sz w:val="20"/>
          <w:szCs w:val="22"/>
        </w:rPr>
        <w:t>T</w:t>
      </w:r>
      <w:r w:rsidR="00DE7DF4" w:rsidRPr="007A57DE">
        <w:rPr>
          <w:rFonts w:cs="Arial"/>
          <w:sz w:val="20"/>
          <w:szCs w:val="22"/>
        </w:rPr>
        <w:t>ender price has not been fixed nor adjusted in collusion with any third party, and</w:t>
      </w:r>
    </w:p>
    <w:p w:rsidR="00DE7DF4" w:rsidRPr="007A57DE" w:rsidRDefault="007A57DE" w:rsidP="00FF2216">
      <w:pPr>
        <w:pStyle w:val="Numbered"/>
        <w:jc w:val="both"/>
        <w:rPr>
          <w:rFonts w:cs="Arial"/>
          <w:sz w:val="20"/>
          <w:szCs w:val="22"/>
        </w:rPr>
      </w:pPr>
      <w:r>
        <w:rPr>
          <w:rFonts w:cs="Arial"/>
          <w:sz w:val="20"/>
          <w:szCs w:val="22"/>
        </w:rPr>
        <w:t xml:space="preserve">3 </w:t>
      </w:r>
      <w:r w:rsidR="00DE7DF4" w:rsidRPr="007A57DE">
        <w:rPr>
          <w:rFonts w:cs="Arial"/>
          <w:sz w:val="20"/>
          <w:szCs w:val="22"/>
        </w:rPr>
        <w:t xml:space="preserve">declare that the tender will remain valid </w:t>
      </w:r>
      <w:r w:rsidR="009500E2" w:rsidRPr="007A57DE">
        <w:rPr>
          <w:rFonts w:cs="Arial"/>
          <w:color w:val="000000"/>
          <w:sz w:val="20"/>
          <w:szCs w:val="22"/>
        </w:rPr>
        <w:t>120 days following the Tender Submission Deadline</w:t>
      </w:r>
      <w:r w:rsidR="009500E2" w:rsidRPr="007A57DE" w:rsidDel="009500E2">
        <w:rPr>
          <w:rFonts w:cs="Arial"/>
          <w:sz w:val="20"/>
          <w:szCs w:val="22"/>
        </w:rPr>
        <w:t xml:space="preserve"> </w:t>
      </w:r>
      <w:r w:rsidR="00DE7DF4" w:rsidRPr="007A57DE">
        <w:rPr>
          <w:rFonts w:cs="Arial"/>
          <w:sz w:val="20"/>
          <w:szCs w:val="22"/>
        </w:rPr>
        <w:t xml:space="preserve">and that we are not entitled to claim from the </w:t>
      </w:r>
      <w:r w:rsidR="00B2532C" w:rsidRPr="007A57DE">
        <w:rPr>
          <w:rFonts w:cs="Arial"/>
          <w:sz w:val="20"/>
          <w:szCs w:val="22"/>
        </w:rPr>
        <w:t>Authority</w:t>
      </w:r>
      <w:r w:rsidR="00DE7DF4" w:rsidRPr="007A57DE">
        <w:rPr>
          <w:rFonts w:cs="Arial"/>
          <w:sz w:val="20"/>
          <w:szCs w:val="22"/>
        </w:rPr>
        <w:t xml:space="preserve"> any costs or expenses incurred in preparing the </w:t>
      </w:r>
      <w:r w:rsidR="00B2532C" w:rsidRPr="007A57DE">
        <w:rPr>
          <w:rFonts w:cs="Arial"/>
          <w:sz w:val="20"/>
          <w:szCs w:val="22"/>
        </w:rPr>
        <w:t>T</w:t>
      </w:r>
      <w:r w:rsidR="00DE7DF4" w:rsidRPr="007A57DE">
        <w:rPr>
          <w:rFonts w:cs="Arial"/>
          <w:sz w:val="20"/>
          <w:szCs w:val="22"/>
        </w:rPr>
        <w:t xml:space="preserve">ender or subsequent negotiations whether or not the </w:t>
      </w:r>
      <w:r w:rsidR="00B2532C" w:rsidRPr="007A57DE">
        <w:rPr>
          <w:rFonts w:cs="Arial"/>
          <w:sz w:val="20"/>
          <w:szCs w:val="22"/>
        </w:rPr>
        <w:t>T</w:t>
      </w:r>
      <w:r w:rsidR="00DE7DF4" w:rsidRPr="007A57DE">
        <w:rPr>
          <w:rFonts w:cs="Arial"/>
          <w:sz w:val="20"/>
          <w:szCs w:val="22"/>
        </w:rPr>
        <w:t>ender is successful.</w:t>
      </w:r>
    </w:p>
    <w:p w:rsidR="00005FD4" w:rsidRPr="007A57DE" w:rsidRDefault="007A57DE" w:rsidP="00005FD4">
      <w:pPr>
        <w:pStyle w:val="Heading1"/>
        <w:spacing w:before="120"/>
        <w:jc w:val="both"/>
        <w:rPr>
          <w:b w:val="0"/>
          <w:sz w:val="20"/>
          <w:szCs w:val="22"/>
        </w:rPr>
      </w:pPr>
      <w:r>
        <w:rPr>
          <w:rFonts w:cs="Arial"/>
          <w:b w:val="0"/>
          <w:sz w:val="20"/>
          <w:szCs w:val="22"/>
        </w:rPr>
        <w:t xml:space="preserve">4 </w:t>
      </w:r>
      <w:r w:rsidR="00005FD4" w:rsidRPr="007A57DE">
        <w:rPr>
          <w:rFonts w:cs="Arial"/>
          <w:b w:val="0"/>
          <w:sz w:val="20"/>
          <w:szCs w:val="22"/>
        </w:rPr>
        <w:t xml:space="preserve">declare </w:t>
      </w:r>
      <w:r w:rsidR="00005FD4" w:rsidRPr="007A57DE">
        <w:rPr>
          <w:b w:val="0"/>
          <w:sz w:val="20"/>
          <w:szCs w:val="22"/>
        </w:rPr>
        <w:t>to provide the Services as specified in the Contract Schedule 1 (Services) in accordance with the terms and conditions of the Contract.</w:t>
      </w:r>
    </w:p>
    <w:p w:rsidR="00005FD4" w:rsidRPr="007A57DE" w:rsidRDefault="007A57DE" w:rsidP="00005FD4">
      <w:pPr>
        <w:pStyle w:val="Heading1"/>
        <w:spacing w:before="120"/>
        <w:jc w:val="both"/>
        <w:rPr>
          <w:b w:val="0"/>
          <w:sz w:val="20"/>
          <w:szCs w:val="22"/>
        </w:rPr>
      </w:pPr>
      <w:r>
        <w:rPr>
          <w:b w:val="0"/>
          <w:sz w:val="20"/>
          <w:szCs w:val="22"/>
        </w:rPr>
        <w:t xml:space="preserve">5 </w:t>
      </w:r>
      <w:r w:rsidR="00005FD4" w:rsidRPr="007A57DE">
        <w:rPr>
          <w:b w:val="0"/>
          <w:sz w:val="20"/>
          <w:szCs w:val="22"/>
        </w:rPr>
        <w:t xml:space="preserve">declare to accept </w:t>
      </w:r>
      <w:r w:rsidR="00287422" w:rsidRPr="007A57DE">
        <w:rPr>
          <w:b w:val="0"/>
          <w:sz w:val="20"/>
          <w:szCs w:val="22"/>
        </w:rPr>
        <w:t xml:space="preserve">unreservedly </w:t>
      </w:r>
      <w:r w:rsidR="00005FD4" w:rsidRPr="007A57DE">
        <w:rPr>
          <w:b w:val="0"/>
          <w:sz w:val="20"/>
          <w:szCs w:val="22"/>
        </w:rPr>
        <w:t xml:space="preserve">the terms </w:t>
      </w:r>
      <w:r w:rsidR="004D7268" w:rsidRPr="007A57DE">
        <w:rPr>
          <w:b w:val="0"/>
          <w:sz w:val="20"/>
          <w:szCs w:val="22"/>
        </w:rPr>
        <w:t xml:space="preserve">and conditional </w:t>
      </w:r>
      <w:r w:rsidR="00005FD4" w:rsidRPr="007A57DE">
        <w:rPr>
          <w:b w:val="0"/>
          <w:sz w:val="20"/>
          <w:szCs w:val="22"/>
        </w:rPr>
        <w:t>of the Contract</w:t>
      </w:r>
      <w:r w:rsidR="004D7268" w:rsidRPr="007A57DE">
        <w:rPr>
          <w:b w:val="0"/>
          <w:sz w:val="20"/>
          <w:szCs w:val="22"/>
        </w:rPr>
        <w:t xml:space="preserve">, </w:t>
      </w:r>
      <w:r w:rsidR="004D7268" w:rsidRPr="007A57DE">
        <w:rPr>
          <w:rFonts w:cs="Arial"/>
          <w:b w:val="0"/>
          <w:sz w:val="20"/>
          <w:szCs w:val="22"/>
        </w:rPr>
        <w:t xml:space="preserve">as published at the Authority’s website, </w:t>
      </w:r>
      <w:r w:rsidR="00287422" w:rsidRPr="007A57DE">
        <w:rPr>
          <w:b w:val="0"/>
          <w:sz w:val="20"/>
          <w:szCs w:val="22"/>
        </w:rPr>
        <w:t xml:space="preserve">without caveats or limitations </w:t>
      </w:r>
      <w:r w:rsidR="00005FD4" w:rsidRPr="007A57DE">
        <w:rPr>
          <w:b w:val="0"/>
          <w:sz w:val="20"/>
          <w:szCs w:val="22"/>
        </w:rPr>
        <w:t>and execute the Contract (to incorporate relevant aspects of the Tender such as your prices) within 5 calendar days of being called upon to do so by the Authority.</w:t>
      </w:r>
    </w:p>
    <w:p w:rsidR="009500E2" w:rsidRPr="007A57DE" w:rsidRDefault="007A57DE" w:rsidP="009500E2">
      <w:pPr>
        <w:pStyle w:val="Heading1"/>
        <w:spacing w:before="120"/>
        <w:jc w:val="both"/>
        <w:rPr>
          <w:b w:val="0"/>
          <w:sz w:val="20"/>
          <w:szCs w:val="22"/>
        </w:rPr>
      </w:pPr>
      <w:r>
        <w:rPr>
          <w:rFonts w:cs="Arial"/>
          <w:b w:val="0"/>
          <w:sz w:val="20"/>
          <w:szCs w:val="22"/>
        </w:rPr>
        <w:t xml:space="preserve">6 </w:t>
      </w:r>
      <w:r w:rsidR="009500E2" w:rsidRPr="007A57DE">
        <w:rPr>
          <w:b w:val="0"/>
          <w:sz w:val="20"/>
          <w:szCs w:val="22"/>
        </w:rPr>
        <w:t xml:space="preserve">warrant that all the information contained in </w:t>
      </w:r>
      <w:r w:rsidR="006C0B4B" w:rsidRPr="007A57DE">
        <w:rPr>
          <w:b w:val="0"/>
          <w:sz w:val="20"/>
          <w:szCs w:val="22"/>
        </w:rPr>
        <w:t>the R</w:t>
      </w:r>
      <w:r w:rsidR="009500E2" w:rsidRPr="007A57DE">
        <w:rPr>
          <w:b w:val="0"/>
          <w:sz w:val="20"/>
          <w:szCs w:val="22"/>
        </w:rPr>
        <w:t>esponse to the ITT is accurate and true and you undertake to notify the Authority of any changes as soon as practicable.</w:t>
      </w:r>
    </w:p>
    <w:p w:rsidR="009500E2" w:rsidRPr="007A57DE" w:rsidRDefault="009500E2" w:rsidP="009500E2">
      <w:pPr>
        <w:jc w:val="both"/>
        <w:rPr>
          <w:sz w:val="22"/>
        </w:rPr>
      </w:pPr>
      <w:r w:rsidRPr="007A57DE">
        <w:rPr>
          <w:sz w:val="22"/>
        </w:rPr>
        <w:t>7</w:t>
      </w:r>
      <w:r w:rsidR="007A57DE">
        <w:rPr>
          <w:sz w:val="20"/>
          <w:szCs w:val="22"/>
        </w:rPr>
        <w:t xml:space="preserve"> </w:t>
      </w:r>
      <w:r w:rsidRPr="007A57DE">
        <w:rPr>
          <w:sz w:val="20"/>
          <w:szCs w:val="22"/>
        </w:rPr>
        <w:t>warrant that you have all the requisite corporate authority to sign this Tender and this Certificate of Conclusive Tendering.</w:t>
      </w:r>
    </w:p>
    <w:p w:rsidR="007A57DE" w:rsidRPr="007A57DE" w:rsidRDefault="007A57DE" w:rsidP="00F86E0D">
      <w:pPr>
        <w:pStyle w:val="Numbered"/>
        <w:rPr>
          <w:rFonts w:cs="Arial"/>
          <w:sz w:val="2"/>
          <w:szCs w:val="22"/>
        </w:rPr>
      </w:pPr>
    </w:p>
    <w:p w:rsidR="00DE7DF4" w:rsidRPr="007A57DE" w:rsidRDefault="00CE1AB0" w:rsidP="00F86E0D">
      <w:pPr>
        <w:pStyle w:val="Numbered"/>
        <w:rPr>
          <w:rFonts w:cs="Arial"/>
          <w:sz w:val="20"/>
          <w:szCs w:val="22"/>
        </w:rPr>
      </w:pPr>
      <w:r w:rsidRPr="007A57DE">
        <w:rPr>
          <w:rFonts w:cs="Arial"/>
          <w:sz w:val="20"/>
          <w:szCs w:val="22"/>
        </w:rPr>
        <w:t xml:space="preserve">signed on behalf of the </w:t>
      </w:r>
      <w:r w:rsidR="004F6E58" w:rsidRPr="007A57DE">
        <w:rPr>
          <w:rFonts w:cs="Arial"/>
          <w:sz w:val="20"/>
          <w:szCs w:val="22"/>
        </w:rPr>
        <w:t>Potential Provider</w:t>
      </w:r>
      <w:r w:rsidR="00DE7DF4" w:rsidRPr="007A57DE">
        <w:rPr>
          <w:rFonts w:cs="Arial"/>
          <w:sz w:val="20"/>
          <w:szCs w:val="22"/>
        </w:rPr>
        <w:t xml:space="preserve"> </w:t>
      </w:r>
      <w:r w:rsidR="007A57DE">
        <w:rPr>
          <w:rFonts w:cs="Arial"/>
          <w:sz w:val="20"/>
          <w:szCs w:val="22"/>
        </w:rPr>
        <w:t xml:space="preserve">                                   on date</w:t>
      </w:r>
    </w:p>
    <w:p w:rsidR="00DE7DF4" w:rsidRPr="007A57DE" w:rsidRDefault="00DE7DF4" w:rsidP="00F86E0D">
      <w:pPr>
        <w:pStyle w:val="Numbered"/>
        <w:rPr>
          <w:rFonts w:cs="Arial"/>
          <w:sz w:val="20"/>
          <w:szCs w:val="22"/>
        </w:rPr>
      </w:pPr>
      <w:r w:rsidRPr="007A57DE">
        <w:rPr>
          <w:rFonts w:cs="Arial"/>
          <w:sz w:val="20"/>
          <w:szCs w:val="22"/>
        </w:rPr>
        <w:t>..................................................</w:t>
      </w:r>
      <w:r w:rsidR="007A57DE">
        <w:rPr>
          <w:rFonts w:cs="Arial"/>
          <w:sz w:val="20"/>
          <w:szCs w:val="22"/>
        </w:rPr>
        <w:t>................                                   …………………………….</w:t>
      </w:r>
    </w:p>
    <w:p w:rsidR="00DE7DF4" w:rsidRPr="007A57DE" w:rsidRDefault="00DE7DF4" w:rsidP="00F86E0D">
      <w:pPr>
        <w:pStyle w:val="Numbered"/>
        <w:rPr>
          <w:rFonts w:cs="Arial"/>
          <w:sz w:val="20"/>
          <w:szCs w:val="22"/>
        </w:rPr>
      </w:pPr>
      <w:r w:rsidRPr="007A57DE">
        <w:rPr>
          <w:rFonts w:cs="Arial"/>
          <w:b/>
          <w:sz w:val="20"/>
          <w:szCs w:val="22"/>
        </w:rPr>
        <w:t>Undertaking</w:t>
      </w:r>
    </w:p>
    <w:p w:rsidR="00DE7DF4" w:rsidRPr="007A57DE" w:rsidRDefault="00DE7DF4" w:rsidP="00FF2216">
      <w:pPr>
        <w:pStyle w:val="Numbered"/>
        <w:jc w:val="both"/>
        <w:rPr>
          <w:rFonts w:cs="Arial"/>
          <w:sz w:val="20"/>
          <w:szCs w:val="22"/>
        </w:rPr>
      </w:pPr>
      <w:r w:rsidRPr="007A57DE">
        <w:rPr>
          <w:rFonts w:cs="Arial"/>
          <w:sz w:val="20"/>
          <w:szCs w:val="22"/>
        </w:rPr>
        <w:t xml:space="preserve">The </w:t>
      </w:r>
      <w:r w:rsidR="00B2532C" w:rsidRPr="007A57DE">
        <w:rPr>
          <w:rFonts w:cs="Arial"/>
          <w:sz w:val="20"/>
          <w:szCs w:val="22"/>
        </w:rPr>
        <w:t xml:space="preserve">Authority </w:t>
      </w:r>
      <w:r w:rsidRPr="007A57DE">
        <w:rPr>
          <w:rFonts w:cs="Arial"/>
          <w:sz w:val="20"/>
          <w:szCs w:val="22"/>
        </w:rPr>
        <w:t xml:space="preserve">requires all </w:t>
      </w:r>
      <w:r w:rsidR="004F6E58" w:rsidRPr="007A57DE">
        <w:rPr>
          <w:rFonts w:cs="Arial"/>
          <w:sz w:val="20"/>
          <w:szCs w:val="22"/>
        </w:rPr>
        <w:t>Potential Provider</w:t>
      </w:r>
      <w:r w:rsidRPr="007A57DE">
        <w:rPr>
          <w:rFonts w:cs="Arial"/>
          <w:sz w:val="20"/>
          <w:szCs w:val="22"/>
        </w:rPr>
        <w:t xml:space="preserve">s to make full and frank disclosure to the </w:t>
      </w:r>
      <w:r w:rsidR="00B2532C" w:rsidRPr="007A57DE">
        <w:rPr>
          <w:rFonts w:cs="Arial"/>
          <w:sz w:val="20"/>
          <w:szCs w:val="22"/>
        </w:rPr>
        <w:t>Authority</w:t>
      </w:r>
      <w:r w:rsidRPr="007A57DE">
        <w:rPr>
          <w:rFonts w:cs="Arial"/>
          <w:sz w:val="20"/>
          <w:szCs w:val="22"/>
        </w:rPr>
        <w:t xml:space="preserve"> in the form of a signed undertaking in respect of any or all of the following:</w:t>
      </w:r>
    </w:p>
    <w:p w:rsidR="00DE7DF4" w:rsidRPr="007A57DE" w:rsidRDefault="00DE7DF4" w:rsidP="007A57DE">
      <w:pPr>
        <w:pStyle w:val="Numbered"/>
        <w:ind w:left="709" w:hanging="709"/>
        <w:rPr>
          <w:rFonts w:cs="Arial"/>
          <w:sz w:val="20"/>
          <w:szCs w:val="22"/>
        </w:rPr>
      </w:pPr>
      <w:r w:rsidRPr="007A57DE">
        <w:rPr>
          <w:rFonts w:cs="Arial"/>
          <w:sz w:val="20"/>
          <w:szCs w:val="22"/>
        </w:rPr>
        <w:t>a)</w:t>
      </w:r>
      <w:r w:rsidRPr="007A57DE">
        <w:rPr>
          <w:rFonts w:cs="Arial"/>
          <w:sz w:val="20"/>
          <w:szCs w:val="22"/>
        </w:rPr>
        <w:tab/>
        <w:t>any state of bankruptcy, inso</w:t>
      </w:r>
      <w:r w:rsidR="007A57DE">
        <w:rPr>
          <w:rFonts w:cs="Arial"/>
          <w:sz w:val="20"/>
          <w:szCs w:val="22"/>
        </w:rPr>
        <w:t xml:space="preserve">lvency, compulsory winding up, </w:t>
      </w:r>
      <w:r w:rsidRPr="007A57DE">
        <w:rPr>
          <w:rFonts w:cs="Arial"/>
          <w:sz w:val="20"/>
          <w:szCs w:val="22"/>
        </w:rPr>
        <w:t>administration, receivership composition with creditors or a</w:t>
      </w:r>
      <w:r w:rsidR="007A57DE">
        <w:rPr>
          <w:rFonts w:cs="Arial"/>
          <w:sz w:val="20"/>
          <w:szCs w:val="22"/>
        </w:rPr>
        <w:t xml:space="preserve">ny analogous </w:t>
      </w:r>
      <w:r w:rsidRPr="007A57DE">
        <w:rPr>
          <w:rFonts w:cs="Arial"/>
          <w:sz w:val="20"/>
          <w:szCs w:val="22"/>
        </w:rPr>
        <w:t>state of relevant proceedings;</w:t>
      </w:r>
    </w:p>
    <w:p w:rsidR="00DE7DF4" w:rsidRPr="007A57DE" w:rsidRDefault="00DE7DF4" w:rsidP="007A57DE">
      <w:pPr>
        <w:pStyle w:val="Numbered"/>
        <w:ind w:left="709" w:hanging="709"/>
        <w:rPr>
          <w:rFonts w:cs="Arial"/>
          <w:sz w:val="20"/>
          <w:szCs w:val="22"/>
        </w:rPr>
      </w:pPr>
      <w:r w:rsidRPr="007A57DE">
        <w:rPr>
          <w:rFonts w:cs="Arial"/>
          <w:sz w:val="20"/>
          <w:szCs w:val="22"/>
        </w:rPr>
        <w:t>b)</w:t>
      </w:r>
      <w:r w:rsidRPr="007A57DE">
        <w:rPr>
          <w:rFonts w:cs="Arial"/>
          <w:sz w:val="20"/>
          <w:szCs w:val="22"/>
        </w:rPr>
        <w:tab/>
        <w:t xml:space="preserve">any convictions for a criminal offence committed by the </w:t>
      </w:r>
      <w:r w:rsidR="004F6E58" w:rsidRPr="007A57DE">
        <w:rPr>
          <w:rFonts w:cs="Arial"/>
          <w:sz w:val="20"/>
          <w:szCs w:val="22"/>
        </w:rPr>
        <w:t>Potential Provider</w:t>
      </w:r>
      <w:r w:rsidRPr="007A57DE">
        <w:rPr>
          <w:rFonts w:cs="Arial"/>
          <w:sz w:val="20"/>
          <w:szCs w:val="22"/>
        </w:rPr>
        <w:t xml:space="preserve"> (or being a company, by its officers or any representative of the company);</w:t>
      </w:r>
    </w:p>
    <w:p w:rsidR="00DE7DF4" w:rsidRPr="007A57DE" w:rsidRDefault="00DE7DF4" w:rsidP="007A57DE">
      <w:pPr>
        <w:pStyle w:val="Numbered"/>
        <w:ind w:left="709" w:hanging="709"/>
        <w:rPr>
          <w:rFonts w:cs="Arial"/>
          <w:sz w:val="20"/>
          <w:szCs w:val="22"/>
        </w:rPr>
      </w:pPr>
      <w:r w:rsidRPr="007A57DE">
        <w:rPr>
          <w:rFonts w:cs="Arial"/>
          <w:sz w:val="20"/>
          <w:szCs w:val="22"/>
        </w:rPr>
        <w:t>c)</w:t>
      </w:r>
      <w:r w:rsidRPr="007A57DE">
        <w:rPr>
          <w:rFonts w:cs="Arial"/>
          <w:sz w:val="20"/>
          <w:szCs w:val="22"/>
        </w:rPr>
        <w:tab/>
        <w:t xml:space="preserve">any acts of grave misconduct committed by the </w:t>
      </w:r>
      <w:r w:rsidR="004F6E58" w:rsidRPr="007A57DE">
        <w:rPr>
          <w:rFonts w:cs="Arial"/>
          <w:sz w:val="20"/>
          <w:szCs w:val="22"/>
        </w:rPr>
        <w:t>Potential Provider</w:t>
      </w:r>
      <w:r w:rsidRPr="007A57DE">
        <w:rPr>
          <w:rFonts w:cs="Arial"/>
          <w:sz w:val="20"/>
          <w:szCs w:val="22"/>
        </w:rPr>
        <w:t xml:space="preserve"> (or being a company, by its officers or any represe</w:t>
      </w:r>
      <w:r w:rsidR="007A57DE">
        <w:rPr>
          <w:rFonts w:cs="Arial"/>
          <w:sz w:val="20"/>
          <w:szCs w:val="22"/>
        </w:rPr>
        <w:t xml:space="preserve">ntative of the company) in the </w:t>
      </w:r>
      <w:r w:rsidRPr="007A57DE">
        <w:rPr>
          <w:rFonts w:cs="Arial"/>
          <w:sz w:val="20"/>
          <w:szCs w:val="22"/>
        </w:rPr>
        <w:t>course of their business or profession/the company's business;</w:t>
      </w:r>
    </w:p>
    <w:p w:rsidR="00DE7DF4" w:rsidRPr="007A57DE" w:rsidRDefault="00DE7DF4" w:rsidP="007A57DE">
      <w:pPr>
        <w:pStyle w:val="Numbered"/>
        <w:ind w:left="709" w:hanging="709"/>
        <w:rPr>
          <w:rFonts w:cs="Arial"/>
          <w:sz w:val="20"/>
          <w:szCs w:val="22"/>
        </w:rPr>
      </w:pPr>
      <w:r w:rsidRPr="007A57DE">
        <w:rPr>
          <w:rFonts w:cs="Arial"/>
          <w:sz w:val="20"/>
          <w:szCs w:val="22"/>
        </w:rPr>
        <w:t>d)</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w:t>
      </w:r>
      <w:r w:rsidR="007A57DE">
        <w:rPr>
          <w:rFonts w:cs="Arial"/>
          <w:sz w:val="20"/>
          <w:szCs w:val="22"/>
        </w:rPr>
        <w:t xml:space="preserve">ompany, by its officers or any </w:t>
      </w:r>
      <w:r w:rsidRPr="007A57DE">
        <w:rPr>
          <w:rFonts w:cs="Arial"/>
          <w:sz w:val="20"/>
          <w:szCs w:val="22"/>
        </w:rPr>
        <w:t>representative of the company) to fulfil</w:t>
      </w:r>
      <w:r w:rsidR="007A57DE">
        <w:rPr>
          <w:rFonts w:cs="Arial"/>
          <w:sz w:val="20"/>
          <w:szCs w:val="22"/>
        </w:rPr>
        <w:t xml:space="preserve"> their obligations relating to </w:t>
      </w:r>
      <w:r w:rsidRPr="007A57DE">
        <w:rPr>
          <w:rFonts w:cs="Arial"/>
          <w:sz w:val="20"/>
          <w:szCs w:val="22"/>
        </w:rPr>
        <w:t>payment of Social Security contributions; and</w:t>
      </w:r>
    </w:p>
    <w:p w:rsidR="00DE7DF4" w:rsidRPr="007A57DE" w:rsidRDefault="00DE7DF4" w:rsidP="007A57DE">
      <w:pPr>
        <w:ind w:left="709" w:hanging="709"/>
        <w:rPr>
          <w:rFonts w:cs="Arial"/>
          <w:b/>
          <w:sz w:val="20"/>
          <w:szCs w:val="22"/>
        </w:rPr>
        <w:sectPr w:rsidR="00DE7DF4" w:rsidRPr="007A57DE" w:rsidSect="007C39D3">
          <w:footerReference w:type="even" r:id="rId20"/>
          <w:footerReference w:type="default" r:id="rId21"/>
          <w:footerReference w:type="first" r:id="rId22"/>
          <w:pgSz w:w="11906" w:h="16838" w:code="9"/>
          <w:pgMar w:top="11" w:right="1066" w:bottom="1440" w:left="1560" w:header="706" w:footer="922" w:gutter="0"/>
          <w:cols w:space="708"/>
          <w:titlePg/>
          <w:docGrid w:linePitch="360"/>
        </w:sectPr>
      </w:pPr>
      <w:r w:rsidRPr="007A57DE">
        <w:rPr>
          <w:rFonts w:cs="Arial"/>
          <w:sz w:val="20"/>
          <w:szCs w:val="22"/>
        </w:rPr>
        <w:t>e)</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company, by its officers or any </w:t>
      </w:r>
      <w:r w:rsidRPr="007A57DE">
        <w:rPr>
          <w:rFonts w:cs="Arial"/>
          <w:sz w:val="20"/>
          <w:szCs w:val="22"/>
        </w:rPr>
        <w:tab/>
        <w:t>representative of the company) to fulfil</w:t>
      </w:r>
      <w:r w:rsidR="007A57DE">
        <w:rPr>
          <w:rFonts w:cs="Arial"/>
          <w:sz w:val="20"/>
          <w:szCs w:val="22"/>
        </w:rPr>
        <w:t xml:space="preserve"> their obligations relating to </w:t>
      </w:r>
      <w:r w:rsidRPr="007A57DE">
        <w:rPr>
          <w:rFonts w:cs="Arial"/>
          <w:sz w:val="20"/>
          <w:szCs w:val="22"/>
        </w:rPr>
        <w:t>payment of taxes.</w:t>
      </w:r>
      <w:r w:rsidRPr="007A57DE">
        <w:rPr>
          <w:rFonts w:cs="Arial"/>
          <w:b/>
          <w:sz w:val="20"/>
          <w:szCs w:val="22"/>
        </w:rPr>
        <w:t xml:space="preserve"> </w:t>
      </w:r>
    </w:p>
    <w:p w:rsidR="00C9709F" w:rsidRPr="00C9709F" w:rsidRDefault="00C9709F" w:rsidP="00F86E0D">
      <w:pPr>
        <w:rPr>
          <w:rStyle w:val="CharChar1"/>
          <w:b w:val="0"/>
          <w:sz w:val="22"/>
          <w:szCs w:val="22"/>
        </w:rPr>
      </w:pPr>
    </w:p>
    <w:p w:rsidR="00C9709F" w:rsidRPr="00C9709F" w:rsidRDefault="00C9709F" w:rsidP="00C9709F">
      <w:pPr>
        <w:rPr>
          <w:rStyle w:val="CharChar1"/>
          <w:sz w:val="22"/>
          <w:szCs w:val="22"/>
        </w:rPr>
      </w:pPr>
      <w:r w:rsidRPr="00C9709F">
        <w:rPr>
          <w:rStyle w:val="CharChar1"/>
          <w:sz w:val="22"/>
          <w:szCs w:val="22"/>
        </w:rPr>
        <w:t>Annex 3: Standard Terms and Condition;</w:t>
      </w:r>
    </w:p>
    <w:p w:rsidR="00C9709F" w:rsidRDefault="00C9709F" w:rsidP="00C9709F">
      <w:pPr>
        <w:rPr>
          <w:rFonts w:cs="Arial"/>
          <w:b/>
          <w:sz w:val="22"/>
          <w:szCs w:val="22"/>
          <w:u w:val="single"/>
        </w:rPr>
      </w:pPr>
    </w:p>
    <w:p w:rsidR="00C9709F" w:rsidRDefault="00C9709F" w:rsidP="00C9709F">
      <w:pPr>
        <w:rPr>
          <w:rFonts w:cs="Arial"/>
          <w:b/>
          <w:sz w:val="22"/>
          <w:szCs w:val="22"/>
          <w:u w:val="single"/>
        </w:rPr>
      </w:pPr>
    </w:p>
    <w:p w:rsidR="00C9709F" w:rsidRDefault="00E45CD7" w:rsidP="00C9709F">
      <w:pPr>
        <w:rPr>
          <w:rFonts w:cs="Arial"/>
          <w:b/>
          <w:sz w:val="22"/>
          <w:szCs w:val="22"/>
          <w:u w:val="single"/>
        </w:rPr>
      </w:pPr>
      <w:r>
        <w:rPr>
          <w:rFonts w:cs="Arial"/>
          <w:b/>
          <w:noProof/>
          <w:sz w:val="22"/>
          <w:szCs w:val="22"/>
          <w:u w:val="single"/>
          <w:lang w:eastAsia="en-GB"/>
        </w:rPr>
        <w:drawing>
          <wp:inline distT="0" distB="0" distL="0" distR="0" wp14:anchorId="02FCC05C">
            <wp:extent cx="848360" cy="6584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8360" cy="658495"/>
                    </a:xfrm>
                    <a:prstGeom prst="rect">
                      <a:avLst/>
                    </a:prstGeom>
                    <a:noFill/>
                    <a:ln>
                      <a:noFill/>
                    </a:ln>
                  </pic:spPr>
                </pic:pic>
              </a:graphicData>
            </a:graphic>
          </wp:inline>
        </w:drawing>
      </w: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C9709F" w:rsidRDefault="00C9709F" w:rsidP="00F86E0D">
      <w:pPr>
        <w:rPr>
          <w:rFonts w:cs="Arial"/>
          <w:b/>
          <w:sz w:val="22"/>
          <w:szCs w:val="22"/>
          <w:u w:val="single"/>
        </w:rPr>
      </w:pPr>
    </w:p>
    <w:p w:rsidR="00DE7DF4" w:rsidRPr="0037090A" w:rsidRDefault="00DE7DF4" w:rsidP="00F86E0D">
      <w:pPr>
        <w:rPr>
          <w:rFonts w:cs="Arial"/>
          <w:b/>
          <w:sz w:val="22"/>
          <w:szCs w:val="22"/>
          <w:u w:val="single"/>
        </w:rPr>
      </w:pPr>
      <w:r w:rsidRPr="0037090A">
        <w:rPr>
          <w:rFonts w:cs="Arial"/>
          <w:b/>
          <w:sz w:val="22"/>
          <w:szCs w:val="22"/>
          <w:u w:val="single"/>
        </w:rPr>
        <w:t>Ap</w:t>
      </w:r>
      <w:r w:rsidR="007705FE" w:rsidRPr="0037090A">
        <w:rPr>
          <w:rFonts w:cs="Arial"/>
          <w:b/>
          <w:sz w:val="22"/>
          <w:szCs w:val="22"/>
          <w:u w:val="single"/>
        </w:rPr>
        <w:t>pendix A</w:t>
      </w:r>
    </w:p>
    <w:p w:rsidR="00DE7DF4" w:rsidRPr="0037090A"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b/>
                <w:bCs/>
                <w:sz w:val="22"/>
                <w:szCs w:val="22"/>
                <w:lang w:eastAsia="en-GB"/>
              </w:rPr>
              <w:t xml:space="preserve">Tenderer’s Commercially Sensitive Information Form </w:t>
            </w:r>
            <w:r w:rsidRPr="0037090A">
              <w:rPr>
                <w:rFonts w:cs="Arial"/>
                <w:color w:val="000000"/>
                <w:sz w:val="22"/>
                <w:szCs w:val="22"/>
                <w:lang w:eastAsia="en-GB"/>
              </w:rPr>
              <w:t xml:space="preserve">ITT Ref No: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Description of Tenderer’s Commercially Sensitive Information: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Cross Reference(s) to location of sensitive information in Tender: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Explanation of Sensitivity: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Details of potential harm resulting from disclosure: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9C3162" w:rsidP="00F86E0D">
            <w:pPr>
              <w:overflowPunct/>
              <w:spacing w:before="120" w:after="120"/>
              <w:textAlignment w:val="auto"/>
              <w:rPr>
                <w:rFonts w:cs="Arial"/>
                <w:color w:val="000000"/>
                <w:sz w:val="22"/>
                <w:szCs w:val="22"/>
                <w:lang w:eastAsia="en-GB"/>
              </w:rPr>
            </w:pPr>
            <w:r>
              <w:rPr>
                <w:rFonts w:cs="Arial"/>
                <w:color w:val="000000"/>
                <w:sz w:val="22"/>
                <w:szCs w:val="22"/>
                <w:lang w:eastAsia="en-GB"/>
              </w:rPr>
              <w:t xml:space="preserve">Date of applicability - </w:t>
            </w:r>
            <w:r w:rsidR="00DE7DF4" w:rsidRPr="0037090A">
              <w:rPr>
                <w:rFonts w:cs="Arial"/>
                <w:color w:val="000000"/>
                <w:sz w:val="22"/>
                <w:szCs w:val="22"/>
                <w:lang w:eastAsia="en-GB"/>
              </w:rPr>
              <w:t xml:space="preserve">Period of Confidence (if applicable): </w:t>
            </w:r>
          </w:p>
        </w:tc>
      </w:tr>
      <w:tr w:rsidR="00DE7DF4" w:rsidRPr="0037090A" w:rsidTr="00DE660E">
        <w:trPr>
          <w:trHeight w:val="1028"/>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Contact Details for Transparency/Freedom of Information matters: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Name: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Position: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Address: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Telephone Number: </w:t>
            </w:r>
          </w:p>
          <w:p w:rsidR="00DE7DF4" w:rsidRPr="0037090A" w:rsidRDefault="00896BDA"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E</w:t>
            </w:r>
            <w:r w:rsidR="00DE7DF4" w:rsidRPr="0037090A">
              <w:rPr>
                <w:rFonts w:cs="Arial"/>
                <w:color w:val="000000"/>
                <w:sz w:val="22"/>
                <w:szCs w:val="22"/>
                <w:lang w:eastAsia="en-GB"/>
              </w:rPr>
              <w:t xml:space="preserve">mail Address: </w:t>
            </w:r>
          </w:p>
        </w:tc>
      </w:tr>
    </w:tbl>
    <w:p w:rsidR="00DE7DF4" w:rsidRPr="0037090A" w:rsidRDefault="00DE7DF4" w:rsidP="00F86E0D">
      <w:pPr>
        <w:rPr>
          <w:rFonts w:cs="Arial"/>
          <w:sz w:val="22"/>
          <w:szCs w:val="22"/>
        </w:rPr>
      </w:pPr>
    </w:p>
    <w:p w:rsidR="00DE7DF4" w:rsidRPr="0037090A" w:rsidRDefault="00DE7DF4"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F700F3" w:rsidRPr="0037090A" w:rsidRDefault="00F700F3" w:rsidP="00F86E0D">
      <w:pPr>
        <w:rPr>
          <w:rFonts w:cs="Arial"/>
          <w:sz w:val="22"/>
          <w:szCs w:val="22"/>
        </w:rPr>
      </w:pPr>
    </w:p>
    <w:p w:rsidR="00594B53" w:rsidRDefault="00594B53" w:rsidP="00F86E0D"/>
    <w:p w:rsidR="00594B53" w:rsidRDefault="00594B53" w:rsidP="00F86E0D"/>
    <w:sectPr w:rsidR="00594B53" w:rsidSect="00C33136">
      <w:headerReference w:type="first" r:id="rId24"/>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67" w:rsidRDefault="00F25667">
      <w:r>
        <w:separator/>
      </w:r>
    </w:p>
  </w:endnote>
  <w:endnote w:type="continuationSeparator" w:id="0">
    <w:p w:rsidR="00F25667" w:rsidRDefault="00F2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5667" w:rsidRDefault="00F25667"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rsidR="00F25667" w:rsidRDefault="00F25667">
        <w:pPr>
          <w:pStyle w:val="Footer"/>
          <w:jc w:val="right"/>
        </w:pPr>
      </w:p>
      <w:p w:rsidR="00F25667" w:rsidRDefault="00F25667">
        <w:pPr>
          <w:pStyle w:val="Footer"/>
          <w:jc w:val="right"/>
        </w:pPr>
      </w:p>
      <w:p w:rsidR="00F25667" w:rsidRPr="001F59D1" w:rsidRDefault="00F25667"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rsidR="00F25667" w:rsidRPr="00E11D73" w:rsidRDefault="00F25667"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5667" w:rsidRDefault="00F25667"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CD7">
      <w:rPr>
        <w:rStyle w:val="PageNumber"/>
        <w:noProof/>
      </w:rPr>
      <w:t>20</w:t>
    </w:r>
    <w:r>
      <w:rPr>
        <w:rStyle w:val="PageNumber"/>
      </w:rPr>
      <w:fldChar w:fldCharType="end"/>
    </w:r>
  </w:p>
  <w:p w:rsidR="00F25667" w:rsidRDefault="00F25667"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67" w:rsidRDefault="00F25667">
      <w:r>
        <w:separator/>
      </w:r>
    </w:p>
  </w:footnote>
  <w:footnote w:type="continuationSeparator" w:id="0">
    <w:p w:rsidR="00F25667" w:rsidRDefault="00F2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Pr="00025DFE" w:rsidRDefault="00F25667" w:rsidP="00007B71">
    <w:pPr>
      <w:jc w:val="right"/>
      <w:rPr>
        <w:sz w:val="16"/>
        <w:szCs w:val="16"/>
      </w:rP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rsidR="00F25667" w:rsidRDefault="00F25667" w:rsidP="0000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67" w:rsidRDefault="00F25667">
    <w:pPr>
      <w:pStyle w:val="Header"/>
    </w:pPr>
    <w:r>
      <w:t>DRAFT. FOR DISCUSSION ONLY. NOT FOR CIRCULATION. NOT A COMMITMENT TO FUNDING BY CCO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144133E4"/>
    <w:multiLevelType w:val="hybridMultilevel"/>
    <w:tmpl w:val="BB1E14B6"/>
    <w:lvl w:ilvl="0" w:tplc="62E44596">
      <w:start w:val="1"/>
      <w:numFmt w:val="decimal"/>
      <w:lvlText w:val="Paper %1."/>
      <w:lvlJc w:val="left"/>
      <w:pPr>
        <w:tabs>
          <w:tab w:val="num" w:pos="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A613768"/>
    <w:multiLevelType w:val="hybridMultilevel"/>
    <w:tmpl w:val="846E1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745BC1"/>
    <w:multiLevelType w:val="hybridMultilevel"/>
    <w:tmpl w:val="C45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85EC4"/>
    <w:multiLevelType w:val="hybridMultilevel"/>
    <w:tmpl w:val="967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63E8E"/>
    <w:multiLevelType w:val="hybridMultilevel"/>
    <w:tmpl w:val="600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E4A3D"/>
    <w:multiLevelType w:val="multilevel"/>
    <w:tmpl w:val="2C204628"/>
    <w:lvl w:ilvl="0">
      <w:start w:val="1"/>
      <w:numFmt w:val="bullet"/>
      <w:lvlText w:val=""/>
      <w:lvlJc w:val="left"/>
      <w:pPr>
        <w:ind w:left="720" w:hanging="360"/>
      </w:pPr>
      <w:rPr>
        <w:rFonts w:ascii="Symbol" w:hAnsi="Symbol" w:hint="default"/>
      </w:rPr>
    </w:lvl>
    <w:lvl w:ilvl="1">
      <w:start w:val="1"/>
      <w:numFmt w:val="decimal"/>
      <w:isLgl/>
      <w:lvlText w:val="%1.%2"/>
      <w:lvlJc w:val="left"/>
      <w:pPr>
        <w:ind w:left="1570" w:hanging="360"/>
      </w:pPr>
      <w:rPr>
        <w:rFonts w:hint="default"/>
      </w:rPr>
    </w:lvl>
    <w:lvl w:ilvl="2">
      <w:start w:val="1"/>
      <w:numFmt w:val="bullet"/>
      <w:lvlText w:val=""/>
      <w:lvlJc w:val="left"/>
      <w:pPr>
        <w:ind w:left="2780" w:hanging="720"/>
      </w:pPr>
      <w:rPr>
        <w:rFonts w:ascii="Symbol" w:hAnsi="Symbol"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0D6C04"/>
    <w:multiLevelType w:val="hybridMultilevel"/>
    <w:tmpl w:val="0BFAC0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7206B"/>
    <w:multiLevelType w:val="hybridMultilevel"/>
    <w:tmpl w:val="B97A1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A71159"/>
    <w:multiLevelType w:val="hybridMultilevel"/>
    <w:tmpl w:val="93D4C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A4C3922"/>
    <w:multiLevelType w:val="hybridMultilevel"/>
    <w:tmpl w:val="9E721830"/>
    <w:lvl w:ilvl="0" w:tplc="19ECBFAC">
      <w:start w:val="1"/>
      <w:numFmt w:val="bullet"/>
      <w:lvlRestart w:val="0"/>
      <w:lvlText w:val=""/>
      <w:lvlJc w:val="left"/>
      <w:pPr>
        <w:tabs>
          <w:tab w:val="num" w:pos="720"/>
        </w:tabs>
        <w:ind w:left="720" w:hanging="360"/>
      </w:pPr>
      <w:rPr>
        <w:rFonts w:ascii="Symbol" w:hAnsi="Symbol"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4797F"/>
    <w:multiLevelType w:val="hybridMultilevel"/>
    <w:tmpl w:val="A8D8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E776F8"/>
    <w:multiLevelType w:val="multilevel"/>
    <w:tmpl w:val="EC9807B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B7503F1"/>
    <w:multiLevelType w:val="hybridMultilevel"/>
    <w:tmpl w:val="BEA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5334A"/>
    <w:multiLevelType w:val="hybridMultilevel"/>
    <w:tmpl w:val="EC64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B78D3"/>
    <w:multiLevelType w:val="hybridMultilevel"/>
    <w:tmpl w:val="0C7AEE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50776"/>
    <w:multiLevelType w:val="hybridMultilevel"/>
    <w:tmpl w:val="DBA0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E599C"/>
    <w:multiLevelType w:val="hybridMultilevel"/>
    <w:tmpl w:val="030E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5182704"/>
    <w:multiLevelType w:val="multilevel"/>
    <w:tmpl w:val="F2A2DD9E"/>
    <w:lvl w:ilvl="0">
      <w:start w:val="1"/>
      <w:numFmt w:val="bullet"/>
      <w:lvlText w:val=""/>
      <w:lvlJc w:val="left"/>
      <w:pPr>
        <w:ind w:left="2160" w:hanging="360"/>
      </w:pPr>
      <w:rPr>
        <w:rFonts w:ascii="Wingdings" w:hAnsi="Wingdings" w:hint="default"/>
      </w:rPr>
    </w:lvl>
    <w:lvl w:ilvl="1">
      <w:start w:val="1"/>
      <w:numFmt w:val="decimal"/>
      <w:isLgl/>
      <w:lvlText w:val="%1.%2"/>
      <w:lvlJc w:val="left"/>
      <w:pPr>
        <w:ind w:left="3010" w:hanging="360"/>
      </w:pPr>
      <w:rPr>
        <w:rFonts w:hint="default"/>
      </w:rPr>
    </w:lvl>
    <w:lvl w:ilvl="2">
      <w:start w:val="1"/>
      <w:numFmt w:val="bullet"/>
      <w:lvlText w:val=""/>
      <w:lvlJc w:val="left"/>
      <w:pPr>
        <w:ind w:left="4220" w:hanging="720"/>
      </w:pPr>
      <w:rPr>
        <w:rFonts w:ascii="Symbol" w:hAnsi="Symbol" w:hint="default"/>
      </w:rPr>
    </w:lvl>
    <w:lvl w:ilvl="3">
      <w:start w:val="1"/>
      <w:numFmt w:val="decimal"/>
      <w:isLgl/>
      <w:lvlText w:val="%1.%2.%3.%4"/>
      <w:lvlJc w:val="left"/>
      <w:pPr>
        <w:ind w:left="5070" w:hanging="720"/>
      </w:pPr>
      <w:rPr>
        <w:rFonts w:hint="default"/>
      </w:rPr>
    </w:lvl>
    <w:lvl w:ilvl="4">
      <w:start w:val="1"/>
      <w:numFmt w:val="decimal"/>
      <w:isLgl/>
      <w:lvlText w:val="%1.%2.%3.%4.%5"/>
      <w:lvlJc w:val="left"/>
      <w:pPr>
        <w:ind w:left="6280" w:hanging="1080"/>
      </w:pPr>
      <w:rPr>
        <w:rFonts w:hint="default"/>
      </w:rPr>
    </w:lvl>
    <w:lvl w:ilvl="5">
      <w:start w:val="1"/>
      <w:numFmt w:val="decimal"/>
      <w:isLgl/>
      <w:lvlText w:val="%1.%2.%3.%4.%5.%6"/>
      <w:lvlJc w:val="left"/>
      <w:pPr>
        <w:ind w:left="713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190" w:hanging="1440"/>
      </w:pPr>
      <w:rPr>
        <w:rFonts w:hint="default"/>
      </w:rPr>
    </w:lvl>
    <w:lvl w:ilvl="8">
      <w:start w:val="1"/>
      <w:numFmt w:val="decimal"/>
      <w:isLgl/>
      <w:lvlText w:val="%1.%2.%3.%4.%5.%6.%7.%8.%9"/>
      <w:lvlJc w:val="left"/>
      <w:pPr>
        <w:ind w:left="10400" w:hanging="1800"/>
      </w:pPr>
      <w:rPr>
        <w:rFonts w:hint="default"/>
      </w:rPr>
    </w:lvl>
  </w:abstractNum>
  <w:abstractNum w:abstractNumId="28" w15:restartNumberingAfterBreak="0">
    <w:nsid w:val="65E25C4C"/>
    <w:multiLevelType w:val="hybridMultilevel"/>
    <w:tmpl w:val="FBACA408"/>
    <w:lvl w:ilvl="0" w:tplc="62E44596">
      <w:start w:val="1"/>
      <w:numFmt w:val="decimal"/>
      <w:lvlText w:val="Paper %1."/>
      <w:lvlJc w:val="left"/>
      <w:pPr>
        <w:tabs>
          <w:tab w:val="num" w:pos="0"/>
        </w:tabs>
        <w:ind w:left="284" w:hanging="2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1D7"/>
    <w:multiLevelType w:val="multilevel"/>
    <w:tmpl w:val="929276DE"/>
    <w:lvl w:ilvl="0">
      <w:start w:val="1"/>
      <w:numFmt w:val="decimal"/>
      <w:lvlText w:val="%1."/>
      <w:lvlJc w:val="left"/>
      <w:pPr>
        <w:ind w:left="720" w:hanging="360"/>
      </w:pPr>
      <w:rPr>
        <w:rFonts w:hint="default"/>
      </w:rPr>
    </w:lvl>
    <w:lvl w:ilvl="1">
      <w:start w:val="1"/>
      <w:numFmt w:val="decimal"/>
      <w:isLgl/>
      <w:lvlText w:val="%1.%2"/>
      <w:lvlJc w:val="left"/>
      <w:pPr>
        <w:ind w:left="1570" w:hanging="360"/>
      </w:pPr>
      <w:rPr>
        <w:rFonts w:hint="default"/>
      </w:rPr>
    </w:lvl>
    <w:lvl w:ilvl="2">
      <w:start w:val="1"/>
      <w:numFmt w:val="decimal"/>
      <w:isLgl/>
      <w:lvlText w:val="%1.%2.%3"/>
      <w:lvlJc w:val="left"/>
      <w:pPr>
        <w:ind w:left="278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30" w15:restartNumberingAfterBreak="0">
    <w:nsid w:val="6E72598D"/>
    <w:multiLevelType w:val="hybridMultilevel"/>
    <w:tmpl w:val="7BD63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85B2F"/>
    <w:multiLevelType w:val="hybridMultilevel"/>
    <w:tmpl w:val="B0E855F8"/>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25"/>
  </w:num>
  <w:num w:numId="5">
    <w:abstractNumId w:val="3"/>
  </w:num>
  <w:num w:numId="6">
    <w:abstractNumId w:val="26"/>
  </w:num>
  <w:num w:numId="7">
    <w:abstractNumId w:val="29"/>
  </w:num>
  <w:num w:numId="8">
    <w:abstractNumId w:val="1"/>
  </w:num>
  <w:num w:numId="9">
    <w:abstractNumId w:val="0"/>
  </w:num>
  <w:num w:numId="10">
    <w:abstractNumId w:val="18"/>
  </w:num>
  <w:num w:numId="11">
    <w:abstractNumId w:val="15"/>
  </w:num>
  <w:num w:numId="12">
    <w:abstractNumId w:val="33"/>
  </w:num>
  <w:num w:numId="13">
    <w:abstractNumId w:val="21"/>
  </w:num>
  <w:num w:numId="14">
    <w:abstractNumId w:val="7"/>
  </w:num>
  <w:num w:numId="15">
    <w:abstractNumId w:val="20"/>
  </w:num>
  <w:num w:numId="16">
    <w:abstractNumId w:val="9"/>
  </w:num>
  <w:num w:numId="17">
    <w:abstractNumId w:val="22"/>
  </w:num>
  <w:num w:numId="18">
    <w:abstractNumId w:val="13"/>
  </w:num>
  <w:num w:numId="19">
    <w:abstractNumId w:val="10"/>
  </w:num>
  <w:num w:numId="20">
    <w:abstractNumId w:val="27"/>
  </w:num>
  <w:num w:numId="21">
    <w:abstractNumId w:val="12"/>
  </w:num>
  <w:num w:numId="22">
    <w:abstractNumId w:val="4"/>
  </w:num>
  <w:num w:numId="23">
    <w:abstractNumId w:val="6"/>
  </w:num>
  <w:num w:numId="24">
    <w:abstractNumId w:val="31"/>
  </w:num>
  <w:num w:numId="25">
    <w:abstractNumId w:val="8"/>
  </w:num>
  <w:num w:numId="26">
    <w:abstractNumId w:val="24"/>
  </w:num>
  <w:num w:numId="27">
    <w:abstractNumId w:val="23"/>
  </w:num>
  <w:num w:numId="28">
    <w:abstractNumId w:val="14"/>
  </w:num>
  <w:num w:numId="29">
    <w:abstractNumId w:val="32"/>
  </w:num>
  <w:num w:numId="30">
    <w:abstractNumId w:val="19"/>
  </w:num>
  <w:num w:numId="31">
    <w:abstractNumId w:val="16"/>
  </w:num>
  <w:num w:numId="32">
    <w:abstractNumId w:val="28"/>
  </w:num>
  <w:num w:numId="33">
    <w:abstractNumId w:val="2"/>
  </w:num>
  <w:num w:numId="3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7170"/>
    <w:rsid w:val="00007B71"/>
    <w:rsid w:val="00007BD4"/>
    <w:rsid w:val="0001166E"/>
    <w:rsid w:val="00012164"/>
    <w:rsid w:val="00014966"/>
    <w:rsid w:val="00014FF1"/>
    <w:rsid w:val="00016057"/>
    <w:rsid w:val="0001666B"/>
    <w:rsid w:val="00022202"/>
    <w:rsid w:val="00023EFA"/>
    <w:rsid w:val="00025643"/>
    <w:rsid w:val="0002662D"/>
    <w:rsid w:val="000267B1"/>
    <w:rsid w:val="000272D7"/>
    <w:rsid w:val="00034041"/>
    <w:rsid w:val="0003482B"/>
    <w:rsid w:val="00034BAE"/>
    <w:rsid w:val="0003631A"/>
    <w:rsid w:val="000373E9"/>
    <w:rsid w:val="000412DD"/>
    <w:rsid w:val="00041A08"/>
    <w:rsid w:val="000437FE"/>
    <w:rsid w:val="00046492"/>
    <w:rsid w:val="00055432"/>
    <w:rsid w:val="00060F21"/>
    <w:rsid w:val="00062614"/>
    <w:rsid w:val="000640FE"/>
    <w:rsid w:val="000644FA"/>
    <w:rsid w:val="000646D8"/>
    <w:rsid w:val="00077CA8"/>
    <w:rsid w:val="0008419C"/>
    <w:rsid w:val="00084C3E"/>
    <w:rsid w:val="000866AC"/>
    <w:rsid w:val="00090CD5"/>
    <w:rsid w:val="00091878"/>
    <w:rsid w:val="00093029"/>
    <w:rsid w:val="000951D8"/>
    <w:rsid w:val="0009610B"/>
    <w:rsid w:val="00097CB5"/>
    <w:rsid w:val="000A724B"/>
    <w:rsid w:val="000A7BE0"/>
    <w:rsid w:val="000B441B"/>
    <w:rsid w:val="000B676B"/>
    <w:rsid w:val="000B68CA"/>
    <w:rsid w:val="000D1F93"/>
    <w:rsid w:val="000E16AF"/>
    <w:rsid w:val="000E293A"/>
    <w:rsid w:val="000E467B"/>
    <w:rsid w:val="000E6A60"/>
    <w:rsid w:val="000F6C9C"/>
    <w:rsid w:val="0010234B"/>
    <w:rsid w:val="001064AA"/>
    <w:rsid w:val="00106862"/>
    <w:rsid w:val="00106CA3"/>
    <w:rsid w:val="001155E7"/>
    <w:rsid w:val="001178FA"/>
    <w:rsid w:val="00125E2D"/>
    <w:rsid w:val="00127665"/>
    <w:rsid w:val="00127C76"/>
    <w:rsid w:val="00135128"/>
    <w:rsid w:val="00150363"/>
    <w:rsid w:val="001536E4"/>
    <w:rsid w:val="00153CA2"/>
    <w:rsid w:val="0015653C"/>
    <w:rsid w:val="00156CB4"/>
    <w:rsid w:val="0015732E"/>
    <w:rsid w:val="001625A2"/>
    <w:rsid w:val="0017133A"/>
    <w:rsid w:val="00174785"/>
    <w:rsid w:val="00184E42"/>
    <w:rsid w:val="001937C2"/>
    <w:rsid w:val="00195D82"/>
    <w:rsid w:val="001A2355"/>
    <w:rsid w:val="001A63D0"/>
    <w:rsid w:val="001A7B73"/>
    <w:rsid w:val="001B100F"/>
    <w:rsid w:val="001C0DED"/>
    <w:rsid w:val="001C14FB"/>
    <w:rsid w:val="001C381D"/>
    <w:rsid w:val="001C6870"/>
    <w:rsid w:val="001D0CB5"/>
    <w:rsid w:val="001D21E6"/>
    <w:rsid w:val="001D2666"/>
    <w:rsid w:val="001D53AF"/>
    <w:rsid w:val="001D54D5"/>
    <w:rsid w:val="001E66F4"/>
    <w:rsid w:val="001E68C1"/>
    <w:rsid w:val="001E6D58"/>
    <w:rsid w:val="001F3CBD"/>
    <w:rsid w:val="001F5293"/>
    <w:rsid w:val="00200588"/>
    <w:rsid w:val="00202FAA"/>
    <w:rsid w:val="00206024"/>
    <w:rsid w:val="002063D0"/>
    <w:rsid w:val="00206423"/>
    <w:rsid w:val="00207613"/>
    <w:rsid w:val="00213E4B"/>
    <w:rsid w:val="00216ED0"/>
    <w:rsid w:val="00224CA9"/>
    <w:rsid w:val="00227EA2"/>
    <w:rsid w:val="002453E1"/>
    <w:rsid w:val="002454B0"/>
    <w:rsid w:val="00246673"/>
    <w:rsid w:val="00261058"/>
    <w:rsid w:val="0026108E"/>
    <w:rsid w:val="0026243F"/>
    <w:rsid w:val="00263B27"/>
    <w:rsid w:val="00266053"/>
    <w:rsid w:val="002775AC"/>
    <w:rsid w:val="002815CF"/>
    <w:rsid w:val="00282D1A"/>
    <w:rsid w:val="0028335F"/>
    <w:rsid w:val="0028374C"/>
    <w:rsid w:val="002847FB"/>
    <w:rsid w:val="00287422"/>
    <w:rsid w:val="00290107"/>
    <w:rsid w:val="00293243"/>
    <w:rsid w:val="002949C3"/>
    <w:rsid w:val="002973AF"/>
    <w:rsid w:val="002A51AE"/>
    <w:rsid w:val="002A5914"/>
    <w:rsid w:val="002B16F0"/>
    <w:rsid w:val="002B193A"/>
    <w:rsid w:val="002B3FFF"/>
    <w:rsid w:val="002B67F2"/>
    <w:rsid w:val="002C0169"/>
    <w:rsid w:val="002C2338"/>
    <w:rsid w:val="002C41C6"/>
    <w:rsid w:val="002C626A"/>
    <w:rsid w:val="002D3D48"/>
    <w:rsid w:val="002D62F1"/>
    <w:rsid w:val="002D7839"/>
    <w:rsid w:val="002E0F40"/>
    <w:rsid w:val="002E3FF5"/>
    <w:rsid w:val="002F2C14"/>
    <w:rsid w:val="002F5750"/>
    <w:rsid w:val="002F6A0E"/>
    <w:rsid w:val="002F78E2"/>
    <w:rsid w:val="003014EA"/>
    <w:rsid w:val="00305350"/>
    <w:rsid w:val="00311E78"/>
    <w:rsid w:val="0031599D"/>
    <w:rsid w:val="0032386B"/>
    <w:rsid w:val="0034010B"/>
    <w:rsid w:val="00340D2D"/>
    <w:rsid w:val="00340D3A"/>
    <w:rsid w:val="003461C1"/>
    <w:rsid w:val="00347097"/>
    <w:rsid w:val="00352871"/>
    <w:rsid w:val="00353054"/>
    <w:rsid w:val="00353382"/>
    <w:rsid w:val="00354CB5"/>
    <w:rsid w:val="003568A2"/>
    <w:rsid w:val="003578B8"/>
    <w:rsid w:val="0037090A"/>
    <w:rsid w:val="003737FB"/>
    <w:rsid w:val="0037759E"/>
    <w:rsid w:val="003839A5"/>
    <w:rsid w:val="00394134"/>
    <w:rsid w:val="00396B93"/>
    <w:rsid w:val="003978D0"/>
    <w:rsid w:val="003A1AE2"/>
    <w:rsid w:val="003A28B8"/>
    <w:rsid w:val="003A47E7"/>
    <w:rsid w:val="003A4BFA"/>
    <w:rsid w:val="003A4FF8"/>
    <w:rsid w:val="003B0AB1"/>
    <w:rsid w:val="003B4A12"/>
    <w:rsid w:val="003C0B08"/>
    <w:rsid w:val="003C293B"/>
    <w:rsid w:val="003C7E26"/>
    <w:rsid w:val="003D66FA"/>
    <w:rsid w:val="003D7F5F"/>
    <w:rsid w:val="003E3E18"/>
    <w:rsid w:val="003E41FE"/>
    <w:rsid w:val="003E71ED"/>
    <w:rsid w:val="003E7AB4"/>
    <w:rsid w:val="003F0EFB"/>
    <w:rsid w:val="003F1332"/>
    <w:rsid w:val="003F2A36"/>
    <w:rsid w:val="003F55A5"/>
    <w:rsid w:val="003F5E46"/>
    <w:rsid w:val="004030B1"/>
    <w:rsid w:val="00403625"/>
    <w:rsid w:val="0040433C"/>
    <w:rsid w:val="00405483"/>
    <w:rsid w:val="004056BE"/>
    <w:rsid w:val="00405EE4"/>
    <w:rsid w:val="0041068F"/>
    <w:rsid w:val="00411E8D"/>
    <w:rsid w:val="004123A8"/>
    <w:rsid w:val="00416648"/>
    <w:rsid w:val="00416AC3"/>
    <w:rsid w:val="0041719C"/>
    <w:rsid w:val="004201B3"/>
    <w:rsid w:val="00422A2D"/>
    <w:rsid w:val="00423A83"/>
    <w:rsid w:val="00430D57"/>
    <w:rsid w:val="00434DE8"/>
    <w:rsid w:val="00443515"/>
    <w:rsid w:val="00444023"/>
    <w:rsid w:val="0044476C"/>
    <w:rsid w:val="00451264"/>
    <w:rsid w:val="0045286A"/>
    <w:rsid w:val="004578B2"/>
    <w:rsid w:val="004718EA"/>
    <w:rsid w:val="004751E7"/>
    <w:rsid w:val="00476BD6"/>
    <w:rsid w:val="00482A2C"/>
    <w:rsid w:val="00483442"/>
    <w:rsid w:val="0048696C"/>
    <w:rsid w:val="00487664"/>
    <w:rsid w:val="00492050"/>
    <w:rsid w:val="004935FF"/>
    <w:rsid w:val="00495103"/>
    <w:rsid w:val="004A1887"/>
    <w:rsid w:val="004A4EFF"/>
    <w:rsid w:val="004A689A"/>
    <w:rsid w:val="004A7F3F"/>
    <w:rsid w:val="004B08A8"/>
    <w:rsid w:val="004B1A82"/>
    <w:rsid w:val="004C04C6"/>
    <w:rsid w:val="004C172E"/>
    <w:rsid w:val="004C3B14"/>
    <w:rsid w:val="004D39E9"/>
    <w:rsid w:val="004D4C7F"/>
    <w:rsid w:val="004D52E1"/>
    <w:rsid w:val="004D7268"/>
    <w:rsid w:val="004E0E43"/>
    <w:rsid w:val="004E4B43"/>
    <w:rsid w:val="004E758F"/>
    <w:rsid w:val="004F21F8"/>
    <w:rsid w:val="004F384A"/>
    <w:rsid w:val="004F463A"/>
    <w:rsid w:val="004F5789"/>
    <w:rsid w:val="004F6E58"/>
    <w:rsid w:val="00500564"/>
    <w:rsid w:val="00507635"/>
    <w:rsid w:val="005100A9"/>
    <w:rsid w:val="00513177"/>
    <w:rsid w:val="00513F34"/>
    <w:rsid w:val="00517BBC"/>
    <w:rsid w:val="00526D9C"/>
    <w:rsid w:val="00534166"/>
    <w:rsid w:val="00534383"/>
    <w:rsid w:val="005408CD"/>
    <w:rsid w:val="005477AB"/>
    <w:rsid w:val="00550CFA"/>
    <w:rsid w:val="005528B9"/>
    <w:rsid w:val="00552E35"/>
    <w:rsid w:val="0055405D"/>
    <w:rsid w:val="005561AA"/>
    <w:rsid w:val="00556A1B"/>
    <w:rsid w:val="0056293E"/>
    <w:rsid w:val="005643BE"/>
    <w:rsid w:val="005708FC"/>
    <w:rsid w:val="00576763"/>
    <w:rsid w:val="00576777"/>
    <w:rsid w:val="00582032"/>
    <w:rsid w:val="00583227"/>
    <w:rsid w:val="00584AA1"/>
    <w:rsid w:val="00584D51"/>
    <w:rsid w:val="00585A75"/>
    <w:rsid w:val="00590682"/>
    <w:rsid w:val="00594B53"/>
    <w:rsid w:val="00595B3F"/>
    <w:rsid w:val="00596F47"/>
    <w:rsid w:val="005A3AD1"/>
    <w:rsid w:val="005B571F"/>
    <w:rsid w:val="005B65EF"/>
    <w:rsid w:val="005C1E5D"/>
    <w:rsid w:val="005C2F7A"/>
    <w:rsid w:val="005C5B68"/>
    <w:rsid w:val="005C674A"/>
    <w:rsid w:val="005C67AB"/>
    <w:rsid w:val="005D0C4B"/>
    <w:rsid w:val="005D250B"/>
    <w:rsid w:val="005D6C50"/>
    <w:rsid w:val="005E2EEF"/>
    <w:rsid w:val="005E7A3D"/>
    <w:rsid w:val="005F124A"/>
    <w:rsid w:val="00604369"/>
    <w:rsid w:val="00605F42"/>
    <w:rsid w:val="00613422"/>
    <w:rsid w:val="006162DC"/>
    <w:rsid w:val="00620AF4"/>
    <w:rsid w:val="00622269"/>
    <w:rsid w:val="006239A8"/>
    <w:rsid w:val="00626264"/>
    <w:rsid w:val="00626B4F"/>
    <w:rsid w:val="00627C1A"/>
    <w:rsid w:val="00632246"/>
    <w:rsid w:val="00636942"/>
    <w:rsid w:val="00644FA9"/>
    <w:rsid w:val="0064606D"/>
    <w:rsid w:val="00647BD9"/>
    <w:rsid w:val="0065390A"/>
    <w:rsid w:val="00654283"/>
    <w:rsid w:val="0066002C"/>
    <w:rsid w:val="00671D67"/>
    <w:rsid w:val="00671D75"/>
    <w:rsid w:val="006757E3"/>
    <w:rsid w:val="0067586C"/>
    <w:rsid w:val="0068125F"/>
    <w:rsid w:val="0068485C"/>
    <w:rsid w:val="00685209"/>
    <w:rsid w:val="006908F9"/>
    <w:rsid w:val="00690E5E"/>
    <w:rsid w:val="0069753F"/>
    <w:rsid w:val="006A0276"/>
    <w:rsid w:val="006B0F64"/>
    <w:rsid w:val="006B309B"/>
    <w:rsid w:val="006B668F"/>
    <w:rsid w:val="006C0B4B"/>
    <w:rsid w:val="006C60ED"/>
    <w:rsid w:val="006D1906"/>
    <w:rsid w:val="006D4E22"/>
    <w:rsid w:val="006D6C91"/>
    <w:rsid w:val="006E1717"/>
    <w:rsid w:val="006E49B8"/>
    <w:rsid w:val="006E742F"/>
    <w:rsid w:val="006F16E6"/>
    <w:rsid w:val="006F461E"/>
    <w:rsid w:val="006F4681"/>
    <w:rsid w:val="0070741F"/>
    <w:rsid w:val="0070750A"/>
    <w:rsid w:val="00715E7E"/>
    <w:rsid w:val="00715EA8"/>
    <w:rsid w:val="00717ED9"/>
    <w:rsid w:val="0072034D"/>
    <w:rsid w:val="00723CB6"/>
    <w:rsid w:val="00724DFE"/>
    <w:rsid w:val="00727743"/>
    <w:rsid w:val="00733576"/>
    <w:rsid w:val="00733766"/>
    <w:rsid w:val="00734FFD"/>
    <w:rsid w:val="0074652A"/>
    <w:rsid w:val="00751497"/>
    <w:rsid w:val="00752535"/>
    <w:rsid w:val="0075397E"/>
    <w:rsid w:val="00753B06"/>
    <w:rsid w:val="007545AF"/>
    <w:rsid w:val="00754EE2"/>
    <w:rsid w:val="007603C6"/>
    <w:rsid w:val="00760D0E"/>
    <w:rsid w:val="00760DB4"/>
    <w:rsid w:val="00761740"/>
    <w:rsid w:val="00766432"/>
    <w:rsid w:val="00766DA3"/>
    <w:rsid w:val="007705FE"/>
    <w:rsid w:val="007711BB"/>
    <w:rsid w:val="007720C3"/>
    <w:rsid w:val="00780629"/>
    <w:rsid w:val="0078258A"/>
    <w:rsid w:val="00787A75"/>
    <w:rsid w:val="00792FEA"/>
    <w:rsid w:val="0079609A"/>
    <w:rsid w:val="007A1DD9"/>
    <w:rsid w:val="007A3428"/>
    <w:rsid w:val="007A45A2"/>
    <w:rsid w:val="007A57DE"/>
    <w:rsid w:val="007C08BE"/>
    <w:rsid w:val="007C3192"/>
    <w:rsid w:val="007C39D3"/>
    <w:rsid w:val="007C65B3"/>
    <w:rsid w:val="007D14A3"/>
    <w:rsid w:val="007D3B10"/>
    <w:rsid w:val="007D6FAA"/>
    <w:rsid w:val="007E01C5"/>
    <w:rsid w:val="007E0905"/>
    <w:rsid w:val="007E188D"/>
    <w:rsid w:val="007E5D64"/>
    <w:rsid w:val="007F04CD"/>
    <w:rsid w:val="007F0E3D"/>
    <w:rsid w:val="007F1B61"/>
    <w:rsid w:val="007F1E14"/>
    <w:rsid w:val="007F7122"/>
    <w:rsid w:val="008030B2"/>
    <w:rsid w:val="008034DF"/>
    <w:rsid w:val="0081006C"/>
    <w:rsid w:val="00812744"/>
    <w:rsid w:val="0081328F"/>
    <w:rsid w:val="00816372"/>
    <w:rsid w:val="0083577A"/>
    <w:rsid w:val="00836ED3"/>
    <w:rsid w:val="00843808"/>
    <w:rsid w:val="00845398"/>
    <w:rsid w:val="00846E05"/>
    <w:rsid w:val="00850681"/>
    <w:rsid w:val="008506E1"/>
    <w:rsid w:val="008518B0"/>
    <w:rsid w:val="00852B2D"/>
    <w:rsid w:val="008555A9"/>
    <w:rsid w:val="00857242"/>
    <w:rsid w:val="00864459"/>
    <w:rsid w:val="00876FFD"/>
    <w:rsid w:val="0088042A"/>
    <w:rsid w:val="008811AB"/>
    <w:rsid w:val="0088251A"/>
    <w:rsid w:val="00891589"/>
    <w:rsid w:val="00894633"/>
    <w:rsid w:val="00896BDA"/>
    <w:rsid w:val="00897070"/>
    <w:rsid w:val="00897620"/>
    <w:rsid w:val="008A7E51"/>
    <w:rsid w:val="008B3123"/>
    <w:rsid w:val="008B78AF"/>
    <w:rsid w:val="008C35B3"/>
    <w:rsid w:val="008C39B3"/>
    <w:rsid w:val="008C463E"/>
    <w:rsid w:val="008C4F13"/>
    <w:rsid w:val="008D148B"/>
    <w:rsid w:val="008D1C1D"/>
    <w:rsid w:val="008D42B2"/>
    <w:rsid w:val="008D480D"/>
    <w:rsid w:val="008D5E35"/>
    <w:rsid w:val="008D7A9D"/>
    <w:rsid w:val="008E0AD4"/>
    <w:rsid w:val="008E2968"/>
    <w:rsid w:val="008E65B1"/>
    <w:rsid w:val="008F0C98"/>
    <w:rsid w:val="008F1CFD"/>
    <w:rsid w:val="008F208E"/>
    <w:rsid w:val="008F2AA9"/>
    <w:rsid w:val="00900258"/>
    <w:rsid w:val="0090124E"/>
    <w:rsid w:val="00904857"/>
    <w:rsid w:val="009065FD"/>
    <w:rsid w:val="0090779F"/>
    <w:rsid w:val="00912B6B"/>
    <w:rsid w:val="00913EA2"/>
    <w:rsid w:val="00923750"/>
    <w:rsid w:val="00923DAD"/>
    <w:rsid w:val="00926200"/>
    <w:rsid w:val="0093013C"/>
    <w:rsid w:val="009311C0"/>
    <w:rsid w:val="00933B77"/>
    <w:rsid w:val="009342FC"/>
    <w:rsid w:val="00934FE9"/>
    <w:rsid w:val="00936D9D"/>
    <w:rsid w:val="00940629"/>
    <w:rsid w:val="00947552"/>
    <w:rsid w:val="009500E2"/>
    <w:rsid w:val="009529BB"/>
    <w:rsid w:val="0095327B"/>
    <w:rsid w:val="009553BC"/>
    <w:rsid w:val="00966069"/>
    <w:rsid w:val="00966325"/>
    <w:rsid w:val="009739A4"/>
    <w:rsid w:val="009775A1"/>
    <w:rsid w:val="00977E83"/>
    <w:rsid w:val="00993F75"/>
    <w:rsid w:val="00994D5B"/>
    <w:rsid w:val="009964B5"/>
    <w:rsid w:val="009969F3"/>
    <w:rsid w:val="009A16B3"/>
    <w:rsid w:val="009A6101"/>
    <w:rsid w:val="009B022B"/>
    <w:rsid w:val="009B3972"/>
    <w:rsid w:val="009B3E41"/>
    <w:rsid w:val="009C07DA"/>
    <w:rsid w:val="009C1A4A"/>
    <w:rsid w:val="009C29AC"/>
    <w:rsid w:val="009C3162"/>
    <w:rsid w:val="009C31B9"/>
    <w:rsid w:val="009C38F4"/>
    <w:rsid w:val="009D1224"/>
    <w:rsid w:val="009D44CF"/>
    <w:rsid w:val="009D55D9"/>
    <w:rsid w:val="009E11E4"/>
    <w:rsid w:val="009F195F"/>
    <w:rsid w:val="009F2E10"/>
    <w:rsid w:val="009F6B64"/>
    <w:rsid w:val="00A02B02"/>
    <w:rsid w:val="00A06F0C"/>
    <w:rsid w:val="00A1504A"/>
    <w:rsid w:val="00A170D1"/>
    <w:rsid w:val="00A17D8F"/>
    <w:rsid w:val="00A21E68"/>
    <w:rsid w:val="00A27F47"/>
    <w:rsid w:val="00A35329"/>
    <w:rsid w:val="00A457E8"/>
    <w:rsid w:val="00A52DC4"/>
    <w:rsid w:val="00A5601C"/>
    <w:rsid w:val="00A5750B"/>
    <w:rsid w:val="00A64505"/>
    <w:rsid w:val="00A65BF0"/>
    <w:rsid w:val="00A70362"/>
    <w:rsid w:val="00A72EF0"/>
    <w:rsid w:val="00A7566D"/>
    <w:rsid w:val="00A77147"/>
    <w:rsid w:val="00A84479"/>
    <w:rsid w:val="00A94413"/>
    <w:rsid w:val="00A95A15"/>
    <w:rsid w:val="00AA0A01"/>
    <w:rsid w:val="00AA237D"/>
    <w:rsid w:val="00AA25D4"/>
    <w:rsid w:val="00AC1F96"/>
    <w:rsid w:val="00AC4DD8"/>
    <w:rsid w:val="00AE002B"/>
    <w:rsid w:val="00B018E9"/>
    <w:rsid w:val="00B0519B"/>
    <w:rsid w:val="00B0539B"/>
    <w:rsid w:val="00B11C3E"/>
    <w:rsid w:val="00B11EBF"/>
    <w:rsid w:val="00B11EEC"/>
    <w:rsid w:val="00B14031"/>
    <w:rsid w:val="00B1667E"/>
    <w:rsid w:val="00B166DA"/>
    <w:rsid w:val="00B22883"/>
    <w:rsid w:val="00B23A79"/>
    <w:rsid w:val="00B2532C"/>
    <w:rsid w:val="00B2577F"/>
    <w:rsid w:val="00B25EC2"/>
    <w:rsid w:val="00B32738"/>
    <w:rsid w:val="00B355A6"/>
    <w:rsid w:val="00B35866"/>
    <w:rsid w:val="00B37436"/>
    <w:rsid w:val="00B37B02"/>
    <w:rsid w:val="00B40002"/>
    <w:rsid w:val="00B43FF8"/>
    <w:rsid w:val="00B4445C"/>
    <w:rsid w:val="00B54247"/>
    <w:rsid w:val="00B55337"/>
    <w:rsid w:val="00B63ADF"/>
    <w:rsid w:val="00B70F32"/>
    <w:rsid w:val="00B71A8E"/>
    <w:rsid w:val="00B71DBC"/>
    <w:rsid w:val="00B74B2D"/>
    <w:rsid w:val="00B758CC"/>
    <w:rsid w:val="00B77611"/>
    <w:rsid w:val="00B84687"/>
    <w:rsid w:val="00B84780"/>
    <w:rsid w:val="00B847CA"/>
    <w:rsid w:val="00B907E5"/>
    <w:rsid w:val="00B908B4"/>
    <w:rsid w:val="00B91EBD"/>
    <w:rsid w:val="00B927C9"/>
    <w:rsid w:val="00B93B92"/>
    <w:rsid w:val="00B951D1"/>
    <w:rsid w:val="00B970EA"/>
    <w:rsid w:val="00BA3D57"/>
    <w:rsid w:val="00BB3717"/>
    <w:rsid w:val="00BB5894"/>
    <w:rsid w:val="00BC72C3"/>
    <w:rsid w:val="00BC7F8A"/>
    <w:rsid w:val="00BD60BA"/>
    <w:rsid w:val="00BD6FE2"/>
    <w:rsid w:val="00BE7088"/>
    <w:rsid w:val="00BF1C90"/>
    <w:rsid w:val="00BF1F5D"/>
    <w:rsid w:val="00BF3477"/>
    <w:rsid w:val="00C00211"/>
    <w:rsid w:val="00C00976"/>
    <w:rsid w:val="00C06C15"/>
    <w:rsid w:val="00C1338A"/>
    <w:rsid w:val="00C15412"/>
    <w:rsid w:val="00C17A28"/>
    <w:rsid w:val="00C2233C"/>
    <w:rsid w:val="00C225D8"/>
    <w:rsid w:val="00C277B5"/>
    <w:rsid w:val="00C27D63"/>
    <w:rsid w:val="00C305CA"/>
    <w:rsid w:val="00C33136"/>
    <w:rsid w:val="00C33864"/>
    <w:rsid w:val="00C3660F"/>
    <w:rsid w:val="00C40E7C"/>
    <w:rsid w:val="00C41AC7"/>
    <w:rsid w:val="00C45C31"/>
    <w:rsid w:val="00C46D1E"/>
    <w:rsid w:val="00C46E4B"/>
    <w:rsid w:val="00C5539D"/>
    <w:rsid w:val="00C563AA"/>
    <w:rsid w:val="00C60AD6"/>
    <w:rsid w:val="00C62D42"/>
    <w:rsid w:val="00C63B38"/>
    <w:rsid w:val="00C63E79"/>
    <w:rsid w:val="00C66767"/>
    <w:rsid w:val="00C70109"/>
    <w:rsid w:val="00C7044B"/>
    <w:rsid w:val="00C72543"/>
    <w:rsid w:val="00C76AE6"/>
    <w:rsid w:val="00C83910"/>
    <w:rsid w:val="00C856C4"/>
    <w:rsid w:val="00C86128"/>
    <w:rsid w:val="00C907F5"/>
    <w:rsid w:val="00C91FBF"/>
    <w:rsid w:val="00C9354D"/>
    <w:rsid w:val="00C9709F"/>
    <w:rsid w:val="00C973FA"/>
    <w:rsid w:val="00CB0023"/>
    <w:rsid w:val="00CB3297"/>
    <w:rsid w:val="00CB45C9"/>
    <w:rsid w:val="00CB6577"/>
    <w:rsid w:val="00CB7D00"/>
    <w:rsid w:val="00CC0893"/>
    <w:rsid w:val="00CC7D34"/>
    <w:rsid w:val="00CD4FFF"/>
    <w:rsid w:val="00CD6A6B"/>
    <w:rsid w:val="00CE1AB0"/>
    <w:rsid w:val="00CE7525"/>
    <w:rsid w:val="00CF1FFF"/>
    <w:rsid w:val="00CF5E12"/>
    <w:rsid w:val="00CF5ED3"/>
    <w:rsid w:val="00D12E06"/>
    <w:rsid w:val="00D1398E"/>
    <w:rsid w:val="00D1432C"/>
    <w:rsid w:val="00D16F67"/>
    <w:rsid w:val="00D171EB"/>
    <w:rsid w:val="00D2146E"/>
    <w:rsid w:val="00D322C2"/>
    <w:rsid w:val="00D3403F"/>
    <w:rsid w:val="00D37116"/>
    <w:rsid w:val="00D37541"/>
    <w:rsid w:val="00D406F0"/>
    <w:rsid w:val="00D45C87"/>
    <w:rsid w:val="00D50618"/>
    <w:rsid w:val="00D541B4"/>
    <w:rsid w:val="00D54669"/>
    <w:rsid w:val="00D72805"/>
    <w:rsid w:val="00D72AA0"/>
    <w:rsid w:val="00D7633E"/>
    <w:rsid w:val="00D76CA3"/>
    <w:rsid w:val="00D80B56"/>
    <w:rsid w:val="00D835ED"/>
    <w:rsid w:val="00D84FC4"/>
    <w:rsid w:val="00D9329E"/>
    <w:rsid w:val="00D96D73"/>
    <w:rsid w:val="00D97B56"/>
    <w:rsid w:val="00DA28AA"/>
    <w:rsid w:val="00DA35DB"/>
    <w:rsid w:val="00DA3E8E"/>
    <w:rsid w:val="00DB1BD9"/>
    <w:rsid w:val="00DB36BC"/>
    <w:rsid w:val="00DB4E63"/>
    <w:rsid w:val="00DB759D"/>
    <w:rsid w:val="00DC31E5"/>
    <w:rsid w:val="00DC43D3"/>
    <w:rsid w:val="00DC4C0F"/>
    <w:rsid w:val="00DC507E"/>
    <w:rsid w:val="00DC542A"/>
    <w:rsid w:val="00DC6B71"/>
    <w:rsid w:val="00DD39AE"/>
    <w:rsid w:val="00DD5FD9"/>
    <w:rsid w:val="00DE3B41"/>
    <w:rsid w:val="00DE538D"/>
    <w:rsid w:val="00DE660E"/>
    <w:rsid w:val="00DE73D8"/>
    <w:rsid w:val="00DE7DF4"/>
    <w:rsid w:val="00DE7E9E"/>
    <w:rsid w:val="00DF0FF4"/>
    <w:rsid w:val="00DF10CE"/>
    <w:rsid w:val="00DF1CED"/>
    <w:rsid w:val="00DF2AEC"/>
    <w:rsid w:val="00DF2E80"/>
    <w:rsid w:val="00DF51B0"/>
    <w:rsid w:val="00DF6935"/>
    <w:rsid w:val="00DF7A96"/>
    <w:rsid w:val="00E00B89"/>
    <w:rsid w:val="00E01866"/>
    <w:rsid w:val="00E05410"/>
    <w:rsid w:val="00E10F5B"/>
    <w:rsid w:val="00E14935"/>
    <w:rsid w:val="00E15636"/>
    <w:rsid w:val="00E15B61"/>
    <w:rsid w:val="00E174F5"/>
    <w:rsid w:val="00E2053D"/>
    <w:rsid w:val="00E23668"/>
    <w:rsid w:val="00E24323"/>
    <w:rsid w:val="00E277C6"/>
    <w:rsid w:val="00E32F0A"/>
    <w:rsid w:val="00E345C6"/>
    <w:rsid w:val="00E34E36"/>
    <w:rsid w:val="00E45533"/>
    <w:rsid w:val="00E45CD7"/>
    <w:rsid w:val="00E51586"/>
    <w:rsid w:val="00E614D0"/>
    <w:rsid w:val="00E62A32"/>
    <w:rsid w:val="00E64B9C"/>
    <w:rsid w:val="00E70EDB"/>
    <w:rsid w:val="00E765C5"/>
    <w:rsid w:val="00E80A2E"/>
    <w:rsid w:val="00E85D60"/>
    <w:rsid w:val="00E86003"/>
    <w:rsid w:val="00E92DA2"/>
    <w:rsid w:val="00E95082"/>
    <w:rsid w:val="00E96370"/>
    <w:rsid w:val="00EA2F89"/>
    <w:rsid w:val="00EA6A93"/>
    <w:rsid w:val="00EA75BE"/>
    <w:rsid w:val="00EB197A"/>
    <w:rsid w:val="00EC1384"/>
    <w:rsid w:val="00EC2513"/>
    <w:rsid w:val="00EC54AA"/>
    <w:rsid w:val="00EC607C"/>
    <w:rsid w:val="00EC62EA"/>
    <w:rsid w:val="00ED1D49"/>
    <w:rsid w:val="00ED57BB"/>
    <w:rsid w:val="00EE0ED2"/>
    <w:rsid w:val="00EE2D1C"/>
    <w:rsid w:val="00EF3472"/>
    <w:rsid w:val="00EF3DAB"/>
    <w:rsid w:val="00F00EA9"/>
    <w:rsid w:val="00F036F4"/>
    <w:rsid w:val="00F042AC"/>
    <w:rsid w:val="00F11F04"/>
    <w:rsid w:val="00F17AFA"/>
    <w:rsid w:val="00F22314"/>
    <w:rsid w:val="00F235ED"/>
    <w:rsid w:val="00F25667"/>
    <w:rsid w:val="00F26D0C"/>
    <w:rsid w:val="00F30968"/>
    <w:rsid w:val="00F329FD"/>
    <w:rsid w:val="00F434B1"/>
    <w:rsid w:val="00F44B79"/>
    <w:rsid w:val="00F44F0F"/>
    <w:rsid w:val="00F512B5"/>
    <w:rsid w:val="00F521B5"/>
    <w:rsid w:val="00F55FAF"/>
    <w:rsid w:val="00F632F3"/>
    <w:rsid w:val="00F66F6B"/>
    <w:rsid w:val="00F675B2"/>
    <w:rsid w:val="00F700F3"/>
    <w:rsid w:val="00F726F8"/>
    <w:rsid w:val="00F731FB"/>
    <w:rsid w:val="00F76D43"/>
    <w:rsid w:val="00F84772"/>
    <w:rsid w:val="00F850C4"/>
    <w:rsid w:val="00F85561"/>
    <w:rsid w:val="00F86E0D"/>
    <w:rsid w:val="00F949A2"/>
    <w:rsid w:val="00FA1DBF"/>
    <w:rsid w:val="00FA36E0"/>
    <w:rsid w:val="00FA4E6A"/>
    <w:rsid w:val="00FA62D8"/>
    <w:rsid w:val="00FA7D1B"/>
    <w:rsid w:val="00FB1328"/>
    <w:rsid w:val="00FB1648"/>
    <w:rsid w:val="00FB3981"/>
    <w:rsid w:val="00FB5DB6"/>
    <w:rsid w:val="00FC62DB"/>
    <w:rsid w:val="00FD1DED"/>
    <w:rsid w:val="00FD2645"/>
    <w:rsid w:val="00FD3225"/>
    <w:rsid w:val="00FD57D1"/>
    <w:rsid w:val="00FD5AF2"/>
    <w:rsid w:val="00FD5BE9"/>
    <w:rsid w:val="00FD7546"/>
    <w:rsid w:val="00FD7BBC"/>
    <w:rsid w:val="00FE3947"/>
    <w:rsid w:val="00FE595B"/>
    <w:rsid w:val="00FE612B"/>
    <w:rsid w:val="00FE6FBA"/>
    <w:rsid w:val="00FF1FC0"/>
    <w:rsid w:val="00FF2216"/>
    <w:rsid w:val="00FF4BD7"/>
    <w:rsid w:val="00FF6A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CE76AB3-E4DE-4C47-9F4E-DBDD2D8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994D5B"/>
    <w:pPr>
      <w:keepNext/>
      <w:keepLines/>
      <w:spacing w:before="240" w:after="240"/>
      <w:outlineLvl w:val="0"/>
    </w:pPr>
    <w:rPr>
      <w:b/>
      <w:kern w:val="28"/>
    </w:rPr>
  </w:style>
  <w:style w:type="paragraph" w:styleId="Heading2">
    <w:name w:val="heading 2"/>
    <w:aliases w:val="Numbered - 2"/>
    <w:basedOn w:val="Heading1"/>
    <w:next w:val="Normal"/>
    <w:qFormat/>
    <w:rsid w:val="00994D5B"/>
    <w:pPr>
      <w:outlineLvl w:val="1"/>
    </w:pPr>
  </w:style>
  <w:style w:type="paragraph" w:styleId="Heading3">
    <w:name w:val="heading 3"/>
    <w:aliases w:val="Numbered - 3"/>
    <w:basedOn w:val="Heading2"/>
    <w:next w:val="Normal"/>
    <w:qFormat/>
    <w:rsid w:val="00994D5B"/>
    <w:pPr>
      <w:keepNext w:val="0"/>
      <w:keepLines w:val="0"/>
      <w:spacing w:before="0" w:after="0"/>
      <w:outlineLvl w:val="2"/>
    </w:pPr>
    <w:rPr>
      <w:b w:val="0"/>
    </w:rPr>
  </w:style>
  <w:style w:type="paragraph" w:styleId="Heading4">
    <w:name w:val="heading 4"/>
    <w:aliases w:val="Numbered - 4"/>
    <w:basedOn w:val="Heading3"/>
    <w:next w:val="Normal"/>
    <w:qFormat/>
    <w:rsid w:val="00994D5B"/>
    <w:pPr>
      <w:outlineLvl w:val="3"/>
    </w:pPr>
  </w:style>
  <w:style w:type="paragraph" w:styleId="Heading5">
    <w:name w:val="heading 5"/>
    <w:aliases w:val="Numbered - 5"/>
    <w:basedOn w:val="Heading4"/>
    <w:next w:val="Normal"/>
    <w:qFormat/>
    <w:rsid w:val="00994D5B"/>
    <w:pPr>
      <w:outlineLvl w:val="4"/>
    </w:pPr>
  </w:style>
  <w:style w:type="paragraph" w:styleId="Heading6">
    <w:name w:val="heading 6"/>
    <w:aliases w:val="Numbered - 6"/>
    <w:basedOn w:val="Heading5"/>
    <w:next w:val="Normal"/>
    <w:qFormat/>
    <w:rsid w:val="00994D5B"/>
    <w:pPr>
      <w:outlineLvl w:val="5"/>
    </w:pPr>
  </w:style>
  <w:style w:type="paragraph" w:styleId="Heading7">
    <w:name w:val="heading 7"/>
    <w:aliases w:val="Numbered - 7"/>
    <w:basedOn w:val="Heading6"/>
    <w:next w:val="Normal"/>
    <w:qFormat/>
    <w:rsid w:val="00994D5B"/>
    <w:pPr>
      <w:outlineLvl w:val="6"/>
    </w:pPr>
  </w:style>
  <w:style w:type="paragraph" w:styleId="Heading8">
    <w:name w:val="heading 8"/>
    <w:aliases w:val="Numbered - 8"/>
    <w:basedOn w:val="Heading7"/>
    <w:next w:val="Normal"/>
    <w:qFormat/>
    <w:rsid w:val="00994D5B"/>
    <w:pPr>
      <w:outlineLvl w:val="7"/>
    </w:pPr>
  </w:style>
  <w:style w:type="paragraph" w:styleId="Heading9">
    <w:name w:val="heading 9"/>
    <w:aliases w:val="Numbered - 9"/>
    <w:basedOn w:val="Heading8"/>
    <w:next w:val="Normal"/>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semiHidden/>
    <w:rsid w:val="00014FF1"/>
    <w:rPr>
      <w:rFonts w:ascii="Tahoma" w:hAnsi="Tahoma" w:cs="Tahoma"/>
      <w:sz w:val="16"/>
      <w:szCs w:val="16"/>
    </w:rPr>
  </w:style>
  <w:style w:type="paragraph" w:styleId="Header">
    <w:name w:val="header"/>
    <w:basedOn w:val="Normal"/>
    <w:link w:val="HeaderChar"/>
    <w:uiPriority w:val="99"/>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uiPriority w:val="99"/>
    <w:rsid w:val="00B951D1"/>
    <w:rPr>
      <w:szCs w:val="24"/>
    </w:rPr>
  </w:style>
  <w:style w:type="character" w:customStyle="1" w:styleId="FootnoteTextChar">
    <w:name w:val="Footnote Text Char"/>
    <w:link w:val="FootnoteText"/>
    <w:uiPriority w:val="99"/>
    <w:locked/>
    <w:rsid w:val="00B951D1"/>
    <w:rPr>
      <w:rFonts w:ascii="Arial" w:hAnsi="Arial"/>
      <w:sz w:val="24"/>
      <w:szCs w:val="24"/>
      <w:lang w:val="en-GB" w:eastAsia="en-US" w:bidi="ar-SA"/>
    </w:rPr>
  </w:style>
  <w:style w:type="character" w:styleId="FootnoteReference">
    <w:name w:val="footnote reference"/>
    <w:uiPriority w:val="99"/>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uiPriority w:val="99"/>
    <w:rsid w:val="001B100F"/>
    <w:rPr>
      <w:sz w:val="20"/>
    </w:rPr>
  </w:style>
  <w:style w:type="character" w:customStyle="1" w:styleId="CommentTextChar">
    <w:name w:val="Comment Text Char"/>
    <w:link w:val="CommentText"/>
    <w:uiPriority w:val="99"/>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8"/>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9"/>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customStyle="1" w:styleId="m-2249935971036256443gmail-msolistparagraph">
    <w:name w:val="m_-2249935971036256443gmail-msolistparagraph"/>
    <w:basedOn w:val="Normal"/>
    <w:rsid w:val="00BC72C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C72C3"/>
  </w:style>
  <w:style w:type="paragraph" w:styleId="ListBullet">
    <w:name w:val="List Bullet"/>
    <w:basedOn w:val="ListParagraph"/>
    <w:uiPriority w:val="99"/>
    <w:unhideWhenUsed/>
    <w:rsid w:val="002F2C14"/>
    <w:pPr>
      <w:spacing w:after="280" w:line="281" w:lineRule="auto"/>
      <w:ind w:left="0"/>
    </w:pPr>
    <w:rPr>
      <w:rFonts w:asciiTheme="minorHAnsi" w:eastAsiaTheme="minorEastAsia" w:hAnsiTheme="minorHAnsi" w:cstheme="minorBid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628170303">
      <w:bodyDiv w:val="1"/>
      <w:marLeft w:val="0"/>
      <w:marRight w:val="0"/>
      <w:marTop w:val="0"/>
      <w:marBottom w:val="0"/>
      <w:divBdr>
        <w:top w:val="none" w:sz="0" w:space="0" w:color="auto"/>
        <w:left w:val="none" w:sz="0" w:space="0" w:color="auto"/>
        <w:bottom w:val="none" w:sz="0" w:space="0" w:color="auto"/>
        <w:right w:val="none" w:sz="0" w:space="0" w:color="auto"/>
      </w:divBdr>
    </w:div>
    <w:div w:id="885070876">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180895055">
      <w:bodyDiv w:val="1"/>
      <w:marLeft w:val="0"/>
      <w:marRight w:val="0"/>
      <w:marTop w:val="0"/>
      <w:marBottom w:val="0"/>
      <w:divBdr>
        <w:top w:val="none" w:sz="0" w:space="0" w:color="auto"/>
        <w:left w:val="none" w:sz="0" w:space="0" w:color="auto"/>
        <w:bottom w:val="none" w:sz="0" w:space="0" w:color="auto"/>
        <w:right w:val="none" w:sz="0" w:space="0" w:color="auto"/>
      </w:divBdr>
      <w:divsChild>
        <w:div w:id="2051802466">
          <w:marLeft w:val="0"/>
          <w:marRight w:val="0"/>
          <w:marTop w:val="0"/>
          <w:marBottom w:val="0"/>
          <w:divBdr>
            <w:top w:val="none" w:sz="0" w:space="0" w:color="auto"/>
            <w:left w:val="none" w:sz="0" w:space="0" w:color="auto"/>
            <w:bottom w:val="none" w:sz="0" w:space="0" w:color="auto"/>
            <w:right w:val="none" w:sz="0" w:space="0" w:color="auto"/>
          </w:divBdr>
        </w:div>
        <w:div w:id="326329130">
          <w:marLeft w:val="0"/>
          <w:marRight w:val="0"/>
          <w:marTop w:val="0"/>
          <w:marBottom w:val="0"/>
          <w:divBdr>
            <w:top w:val="none" w:sz="0" w:space="0" w:color="auto"/>
            <w:left w:val="none" w:sz="0" w:space="0" w:color="auto"/>
            <w:bottom w:val="none" w:sz="0" w:space="0" w:color="auto"/>
            <w:right w:val="none" w:sz="0" w:space="0" w:color="auto"/>
          </w:divBdr>
        </w:div>
        <w:div w:id="2063014555">
          <w:marLeft w:val="0"/>
          <w:marRight w:val="0"/>
          <w:marTop w:val="0"/>
          <w:marBottom w:val="0"/>
          <w:divBdr>
            <w:top w:val="none" w:sz="0" w:space="0" w:color="auto"/>
            <w:left w:val="none" w:sz="0" w:space="0" w:color="auto"/>
            <w:bottom w:val="none" w:sz="0" w:space="0" w:color="auto"/>
            <w:right w:val="none" w:sz="0" w:space="0" w:color="auto"/>
          </w:divBdr>
        </w:div>
      </w:divsChild>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 w:id="17224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on.feinstein@childrenscommissioner.gsi.gov.uk" TargetMode="External"/><Relationship Id="rId18" Type="http://schemas.openxmlformats.org/officeDocument/2006/relationships/hyperlink" Target="https://www.childrenscommissioner.gov.uk/sites/default/files/publications/The%20Children%27s%20Commissioner%20Safeguarding%20%20Policy%20-%20June%20201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hildrenscommissioner.gov.uk/sites/default/files/publications/Security%20Operating%20Procedures%20Document%20Relating%20to%20evidential%20capt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ldrenscommissioner.gov.uk/sites/default/files/publications/Data%20Protection%20Policy%20%20April%202015.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hildrenscommissioner.gov.uk/sites/default/files/publications/Information%20Risk%20Management%20-%20April%202015.pdf" TargetMode="External"/><Relationship Id="rId23"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mailto:carly.cloherty@childrenscommissioner.gsi.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ildrenscommissioner.gov.uk/sites/default/files/publications/The%20Children%27s%20Commissioner%20Safeguarding%20%20Policy%20-%20June%202015.pdf"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FB20-9AB8-4F2C-BBA9-38CA64EE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6764</Words>
  <Characters>38557</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45231</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ARROWSMITH, Morgan</cp:lastModifiedBy>
  <cp:revision>2</cp:revision>
  <cp:lastPrinted>2016-12-05T11:16:00Z</cp:lastPrinted>
  <dcterms:created xsi:type="dcterms:W3CDTF">2016-12-14T09:41:00Z</dcterms:created>
  <dcterms:modified xsi:type="dcterms:W3CDTF">2016-12-14T09:41:00Z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y fmtid="{D5CDD505-2E9C-101B-9397-08002B2CF9AE}" pid="9" name="_ReviewingToolsShownOnce">
    <vt:lpwstr/>
  </property>
</Properties>
</file>