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707EF" w14:textId="2A1AFD6D" w:rsidR="00AB4073" w:rsidRDefault="00816B59" w:rsidP="00AB4073">
      <w:pPr>
        <w:jc w:val="right"/>
        <w:rPr>
          <w:rFonts w:ascii="Arial" w:hAnsi="Arial" w:cs="Arial"/>
        </w:rPr>
      </w:pPr>
      <w:r>
        <w:rPr>
          <w:rFonts w:ascii="Arial" w:hAnsi="Arial" w:cs="Arial"/>
        </w:rPr>
        <w:t>First Issued:</w:t>
      </w:r>
      <w:r w:rsidR="00F515D6">
        <w:rPr>
          <w:rFonts w:ascii="Arial" w:hAnsi="Arial" w:cs="Arial"/>
        </w:rPr>
        <w:t>17</w:t>
      </w:r>
      <w:r w:rsidR="00F515D6" w:rsidRPr="00F515D6">
        <w:rPr>
          <w:rFonts w:ascii="Arial" w:hAnsi="Arial" w:cs="Arial"/>
          <w:vertAlign w:val="superscript"/>
        </w:rPr>
        <w:t>th</w:t>
      </w:r>
      <w:r w:rsidR="00F515D6">
        <w:rPr>
          <w:rFonts w:ascii="Arial" w:hAnsi="Arial" w:cs="Arial"/>
        </w:rPr>
        <w:t xml:space="preserve"> July</w:t>
      </w:r>
      <w:r w:rsidR="00124980">
        <w:rPr>
          <w:rFonts w:ascii="Arial" w:hAnsi="Arial" w:cs="Arial"/>
        </w:rPr>
        <w:t xml:space="preserve"> 2020</w:t>
      </w:r>
    </w:p>
    <w:p w14:paraId="19D5F409" w14:textId="6A8358C1" w:rsidR="00816B59" w:rsidRDefault="00816B59" w:rsidP="00AB4073">
      <w:pPr>
        <w:jc w:val="right"/>
        <w:rPr>
          <w:rFonts w:ascii="Arial" w:hAnsi="Arial" w:cs="Arial"/>
        </w:rPr>
      </w:pPr>
      <w:r>
        <w:rPr>
          <w:rFonts w:ascii="Arial" w:hAnsi="Arial" w:cs="Arial"/>
        </w:rPr>
        <w:t xml:space="preserve">Last Updated: </w:t>
      </w:r>
      <w:r w:rsidR="00E4137B">
        <w:rPr>
          <w:rFonts w:ascii="Arial" w:hAnsi="Arial" w:cs="Arial"/>
        </w:rPr>
        <w:t>29</w:t>
      </w:r>
      <w:r w:rsidR="00F515D6" w:rsidRPr="00F515D6">
        <w:rPr>
          <w:rFonts w:ascii="Arial" w:hAnsi="Arial" w:cs="Arial"/>
          <w:vertAlign w:val="superscript"/>
        </w:rPr>
        <w:t>th</w:t>
      </w:r>
      <w:r w:rsidR="00F515D6">
        <w:rPr>
          <w:rFonts w:ascii="Arial" w:hAnsi="Arial" w:cs="Arial"/>
        </w:rPr>
        <w:t xml:space="preserve"> July</w:t>
      </w:r>
      <w:r w:rsidR="00124980">
        <w:rPr>
          <w:rFonts w:ascii="Arial" w:hAnsi="Arial" w:cs="Arial"/>
        </w:rPr>
        <w:t xml:space="preserve"> 2020</w:t>
      </w:r>
    </w:p>
    <w:p w14:paraId="721F2267" w14:textId="14AF9422" w:rsidR="00BE3AA8" w:rsidRPr="00BE3AA8" w:rsidRDefault="00EC4CFD">
      <w:pPr>
        <w:rPr>
          <w:rFonts w:ascii="Arial" w:hAnsi="Arial" w:cs="Arial"/>
        </w:rPr>
      </w:pPr>
      <w:r w:rsidRPr="00EC4CFD">
        <w:rPr>
          <w:rFonts w:ascii="Arial" w:hAnsi="Arial" w:cs="Arial"/>
        </w:rPr>
        <w:t>TCA 3/7/1160 - CONTRACT FOR THE PROVISION OF INDEPENDENT TECHNICAL ADVICE TO THE MARITIME &amp; COASTGUARD AGENCY – UK 2ND GENERATION SEARCH AND RESCUE AVIATION PROCUREMENT CONTRACT</w:t>
      </w:r>
      <w:r w:rsidR="002A14F2" w:rsidRPr="002A14F2">
        <w:rPr>
          <w:rFonts w:ascii="Arial" w:hAnsi="Arial" w:cs="Arial"/>
        </w:rPr>
        <w:t xml:space="preserve"> </w:t>
      </w:r>
      <w:r w:rsidR="00BE3AA8" w:rsidRPr="00BE3AA8">
        <w:rPr>
          <w:rFonts w:ascii="Arial" w:hAnsi="Arial" w:cs="Arial"/>
        </w:rPr>
        <w:t>– Clarification Q &amp; A</w:t>
      </w:r>
    </w:p>
    <w:tbl>
      <w:tblPr>
        <w:tblStyle w:val="TableGrid"/>
        <w:tblW w:w="14072" w:type="dxa"/>
        <w:tblLook w:val="04A0" w:firstRow="1" w:lastRow="0" w:firstColumn="1" w:lastColumn="0" w:noHBand="0" w:noVBand="1"/>
      </w:tblPr>
      <w:tblGrid>
        <w:gridCol w:w="556"/>
        <w:gridCol w:w="7296"/>
        <w:gridCol w:w="6220"/>
      </w:tblGrid>
      <w:tr w:rsidR="003D75CA" w:rsidRPr="00BE3AA8" w14:paraId="5048B4D6" w14:textId="77777777" w:rsidTr="00F72CD1">
        <w:trPr>
          <w:trHeight w:val="392"/>
        </w:trPr>
        <w:tc>
          <w:tcPr>
            <w:tcW w:w="556" w:type="dxa"/>
            <w:vAlign w:val="center"/>
          </w:tcPr>
          <w:p w14:paraId="282AC381" w14:textId="4CE80C14" w:rsidR="003D75CA" w:rsidRPr="00CD2040" w:rsidRDefault="003D75CA" w:rsidP="003D75CA">
            <w:pPr>
              <w:jc w:val="both"/>
              <w:rPr>
                <w:rFonts w:ascii="Arial" w:hAnsi="Arial" w:cs="Arial"/>
                <w:b/>
              </w:rPr>
            </w:pPr>
          </w:p>
        </w:tc>
        <w:tc>
          <w:tcPr>
            <w:tcW w:w="7296" w:type="dxa"/>
          </w:tcPr>
          <w:p w14:paraId="1FACEC90" w14:textId="08A75FC3" w:rsidR="003D75CA" w:rsidRPr="00BE3AA8" w:rsidRDefault="003C02BE" w:rsidP="003D75CA">
            <w:pPr>
              <w:rPr>
                <w:rFonts w:ascii="Arial" w:hAnsi="Arial" w:cs="Arial"/>
                <w:b/>
              </w:rPr>
            </w:pPr>
            <w:r w:rsidRPr="003C02BE">
              <w:rPr>
                <w:rFonts w:ascii="Arial" w:hAnsi="Arial" w:cs="Arial"/>
                <w:b/>
              </w:rPr>
              <w:t>Clarification Question:</w:t>
            </w:r>
          </w:p>
        </w:tc>
        <w:tc>
          <w:tcPr>
            <w:tcW w:w="6220" w:type="dxa"/>
          </w:tcPr>
          <w:p w14:paraId="0B9AE4D0" w14:textId="36472762" w:rsidR="003D75CA" w:rsidRPr="00CD2040" w:rsidRDefault="003D75CA" w:rsidP="00CD2040">
            <w:pPr>
              <w:rPr>
                <w:rFonts w:ascii="Arial" w:hAnsi="Arial" w:cs="Arial"/>
                <w:b/>
              </w:rPr>
            </w:pPr>
            <w:r w:rsidRPr="00BE3AA8">
              <w:rPr>
                <w:rFonts w:ascii="Arial" w:hAnsi="Arial" w:cs="Arial"/>
                <w:b/>
              </w:rPr>
              <w:t>MCA Response:</w:t>
            </w:r>
          </w:p>
        </w:tc>
      </w:tr>
      <w:tr w:rsidR="009D2457" w:rsidRPr="00BE3AA8" w14:paraId="20F3CE70" w14:textId="77777777" w:rsidTr="00F72CD1">
        <w:tc>
          <w:tcPr>
            <w:tcW w:w="556" w:type="dxa"/>
            <w:vAlign w:val="center"/>
          </w:tcPr>
          <w:p w14:paraId="6B806669" w14:textId="07FEEF9D" w:rsidR="009D2457" w:rsidRPr="00CD2040" w:rsidRDefault="00CD2040" w:rsidP="003D75CA">
            <w:pPr>
              <w:jc w:val="both"/>
              <w:rPr>
                <w:rFonts w:ascii="Arial" w:hAnsi="Arial" w:cs="Arial"/>
                <w:b/>
              </w:rPr>
            </w:pPr>
            <w:r w:rsidRPr="00CD2040">
              <w:rPr>
                <w:rFonts w:ascii="Arial" w:hAnsi="Arial" w:cs="Arial"/>
                <w:b/>
              </w:rPr>
              <w:t>01</w:t>
            </w:r>
          </w:p>
        </w:tc>
        <w:tc>
          <w:tcPr>
            <w:tcW w:w="7296" w:type="dxa"/>
          </w:tcPr>
          <w:p w14:paraId="37E5C70D" w14:textId="49E22EFB" w:rsidR="003C02BE" w:rsidRPr="0027770E" w:rsidRDefault="0027770E" w:rsidP="00CD2040">
            <w:pPr>
              <w:jc w:val="both"/>
              <w:rPr>
                <w:rFonts w:ascii="Arial" w:hAnsi="Arial" w:cs="Arial"/>
                <w:bCs/>
              </w:rPr>
            </w:pPr>
            <w:r w:rsidRPr="0027770E">
              <w:rPr>
                <w:rFonts w:ascii="Arial" w:hAnsi="Arial" w:cs="Arial"/>
                <w:bCs/>
              </w:rPr>
              <w:t>Is the tender open for EU bidders, or only for UK bidders?</w:t>
            </w:r>
          </w:p>
        </w:tc>
        <w:tc>
          <w:tcPr>
            <w:tcW w:w="6220" w:type="dxa"/>
          </w:tcPr>
          <w:p w14:paraId="05120FC6" w14:textId="6A2AD44E" w:rsidR="009D2457" w:rsidRPr="00DA6590" w:rsidRDefault="0027770E" w:rsidP="00CD2040">
            <w:pPr>
              <w:jc w:val="both"/>
              <w:rPr>
                <w:rFonts w:ascii="Arial" w:hAnsi="Arial" w:cs="Arial"/>
                <w:bCs/>
              </w:rPr>
            </w:pPr>
            <w:r>
              <w:rPr>
                <w:rFonts w:ascii="Arial" w:hAnsi="Arial" w:cs="Arial"/>
                <w:bCs/>
              </w:rPr>
              <w:t>The tender is open to all</w:t>
            </w:r>
            <w:r w:rsidR="0012637F">
              <w:rPr>
                <w:rFonts w:ascii="Arial" w:hAnsi="Arial" w:cs="Arial"/>
                <w:bCs/>
              </w:rPr>
              <w:t xml:space="preserve"> bidders</w:t>
            </w:r>
          </w:p>
        </w:tc>
      </w:tr>
      <w:tr w:rsidR="00862CDA" w:rsidRPr="00BE3AA8" w14:paraId="281D9DCE" w14:textId="77777777" w:rsidTr="00F72CD1">
        <w:tc>
          <w:tcPr>
            <w:tcW w:w="556" w:type="dxa"/>
            <w:vAlign w:val="center"/>
          </w:tcPr>
          <w:p w14:paraId="67428F8A" w14:textId="6EAD7F22" w:rsidR="00862CDA" w:rsidRPr="00CD2040" w:rsidRDefault="00AA2CA3" w:rsidP="003D75CA">
            <w:pPr>
              <w:jc w:val="both"/>
              <w:rPr>
                <w:rFonts w:ascii="Arial" w:hAnsi="Arial" w:cs="Arial"/>
                <w:b/>
              </w:rPr>
            </w:pPr>
            <w:r>
              <w:rPr>
                <w:rFonts w:ascii="Arial" w:hAnsi="Arial" w:cs="Arial"/>
                <w:b/>
              </w:rPr>
              <w:t>02</w:t>
            </w:r>
          </w:p>
        </w:tc>
        <w:tc>
          <w:tcPr>
            <w:tcW w:w="7296" w:type="dxa"/>
          </w:tcPr>
          <w:p w14:paraId="7F899FAF" w14:textId="580479D9" w:rsidR="00862CDA" w:rsidRPr="009D7323" w:rsidRDefault="00C87801" w:rsidP="00CD2040">
            <w:pPr>
              <w:jc w:val="both"/>
              <w:rPr>
                <w:rFonts w:ascii="Arial" w:hAnsi="Arial" w:cs="Arial"/>
                <w:bCs/>
              </w:rPr>
            </w:pPr>
            <w:r w:rsidRPr="00C87801">
              <w:rPr>
                <w:rFonts w:ascii="Arial" w:hAnsi="Arial" w:cs="Arial"/>
                <w:bCs/>
              </w:rPr>
              <w:t>When I receive an E-mail with the notification that there is an update in the tender documents, I see no difference with the previous documents. Is there a ‘track changes’ possibility for the concerning updated documents?</w:t>
            </w:r>
          </w:p>
        </w:tc>
        <w:tc>
          <w:tcPr>
            <w:tcW w:w="6220" w:type="dxa"/>
          </w:tcPr>
          <w:p w14:paraId="5DBFF4C2" w14:textId="07462F02" w:rsidR="00F82F22" w:rsidRDefault="00ED44C9" w:rsidP="00CD2040">
            <w:pPr>
              <w:jc w:val="both"/>
              <w:rPr>
                <w:rFonts w:ascii="Arial" w:hAnsi="Arial" w:cs="Arial"/>
                <w:bCs/>
              </w:rPr>
            </w:pPr>
            <w:r>
              <w:rPr>
                <w:rFonts w:ascii="Arial" w:hAnsi="Arial" w:cs="Arial"/>
                <w:bCs/>
              </w:rPr>
              <w:t xml:space="preserve">A change note </w:t>
            </w:r>
            <w:r w:rsidR="00070B37">
              <w:rPr>
                <w:rFonts w:ascii="Arial" w:hAnsi="Arial" w:cs="Arial"/>
                <w:bCs/>
              </w:rPr>
              <w:t xml:space="preserve">is </w:t>
            </w:r>
            <w:proofErr w:type="gramStart"/>
            <w:r w:rsidR="00070B37">
              <w:rPr>
                <w:rFonts w:ascii="Arial" w:hAnsi="Arial" w:cs="Arial"/>
                <w:bCs/>
              </w:rPr>
              <w:t>issued</w:t>
            </w:r>
            <w:proofErr w:type="gramEnd"/>
            <w:r w:rsidR="00070B37">
              <w:rPr>
                <w:rFonts w:ascii="Arial" w:hAnsi="Arial" w:cs="Arial"/>
                <w:bCs/>
              </w:rPr>
              <w:t xml:space="preserve"> and t</w:t>
            </w:r>
            <w:r w:rsidR="00AE5C14">
              <w:rPr>
                <w:rFonts w:ascii="Arial" w:hAnsi="Arial" w:cs="Arial"/>
                <w:bCs/>
              </w:rPr>
              <w:t xml:space="preserve">he title of any </w:t>
            </w:r>
            <w:r w:rsidR="008073E5">
              <w:rPr>
                <w:rFonts w:ascii="Arial" w:hAnsi="Arial" w:cs="Arial"/>
                <w:bCs/>
              </w:rPr>
              <w:t xml:space="preserve">updated documents is amended </w:t>
            </w:r>
            <w:r>
              <w:rPr>
                <w:rFonts w:ascii="Arial" w:hAnsi="Arial" w:cs="Arial"/>
                <w:bCs/>
              </w:rPr>
              <w:t>to differentiate from the original document.</w:t>
            </w:r>
          </w:p>
        </w:tc>
      </w:tr>
      <w:tr w:rsidR="00D060D9" w:rsidRPr="00BE3AA8" w14:paraId="3656EC41" w14:textId="77777777" w:rsidTr="00F72CD1">
        <w:tc>
          <w:tcPr>
            <w:tcW w:w="556" w:type="dxa"/>
            <w:vAlign w:val="center"/>
          </w:tcPr>
          <w:p w14:paraId="3C570D82" w14:textId="3D7DB7F4" w:rsidR="00D060D9" w:rsidRDefault="00053AE5" w:rsidP="003D75CA">
            <w:pPr>
              <w:jc w:val="both"/>
              <w:rPr>
                <w:rFonts w:ascii="Arial" w:hAnsi="Arial" w:cs="Arial"/>
                <w:b/>
              </w:rPr>
            </w:pPr>
            <w:r>
              <w:rPr>
                <w:rFonts w:ascii="Arial" w:hAnsi="Arial" w:cs="Arial"/>
                <w:b/>
              </w:rPr>
              <w:t>03</w:t>
            </w:r>
          </w:p>
        </w:tc>
        <w:tc>
          <w:tcPr>
            <w:tcW w:w="7296" w:type="dxa"/>
          </w:tcPr>
          <w:p w14:paraId="72AE15A1" w14:textId="26189898" w:rsidR="00D060D9" w:rsidRDefault="00070B37" w:rsidP="00CD2040">
            <w:pPr>
              <w:jc w:val="both"/>
              <w:rPr>
                <w:rFonts w:ascii="Arial" w:hAnsi="Arial" w:cs="Arial"/>
                <w:bCs/>
              </w:rPr>
            </w:pPr>
            <w:r w:rsidRPr="00070B37">
              <w:rPr>
                <w:rFonts w:ascii="Arial" w:hAnsi="Arial" w:cs="Arial"/>
                <w:bCs/>
              </w:rPr>
              <w:t xml:space="preserve">How is the procurement team composed from the MCA side during the whole project? This is important to know in relation to the resource plan, the cost </w:t>
            </w:r>
            <w:proofErr w:type="gramStart"/>
            <w:r w:rsidRPr="00070B37">
              <w:rPr>
                <w:rFonts w:ascii="Arial" w:hAnsi="Arial" w:cs="Arial"/>
                <w:bCs/>
              </w:rPr>
              <w:t>breakdown</w:t>
            </w:r>
            <w:proofErr w:type="gramEnd"/>
            <w:r w:rsidRPr="00070B37">
              <w:rPr>
                <w:rFonts w:ascii="Arial" w:hAnsi="Arial" w:cs="Arial"/>
                <w:bCs/>
              </w:rPr>
              <w:t xml:space="preserve"> and the effort</w:t>
            </w:r>
          </w:p>
        </w:tc>
        <w:tc>
          <w:tcPr>
            <w:tcW w:w="6220" w:type="dxa"/>
          </w:tcPr>
          <w:p w14:paraId="1B80C6CA" w14:textId="1C37BB43" w:rsidR="00D060D9" w:rsidRDefault="002B6AF8" w:rsidP="00CD2040">
            <w:pPr>
              <w:jc w:val="both"/>
              <w:rPr>
                <w:rFonts w:ascii="Arial" w:hAnsi="Arial" w:cs="Arial"/>
                <w:bCs/>
              </w:rPr>
            </w:pPr>
            <w:r>
              <w:rPr>
                <w:rFonts w:ascii="Arial" w:hAnsi="Arial" w:cs="Arial"/>
                <w:bCs/>
              </w:rPr>
              <w:t>T</w:t>
            </w:r>
            <w:r w:rsidRPr="002B6AF8">
              <w:rPr>
                <w:rFonts w:ascii="Arial" w:hAnsi="Arial" w:cs="Arial"/>
                <w:bCs/>
              </w:rPr>
              <w:t>he Programme is split into Commercial, Financial, Project and Technical workstreams. The Technical Advisors will report into the Technical workstream in accordance with the work packages detailed in the ITT.</w:t>
            </w:r>
          </w:p>
        </w:tc>
      </w:tr>
      <w:tr w:rsidR="004C0F88" w:rsidRPr="00BE3AA8" w14:paraId="6251AAE4" w14:textId="77777777" w:rsidTr="00F72CD1">
        <w:tc>
          <w:tcPr>
            <w:tcW w:w="556" w:type="dxa"/>
            <w:vAlign w:val="center"/>
          </w:tcPr>
          <w:p w14:paraId="1C8B02F0" w14:textId="4C645266" w:rsidR="004C0F88" w:rsidRDefault="004C0F88" w:rsidP="003D75CA">
            <w:pPr>
              <w:jc w:val="both"/>
              <w:rPr>
                <w:rFonts w:ascii="Arial" w:hAnsi="Arial" w:cs="Arial"/>
                <w:b/>
              </w:rPr>
            </w:pPr>
            <w:r>
              <w:rPr>
                <w:rFonts w:ascii="Arial" w:hAnsi="Arial" w:cs="Arial"/>
                <w:b/>
              </w:rPr>
              <w:t>04</w:t>
            </w:r>
          </w:p>
        </w:tc>
        <w:tc>
          <w:tcPr>
            <w:tcW w:w="7296" w:type="dxa"/>
          </w:tcPr>
          <w:p w14:paraId="1BFC7B98" w14:textId="7DFA40C1" w:rsidR="004C0F88" w:rsidRPr="00053AE5" w:rsidRDefault="00486375" w:rsidP="00CD2040">
            <w:pPr>
              <w:jc w:val="both"/>
              <w:rPr>
                <w:rFonts w:ascii="Arial" w:hAnsi="Arial" w:cs="Arial"/>
                <w:bCs/>
              </w:rPr>
            </w:pPr>
            <w:r w:rsidRPr="00486375">
              <w:rPr>
                <w:rFonts w:ascii="Arial" w:hAnsi="Arial" w:cs="Arial"/>
                <w:bCs/>
              </w:rPr>
              <w:t xml:space="preserve">Chapter 3.1 Phases of activity: we note in the timetable that phase 0 and phase 1 have already been started and/or completed. Can you tell me the </w:t>
            </w:r>
            <w:proofErr w:type="gramStart"/>
            <w:r w:rsidRPr="00486375">
              <w:rPr>
                <w:rFonts w:ascii="Arial" w:hAnsi="Arial" w:cs="Arial"/>
                <w:bCs/>
              </w:rPr>
              <w:t>current status</w:t>
            </w:r>
            <w:proofErr w:type="gramEnd"/>
            <w:r w:rsidRPr="00486375">
              <w:rPr>
                <w:rFonts w:ascii="Arial" w:hAnsi="Arial" w:cs="Arial"/>
                <w:bCs/>
              </w:rPr>
              <w:t xml:space="preserve"> of these phases?</w:t>
            </w:r>
          </w:p>
        </w:tc>
        <w:tc>
          <w:tcPr>
            <w:tcW w:w="6220" w:type="dxa"/>
          </w:tcPr>
          <w:p w14:paraId="401E37DB" w14:textId="7AB68C1B" w:rsidR="004C0F88" w:rsidRDefault="00D76D72" w:rsidP="00CD2040">
            <w:pPr>
              <w:jc w:val="both"/>
              <w:rPr>
                <w:rFonts w:ascii="Arial" w:hAnsi="Arial" w:cs="Arial"/>
                <w:bCs/>
              </w:rPr>
            </w:pPr>
            <w:r w:rsidRPr="00D76D72">
              <w:rPr>
                <w:rFonts w:ascii="Arial" w:hAnsi="Arial" w:cs="Arial"/>
                <w:bCs/>
              </w:rPr>
              <w:t>They are currently in progress</w:t>
            </w:r>
            <w:r w:rsidR="00185967">
              <w:rPr>
                <w:rFonts w:ascii="Arial" w:hAnsi="Arial" w:cs="Arial"/>
                <w:bCs/>
              </w:rPr>
              <w:t>.</w:t>
            </w:r>
          </w:p>
        </w:tc>
      </w:tr>
      <w:tr w:rsidR="00034EB7" w:rsidRPr="00BE3AA8" w14:paraId="68B0709B" w14:textId="77777777" w:rsidTr="00F72CD1">
        <w:tc>
          <w:tcPr>
            <w:tcW w:w="556" w:type="dxa"/>
            <w:vAlign w:val="center"/>
          </w:tcPr>
          <w:p w14:paraId="0AF1755F" w14:textId="5CF816F1" w:rsidR="00034EB7" w:rsidRPr="000F2E1B" w:rsidRDefault="00034EB7" w:rsidP="003D75CA">
            <w:pPr>
              <w:jc w:val="both"/>
              <w:rPr>
                <w:rFonts w:ascii="Arial" w:hAnsi="Arial" w:cs="Arial"/>
                <w:b/>
                <w:highlight w:val="yellow"/>
              </w:rPr>
            </w:pPr>
            <w:r w:rsidRPr="00F82F22">
              <w:rPr>
                <w:rFonts w:ascii="Arial" w:hAnsi="Arial" w:cs="Arial"/>
                <w:b/>
              </w:rPr>
              <w:t>05</w:t>
            </w:r>
          </w:p>
        </w:tc>
        <w:tc>
          <w:tcPr>
            <w:tcW w:w="7296" w:type="dxa"/>
          </w:tcPr>
          <w:p w14:paraId="6C306B71" w14:textId="349ED531" w:rsidR="00034EB7" w:rsidRPr="00F82F22" w:rsidRDefault="00185967" w:rsidP="00CD2040">
            <w:pPr>
              <w:jc w:val="both"/>
              <w:rPr>
                <w:rFonts w:ascii="Arial" w:hAnsi="Arial" w:cs="Arial"/>
                <w:bCs/>
              </w:rPr>
            </w:pPr>
            <w:r w:rsidRPr="00185967">
              <w:rPr>
                <w:rFonts w:ascii="Arial" w:hAnsi="Arial" w:cs="Arial"/>
                <w:bCs/>
              </w:rPr>
              <w:t>Chapter 3.1 Phases of activity, phase 8: Is there already an introduction plan on the deployment readiness + operation of the new capacity? This is important to know in relation to the resource plan and the cost breakdown;</w:t>
            </w:r>
          </w:p>
        </w:tc>
        <w:tc>
          <w:tcPr>
            <w:tcW w:w="6220" w:type="dxa"/>
          </w:tcPr>
          <w:p w14:paraId="1896B528" w14:textId="751990C7" w:rsidR="00F82F22" w:rsidRPr="00F82F22" w:rsidRDefault="00954D58" w:rsidP="00CD2040">
            <w:pPr>
              <w:jc w:val="both"/>
              <w:rPr>
                <w:rFonts w:ascii="Arial" w:hAnsi="Arial" w:cs="Arial"/>
                <w:bCs/>
              </w:rPr>
            </w:pPr>
            <w:r w:rsidRPr="00954D58">
              <w:rPr>
                <w:rFonts w:ascii="Arial" w:hAnsi="Arial" w:cs="Arial"/>
                <w:bCs/>
              </w:rPr>
              <w:t>Transition and Acceptance plans will form part of the bidder responses to the ITT for SAR2G contract and how they will do this against the strategy and guidance on what these plans need to contain.  This information will be provided by the MCA as part of the ITT document set.  It is expected that the Supplier will inform the MCA when it is ready to have a site accepted and this will be measured against their plans and contractual compliance.</w:t>
            </w:r>
          </w:p>
        </w:tc>
      </w:tr>
      <w:tr w:rsidR="00E4137B" w:rsidRPr="00BE3AA8" w14:paraId="7FF2AD25" w14:textId="77777777" w:rsidTr="00F72CD1">
        <w:tc>
          <w:tcPr>
            <w:tcW w:w="556" w:type="dxa"/>
            <w:vAlign w:val="center"/>
          </w:tcPr>
          <w:p w14:paraId="40853DFE" w14:textId="61AD57CC" w:rsidR="00E4137B" w:rsidRPr="00F82F22" w:rsidRDefault="00E4137B" w:rsidP="003D75CA">
            <w:pPr>
              <w:jc w:val="both"/>
              <w:rPr>
                <w:rFonts w:ascii="Arial" w:hAnsi="Arial" w:cs="Arial"/>
                <w:b/>
              </w:rPr>
            </w:pPr>
            <w:r>
              <w:rPr>
                <w:rFonts w:ascii="Arial" w:hAnsi="Arial" w:cs="Arial"/>
                <w:b/>
              </w:rPr>
              <w:t>06</w:t>
            </w:r>
          </w:p>
        </w:tc>
        <w:tc>
          <w:tcPr>
            <w:tcW w:w="7296" w:type="dxa"/>
          </w:tcPr>
          <w:p w14:paraId="52A81A4E" w14:textId="36392108" w:rsidR="00E4137B" w:rsidRPr="00185967" w:rsidRDefault="00E4137B" w:rsidP="00CD2040">
            <w:pPr>
              <w:jc w:val="both"/>
              <w:rPr>
                <w:rFonts w:ascii="Arial" w:hAnsi="Arial" w:cs="Arial"/>
                <w:bCs/>
              </w:rPr>
            </w:pPr>
            <w:r w:rsidRPr="00E4137B">
              <w:rPr>
                <w:rFonts w:ascii="Arial" w:hAnsi="Arial" w:cs="Arial"/>
                <w:bCs/>
              </w:rPr>
              <w:t>How many requests do you expect for Work package 1 per phase and how many requests and/ or meetings do you expect for Work package 8?</w:t>
            </w:r>
          </w:p>
        </w:tc>
        <w:tc>
          <w:tcPr>
            <w:tcW w:w="6220" w:type="dxa"/>
          </w:tcPr>
          <w:p w14:paraId="453EE1DB" w14:textId="7B8767F3" w:rsidR="00E4137B" w:rsidRPr="00E4137B" w:rsidRDefault="00E4137B" w:rsidP="00E4137B">
            <w:pPr>
              <w:jc w:val="both"/>
              <w:rPr>
                <w:rFonts w:ascii="Arial" w:hAnsi="Arial" w:cs="Arial"/>
                <w:bCs/>
              </w:rPr>
            </w:pPr>
            <w:r w:rsidRPr="00E4137B">
              <w:rPr>
                <w:rFonts w:ascii="Arial" w:hAnsi="Arial" w:cs="Arial"/>
                <w:bCs/>
              </w:rPr>
              <w:t xml:space="preserve">Work Package 1: The type of work associated to this work package are to support UKSAR2G ITT development but fall outside those detailed in Work Package (WP) 2 to 7.  It is expected that this work could form up to 5 tasks consisting of </w:t>
            </w:r>
            <w:proofErr w:type="gramStart"/>
            <w:r w:rsidRPr="00E4137B">
              <w:rPr>
                <w:rFonts w:ascii="Arial" w:hAnsi="Arial" w:cs="Arial"/>
                <w:bCs/>
              </w:rPr>
              <w:t>3 man</w:t>
            </w:r>
            <w:proofErr w:type="gramEnd"/>
            <w:r w:rsidRPr="00E4137B">
              <w:rPr>
                <w:rFonts w:ascii="Arial" w:hAnsi="Arial" w:cs="Arial"/>
                <w:bCs/>
              </w:rPr>
              <w:t xml:space="preserve"> days each in duration over the contract term.</w:t>
            </w:r>
          </w:p>
          <w:p w14:paraId="186B5A04" w14:textId="77777777" w:rsidR="00E4137B" w:rsidRPr="00E4137B" w:rsidRDefault="00E4137B" w:rsidP="00E4137B">
            <w:pPr>
              <w:jc w:val="both"/>
              <w:rPr>
                <w:rFonts w:ascii="Arial" w:hAnsi="Arial" w:cs="Arial"/>
                <w:bCs/>
              </w:rPr>
            </w:pPr>
          </w:p>
          <w:p w14:paraId="160604CB" w14:textId="3D35868A" w:rsidR="00E4137B" w:rsidRPr="00954D58" w:rsidRDefault="00E4137B" w:rsidP="00E4137B">
            <w:pPr>
              <w:jc w:val="both"/>
              <w:rPr>
                <w:rFonts w:ascii="Arial" w:hAnsi="Arial" w:cs="Arial"/>
                <w:bCs/>
              </w:rPr>
            </w:pPr>
            <w:r w:rsidRPr="00E4137B">
              <w:rPr>
                <w:rFonts w:ascii="Arial" w:hAnsi="Arial" w:cs="Arial"/>
                <w:bCs/>
              </w:rPr>
              <w:lastRenderedPageBreak/>
              <w:t xml:space="preserve">Work Package 8: The type of work associated to this work package are to support </w:t>
            </w:r>
            <w:r w:rsidRPr="00E4137B">
              <w:rPr>
                <w:rFonts w:ascii="Arial" w:hAnsi="Arial" w:cs="Arial"/>
                <w:bCs/>
              </w:rPr>
              <w:t>UKSAR2G but</w:t>
            </w:r>
            <w:r w:rsidRPr="00E4137B">
              <w:rPr>
                <w:rFonts w:ascii="Arial" w:hAnsi="Arial" w:cs="Arial"/>
                <w:bCs/>
              </w:rPr>
              <w:t xml:space="preserve"> fall outside the activities detailed in WP 1 to 7.  It is expected that this work could form up to 7 tasks consisting of </w:t>
            </w:r>
            <w:r w:rsidRPr="00E4137B">
              <w:rPr>
                <w:rFonts w:ascii="Arial" w:hAnsi="Arial" w:cs="Arial"/>
                <w:bCs/>
              </w:rPr>
              <w:t>3-man</w:t>
            </w:r>
            <w:r w:rsidRPr="00E4137B">
              <w:rPr>
                <w:rFonts w:ascii="Arial" w:hAnsi="Arial" w:cs="Arial"/>
                <w:bCs/>
              </w:rPr>
              <w:t xml:space="preserve"> days each in duration over the contract term</w:t>
            </w:r>
          </w:p>
        </w:tc>
      </w:tr>
      <w:tr w:rsidR="00E4137B" w:rsidRPr="00BE3AA8" w14:paraId="71E0C775" w14:textId="77777777" w:rsidTr="00F72CD1">
        <w:tc>
          <w:tcPr>
            <w:tcW w:w="556" w:type="dxa"/>
            <w:vAlign w:val="center"/>
          </w:tcPr>
          <w:p w14:paraId="5DF91F40" w14:textId="50867324" w:rsidR="00E4137B" w:rsidRDefault="00E4137B" w:rsidP="003D75CA">
            <w:pPr>
              <w:jc w:val="both"/>
              <w:rPr>
                <w:rFonts w:ascii="Arial" w:hAnsi="Arial" w:cs="Arial"/>
                <w:b/>
              </w:rPr>
            </w:pPr>
            <w:r>
              <w:rPr>
                <w:rFonts w:ascii="Arial" w:hAnsi="Arial" w:cs="Arial"/>
                <w:b/>
              </w:rPr>
              <w:lastRenderedPageBreak/>
              <w:t>07</w:t>
            </w:r>
          </w:p>
        </w:tc>
        <w:tc>
          <w:tcPr>
            <w:tcW w:w="7296" w:type="dxa"/>
          </w:tcPr>
          <w:p w14:paraId="3930CA58" w14:textId="56F13174" w:rsidR="00E4137B" w:rsidRPr="00E4137B" w:rsidRDefault="00E4137B" w:rsidP="00CD2040">
            <w:pPr>
              <w:jc w:val="both"/>
              <w:rPr>
                <w:rFonts w:ascii="Arial" w:hAnsi="Arial" w:cs="Arial"/>
                <w:bCs/>
              </w:rPr>
            </w:pPr>
            <w:r w:rsidRPr="00E4137B">
              <w:rPr>
                <w:rFonts w:ascii="Arial" w:hAnsi="Arial" w:cs="Arial"/>
                <w:bCs/>
              </w:rPr>
              <w:t xml:space="preserve">How many bidders (minimum and maximum) </w:t>
            </w:r>
            <w:r w:rsidRPr="00E4137B">
              <w:rPr>
                <w:rFonts w:ascii="Arial" w:hAnsi="Arial" w:cs="Arial"/>
                <w:bCs/>
              </w:rPr>
              <w:t>can</w:t>
            </w:r>
            <w:r w:rsidRPr="00E4137B">
              <w:rPr>
                <w:rFonts w:ascii="Arial" w:hAnsi="Arial" w:cs="Arial"/>
                <w:bCs/>
              </w:rPr>
              <w:t xml:space="preserve"> proceed to each phase?</w:t>
            </w:r>
          </w:p>
        </w:tc>
        <w:tc>
          <w:tcPr>
            <w:tcW w:w="6220" w:type="dxa"/>
          </w:tcPr>
          <w:p w14:paraId="1FCF619F" w14:textId="21EB5A33" w:rsidR="00E4137B" w:rsidRPr="00E4137B" w:rsidRDefault="00E4137B" w:rsidP="00E4137B">
            <w:pPr>
              <w:jc w:val="both"/>
              <w:rPr>
                <w:rFonts w:ascii="Arial" w:hAnsi="Arial" w:cs="Arial"/>
                <w:bCs/>
              </w:rPr>
            </w:pPr>
            <w:r w:rsidRPr="00E4137B">
              <w:rPr>
                <w:rFonts w:ascii="Arial" w:hAnsi="Arial" w:cs="Arial"/>
                <w:bCs/>
              </w:rPr>
              <w:t>We have not set a limit on the number of compliant bids that will go through to the evaluation stage</w:t>
            </w:r>
          </w:p>
        </w:tc>
      </w:tr>
      <w:tr w:rsidR="00E4137B" w:rsidRPr="00BE3AA8" w14:paraId="7E788C4E" w14:textId="77777777" w:rsidTr="00F72CD1">
        <w:tc>
          <w:tcPr>
            <w:tcW w:w="556" w:type="dxa"/>
            <w:vAlign w:val="center"/>
          </w:tcPr>
          <w:p w14:paraId="18851475" w14:textId="5C556639" w:rsidR="00E4137B" w:rsidRDefault="00E4137B" w:rsidP="003D75CA">
            <w:pPr>
              <w:jc w:val="both"/>
              <w:rPr>
                <w:rFonts w:ascii="Arial" w:hAnsi="Arial" w:cs="Arial"/>
                <w:b/>
              </w:rPr>
            </w:pPr>
            <w:r>
              <w:rPr>
                <w:rFonts w:ascii="Arial" w:hAnsi="Arial" w:cs="Arial"/>
                <w:b/>
              </w:rPr>
              <w:t>08</w:t>
            </w:r>
          </w:p>
        </w:tc>
        <w:tc>
          <w:tcPr>
            <w:tcW w:w="7296" w:type="dxa"/>
          </w:tcPr>
          <w:p w14:paraId="446E811B" w14:textId="4E4CA70D" w:rsidR="00E4137B" w:rsidRPr="00E4137B" w:rsidRDefault="00E4137B" w:rsidP="00CD2040">
            <w:pPr>
              <w:jc w:val="both"/>
              <w:rPr>
                <w:rFonts w:ascii="Arial" w:hAnsi="Arial" w:cs="Arial"/>
                <w:bCs/>
              </w:rPr>
            </w:pPr>
            <w:r w:rsidRPr="00E4137B">
              <w:rPr>
                <w:rFonts w:ascii="Arial" w:hAnsi="Arial" w:cs="Arial"/>
                <w:bCs/>
              </w:rPr>
              <w:t>Is there a down-selection phase?</w:t>
            </w:r>
          </w:p>
        </w:tc>
        <w:tc>
          <w:tcPr>
            <w:tcW w:w="6220" w:type="dxa"/>
          </w:tcPr>
          <w:p w14:paraId="5E5BAFEA" w14:textId="2BCE491F" w:rsidR="00E4137B" w:rsidRPr="00E4137B" w:rsidRDefault="00E4137B" w:rsidP="00E4137B">
            <w:pPr>
              <w:jc w:val="both"/>
              <w:rPr>
                <w:rFonts w:ascii="Arial" w:hAnsi="Arial" w:cs="Arial"/>
                <w:bCs/>
              </w:rPr>
            </w:pPr>
            <w:r w:rsidRPr="00E4137B">
              <w:rPr>
                <w:rFonts w:ascii="Arial" w:hAnsi="Arial" w:cs="Arial"/>
                <w:bCs/>
              </w:rPr>
              <w:t xml:space="preserve">All compliant bids will be </w:t>
            </w:r>
            <w:r w:rsidRPr="00E4137B">
              <w:rPr>
                <w:rFonts w:ascii="Arial" w:hAnsi="Arial" w:cs="Arial"/>
                <w:bCs/>
              </w:rPr>
              <w:t>evaluated,</w:t>
            </w:r>
            <w:r w:rsidRPr="00E4137B">
              <w:rPr>
                <w:rFonts w:ascii="Arial" w:hAnsi="Arial" w:cs="Arial"/>
                <w:bCs/>
              </w:rPr>
              <w:t xml:space="preserve"> and it is our intention to award the contract to the highest scoring bid</w:t>
            </w:r>
          </w:p>
        </w:tc>
      </w:tr>
      <w:tr w:rsidR="00E4137B" w:rsidRPr="00BE3AA8" w14:paraId="516A240E" w14:textId="77777777" w:rsidTr="00F72CD1">
        <w:tc>
          <w:tcPr>
            <w:tcW w:w="556" w:type="dxa"/>
            <w:vAlign w:val="center"/>
          </w:tcPr>
          <w:p w14:paraId="739BE15F" w14:textId="4C57C510" w:rsidR="00E4137B" w:rsidRDefault="00E4137B" w:rsidP="003D75CA">
            <w:pPr>
              <w:jc w:val="both"/>
              <w:rPr>
                <w:rFonts w:ascii="Arial" w:hAnsi="Arial" w:cs="Arial"/>
                <w:b/>
              </w:rPr>
            </w:pPr>
            <w:r>
              <w:rPr>
                <w:rFonts w:ascii="Arial" w:hAnsi="Arial" w:cs="Arial"/>
                <w:b/>
              </w:rPr>
              <w:t>09</w:t>
            </w:r>
          </w:p>
        </w:tc>
        <w:tc>
          <w:tcPr>
            <w:tcW w:w="7296" w:type="dxa"/>
          </w:tcPr>
          <w:p w14:paraId="3E21FCB6" w14:textId="193BE1E4" w:rsidR="00E4137B" w:rsidRPr="00E4137B" w:rsidRDefault="00E4137B" w:rsidP="00CD2040">
            <w:pPr>
              <w:jc w:val="both"/>
              <w:rPr>
                <w:rFonts w:ascii="Arial" w:hAnsi="Arial" w:cs="Arial"/>
                <w:bCs/>
              </w:rPr>
            </w:pPr>
            <w:r w:rsidRPr="00E4137B">
              <w:rPr>
                <w:rFonts w:ascii="Arial" w:hAnsi="Arial" w:cs="Arial"/>
                <w:bCs/>
              </w:rPr>
              <w:t>Are we correct in understanding that you will select a single supplier for the contract</w:t>
            </w:r>
            <w:r>
              <w:rPr>
                <w:rFonts w:ascii="Arial" w:hAnsi="Arial" w:cs="Arial"/>
                <w:bCs/>
              </w:rPr>
              <w:t>?</w:t>
            </w:r>
          </w:p>
        </w:tc>
        <w:tc>
          <w:tcPr>
            <w:tcW w:w="6220" w:type="dxa"/>
          </w:tcPr>
          <w:p w14:paraId="38E8AE0E" w14:textId="34B78C81" w:rsidR="00E4137B" w:rsidRPr="00E4137B" w:rsidRDefault="00E4137B" w:rsidP="00E4137B">
            <w:pPr>
              <w:jc w:val="both"/>
              <w:rPr>
                <w:rFonts w:ascii="Arial" w:hAnsi="Arial" w:cs="Arial"/>
                <w:bCs/>
              </w:rPr>
            </w:pPr>
            <w:r w:rsidRPr="00E4137B">
              <w:rPr>
                <w:rFonts w:ascii="Arial" w:hAnsi="Arial" w:cs="Arial"/>
                <w:bCs/>
              </w:rPr>
              <w:t>That is correct</w:t>
            </w:r>
          </w:p>
        </w:tc>
      </w:tr>
      <w:tr w:rsidR="00E4137B" w:rsidRPr="00BE3AA8" w14:paraId="6FA9361F" w14:textId="77777777" w:rsidTr="00F72CD1">
        <w:tc>
          <w:tcPr>
            <w:tcW w:w="556" w:type="dxa"/>
            <w:vAlign w:val="center"/>
          </w:tcPr>
          <w:p w14:paraId="42E18C5C" w14:textId="6E9D01FB" w:rsidR="00E4137B" w:rsidRDefault="00E4137B" w:rsidP="003D75CA">
            <w:pPr>
              <w:jc w:val="both"/>
              <w:rPr>
                <w:rFonts w:ascii="Arial" w:hAnsi="Arial" w:cs="Arial"/>
                <w:b/>
              </w:rPr>
            </w:pPr>
            <w:r>
              <w:rPr>
                <w:rFonts w:ascii="Arial" w:hAnsi="Arial" w:cs="Arial"/>
                <w:b/>
              </w:rPr>
              <w:t>10</w:t>
            </w:r>
          </w:p>
        </w:tc>
        <w:tc>
          <w:tcPr>
            <w:tcW w:w="7296" w:type="dxa"/>
          </w:tcPr>
          <w:p w14:paraId="61D279FA" w14:textId="7FFBA5C6" w:rsidR="00E4137B" w:rsidRPr="00E4137B" w:rsidRDefault="00B029A7" w:rsidP="00CD2040">
            <w:pPr>
              <w:jc w:val="both"/>
              <w:rPr>
                <w:rFonts w:ascii="Arial" w:hAnsi="Arial" w:cs="Arial"/>
                <w:bCs/>
              </w:rPr>
            </w:pPr>
            <w:r>
              <w:rPr>
                <w:rFonts w:ascii="Arial" w:hAnsi="Arial" w:cs="Arial"/>
                <w:bCs/>
              </w:rPr>
              <w:t>Can we</w:t>
            </w:r>
            <w:r w:rsidRPr="00B029A7">
              <w:rPr>
                <w:rFonts w:ascii="Arial" w:hAnsi="Arial" w:cs="Arial"/>
                <w:bCs/>
              </w:rPr>
              <w:t xml:space="preserve"> claim for travel to London</w:t>
            </w:r>
            <w:r>
              <w:rPr>
                <w:rFonts w:ascii="Arial" w:hAnsi="Arial" w:cs="Arial"/>
                <w:bCs/>
              </w:rPr>
              <w:t>?</w:t>
            </w:r>
          </w:p>
        </w:tc>
        <w:tc>
          <w:tcPr>
            <w:tcW w:w="6220" w:type="dxa"/>
          </w:tcPr>
          <w:p w14:paraId="629E582A" w14:textId="167E9D72" w:rsidR="00E4137B" w:rsidRPr="00E4137B" w:rsidRDefault="00B029A7" w:rsidP="00E4137B">
            <w:pPr>
              <w:jc w:val="both"/>
              <w:rPr>
                <w:rFonts w:ascii="Arial" w:hAnsi="Arial" w:cs="Arial"/>
                <w:bCs/>
              </w:rPr>
            </w:pPr>
            <w:r>
              <w:rPr>
                <w:rFonts w:ascii="Arial" w:hAnsi="Arial" w:cs="Arial"/>
                <w:bCs/>
              </w:rPr>
              <w:t>As per the tender documents, n</w:t>
            </w:r>
            <w:r w:rsidRPr="00B029A7">
              <w:rPr>
                <w:rFonts w:ascii="Arial" w:hAnsi="Arial" w:cs="Arial"/>
                <w:bCs/>
              </w:rPr>
              <w:t>o travel or subsistence costs shall be met for meetings held at any locations within the Greater London area or for journeys within the M25. (The Greater London area is defined as the area covered by the Greater London Authority.)</w:t>
            </w:r>
          </w:p>
        </w:tc>
      </w:tr>
    </w:tbl>
    <w:p w14:paraId="0AC6C7A8" w14:textId="5CF134B5" w:rsidR="00533605" w:rsidRDefault="00533605" w:rsidP="00533605">
      <w:r>
        <w:t xml:space="preserve"> </w:t>
      </w:r>
    </w:p>
    <w:sectPr w:rsidR="00533605"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C63AC"/>
    <w:multiLevelType w:val="hybridMultilevel"/>
    <w:tmpl w:val="E294E394"/>
    <w:lvl w:ilvl="0" w:tplc="894A4CE2">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AB6200"/>
    <w:multiLevelType w:val="hybridMultilevel"/>
    <w:tmpl w:val="D744FC68"/>
    <w:lvl w:ilvl="0" w:tplc="894A4CE2">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2C1662"/>
    <w:multiLevelType w:val="hybridMultilevel"/>
    <w:tmpl w:val="DBCCD3F4"/>
    <w:lvl w:ilvl="0" w:tplc="F69A0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29125D"/>
    <w:multiLevelType w:val="hybridMultilevel"/>
    <w:tmpl w:val="D0C6C8BE"/>
    <w:lvl w:ilvl="0" w:tplc="C67AA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1940"/>
    <w:rsid w:val="00010330"/>
    <w:rsid w:val="00034EB7"/>
    <w:rsid w:val="00044E2C"/>
    <w:rsid w:val="00050741"/>
    <w:rsid w:val="00053AE5"/>
    <w:rsid w:val="00057013"/>
    <w:rsid w:val="00070B37"/>
    <w:rsid w:val="0007627C"/>
    <w:rsid w:val="00081C5F"/>
    <w:rsid w:val="00086DB5"/>
    <w:rsid w:val="0008740F"/>
    <w:rsid w:val="000B27C9"/>
    <w:rsid w:val="000E465C"/>
    <w:rsid w:val="000F2E1B"/>
    <w:rsid w:val="000F34AA"/>
    <w:rsid w:val="000F4A35"/>
    <w:rsid w:val="00124980"/>
    <w:rsid w:val="0012637F"/>
    <w:rsid w:val="00147667"/>
    <w:rsid w:val="001614CB"/>
    <w:rsid w:val="00173781"/>
    <w:rsid w:val="00174E9C"/>
    <w:rsid w:val="0018133A"/>
    <w:rsid w:val="00185967"/>
    <w:rsid w:val="001A0F08"/>
    <w:rsid w:val="001A4643"/>
    <w:rsid w:val="001B21E3"/>
    <w:rsid w:val="001B45AC"/>
    <w:rsid w:val="001B52FE"/>
    <w:rsid w:val="001F3C3B"/>
    <w:rsid w:val="002126FF"/>
    <w:rsid w:val="00213258"/>
    <w:rsid w:val="00221510"/>
    <w:rsid w:val="00231269"/>
    <w:rsid w:val="00233174"/>
    <w:rsid w:val="0027770E"/>
    <w:rsid w:val="00291E0F"/>
    <w:rsid w:val="002A14F2"/>
    <w:rsid w:val="002B522D"/>
    <w:rsid w:val="002B6AF8"/>
    <w:rsid w:val="002C7B64"/>
    <w:rsid w:val="002D1D5F"/>
    <w:rsid w:val="002E778E"/>
    <w:rsid w:val="003029C4"/>
    <w:rsid w:val="00313E31"/>
    <w:rsid w:val="003140DF"/>
    <w:rsid w:val="00317F1F"/>
    <w:rsid w:val="00387892"/>
    <w:rsid w:val="003947B2"/>
    <w:rsid w:val="003C02BE"/>
    <w:rsid w:val="003D1871"/>
    <w:rsid w:val="003D75CA"/>
    <w:rsid w:val="003F509A"/>
    <w:rsid w:val="004000C6"/>
    <w:rsid w:val="00407012"/>
    <w:rsid w:val="00407CC8"/>
    <w:rsid w:val="00417FF9"/>
    <w:rsid w:val="00486375"/>
    <w:rsid w:val="00486690"/>
    <w:rsid w:val="00497FE4"/>
    <w:rsid w:val="004B614D"/>
    <w:rsid w:val="004C0F88"/>
    <w:rsid w:val="004E4198"/>
    <w:rsid w:val="00521DED"/>
    <w:rsid w:val="00533605"/>
    <w:rsid w:val="005C5346"/>
    <w:rsid w:val="005E3F04"/>
    <w:rsid w:val="005F7AD5"/>
    <w:rsid w:val="00600589"/>
    <w:rsid w:val="00602BE2"/>
    <w:rsid w:val="00646B73"/>
    <w:rsid w:val="0065783B"/>
    <w:rsid w:val="00726491"/>
    <w:rsid w:val="0073181F"/>
    <w:rsid w:val="007819A7"/>
    <w:rsid w:val="00781F8D"/>
    <w:rsid w:val="00785B35"/>
    <w:rsid w:val="007A4D1B"/>
    <w:rsid w:val="007B2243"/>
    <w:rsid w:val="007B603D"/>
    <w:rsid w:val="007D6B40"/>
    <w:rsid w:val="007E1203"/>
    <w:rsid w:val="007F4E3F"/>
    <w:rsid w:val="008073E5"/>
    <w:rsid w:val="008167FC"/>
    <w:rsid w:val="00816B59"/>
    <w:rsid w:val="00862CDA"/>
    <w:rsid w:val="008932C1"/>
    <w:rsid w:val="008D55F2"/>
    <w:rsid w:val="008D6E86"/>
    <w:rsid w:val="008E096D"/>
    <w:rsid w:val="008E59EE"/>
    <w:rsid w:val="008F1413"/>
    <w:rsid w:val="0092519E"/>
    <w:rsid w:val="0094088A"/>
    <w:rsid w:val="00944172"/>
    <w:rsid w:val="00954D58"/>
    <w:rsid w:val="009753D3"/>
    <w:rsid w:val="00984236"/>
    <w:rsid w:val="00993122"/>
    <w:rsid w:val="009A79A8"/>
    <w:rsid w:val="009C0649"/>
    <w:rsid w:val="009D2457"/>
    <w:rsid w:val="009D7323"/>
    <w:rsid w:val="009F226B"/>
    <w:rsid w:val="00A0258C"/>
    <w:rsid w:val="00A0305A"/>
    <w:rsid w:val="00A2704F"/>
    <w:rsid w:val="00A7720F"/>
    <w:rsid w:val="00A9204D"/>
    <w:rsid w:val="00AA2CA3"/>
    <w:rsid w:val="00AB4073"/>
    <w:rsid w:val="00AC2D2F"/>
    <w:rsid w:val="00AD7BF1"/>
    <w:rsid w:val="00AE5C14"/>
    <w:rsid w:val="00B029A7"/>
    <w:rsid w:val="00B26177"/>
    <w:rsid w:val="00B278A8"/>
    <w:rsid w:val="00B44B4A"/>
    <w:rsid w:val="00B70DBB"/>
    <w:rsid w:val="00BA5CF1"/>
    <w:rsid w:val="00BE37F1"/>
    <w:rsid w:val="00BE3AA8"/>
    <w:rsid w:val="00BF1467"/>
    <w:rsid w:val="00BF5BE0"/>
    <w:rsid w:val="00C1162C"/>
    <w:rsid w:val="00C70034"/>
    <w:rsid w:val="00C76691"/>
    <w:rsid w:val="00C86DA4"/>
    <w:rsid w:val="00C87801"/>
    <w:rsid w:val="00C91796"/>
    <w:rsid w:val="00C927B5"/>
    <w:rsid w:val="00CA29D5"/>
    <w:rsid w:val="00CD2040"/>
    <w:rsid w:val="00CF53D7"/>
    <w:rsid w:val="00CF56BB"/>
    <w:rsid w:val="00CF5796"/>
    <w:rsid w:val="00CF58C7"/>
    <w:rsid w:val="00D03A2A"/>
    <w:rsid w:val="00D060D9"/>
    <w:rsid w:val="00D10136"/>
    <w:rsid w:val="00D138CD"/>
    <w:rsid w:val="00D22DE4"/>
    <w:rsid w:val="00D453A0"/>
    <w:rsid w:val="00D76D72"/>
    <w:rsid w:val="00D824AE"/>
    <w:rsid w:val="00DA0C9B"/>
    <w:rsid w:val="00DA6401"/>
    <w:rsid w:val="00DA6590"/>
    <w:rsid w:val="00DD16BA"/>
    <w:rsid w:val="00E019E3"/>
    <w:rsid w:val="00E134F6"/>
    <w:rsid w:val="00E17FEE"/>
    <w:rsid w:val="00E20BF8"/>
    <w:rsid w:val="00E4137B"/>
    <w:rsid w:val="00E51A8D"/>
    <w:rsid w:val="00E51C82"/>
    <w:rsid w:val="00E53843"/>
    <w:rsid w:val="00E57934"/>
    <w:rsid w:val="00E6773F"/>
    <w:rsid w:val="00E95020"/>
    <w:rsid w:val="00EA0064"/>
    <w:rsid w:val="00EA6AC6"/>
    <w:rsid w:val="00EC4CFD"/>
    <w:rsid w:val="00ED44C9"/>
    <w:rsid w:val="00EE6CE6"/>
    <w:rsid w:val="00F10967"/>
    <w:rsid w:val="00F25954"/>
    <w:rsid w:val="00F340E0"/>
    <w:rsid w:val="00F36F01"/>
    <w:rsid w:val="00F515D6"/>
    <w:rsid w:val="00F64409"/>
    <w:rsid w:val="00F72CD1"/>
    <w:rsid w:val="00F82F22"/>
    <w:rsid w:val="00F842A7"/>
    <w:rsid w:val="00F947A5"/>
    <w:rsid w:val="00FB37CD"/>
    <w:rsid w:val="00FE3274"/>
    <w:rsid w:val="00FE3F06"/>
    <w:rsid w:val="00FE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3D75CA"/>
    <w:rPr>
      <w:color w:val="0563C1" w:themeColor="hyperlink"/>
      <w:u w:val="single"/>
    </w:rPr>
  </w:style>
  <w:style w:type="character" w:styleId="UnresolvedMention">
    <w:name w:val="Unresolved Mention"/>
    <w:basedOn w:val="DefaultParagraphFont"/>
    <w:uiPriority w:val="99"/>
    <w:semiHidden/>
    <w:unhideWhenUsed/>
    <w:rsid w:val="003D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3" ma:contentTypeDescription="Create a new document." ma:contentTypeScope="" ma:versionID="489810b9c05bdbb4f2528a05cd619b7a">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077875777301e52eede3145be9365142"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D9E07-D9BA-4A62-B6B0-618B9FE77419}">
  <ds:schemaRefs>
    <ds:schemaRef ds:uri="http://schemas.microsoft.com/sharepoint/v3/contenttype/forms"/>
  </ds:schemaRefs>
</ds:datastoreItem>
</file>

<file path=customXml/itemProps2.xml><?xml version="1.0" encoding="utf-8"?>
<ds:datastoreItem xmlns:ds="http://schemas.openxmlformats.org/officeDocument/2006/customXml" ds:itemID="{F0E75C64-7348-4C32-A645-371FC0734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2B5FB-0B70-48B2-B1EA-0D854C6662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3</cp:revision>
  <dcterms:created xsi:type="dcterms:W3CDTF">2020-07-29T10:33:00Z</dcterms:created>
  <dcterms:modified xsi:type="dcterms:W3CDTF">2020-07-29T10:45:00Z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