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CFF8F" w14:textId="77777777" w:rsidR="009142A5" w:rsidRPr="007D4F61" w:rsidRDefault="009142A5" w:rsidP="009142A5">
      <w:pPr>
        <w:pStyle w:val="Heading1"/>
        <w:rPr>
          <w:rFonts w:asciiTheme="minorHAnsi" w:hAnsiTheme="minorHAnsi"/>
          <w:b/>
          <w:bCs/>
          <w:color w:val="auto"/>
          <w:szCs w:val="22"/>
          <w:u w:val="single"/>
        </w:rPr>
      </w:pPr>
      <w:bookmarkStart w:id="0" w:name="_Toc86734257"/>
      <w:r w:rsidRPr="007D4F61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DEFFORM 47 Annex B – </w:t>
      </w:r>
      <w:r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Terms and Conditions</w:t>
      </w:r>
      <w:r w:rsidRPr="007D4F61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Compliance Matrix</w:t>
      </w:r>
      <w:bookmarkEnd w:id="0"/>
    </w:p>
    <w:p w14:paraId="0994FBA7" w14:textId="0B1D47F6" w:rsidR="009142A5" w:rsidRDefault="009142A5" w:rsidP="009142A5">
      <w:pPr>
        <w:spacing w:after="160" w:line="259" w:lineRule="auto"/>
        <w:ind w:hanging="142"/>
        <w:jc w:val="both"/>
        <w:rPr>
          <w:rFonts w:asciiTheme="minorHAnsi" w:eastAsia="Arial" w:hAnsiTheme="minorHAnsi" w:cs="Arial"/>
          <w:szCs w:val="22"/>
          <w:lang w:eastAsia="en-GB"/>
        </w:rPr>
      </w:pPr>
      <w:r>
        <w:rPr>
          <w:rFonts w:asciiTheme="minorHAnsi" w:eastAsia="Arial" w:hAnsiTheme="minorHAnsi" w:cs="Arial"/>
          <w:szCs w:val="22"/>
          <w:lang w:eastAsia="en-GB"/>
        </w:rPr>
        <w:t xml:space="preserve">   </w:t>
      </w:r>
      <w:r w:rsidRPr="00895A52">
        <w:rPr>
          <w:rFonts w:asciiTheme="minorHAnsi" w:eastAsia="Arial" w:hAnsiTheme="minorHAnsi" w:cs="Arial"/>
          <w:szCs w:val="22"/>
          <w:lang w:eastAsia="en-GB"/>
        </w:rPr>
        <w:t xml:space="preserve">Tenderer to populate the ‘Compliant’ column within the </w:t>
      </w:r>
      <w:r>
        <w:rPr>
          <w:rFonts w:asciiTheme="minorHAnsi" w:eastAsia="Arial" w:hAnsiTheme="minorHAnsi" w:cs="Arial"/>
          <w:szCs w:val="22"/>
          <w:lang w:eastAsia="en-GB"/>
        </w:rPr>
        <w:t>Terms and Conditions</w:t>
      </w:r>
      <w:r w:rsidRPr="00895A52">
        <w:rPr>
          <w:rFonts w:asciiTheme="minorHAnsi" w:eastAsia="Arial" w:hAnsiTheme="minorHAnsi" w:cs="Arial"/>
          <w:szCs w:val="22"/>
          <w:lang w:eastAsia="en-GB"/>
        </w:rPr>
        <w:t xml:space="preserve"> Compliance Matrix below</w:t>
      </w:r>
      <w:r>
        <w:rPr>
          <w:rFonts w:asciiTheme="minorHAnsi" w:eastAsia="Arial" w:hAnsiTheme="minorHAnsi" w:cs="Arial"/>
          <w:szCs w:val="22"/>
          <w:lang w:eastAsia="en-GB"/>
        </w:rPr>
        <w:t xml:space="preserve"> and upload this spreadsheet to DSP.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464"/>
        <w:gridCol w:w="2564"/>
      </w:tblGrid>
      <w:tr w:rsidR="009142A5" w:rsidRPr="00DE40F7" w14:paraId="19D277F7" w14:textId="77777777" w:rsidTr="007D00F8">
        <w:trPr>
          <w:trHeight w:val="572"/>
          <w:jc w:val="center"/>
        </w:trPr>
        <w:tc>
          <w:tcPr>
            <w:tcW w:w="548" w:type="pct"/>
            <w:shd w:val="clear" w:color="auto" w:fill="BFBFBF"/>
            <w:noWrap/>
            <w:vAlign w:val="center"/>
            <w:hideMark/>
          </w:tcPr>
          <w:p w14:paraId="3386DBF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  <w:tc>
          <w:tcPr>
            <w:tcW w:w="3030" w:type="pct"/>
            <w:shd w:val="clear" w:color="auto" w:fill="BFBFBF"/>
            <w:vAlign w:val="center"/>
            <w:hideMark/>
          </w:tcPr>
          <w:p w14:paraId="57B118E0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AD25EB">
              <w:rPr>
                <w:rFonts w:asciiTheme="minorHAnsi" w:eastAsia="Calibri" w:hAnsiTheme="minorHAnsi" w:cs="Arial"/>
                <w:b/>
                <w:bCs/>
                <w:szCs w:val="22"/>
              </w:rPr>
              <w:t>General Conditions</w:t>
            </w:r>
          </w:p>
        </w:tc>
        <w:tc>
          <w:tcPr>
            <w:tcW w:w="1422" w:type="pct"/>
            <w:shd w:val="clear" w:color="auto" w:fill="BFBFBF"/>
            <w:vAlign w:val="center"/>
          </w:tcPr>
          <w:p w14:paraId="40141F2B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5EFC8DA2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:rsidRPr="00F308C4" w14:paraId="7399A046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A50F8BA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</w:t>
            </w:r>
          </w:p>
        </w:tc>
        <w:tc>
          <w:tcPr>
            <w:tcW w:w="3030" w:type="pct"/>
            <w:shd w:val="clear" w:color="auto" w:fill="auto"/>
          </w:tcPr>
          <w:p w14:paraId="4F62C1A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General</w:t>
            </w:r>
          </w:p>
        </w:tc>
        <w:tc>
          <w:tcPr>
            <w:tcW w:w="1422" w:type="pct"/>
          </w:tcPr>
          <w:p w14:paraId="1AACD5F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13B2FEFF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7A69011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</w:t>
            </w:r>
          </w:p>
        </w:tc>
        <w:tc>
          <w:tcPr>
            <w:tcW w:w="3030" w:type="pct"/>
            <w:shd w:val="clear" w:color="auto" w:fill="auto"/>
          </w:tcPr>
          <w:p w14:paraId="7BF1D91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Duration of Contract</w:t>
            </w:r>
          </w:p>
        </w:tc>
        <w:tc>
          <w:tcPr>
            <w:tcW w:w="1422" w:type="pct"/>
          </w:tcPr>
          <w:p w14:paraId="0821CC9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799605A8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4ED4850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</w:t>
            </w:r>
          </w:p>
        </w:tc>
        <w:tc>
          <w:tcPr>
            <w:tcW w:w="3030" w:type="pct"/>
            <w:shd w:val="clear" w:color="auto" w:fill="auto"/>
          </w:tcPr>
          <w:p w14:paraId="2DFC107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Entire Agreement</w:t>
            </w:r>
          </w:p>
        </w:tc>
        <w:tc>
          <w:tcPr>
            <w:tcW w:w="1422" w:type="pct"/>
          </w:tcPr>
          <w:p w14:paraId="3A0F575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81214BA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B63FD90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4</w:t>
            </w:r>
          </w:p>
        </w:tc>
        <w:tc>
          <w:tcPr>
            <w:tcW w:w="3030" w:type="pct"/>
            <w:shd w:val="clear" w:color="auto" w:fill="auto"/>
          </w:tcPr>
          <w:p w14:paraId="160336C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Governing Law</w:t>
            </w:r>
          </w:p>
        </w:tc>
        <w:tc>
          <w:tcPr>
            <w:tcW w:w="1422" w:type="pct"/>
          </w:tcPr>
          <w:p w14:paraId="14597CB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3137D833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8B20FC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5</w:t>
            </w:r>
          </w:p>
        </w:tc>
        <w:tc>
          <w:tcPr>
            <w:tcW w:w="3030" w:type="pct"/>
            <w:shd w:val="clear" w:color="auto" w:fill="auto"/>
          </w:tcPr>
          <w:p w14:paraId="6213B72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Precedence</w:t>
            </w:r>
          </w:p>
        </w:tc>
        <w:tc>
          <w:tcPr>
            <w:tcW w:w="1422" w:type="pct"/>
          </w:tcPr>
          <w:p w14:paraId="2965609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51A41F16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66DF7B7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6</w:t>
            </w:r>
          </w:p>
        </w:tc>
        <w:tc>
          <w:tcPr>
            <w:tcW w:w="3030" w:type="pct"/>
            <w:shd w:val="clear" w:color="auto" w:fill="auto"/>
          </w:tcPr>
          <w:p w14:paraId="03C5037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Amendments to Contract</w:t>
            </w:r>
          </w:p>
        </w:tc>
        <w:tc>
          <w:tcPr>
            <w:tcW w:w="1422" w:type="pct"/>
          </w:tcPr>
          <w:p w14:paraId="3823D4B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14168DBC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0496816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7</w:t>
            </w:r>
          </w:p>
        </w:tc>
        <w:tc>
          <w:tcPr>
            <w:tcW w:w="3030" w:type="pct"/>
            <w:shd w:val="clear" w:color="auto" w:fill="auto"/>
          </w:tcPr>
          <w:p w14:paraId="3B2AC65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Variations to Specification</w:t>
            </w:r>
          </w:p>
        </w:tc>
        <w:tc>
          <w:tcPr>
            <w:tcW w:w="1422" w:type="pct"/>
          </w:tcPr>
          <w:p w14:paraId="7307FA3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6CB610E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0482E0D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8</w:t>
            </w:r>
          </w:p>
        </w:tc>
        <w:tc>
          <w:tcPr>
            <w:tcW w:w="3030" w:type="pct"/>
            <w:shd w:val="clear" w:color="auto" w:fill="auto"/>
          </w:tcPr>
          <w:p w14:paraId="2C1B90E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Authority Representatives</w:t>
            </w:r>
          </w:p>
        </w:tc>
        <w:tc>
          <w:tcPr>
            <w:tcW w:w="1422" w:type="pct"/>
          </w:tcPr>
          <w:p w14:paraId="3891A74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3DE325CF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3571F25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9</w:t>
            </w:r>
          </w:p>
        </w:tc>
        <w:tc>
          <w:tcPr>
            <w:tcW w:w="3030" w:type="pct"/>
            <w:shd w:val="clear" w:color="auto" w:fill="auto"/>
          </w:tcPr>
          <w:p w14:paraId="405285B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Severability</w:t>
            </w:r>
          </w:p>
        </w:tc>
        <w:tc>
          <w:tcPr>
            <w:tcW w:w="1422" w:type="pct"/>
          </w:tcPr>
          <w:p w14:paraId="38E17F7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5A9F012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E2E578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10</w:t>
            </w:r>
          </w:p>
        </w:tc>
        <w:tc>
          <w:tcPr>
            <w:tcW w:w="3030" w:type="pct"/>
            <w:shd w:val="clear" w:color="auto" w:fill="auto"/>
          </w:tcPr>
          <w:p w14:paraId="62E0D45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Waiver</w:t>
            </w:r>
          </w:p>
        </w:tc>
        <w:tc>
          <w:tcPr>
            <w:tcW w:w="1422" w:type="pct"/>
          </w:tcPr>
          <w:p w14:paraId="664023C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7F8F609C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36BCDC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11</w:t>
            </w:r>
          </w:p>
        </w:tc>
        <w:tc>
          <w:tcPr>
            <w:tcW w:w="3030" w:type="pct"/>
            <w:shd w:val="clear" w:color="auto" w:fill="auto"/>
          </w:tcPr>
          <w:p w14:paraId="79C188E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Assignment of Contract</w:t>
            </w:r>
          </w:p>
        </w:tc>
        <w:tc>
          <w:tcPr>
            <w:tcW w:w="1422" w:type="pct"/>
          </w:tcPr>
          <w:p w14:paraId="10AE08A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73E1E0B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A7A2E5E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12</w:t>
            </w:r>
          </w:p>
        </w:tc>
        <w:tc>
          <w:tcPr>
            <w:tcW w:w="3030" w:type="pct"/>
            <w:shd w:val="clear" w:color="auto" w:fill="auto"/>
          </w:tcPr>
          <w:p w14:paraId="7C51A2F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Third Party Rights</w:t>
            </w:r>
          </w:p>
        </w:tc>
        <w:tc>
          <w:tcPr>
            <w:tcW w:w="1422" w:type="pct"/>
          </w:tcPr>
          <w:p w14:paraId="62E6B1C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511E7683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513592C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13</w:t>
            </w:r>
          </w:p>
        </w:tc>
        <w:tc>
          <w:tcPr>
            <w:tcW w:w="3030" w:type="pct"/>
            <w:shd w:val="clear" w:color="auto" w:fill="auto"/>
          </w:tcPr>
          <w:p w14:paraId="4250CA4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Transparency</w:t>
            </w:r>
          </w:p>
        </w:tc>
        <w:tc>
          <w:tcPr>
            <w:tcW w:w="1422" w:type="pct"/>
          </w:tcPr>
          <w:p w14:paraId="306C986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549B69F5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8B55F0D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14</w:t>
            </w:r>
          </w:p>
        </w:tc>
        <w:tc>
          <w:tcPr>
            <w:tcW w:w="3030" w:type="pct"/>
            <w:shd w:val="clear" w:color="auto" w:fill="auto"/>
          </w:tcPr>
          <w:p w14:paraId="010C38F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Disclosure of Information</w:t>
            </w:r>
          </w:p>
        </w:tc>
        <w:tc>
          <w:tcPr>
            <w:tcW w:w="1422" w:type="pct"/>
          </w:tcPr>
          <w:p w14:paraId="4CF1000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229D0DB0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93CB7A4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15</w:t>
            </w:r>
          </w:p>
        </w:tc>
        <w:tc>
          <w:tcPr>
            <w:tcW w:w="3030" w:type="pct"/>
            <w:shd w:val="clear" w:color="auto" w:fill="auto"/>
          </w:tcPr>
          <w:p w14:paraId="595DEE0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Publicity and Communications with the Media</w:t>
            </w:r>
          </w:p>
        </w:tc>
        <w:tc>
          <w:tcPr>
            <w:tcW w:w="1422" w:type="pct"/>
          </w:tcPr>
          <w:p w14:paraId="0381B8D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586B605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E22DCE5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16</w:t>
            </w:r>
          </w:p>
        </w:tc>
        <w:tc>
          <w:tcPr>
            <w:tcW w:w="3030" w:type="pct"/>
            <w:shd w:val="clear" w:color="auto" w:fill="auto"/>
          </w:tcPr>
          <w:p w14:paraId="1A8133B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Change of Control of Contractor</w:t>
            </w:r>
          </w:p>
        </w:tc>
        <w:tc>
          <w:tcPr>
            <w:tcW w:w="1422" w:type="pct"/>
          </w:tcPr>
          <w:p w14:paraId="69AA4E32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3124C8FF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C01C032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17</w:t>
            </w:r>
          </w:p>
        </w:tc>
        <w:tc>
          <w:tcPr>
            <w:tcW w:w="3030" w:type="pct"/>
            <w:shd w:val="clear" w:color="auto" w:fill="auto"/>
          </w:tcPr>
          <w:p w14:paraId="4A372AF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Environmental Requirements</w:t>
            </w:r>
          </w:p>
        </w:tc>
        <w:tc>
          <w:tcPr>
            <w:tcW w:w="1422" w:type="pct"/>
          </w:tcPr>
          <w:p w14:paraId="4177EF5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16BC176C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B3FBEEB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18</w:t>
            </w:r>
          </w:p>
        </w:tc>
        <w:tc>
          <w:tcPr>
            <w:tcW w:w="3030" w:type="pct"/>
            <w:shd w:val="clear" w:color="auto" w:fill="auto"/>
          </w:tcPr>
          <w:p w14:paraId="078C26E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Contractor’s Records</w:t>
            </w:r>
          </w:p>
        </w:tc>
        <w:tc>
          <w:tcPr>
            <w:tcW w:w="1422" w:type="pct"/>
          </w:tcPr>
          <w:p w14:paraId="26BC094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E5C0CCD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8DB5A0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19</w:t>
            </w:r>
          </w:p>
        </w:tc>
        <w:tc>
          <w:tcPr>
            <w:tcW w:w="3030" w:type="pct"/>
            <w:shd w:val="clear" w:color="auto" w:fill="auto"/>
          </w:tcPr>
          <w:p w14:paraId="2219CFE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Notices</w:t>
            </w:r>
          </w:p>
        </w:tc>
        <w:tc>
          <w:tcPr>
            <w:tcW w:w="1422" w:type="pct"/>
          </w:tcPr>
          <w:p w14:paraId="5349B97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521CBC45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C63EBC4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20</w:t>
            </w:r>
          </w:p>
        </w:tc>
        <w:tc>
          <w:tcPr>
            <w:tcW w:w="3030" w:type="pct"/>
            <w:shd w:val="clear" w:color="auto" w:fill="auto"/>
          </w:tcPr>
          <w:p w14:paraId="6058892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Progress Monitoring, Meetings and Reports</w:t>
            </w:r>
          </w:p>
        </w:tc>
        <w:tc>
          <w:tcPr>
            <w:tcW w:w="1422" w:type="pct"/>
          </w:tcPr>
          <w:p w14:paraId="3F91A96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07709FC4" w14:textId="77777777" w:rsidTr="007D00F8">
        <w:trPr>
          <w:trHeight w:val="346"/>
          <w:jc w:val="center"/>
        </w:trPr>
        <w:tc>
          <w:tcPr>
            <w:tcW w:w="548" w:type="pct"/>
            <w:shd w:val="clear" w:color="auto" w:fill="BFBFBF"/>
            <w:noWrap/>
            <w:vAlign w:val="center"/>
            <w:hideMark/>
          </w:tcPr>
          <w:p w14:paraId="336F737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BFBFBF"/>
            <w:vAlign w:val="center"/>
            <w:hideMark/>
          </w:tcPr>
          <w:p w14:paraId="55AD723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AD25EB">
              <w:rPr>
                <w:rFonts w:asciiTheme="minorHAnsi" w:eastAsia="Calibri" w:hAnsiTheme="minorHAnsi" w:cs="Arial"/>
                <w:b/>
                <w:bCs/>
                <w:szCs w:val="22"/>
              </w:rPr>
              <w:t>Supply of Contractor Deliverables</w:t>
            </w:r>
          </w:p>
        </w:tc>
        <w:tc>
          <w:tcPr>
            <w:tcW w:w="1422" w:type="pct"/>
            <w:shd w:val="clear" w:color="auto" w:fill="BFBFBF"/>
            <w:vAlign w:val="center"/>
          </w:tcPr>
          <w:p w14:paraId="7A04C8CE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24987296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:rsidRPr="00F308C4" w14:paraId="6CBCA68A" w14:textId="77777777" w:rsidTr="007D00F8">
        <w:trPr>
          <w:trHeight w:val="29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06ADC952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21</w:t>
            </w:r>
          </w:p>
        </w:tc>
        <w:tc>
          <w:tcPr>
            <w:tcW w:w="3030" w:type="pct"/>
            <w:shd w:val="clear" w:color="auto" w:fill="auto"/>
          </w:tcPr>
          <w:p w14:paraId="5410FB3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Supply of Contractor Deliverables and Quality Assurance</w:t>
            </w:r>
          </w:p>
        </w:tc>
        <w:tc>
          <w:tcPr>
            <w:tcW w:w="1422" w:type="pct"/>
          </w:tcPr>
          <w:p w14:paraId="2A82888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3B95C64D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1C4DF3DF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22</w:t>
            </w:r>
          </w:p>
        </w:tc>
        <w:tc>
          <w:tcPr>
            <w:tcW w:w="3030" w:type="pct"/>
            <w:shd w:val="clear" w:color="auto" w:fill="auto"/>
          </w:tcPr>
          <w:p w14:paraId="75916FA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Marking of Contractor Deliverables</w:t>
            </w:r>
          </w:p>
        </w:tc>
        <w:tc>
          <w:tcPr>
            <w:tcW w:w="1422" w:type="pct"/>
          </w:tcPr>
          <w:p w14:paraId="67762C7E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0FB72512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7BE53A5B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23</w:t>
            </w:r>
          </w:p>
        </w:tc>
        <w:tc>
          <w:tcPr>
            <w:tcW w:w="3030" w:type="pct"/>
            <w:shd w:val="clear" w:color="auto" w:fill="auto"/>
          </w:tcPr>
          <w:p w14:paraId="23FCB2B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Packaging and Labelling (excluding Contractor Deliverables containing Munitions)</w:t>
            </w:r>
          </w:p>
        </w:tc>
        <w:tc>
          <w:tcPr>
            <w:tcW w:w="1422" w:type="pct"/>
          </w:tcPr>
          <w:p w14:paraId="3060E17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023AF716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0015E0E9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24</w:t>
            </w:r>
          </w:p>
        </w:tc>
        <w:tc>
          <w:tcPr>
            <w:tcW w:w="3030" w:type="pct"/>
            <w:shd w:val="clear" w:color="auto" w:fill="auto"/>
          </w:tcPr>
          <w:p w14:paraId="6261F50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 xml:space="preserve">Supply of </w:t>
            </w:r>
            <w:r>
              <w:rPr>
                <w:rFonts w:asciiTheme="minorHAnsi" w:eastAsia="Calibri" w:hAnsiTheme="minorHAnsi" w:cs="Arial"/>
                <w:szCs w:val="22"/>
              </w:rPr>
              <w:t xml:space="preserve">Data for </w:t>
            </w:r>
            <w:r w:rsidRPr="00AD25EB">
              <w:rPr>
                <w:rFonts w:asciiTheme="minorHAnsi" w:eastAsia="Calibri" w:hAnsiTheme="minorHAnsi" w:cs="Arial"/>
                <w:szCs w:val="22"/>
              </w:rPr>
              <w:t>Hazardous Materials or Substances in Contractor Deliverables</w:t>
            </w:r>
          </w:p>
        </w:tc>
        <w:tc>
          <w:tcPr>
            <w:tcW w:w="1422" w:type="pct"/>
          </w:tcPr>
          <w:p w14:paraId="6302EC9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2CF5CC0A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B25AA2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25</w:t>
            </w:r>
          </w:p>
        </w:tc>
        <w:tc>
          <w:tcPr>
            <w:tcW w:w="3030" w:type="pct"/>
            <w:shd w:val="clear" w:color="auto" w:fill="auto"/>
          </w:tcPr>
          <w:p w14:paraId="5EFCBB7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Timber and Wood-Derived Products</w:t>
            </w:r>
          </w:p>
        </w:tc>
        <w:tc>
          <w:tcPr>
            <w:tcW w:w="1422" w:type="pct"/>
          </w:tcPr>
          <w:p w14:paraId="20B077E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63DF5C29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6CA168A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26</w:t>
            </w:r>
          </w:p>
        </w:tc>
        <w:tc>
          <w:tcPr>
            <w:tcW w:w="3030" w:type="pct"/>
            <w:shd w:val="clear" w:color="auto" w:fill="auto"/>
          </w:tcPr>
          <w:p w14:paraId="0738EAB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Certificate of Conformity</w:t>
            </w:r>
          </w:p>
        </w:tc>
        <w:tc>
          <w:tcPr>
            <w:tcW w:w="1422" w:type="pct"/>
          </w:tcPr>
          <w:p w14:paraId="2D9262A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58DCE863" w14:textId="77777777" w:rsidTr="007D00F8">
        <w:trPr>
          <w:trHeight w:val="25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0ADF7347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27</w:t>
            </w:r>
          </w:p>
        </w:tc>
        <w:tc>
          <w:tcPr>
            <w:tcW w:w="3030" w:type="pct"/>
            <w:shd w:val="clear" w:color="auto" w:fill="auto"/>
          </w:tcPr>
          <w:p w14:paraId="3956313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Access to Contractor’s Premises</w:t>
            </w:r>
          </w:p>
        </w:tc>
        <w:tc>
          <w:tcPr>
            <w:tcW w:w="1422" w:type="pct"/>
          </w:tcPr>
          <w:p w14:paraId="3AAB4E0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172EF410" w14:textId="77777777" w:rsidTr="007D00F8">
        <w:trPr>
          <w:trHeight w:val="25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DCBFE40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28</w:t>
            </w:r>
          </w:p>
        </w:tc>
        <w:tc>
          <w:tcPr>
            <w:tcW w:w="3030" w:type="pct"/>
            <w:shd w:val="clear" w:color="auto" w:fill="auto"/>
          </w:tcPr>
          <w:p w14:paraId="05E5A06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Delivery / Collection</w:t>
            </w:r>
          </w:p>
        </w:tc>
        <w:tc>
          <w:tcPr>
            <w:tcW w:w="1422" w:type="pct"/>
          </w:tcPr>
          <w:p w14:paraId="5546C63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29682AB1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7F55D99C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29</w:t>
            </w:r>
          </w:p>
        </w:tc>
        <w:tc>
          <w:tcPr>
            <w:tcW w:w="3030" w:type="pct"/>
            <w:shd w:val="clear" w:color="auto" w:fill="auto"/>
          </w:tcPr>
          <w:p w14:paraId="1B8A20A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Acceptance</w:t>
            </w:r>
          </w:p>
        </w:tc>
        <w:tc>
          <w:tcPr>
            <w:tcW w:w="1422" w:type="pct"/>
          </w:tcPr>
          <w:p w14:paraId="1D1428A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1587DF6A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1C3A9F9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30</w:t>
            </w:r>
          </w:p>
        </w:tc>
        <w:tc>
          <w:tcPr>
            <w:tcW w:w="3030" w:type="pct"/>
            <w:shd w:val="clear" w:color="auto" w:fill="auto"/>
          </w:tcPr>
          <w:p w14:paraId="1009552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Rejection</w:t>
            </w:r>
            <w:r>
              <w:rPr>
                <w:rFonts w:asciiTheme="minorHAnsi" w:eastAsia="Calibri" w:hAnsiTheme="minorHAnsi" w:cs="Arial"/>
                <w:szCs w:val="22"/>
              </w:rPr>
              <w:t xml:space="preserve"> and Counterfeit Material</w:t>
            </w:r>
          </w:p>
        </w:tc>
        <w:tc>
          <w:tcPr>
            <w:tcW w:w="1422" w:type="pct"/>
          </w:tcPr>
          <w:p w14:paraId="51145ED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20B39EFA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18928F8C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31</w:t>
            </w:r>
          </w:p>
        </w:tc>
        <w:tc>
          <w:tcPr>
            <w:tcW w:w="3030" w:type="pct"/>
            <w:shd w:val="clear" w:color="auto" w:fill="auto"/>
          </w:tcPr>
          <w:p w14:paraId="49999D8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Diversion Orders</w:t>
            </w:r>
          </w:p>
        </w:tc>
        <w:tc>
          <w:tcPr>
            <w:tcW w:w="1422" w:type="pct"/>
          </w:tcPr>
          <w:p w14:paraId="253C988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037561C5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5E697F1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32</w:t>
            </w:r>
          </w:p>
        </w:tc>
        <w:tc>
          <w:tcPr>
            <w:tcW w:w="3030" w:type="pct"/>
            <w:shd w:val="clear" w:color="auto" w:fill="auto"/>
          </w:tcPr>
          <w:p w14:paraId="1A5FB81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Self-to-Self Delivery</w:t>
            </w:r>
          </w:p>
        </w:tc>
        <w:tc>
          <w:tcPr>
            <w:tcW w:w="1422" w:type="pct"/>
          </w:tcPr>
          <w:p w14:paraId="6526256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613E1378" w14:textId="77777777" w:rsidTr="007D00F8">
        <w:trPr>
          <w:trHeight w:val="346"/>
          <w:jc w:val="center"/>
        </w:trPr>
        <w:tc>
          <w:tcPr>
            <w:tcW w:w="548" w:type="pct"/>
            <w:shd w:val="clear" w:color="auto" w:fill="BFBFBF"/>
            <w:noWrap/>
            <w:vAlign w:val="center"/>
            <w:hideMark/>
          </w:tcPr>
          <w:p w14:paraId="49348062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BFBFBF"/>
            <w:vAlign w:val="center"/>
            <w:hideMark/>
          </w:tcPr>
          <w:p w14:paraId="7E2E03D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AD25EB">
              <w:rPr>
                <w:rFonts w:asciiTheme="minorHAnsi" w:eastAsia="Calibri" w:hAnsiTheme="minorHAnsi" w:cs="Arial"/>
                <w:b/>
                <w:bCs/>
                <w:szCs w:val="22"/>
              </w:rPr>
              <w:t>Licences and Intellectual Property</w:t>
            </w:r>
          </w:p>
        </w:tc>
        <w:tc>
          <w:tcPr>
            <w:tcW w:w="1422" w:type="pct"/>
            <w:shd w:val="clear" w:color="auto" w:fill="BFBFBF"/>
            <w:vAlign w:val="center"/>
          </w:tcPr>
          <w:p w14:paraId="46556F6C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56A05DDF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:rsidRPr="00F308C4" w14:paraId="04EF6C5A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57DCC2B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33</w:t>
            </w:r>
          </w:p>
        </w:tc>
        <w:tc>
          <w:tcPr>
            <w:tcW w:w="3030" w:type="pct"/>
            <w:shd w:val="clear" w:color="auto" w:fill="auto"/>
          </w:tcPr>
          <w:p w14:paraId="660E64D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Import and Export Licences</w:t>
            </w:r>
          </w:p>
        </w:tc>
        <w:tc>
          <w:tcPr>
            <w:tcW w:w="1422" w:type="pct"/>
          </w:tcPr>
          <w:p w14:paraId="513F501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BC2BD5D" w14:textId="77777777" w:rsidTr="007D00F8">
        <w:trPr>
          <w:trHeight w:val="204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701C79CE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34</w:t>
            </w:r>
          </w:p>
        </w:tc>
        <w:tc>
          <w:tcPr>
            <w:tcW w:w="3030" w:type="pct"/>
            <w:shd w:val="clear" w:color="auto" w:fill="auto"/>
          </w:tcPr>
          <w:p w14:paraId="0F79CE1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Third Party Intellectual Property – Rights and Restrictions</w:t>
            </w:r>
          </w:p>
        </w:tc>
        <w:tc>
          <w:tcPr>
            <w:tcW w:w="1422" w:type="pct"/>
          </w:tcPr>
          <w:p w14:paraId="4EE53F8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2C874B74" w14:textId="77777777" w:rsidTr="007D00F8">
        <w:trPr>
          <w:trHeight w:val="346"/>
          <w:jc w:val="center"/>
        </w:trPr>
        <w:tc>
          <w:tcPr>
            <w:tcW w:w="548" w:type="pct"/>
            <w:shd w:val="clear" w:color="auto" w:fill="BFBFBF"/>
            <w:noWrap/>
            <w:vAlign w:val="center"/>
            <w:hideMark/>
          </w:tcPr>
          <w:p w14:paraId="08E76FC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BFBFBF"/>
            <w:vAlign w:val="center"/>
            <w:hideMark/>
          </w:tcPr>
          <w:p w14:paraId="31B7FAB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AD25EB">
              <w:rPr>
                <w:rFonts w:asciiTheme="minorHAnsi" w:eastAsia="Calibri" w:hAnsiTheme="minorHAnsi" w:cs="Arial"/>
                <w:b/>
                <w:bCs/>
                <w:szCs w:val="22"/>
              </w:rPr>
              <w:t>Pricing and Payment</w:t>
            </w:r>
          </w:p>
        </w:tc>
        <w:tc>
          <w:tcPr>
            <w:tcW w:w="1422" w:type="pct"/>
            <w:shd w:val="clear" w:color="auto" w:fill="BFBFBF"/>
            <w:vAlign w:val="center"/>
          </w:tcPr>
          <w:p w14:paraId="7A19F4A7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50CB9105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:rsidRPr="00F308C4" w14:paraId="79686D77" w14:textId="77777777" w:rsidTr="007D00F8">
        <w:trPr>
          <w:trHeight w:val="198"/>
          <w:jc w:val="center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D66646D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35</w:t>
            </w:r>
          </w:p>
        </w:tc>
        <w:tc>
          <w:tcPr>
            <w:tcW w:w="3030" w:type="pct"/>
            <w:shd w:val="clear" w:color="auto" w:fill="auto"/>
            <w:hideMark/>
          </w:tcPr>
          <w:p w14:paraId="3C2787C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Contract Price</w:t>
            </w:r>
          </w:p>
        </w:tc>
        <w:tc>
          <w:tcPr>
            <w:tcW w:w="1422" w:type="pct"/>
          </w:tcPr>
          <w:p w14:paraId="5390E9D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6EEA3AEC" w14:textId="77777777" w:rsidTr="007D00F8">
        <w:trPr>
          <w:trHeight w:val="216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63C788D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36</w:t>
            </w:r>
          </w:p>
        </w:tc>
        <w:tc>
          <w:tcPr>
            <w:tcW w:w="3030" w:type="pct"/>
            <w:shd w:val="clear" w:color="auto" w:fill="auto"/>
          </w:tcPr>
          <w:p w14:paraId="48E978B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Payment and Recovery of Sums Due</w:t>
            </w:r>
          </w:p>
        </w:tc>
        <w:tc>
          <w:tcPr>
            <w:tcW w:w="1422" w:type="pct"/>
          </w:tcPr>
          <w:p w14:paraId="3FC7CC02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7CE72E96" w14:textId="77777777" w:rsidTr="007D00F8">
        <w:trPr>
          <w:trHeight w:val="220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AE3538A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37</w:t>
            </w:r>
          </w:p>
        </w:tc>
        <w:tc>
          <w:tcPr>
            <w:tcW w:w="3030" w:type="pct"/>
            <w:shd w:val="clear" w:color="auto" w:fill="auto"/>
          </w:tcPr>
          <w:p w14:paraId="6E08ACD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Value Added Tax</w:t>
            </w:r>
          </w:p>
        </w:tc>
        <w:tc>
          <w:tcPr>
            <w:tcW w:w="1422" w:type="pct"/>
          </w:tcPr>
          <w:p w14:paraId="5DDCDBC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3FBCECC2" w14:textId="77777777" w:rsidTr="007D00F8">
        <w:trPr>
          <w:trHeight w:val="2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BF32887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38</w:t>
            </w:r>
          </w:p>
        </w:tc>
        <w:tc>
          <w:tcPr>
            <w:tcW w:w="3030" w:type="pct"/>
            <w:shd w:val="clear" w:color="auto" w:fill="auto"/>
          </w:tcPr>
          <w:p w14:paraId="4A669C9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Debt Factoring</w:t>
            </w:r>
          </w:p>
        </w:tc>
        <w:tc>
          <w:tcPr>
            <w:tcW w:w="1422" w:type="pct"/>
          </w:tcPr>
          <w:p w14:paraId="5D91DC4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7C66F9B2" w14:textId="77777777" w:rsidTr="007D00F8">
        <w:trPr>
          <w:trHeight w:val="3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DD39B34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39</w:t>
            </w:r>
          </w:p>
        </w:tc>
        <w:tc>
          <w:tcPr>
            <w:tcW w:w="3030" w:type="pct"/>
            <w:shd w:val="clear" w:color="auto" w:fill="auto"/>
          </w:tcPr>
          <w:p w14:paraId="49F5F3B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Subcontracting and Prompt Payment</w:t>
            </w:r>
          </w:p>
        </w:tc>
        <w:tc>
          <w:tcPr>
            <w:tcW w:w="1422" w:type="pct"/>
          </w:tcPr>
          <w:p w14:paraId="7B941E9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2BC10852" w14:textId="77777777" w:rsidTr="007D00F8">
        <w:trPr>
          <w:trHeight w:val="346"/>
          <w:jc w:val="center"/>
        </w:trPr>
        <w:tc>
          <w:tcPr>
            <w:tcW w:w="548" w:type="pct"/>
            <w:shd w:val="clear" w:color="auto" w:fill="BFBFBF"/>
            <w:noWrap/>
            <w:vAlign w:val="center"/>
            <w:hideMark/>
          </w:tcPr>
          <w:p w14:paraId="15861655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BFBFBF"/>
            <w:vAlign w:val="center"/>
            <w:hideMark/>
          </w:tcPr>
          <w:p w14:paraId="5413674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AD25EB">
              <w:rPr>
                <w:rFonts w:asciiTheme="minorHAnsi" w:eastAsia="Calibri" w:hAnsiTheme="minorHAnsi" w:cs="Arial"/>
                <w:b/>
                <w:bCs/>
                <w:szCs w:val="22"/>
              </w:rPr>
              <w:t>Termination</w:t>
            </w:r>
          </w:p>
        </w:tc>
        <w:tc>
          <w:tcPr>
            <w:tcW w:w="1422" w:type="pct"/>
            <w:shd w:val="clear" w:color="auto" w:fill="BFBFBF"/>
            <w:vAlign w:val="center"/>
          </w:tcPr>
          <w:p w14:paraId="076F36E4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50997F9A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:rsidRPr="00F308C4" w14:paraId="6F54D12C" w14:textId="77777777" w:rsidTr="007D00F8">
        <w:trPr>
          <w:trHeight w:val="196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768EF4F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40</w:t>
            </w:r>
          </w:p>
        </w:tc>
        <w:tc>
          <w:tcPr>
            <w:tcW w:w="3030" w:type="pct"/>
            <w:shd w:val="clear" w:color="auto" w:fill="auto"/>
            <w:vAlign w:val="center"/>
          </w:tcPr>
          <w:p w14:paraId="7FB1620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Dispute Resolution</w:t>
            </w:r>
          </w:p>
        </w:tc>
        <w:tc>
          <w:tcPr>
            <w:tcW w:w="1422" w:type="pct"/>
          </w:tcPr>
          <w:p w14:paraId="530B309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27AD26D5" w14:textId="77777777" w:rsidTr="007D00F8">
        <w:trPr>
          <w:trHeight w:val="70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3E9728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41</w:t>
            </w:r>
          </w:p>
        </w:tc>
        <w:tc>
          <w:tcPr>
            <w:tcW w:w="3030" w:type="pct"/>
            <w:shd w:val="clear" w:color="auto" w:fill="auto"/>
            <w:vAlign w:val="center"/>
          </w:tcPr>
          <w:p w14:paraId="4DDB947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Termination for Insolvency or Corrupt Gift</w:t>
            </w:r>
            <w:r>
              <w:rPr>
                <w:rFonts w:asciiTheme="minorHAnsi" w:eastAsia="Calibri" w:hAnsiTheme="minorHAnsi" w:cs="Arial"/>
                <w:szCs w:val="22"/>
              </w:rPr>
              <w:t>s</w:t>
            </w:r>
          </w:p>
        </w:tc>
        <w:tc>
          <w:tcPr>
            <w:tcW w:w="1422" w:type="pct"/>
          </w:tcPr>
          <w:p w14:paraId="7BDB508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1B688914" w14:textId="77777777" w:rsidTr="007D00F8">
        <w:trPr>
          <w:trHeight w:val="217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8B7807D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42</w:t>
            </w:r>
          </w:p>
        </w:tc>
        <w:tc>
          <w:tcPr>
            <w:tcW w:w="3030" w:type="pct"/>
            <w:shd w:val="clear" w:color="auto" w:fill="auto"/>
            <w:vAlign w:val="center"/>
          </w:tcPr>
          <w:p w14:paraId="72C8FD5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Termination for Convenience</w:t>
            </w:r>
          </w:p>
        </w:tc>
        <w:tc>
          <w:tcPr>
            <w:tcW w:w="1422" w:type="pct"/>
          </w:tcPr>
          <w:p w14:paraId="23AC132E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74BF8197" w14:textId="77777777" w:rsidTr="007D00F8">
        <w:trPr>
          <w:trHeight w:val="222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145F950B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43</w:t>
            </w:r>
          </w:p>
        </w:tc>
        <w:tc>
          <w:tcPr>
            <w:tcW w:w="3030" w:type="pct"/>
            <w:shd w:val="clear" w:color="auto" w:fill="auto"/>
            <w:vAlign w:val="center"/>
          </w:tcPr>
          <w:p w14:paraId="31E5732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Material Breach</w:t>
            </w:r>
          </w:p>
        </w:tc>
        <w:tc>
          <w:tcPr>
            <w:tcW w:w="1422" w:type="pct"/>
          </w:tcPr>
          <w:p w14:paraId="4A7E924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4A397294" w14:textId="77777777" w:rsidTr="007D00F8">
        <w:trPr>
          <w:trHeight w:val="225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71DB7417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44</w:t>
            </w:r>
          </w:p>
        </w:tc>
        <w:tc>
          <w:tcPr>
            <w:tcW w:w="3030" w:type="pct"/>
            <w:shd w:val="clear" w:color="auto" w:fill="auto"/>
            <w:vAlign w:val="center"/>
          </w:tcPr>
          <w:p w14:paraId="0B01887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Consequences of Termination</w:t>
            </w:r>
          </w:p>
        </w:tc>
        <w:tc>
          <w:tcPr>
            <w:tcW w:w="1422" w:type="pct"/>
          </w:tcPr>
          <w:p w14:paraId="54DD5602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48996ABF" w14:textId="77777777" w:rsidTr="007D00F8">
        <w:trPr>
          <w:trHeight w:val="734"/>
          <w:jc w:val="center"/>
        </w:trPr>
        <w:tc>
          <w:tcPr>
            <w:tcW w:w="548" w:type="pct"/>
            <w:shd w:val="clear" w:color="auto" w:fill="BFBFBF"/>
            <w:noWrap/>
            <w:vAlign w:val="center"/>
          </w:tcPr>
          <w:p w14:paraId="18ED682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BFBFBF"/>
            <w:vAlign w:val="center"/>
          </w:tcPr>
          <w:p w14:paraId="66C1E94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szCs w:val="22"/>
              </w:rPr>
            </w:pPr>
            <w:r w:rsidRPr="00AD25EB">
              <w:rPr>
                <w:rFonts w:asciiTheme="minorHAnsi" w:eastAsia="Calibri" w:hAnsiTheme="minorHAnsi" w:cs="Arial"/>
                <w:b/>
                <w:bCs/>
                <w:szCs w:val="22"/>
              </w:rPr>
              <w:t>Project Specific DEFCONs and DEFCON SC variants that apply to this contract</w:t>
            </w:r>
          </w:p>
        </w:tc>
        <w:tc>
          <w:tcPr>
            <w:tcW w:w="1422" w:type="pct"/>
            <w:shd w:val="clear" w:color="auto" w:fill="BFBFBF"/>
            <w:vAlign w:val="center"/>
          </w:tcPr>
          <w:p w14:paraId="381F105A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1AC31215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:rsidRPr="00F308C4" w14:paraId="3963E487" w14:textId="77777777" w:rsidTr="007D00F8">
        <w:trPr>
          <w:trHeight w:val="255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0A1074A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7CA17CE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hAnsiTheme="minorHAnsi"/>
                <w:szCs w:val="22"/>
                <w:lang w:eastAsia="en-GB"/>
              </w:rPr>
            </w:pPr>
            <w:r w:rsidRPr="00AD25EB">
              <w:rPr>
                <w:rFonts w:asciiTheme="minorHAnsi" w:hAnsiTheme="minorHAnsi"/>
                <w:szCs w:val="22"/>
                <w:lang w:eastAsia="en-GB"/>
              </w:rPr>
              <w:t>DEFCON 5J (</w:t>
            </w:r>
            <w:proofErr w:type="spellStart"/>
            <w:r w:rsidRPr="00AD25EB">
              <w:rPr>
                <w:rFonts w:asciiTheme="minorHAnsi" w:hAnsiTheme="minorHAnsi"/>
                <w:szCs w:val="22"/>
                <w:lang w:eastAsia="en-GB"/>
              </w:rPr>
              <w:t>Edn</w:t>
            </w:r>
            <w:proofErr w:type="spellEnd"/>
            <w:r w:rsidRPr="00AD25EB">
              <w:rPr>
                <w:rFonts w:asciiTheme="minorHAnsi" w:hAnsiTheme="minorHAnsi"/>
                <w:szCs w:val="22"/>
                <w:lang w:eastAsia="en-GB"/>
              </w:rPr>
              <w:t xml:space="preserve">. 18/11/16) – Unique Identifiers </w:t>
            </w:r>
          </w:p>
        </w:tc>
        <w:tc>
          <w:tcPr>
            <w:tcW w:w="1422" w:type="pct"/>
          </w:tcPr>
          <w:p w14:paraId="5A4237CF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7DC91E85" w14:textId="77777777" w:rsidTr="007D00F8">
        <w:trPr>
          <w:trHeight w:val="255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842F13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4B2C096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hAnsiTheme="minorHAnsi"/>
                <w:szCs w:val="22"/>
                <w:lang w:eastAsia="en-GB"/>
              </w:rPr>
            </w:pPr>
            <w:r>
              <w:rPr>
                <w:rFonts w:asciiTheme="minorHAnsi" w:hAnsiTheme="minorHAnsi"/>
                <w:szCs w:val="22"/>
                <w:lang w:eastAsia="en-GB"/>
              </w:rPr>
              <w:t>DEFCON 014 (</w:t>
            </w:r>
            <w:proofErr w:type="spellStart"/>
            <w:r>
              <w:rPr>
                <w:rFonts w:asciiTheme="minorHAnsi" w:hAnsiTheme="minorHAnsi"/>
                <w:szCs w:val="22"/>
                <w:lang w:eastAsia="en-GB"/>
              </w:rPr>
              <w:t>Edn</w:t>
            </w:r>
            <w:proofErr w:type="spellEnd"/>
            <w:r>
              <w:rPr>
                <w:rFonts w:asciiTheme="minorHAnsi" w:hAnsiTheme="minorHAnsi"/>
                <w:szCs w:val="22"/>
                <w:lang w:eastAsia="en-GB"/>
              </w:rPr>
              <w:t xml:space="preserve"> Jun 21) – Inventions and Designs Crown Rights and Ownership of Patents and Registered Designs</w:t>
            </w:r>
          </w:p>
        </w:tc>
        <w:tc>
          <w:tcPr>
            <w:tcW w:w="1422" w:type="pct"/>
          </w:tcPr>
          <w:p w14:paraId="73722A2E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0DA9BAA8" w14:textId="77777777" w:rsidTr="007D00F8">
        <w:trPr>
          <w:trHeight w:val="272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7A4BF3E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764968C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DEFCON 117 (SC2) (</w:t>
            </w:r>
            <w:proofErr w:type="spellStart"/>
            <w:r w:rsidRPr="00AD25EB">
              <w:rPr>
                <w:rFonts w:asciiTheme="minorHAnsi" w:eastAsia="Calibri" w:hAnsiTheme="minorHAnsi" w:cs="Arial"/>
                <w:szCs w:val="22"/>
              </w:rPr>
              <w:t>Edn</w:t>
            </w:r>
            <w:proofErr w:type="spellEnd"/>
            <w:r w:rsidRPr="00AD25EB">
              <w:rPr>
                <w:rFonts w:asciiTheme="minorHAnsi" w:eastAsia="Calibri" w:hAnsiTheme="minorHAnsi" w:cs="Arial"/>
                <w:szCs w:val="22"/>
              </w:rPr>
              <w:t xml:space="preserve">. </w:t>
            </w:r>
            <w:r>
              <w:rPr>
                <w:rFonts w:asciiTheme="minorHAnsi" w:eastAsia="Calibri" w:hAnsiTheme="minorHAnsi" w:cs="Arial"/>
                <w:szCs w:val="22"/>
              </w:rPr>
              <w:t>Jul 21</w:t>
            </w:r>
            <w:r w:rsidRPr="00AD25EB">
              <w:rPr>
                <w:rFonts w:asciiTheme="minorHAnsi" w:eastAsia="Calibri" w:hAnsiTheme="minorHAnsi" w:cs="Arial"/>
                <w:szCs w:val="22"/>
              </w:rPr>
              <w:t>) – Supply Of Information For NATO Codification and Defence Inventory Introduction</w:t>
            </w:r>
          </w:p>
        </w:tc>
        <w:tc>
          <w:tcPr>
            <w:tcW w:w="1422" w:type="pct"/>
          </w:tcPr>
          <w:p w14:paraId="7946013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 </w:t>
            </w:r>
          </w:p>
        </w:tc>
      </w:tr>
      <w:tr w:rsidR="009142A5" w:rsidRPr="00F308C4" w14:paraId="4DC99040" w14:textId="77777777" w:rsidTr="007D00F8">
        <w:trPr>
          <w:trHeight w:val="272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36A7581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662AB1B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DEFCON 532</w:t>
            </w:r>
            <w:r>
              <w:rPr>
                <w:rFonts w:asciiTheme="minorHAnsi" w:eastAsia="Calibri" w:hAnsiTheme="minorHAnsi" w:cs="Arial"/>
                <w:szCs w:val="22"/>
              </w:rPr>
              <w:t>A</w:t>
            </w:r>
            <w:r w:rsidRPr="00AD25EB">
              <w:rPr>
                <w:rFonts w:asciiTheme="minorHAnsi" w:eastAsia="Calibri" w:hAnsiTheme="minorHAnsi" w:cs="Arial"/>
                <w:szCs w:val="22"/>
              </w:rPr>
              <w:t xml:space="preserve"> (</w:t>
            </w:r>
            <w:proofErr w:type="spellStart"/>
            <w:r w:rsidRPr="00AD25EB">
              <w:rPr>
                <w:rFonts w:asciiTheme="minorHAnsi" w:eastAsia="Calibri" w:hAnsiTheme="minorHAnsi" w:cs="Arial"/>
                <w:szCs w:val="22"/>
              </w:rPr>
              <w:t>Edn</w:t>
            </w:r>
            <w:proofErr w:type="spellEnd"/>
            <w:r w:rsidRPr="00AD25EB">
              <w:rPr>
                <w:rFonts w:asciiTheme="minorHAnsi" w:eastAsia="Calibri" w:hAnsiTheme="minorHAnsi" w:cs="Arial"/>
                <w:szCs w:val="22"/>
              </w:rPr>
              <w:t xml:space="preserve">. </w:t>
            </w:r>
            <w:r>
              <w:rPr>
                <w:rFonts w:asciiTheme="minorHAnsi" w:eastAsia="Calibri" w:hAnsiTheme="minorHAnsi" w:cs="Arial"/>
                <w:szCs w:val="22"/>
              </w:rPr>
              <w:t>Apr 21</w:t>
            </w:r>
            <w:r w:rsidRPr="00AD25EB">
              <w:rPr>
                <w:rFonts w:asciiTheme="minorHAnsi" w:eastAsia="Calibri" w:hAnsiTheme="minorHAnsi" w:cs="Arial"/>
                <w:szCs w:val="22"/>
              </w:rPr>
              <w:t xml:space="preserve">) – Protection of Personal Data (Where personal data is </w:t>
            </w:r>
            <w:r>
              <w:rPr>
                <w:rFonts w:asciiTheme="minorHAnsi" w:eastAsia="Calibri" w:hAnsiTheme="minorHAnsi" w:cs="Arial"/>
                <w:szCs w:val="22"/>
              </w:rPr>
              <w:t xml:space="preserve">not </w:t>
            </w:r>
            <w:r w:rsidRPr="00AD25EB">
              <w:rPr>
                <w:rFonts w:asciiTheme="minorHAnsi" w:eastAsia="Calibri" w:hAnsiTheme="minorHAnsi" w:cs="Arial"/>
                <w:szCs w:val="22"/>
              </w:rPr>
              <w:t>being processed on behalf of the Authority)</w:t>
            </w:r>
          </w:p>
        </w:tc>
        <w:tc>
          <w:tcPr>
            <w:tcW w:w="1422" w:type="pct"/>
          </w:tcPr>
          <w:p w14:paraId="0EF0FA9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0874B4FF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8AFBF97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1955E39E" w14:textId="77777777" w:rsidR="009142A5" w:rsidRPr="00AD25EB" w:rsidRDefault="009142A5" w:rsidP="007D00F8">
            <w:pPr>
              <w:tabs>
                <w:tab w:val="num" w:pos="0"/>
              </w:tabs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DEFCON 612 (</w:t>
            </w:r>
            <w:proofErr w:type="spellStart"/>
            <w:r>
              <w:rPr>
                <w:rFonts w:asciiTheme="minorHAnsi" w:eastAsia="Calibri" w:hAnsiTheme="minorHAnsi" w:cs="Arial"/>
                <w:szCs w:val="22"/>
              </w:rPr>
              <w:t>Edn</w:t>
            </w:r>
            <w:proofErr w:type="spellEnd"/>
            <w:r>
              <w:rPr>
                <w:rFonts w:asciiTheme="minorHAnsi" w:eastAsia="Calibri" w:hAnsiTheme="minorHAnsi" w:cs="Arial"/>
                <w:szCs w:val="22"/>
              </w:rPr>
              <w:t xml:space="preserve"> Jun 21) </w:t>
            </w:r>
            <w:r w:rsidRPr="005877CF">
              <w:rPr>
                <w:rFonts w:eastAsiaTheme="minorHAnsi" w:cs="Arial"/>
                <w:kern w:val="0"/>
                <w:sz w:val="20"/>
              </w:rPr>
              <w:t>Loss of or Damage to the Articles</w:t>
            </w:r>
          </w:p>
        </w:tc>
        <w:tc>
          <w:tcPr>
            <w:tcW w:w="1422" w:type="pct"/>
            <w:shd w:val="clear" w:color="auto" w:fill="auto"/>
          </w:tcPr>
          <w:p w14:paraId="0F09DD1F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6A37A937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00506019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2683612C" w14:textId="77777777" w:rsidR="009142A5" w:rsidRPr="004B2F33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4B2F33">
              <w:rPr>
                <w:rFonts w:asciiTheme="minorHAnsi" w:eastAsia="Calibri" w:hAnsiTheme="minorHAnsi" w:cs="Arial"/>
                <w:szCs w:val="22"/>
              </w:rPr>
              <w:t>DEFCON 646 (</w:t>
            </w:r>
            <w:proofErr w:type="spellStart"/>
            <w:r w:rsidRPr="004B2F33">
              <w:rPr>
                <w:rFonts w:asciiTheme="minorHAnsi" w:eastAsia="Calibri" w:hAnsiTheme="minorHAnsi" w:cs="Arial"/>
                <w:szCs w:val="22"/>
              </w:rPr>
              <w:t>Edn</w:t>
            </w:r>
            <w:proofErr w:type="spellEnd"/>
            <w:r w:rsidRPr="004B2F33">
              <w:rPr>
                <w:rFonts w:asciiTheme="minorHAnsi" w:eastAsia="Calibri" w:hAnsiTheme="minorHAnsi" w:cs="Arial"/>
                <w:szCs w:val="22"/>
              </w:rPr>
              <w:t xml:space="preserve"> 10/98) Law and Jurisdiction</w:t>
            </w:r>
          </w:p>
        </w:tc>
        <w:tc>
          <w:tcPr>
            <w:tcW w:w="1422" w:type="pct"/>
            <w:shd w:val="clear" w:color="auto" w:fill="auto"/>
          </w:tcPr>
          <w:p w14:paraId="19339068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337AECEB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74638F19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2A75B668" w14:textId="77777777" w:rsidR="009142A5" w:rsidRPr="00AD25EB" w:rsidRDefault="009142A5" w:rsidP="007D00F8">
            <w:pPr>
              <w:widowControl w:val="0"/>
              <w:tabs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Calibri" w:hAnsiTheme="minorHAnsi" w:cs="Arial"/>
                <w:szCs w:val="22"/>
              </w:rPr>
            </w:pPr>
            <w:r w:rsidRPr="00C80E2A">
              <w:rPr>
                <w:rFonts w:eastAsiaTheme="minorHAnsi" w:cs="Arial"/>
                <w:kern w:val="0"/>
                <w:sz w:val="20"/>
              </w:rPr>
              <w:t>DEFCON 649 Vesting (</w:t>
            </w:r>
            <w:proofErr w:type="spellStart"/>
            <w:r w:rsidRPr="00C80E2A">
              <w:rPr>
                <w:rFonts w:eastAsiaTheme="minorHAnsi" w:cs="Arial"/>
                <w:kern w:val="0"/>
                <w:sz w:val="20"/>
              </w:rPr>
              <w:t>Edn</w:t>
            </w:r>
            <w:proofErr w:type="spellEnd"/>
            <w:r w:rsidRPr="00C80E2A">
              <w:rPr>
                <w:rFonts w:eastAsiaTheme="minorHAnsi" w:cs="Arial"/>
                <w:kern w:val="0"/>
                <w:sz w:val="20"/>
              </w:rPr>
              <w:t xml:space="preserve"> Dec 16) Vesting</w:t>
            </w:r>
          </w:p>
        </w:tc>
        <w:tc>
          <w:tcPr>
            <w:tcW w:w="1422" w:type="pct"/>
            <w:shd w:val="clear" w:color="auto" w:fill="auto"/>
          </w:tcPr>
          <w:p w14:paraId="00E3853C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5F940DEF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0DDFCDF7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5DED2C7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DEFCON 658 (SC2) (</w:t>
            </w:r>
            <w:proofErr w:type="spellStart"/>
            <w:r w:rsidRPr="00AD25EB">
              <w:rPr>
                <w:rFonts w:asciiTheme="minorHAnsi" w:eastAsia="Calibri" w:hAnsiTheme="minorHAnsi" w:cs="Arial"/>
                <w:szCs w:val="22"/>
              </w:rPr>
              <w:t>Edn</w:t>
            </w:r>
            <w:proofErr w:type="spellEnd"/>
            <w:r w:rsidRPr="00AD25EB">
              <w:rPr>
                <w:rFonts w:asciiTheme="minorHAnsi" w:eastAsia="Calibri" w:hAnsiTheme="minorHAnsi" w:cs="Arial"/>
                <w:szCs w:val="22"/>
              </w:rPr>
              <w:t xml:space="preserve">. </w:t>
            </w:r>
            <w:r>
              <w:rPr>
                <w:rFonts w:asciiTheme="minorHAnsi" w:eastAsia="Calibri" w:hAnsiTheme="minorHAnsi" w:cs="Arial"/>
                <w:szCs w:val="22"/>
              </w:rPr>
              <w:t>Sep 21)</w:t>
            </w:r>
            <w:r w:rsidRPr="00AD25EB">
              <w:rPr>
                <w:rFonts w:asciiTheme="minorHAnsi" w:eastAsia="Calibri" w:hAnsiTheme="minorHAnsi" w:cs="Arial"/>
                <w:szCs w:val="22"/>
              </w:rPr>
              <w:t xml:space="preserve"> – Cyber</w:t>
            </w:r>
          </w:p>
        </w:tc>
        <w:tc>
          <w:tcPr>
            <w:tcW w:w="1422" w:type="pct"/>
            <w:shd w:val="clear" w:color="auto" w:fill="auto"/>
          </w:tcPr>
          <w:p w14:paraId="6ED0E95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0D7E1177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DE78288" w14:textId="77777777" w:rsidR="009142A5" w:rsidRPr="00AD25EB" w:rsidRDefault="009142A5" w:rsidP="007D00F8">
            <w:pPr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45878D2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DEFCON 660 (</w:t>
            </w:r>
            <w:proofErr w:type="spellStart"/>
            <w:r w:rsidRPr="00AD25EB">
              <w:rPr>
                <w:rFonts w:asciiTheme="minorHAnsi" w:eastAsia="Calibri" w:hAnsiTheme="minorHAnsi" w:cs="Arial"/>
                <w:szCs w:val="22"/>
              </w:rPr>
              <w:t>Edn</w:t>
            </w:r>
            <w:proofErr w:type="spellEnd"/>
            <w:r w:rsidRPr="00AD25EB">
              <w:rPr>
                <w:rFonts w:asciiTheme="minorHAnsi" w:eastAsia="Calibri" w:hAnsiTheme="minorHAnsi" w:cs="Arial"/>
                <w:szCs w:val="22"/>
              </w:rPr>
              <w:t>. 12/15) – Official-Sensitive Security Requirements</w:t>
            </w:r>
          </w:p>
        </w:tc>
        <w:tc>
          <w:tcPr>
            <w:tcW w:w="1422" w:type="pct"/>
            <w:shd w:val="clear" w:color="auto" w:fill="auto"/>
          </w:tcPr>
          <w:p w14:paraId="7C3EBA4D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01E71CAD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870AE84" w14:textId="77777777" w:rsidR="009142A5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55E3BED7" w14:textId="77777777" w:rsidR="009142A5" w:rsidRPr="00AD25EB" w:rsidRDefault="009142A5" w:rsidP="007D00F8">
            <w:pPr>
              <w:widowControl w:val="0"/>
              <w:tabs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Calibri" w:hAnsiTheme="minorHAnsi" w:cs="Arial"/>
                <w:szCs w:val="22"/>
              </w:rPr>
            </w:pPr>
            <w:r w:rsidRPr="00C80E2A">
              <w:rPr>
                <w:rFonts w:eastAsiaTheme="minorHAnsi" w:cs="Arial"/>
                <w:kern w:val="0"/>
                <w:sz w:val="20"/>
              </w:rPr>
              <w:t>DEFCON 670 (</w:t>
            </w:r>
            <w:proofErr w:type="spellStart"/>
            <w:r w:rsidRPr="00C80E2A">
              <w:rPr>
                <w:rFonts w:eastAsiaTheme="minorHAnsi" w:cs="Arial"/>
                <w:kern w:val="0"/>
                <w:sz w:val="20"/>
              </w:rPr>
              <w:t>Edn</w:t>
            </w:r>
            <w:proofErr w:type="spellEnd"/>
            <w:r w:rsidRPr="00C80E2A">
              <w:rPr>
                <w:rFonts w:eastAsiaTheme="minorHAnsi" w:cs="Arial"/>
                <w:kern w:val="0"/>
                <w:sz w:val="20"/>
              </w:rPr>
              <w:t xml:space="preserve"> 11/17) – Tax Compliance</w:t>
            </w:r>
          </w:p>
        </w:tc>
        <w:tc>
          <w:tcPr>
            <w:tcW w:w="1422" w:type="pct"/>
            <w:shd w:val="clear" w:color="auto" w:fill="auto"/>
          </w:tcPr>
          <w:p w14:paraId="1D1D237C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78538FEE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1A43B70C" w14:textId="77777777" w:rsidR="009142A5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auto"/>
          </w:tcPr>
          <w:p w14:paraId="32D2028E" w14:textId="77777777" w:rsidR="009142A5" w:rsidRPr="00C80E2A" w:rsidRDefault="009142A5" w:rsidP="007D00F8">
            <w:pPr>
              <w:widowControl w:val="0"/>
              <w:tabs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0"/>
                <w:sz w:val="20"/>
              </w:rPr>
            </w:pPr>
            <w:r>
              <w:rPr>
                <w:rFonts w:eastAsiaTheme="minorHAnsi" w:cs="Arial"/>
                <w:kern w:val="0"/>
                <w:sz w:val="20"/>
              </w:rPr>
              <w:t>DEFFORM 96 (</w:t>
            </w:r>
            <w:proofErr w:type="spellStart"/>
            <w:r>
              <w:rPr>
                <w:rFonts w:eastAsiaTheme="minorHAnsi" w:cs="Arial"/>
                <w:kern w:val="0"/>
                <w:sz w:val="20"/>
              </w:rPr>
              <w:t>Edn</w:t>
            </w:r>
            <w:proofErr w:type="spellEnd"/>
            <w:r>
              <w:rPr>
                <w:rFonts w:eastAsiaTheme="minorHAnsi" w:cs="Arial"/>
                <w:kern w:val="0"/>
                <w:sz w:val="20"/>
              </w:rPr>
              <w:t xml:space="preserve"> 02/16)</w:t>
            </w:r>
          </w:p>
        </w:tc>
        <w:tc>
          <w:tcPr>
            <w:tcW w:w="1422" w:type="pct"/>
            <w:shd w:val="clear" w:color="auto" w:fill="auto"/>
          </w:tcPr>
          <w:p w14:paraId="3DB8DF19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4BD8C71C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8C59319" w14:textId="77777777" w:rsidR="009142A5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45</w:t>
            </w:r>
          </w:p>
        </w:tc>
        <w:tc>
          <w:tcPr>
            <w:tcW w:w="3030" w:type="pct"/>
            <w:shd w:val="clear" w:color="auto" w:fill="auto"/>
          </w:tcPr>
          <w:p w14:paraId="0EA906D1" w14:textId="77777777" w:rsidR="009142A5" w:rsidRDefault="009142A5" w:rsidP="007D00F8">
            <w:pPr>
              <w:widowControl w:val="0"/>
              <w:tabs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0"/>
                <w:sz w:val="20"/>
              </w:rPr>
            </w:pPr>
            <w:r>
              <w:rPr>
                <w:rFonts w:eastAsiaTheme="minorHAnsi" w:cs="Arial"/>
                <w:kern w:val="0"/>
                <w:sz w:val="20"/>
              </w:rPr>
              <w:t>DEFFORM 177 (</w:t>
            </w:r>
            <w:proofErr w:type="spellStart"/>
            <w:r>
              <w:rPr>
                <w:rFonts w:eastAsiaTheme="minorHAnsi" w:cs="Arial"/>
                <w:kern w:val="0"/>
                <w:sz w:val="20"/>
              </w:rPr>
              <w:t>Edn</w:t>
            </w:r>
            <w:proofErr w:type="spellEnd"/>
            <w:r>
              <w:rPr>
                <w:rFonts w:eastAsiaTheme="minorHAnsi" w:cs="Arial"/>
                <w:kern w:val="0"/>
                <w:sz w:val="20"/>
              </w:rPr>
              <w:t xml:space="preserve"> 06/21) </w:t>
            </w:r>
            <w:r w:rsidRPr="00C80E2A">
              <w:rPr>
                <w:rFonts w:eastAsiaTheme="minorHAnsi" w:cs="Arial"/>
                <w:kern w:val="0"/>
                <w:sz w:val="20"/>
              </w:rPr>
              <w:t>Design Rights And Patents (Sub-Contractors) Agreement</w:t>
            </w:r>
          </w:p>
        </w:tc>
        <w:tc>
          <w:tcPr>
            <w:tcW w:w="1422" w:type="pct"/>
            <w:shd w:val="clear" w:color="auto" w:fill="auto"/>
          </w:tcPr>
          <w:p w14:paraId="0577468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706924C3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BFBFBF" w:themeFill="background1" w:themeFillShade="BF"/>
            <w:noWrap/>
            <w:vAlign w:val="center"/>
          </w:tcPr>
          <w:p w14:paraId="565B6DDD" w14:textId="77777777" w:rsidR="009142A5" w:rsidRPr="004A089E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BFBFBF" w:themeFill="background1" w:themeFillShade="BF"/>
          </w:tcPr>
          <w:p w14:paraId="0C929852" w14:textId="77777777" w:rsidR="009142A5" w:rsidRPr="004A089E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bCs/>
                <w:szCs w:val="22"/>
                <w:highlight w:val="yellow"/>
              </w:rPr>
            </w:pPr>
            <w:r w:rsidRPr="00A3782F">
              <w:rPr>
                <w:rFonts w:asciiTheme="minorHAnsi" w:eastAsia="Calibri" w:hAnsiTheme="minorHAnsi" w:cs="Arial"/>
                <w:b/>
                <w:bCs/>
                <w:szCs w:val="22"/>
              </w:rPr>
              <w:t>IPR</w:t>
            </w:r>
          </w:p>
        </w:tc>
        <w:tc>
          <w:tcPr>
            <w:tcW w:w="1422" w:type="pct"/>
            <w:shd w:val="clear" w:color="auto" w:fill="BFBFBF" w:themeFill="background1" w:themeFillShade="BF"/>
            <w:vAlign w:val="center"/>
          </w:tcPr>
          <w:p w14:paraId="6EEA3DE1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2B54D481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>(Yes/N0)</w:t>
            </w:r>
          </w:p>
        </w:tc>
      </w:tr>
      <w:tr w:rsidR="009142A5" w14:paraId="7940A52A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FFFFFF" w:themeFill="background1"/>
            <w:noWrap/>
            <w:vAlign w:val="center"/>
          </w:tcPr>
          <w:p w14:paraId="0CB44D1F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>46</w:t>
            </w:r>
          </w:p>
        </w:tc>
        <w:tc>
          <w:tcPr>
            <w:tcW w:w="3030" w:type="pct"/>
            <w:shd w:val="clear" w:color="auto" w:fill="FFFFFF" w:themeFill="background1"/>
          </w:tcPr>
          <w:p w14:paraId="7BFF5089" w14:textId="77777777" w:rsidR="009142A5" w:rsidRPr="00A3782F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 xml:space="preserve">IPR Schedule </w:t>
            </w:r>
            <w:r>
              <w:rPr>
                <w:rFonts w:asciiTheme="minorHAnsi" w:eastAsia="Calibri" w:hAnsiTheme="minorHAnsi" w:cs="Arial"/>
                <w:szCs w:val="22"/>
              </w:rPr>
              <w:t>11</w:t>
            </w:r>
          </w:p>
        </w:tc>
        <w:tc>
          <w:tcPr>
            <w:tcW w:w="1422" w:type="pct"/>
            <w:shd w:val="clear" w:color="auto" w:fill="FFFFFF" w:themeFill="background1"/>
            <w:vAlign w:val="center"/>
          </w:tcPr>
          <w:p w14:paraId="0CC19368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14:paraId="5A058C5B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BFBFBF" w:themeFill="background1" w:themeFillShade="BF"/>
            <w:noWrap/>
            <w:vAlign w:val="center"/>
          </w:tcPr>
          <w:p w14:paraId="400D38CA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BFBFBF" w:themeFill="background1" w:themeFillShade="BF"/>
            <w:vAlign w:val="center"/>
          </w:tcPr>
          <w:p w14:paraId="56487306" w14:textId="77777777" w:rsidR="009142A5" w:rsidRPr="00A3782F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A3782F">
              <w:rPr>
                <w:rFonts w:asciiTheme="minorHAnsi" w:eastAsia="Calibri" w:hAnsiTheme="minorHAnsi" w:cs="Arial"/>
                <w:b/>
                <w:bCs/>
                <w:szCs w:val="22"/>
              </w:rPr>
              <w:t>Warranty</w:t>
            </w:r>
          </w:p>
        </w:tc>
        <w:tc>
          <w:tcPr>
            <w:tcW w:w="1422" w:type="pct"/>
            <w:shd w:val="clear" w:color="auto" w:fill="BFBFBF" w:themeFill="background1" w:themeFillShade="BF"/>
            <w:vAlign w:val="center"/>
          </w:tcPr>
          <w:p w14:paraId="34719E9F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05DF13C1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14:paraId="1CBEB864" w14:textId="77777777" w:rsidTr="007D00F8">
        <w:trPr>
          <w:trHeight w:val="138"/>
          <w:jc w:val="center"/>
        </w:trPr>
        <w:tc>
          <w:tcPr>
            <w:tcW w:w="548" w:type="pct"/>
            <w:shd w:val="clear" w:color="auto" w:fill="FFFFFF" w:themeFill="background1"/>
            <w:noWrap/>
            <w:vAlign w:val="center"/>
          </w:tcPr>
          <w:p w14:paraId="21E67692" w14:textId="77777777" w:rsidR="009142A5" w:rsidRPr="00A3782F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>47</w:t>
            </w:r>
          </w:p>
        </w:tc>
        <w:tc>
          <w:tcPr>
            <w:tcW w:w="3030" w:type="pct"/>
            <w:shd w:val="clear" w:color="auto" w:fill="FFFFFF" w:themeFill="background1"/>
            <w:vAlign w:val="center"/>
          </w:tcPr>
          <w:p w14:paraId="215F8E04" w14:textId="77777777" w:rsidR="009142A5" w:rsidRPr="004A089E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  <w:r w:rsidRPr="00A3782F">
              <w:rPr>
                <w:rFonts w:asciiTheme="minorHAnsi" w:eastAsia="Calibri" w:hAnsiTheme="minorHAnsi" w:cs="Arial"/>
                <w:szCs w:val="22"/>
              </w:rPr>
              <w:t>Express Warranty</w:t>
            </w:r>
          </w:p>
        </w:tc>
        <w:tc>
          <w:tcPr>
            <w:tcW w:w="1422" w:type="pct"/>
            <w:shd w:val="clear" w:color="auto" w:fill="FFFFFF" w:themeFill="background1"/>
            <w:vAlign w:val="center"/>
          </w:tcPr>
          <w:p w14:paraId="69D7F429" w14:textId="77777777" w:rsidR="009142A5" w:rsidRPr="004A089E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</w:tr>
      <w:tr w:rsidR="009142A5" w:rsidRPr="00F308C4" w14:paraId="0C943504" w14:textId="77777777" w:rsidTr="007D00F8">
        <w:trPr>
          <w:trHeight w:val="346"/>
          <w:jc w:val="center"/>
        </w:trPr>
        <w:tc>
          <w:tcPr>
            <w:tcW w:w="548" w:type="pct"/>
            <w:shd w:val="clear" w:color="auto" w:fill="BFBFBF"/>
            <w:noWrap/>
            <w:vAlign w:val="center"/>
            <w:hideMark/>
          </w:tcPr>
          <w:p w14:paraId="5BB4929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BFBFBF"/>
            <w:vAlign w:val="center"/>
            <w:hideMark/>
          </w:tcPr>
          <w:p w14:paraId="3968A8E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b/>
                <w:bCs/>
                <w:szCs w:val="22"/>
                <w:highlight w:val="yellow"/>
              </w:rPr>
            </w:pPr>
            <w:r w:rsidRPr="00AD25EB">
              <w:rPr>
                <w:rFonts w:asciiTheme="minorHAnsi" w:eastAsia="Calibri" w:hAnsiTheme="minorHAnsi" w:cs="Arial"/>
                <w:b/>
                <w:bCs/>
                <w:szCs w:val="22"/>
              </w:rPr>
              <w:t xml:space="preserve">SC2 Schedules </w:t>
            </w:r>
          </w:p>
        </w:tc>
        <w:tc>
          <w:tcPr>
            <w:tcW w:w="1422" w:type="pct"/>
            <w:shd w:val="clear" w:color="auto" w:fill="BFBFBF"/>
            <w:vAlign w:val="center"/>
          </w:tcPr>
          <w:p w14:paraId="7F23D3DE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Compliant</w:t>
            </w:r>
          </w:p>
          <w:p w14:paraId="1C83EFD3" w14:textId="77777777" w:rsidR="009142A5" w:rsidRPr="00AD25EB" w:rsidRDefault="009142A5" w:rsidP="007D00F8">
            <w:pPr>
              <w:spacing w:line="259" w:lineRule="auto"/>
              <w:ind w:right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(Yes / No)</w:t>
            </w:r>
          </w:p>
        </w:tc>
      </w:tr>
      <w:tr w:rsidR="009142A5" w:rsidRPr="00F308C4" w14:paraId="4A093FDE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CC2993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407DC19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 xml:space="preserve">Schedule 1 – </w:t>
            </w:r>
            <w:r>
              <w:rPr>
                <w:rFonts w:asciiTheme="minorHAnsi" w:eastAsia="Calibri" w:hAnsiTheme="minorHAnsi" w:cs="Arial"/>
                <w:szCs w:val="22"/>
              </w:rPr>
              <w:t>Definitions of Contract</w:t>
            </w:r>
          </w:p>
        </w:tc>
        <w:tc>
          <w:tcPr>
            <w:tcW w:w="1422" w:type="pct"/>
          </w:tcPr>
          <w:p w14:paraId="3379283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C40B37" w14:paraId="6AF14351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5FE3F8B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auto"/>
          </w:tcPr>
          <w:p w14:paraId="47C9993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2 – Schedule of Requirements</w:t>
            </w:r>
          </w:p>
        </w:tc>
        <w:tc>
          <w:tcPr>
            <w:tcW w:w="1422" w:type="pct"/>
          </w:tcPr>
          <w:p w14:paraId="1C079BD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C40B37" w14:paraId="65FCAB70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4B0629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auto"/>
          </w:tcPr>
          <w:p w14:paraId="3DC28DD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2 Annex A – Statement of Work</w:t>
            </w:r>
          </w:p>
        </w:tc>
        <w:tc>
          <w:tcPr>
            <w:tcW w:w="1422" w:type="pct"/>
            <w:shd w:val="clear" w:color="auto" w:fill="auto"/>
          </w:tcPr>
          <w:p w14:paraId="6BC7AB1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C40B37" w14:paraId="668FE7CE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949C62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auto"/>
          </w:tcPr>
          <w:p w14:paraId="0E4461B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2 Appendix 1 to Annex A – Key User Requirements</w:t>
            </w:r>
          </w:p>
        </w:tc>
        <w:tc>
          <w:tcPr>
            <w:tcW w:w="1422" w:type="pct"/>
            <w:shd w:val="clear" w:color="auto" w:fill="auto"/>
          </w:tcPr>
          <w:p w14:paraId="7064D01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C40B37" w14:paraId="169A381F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9BCC7F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auto"/>
          </w:tcPr>
          <w:p w14:paraId="1A4F36EE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 xml:space="preserve">Schedule 2 Appendix 2 to Annex A – </w:t>
            </w:r>
            <w:r>
              <w:rPr>
                <w:rFonts w:asciiTheme="minorHAnsi" w:eastAsia="Calibri" w:hAnsiTheme="minorHAnsi" w:cs="Arial"/>
                <w:szCs w:val="22"/>
              </w:rPr>
              <w:t xml:space="preserve">Supply of Manufacturing Data Pack within </w:t>
            </w:r>
            <w:r w:rsidRPr="000A72D0">
              <w:rPr>
                <w:rFonts w:asciiTheme="minorHAnsi" w:eastAsia="Calibri" w:hAnsiTheme="minorHAnsi" w:cs="Arial"/>
                <w:szCs w:val="22"/>
              </w:rPr>
              <w:t>120 Days</w:t>
            </w:r>
            <w:r w:rsidRPr="00AD25EB">
              <w:rPr>
                <w:rFonts w:asciiTheme="minorHAnsi" w:eastAsia="Calibri" w:hAnsiTheme="minorHAnsi" w:cs="Arial"/>
                <w:szCs w:val="22"/>
              </w:rPr>
              <w:t xml:space="preserve"> </w:t>
            </w:r>
          </w:p>
        </w:tc>
        <w:tc>
          <w:tcPr>
            <w:tcW w:w="1422" w:type="pct"/>
            <w:shd w:val="clear" w:color="auto" w:fill="auto"/>
          </w:tcPr>
          <w:p w14:paraId="6BFAFBC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C40B37" w14:paraId="420EEC61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567B88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auto"/>
          </w:tcPr>
          <w:p w14:paraId="671F06E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 xml:space="preserve">Schedule 3 – Contract Data Sheet </w:t>
            </w:r>
          </w:p>
        </w:tc>
        <w:tc>
          <w:tcPr>
            <w:tcW w:w="1422" w:type="pct"/>
            <w:shd w:val="clear" w:color="auto" w:fill="auto"/>
          </w:tcPr>
          <w:p w14:paraId="2C57DEE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C40B37" w14:paraId="5CDA3FFC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518F226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3030" w:type="pct"/>
            <w:shd w:val="clear" w:color="auto" w:fill="auto"/>
          </w:tcPr>
          <w:p w14:paraId="7B268E3E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3 Annex A – DEFFORM 111</w:t>
            </w:r>
          </w:p>
        </w:tc>
        <w:tc>
          <w:tcPr>
            <w:tcW w:w="1422" w:type="pct"/>
          </w:tcPr>
          <w:p w14:paraId="112BEAC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60977608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BD59E22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0D20544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4 – Contract Change Control Procedure (</w:t>
            </w:r>
            <w:proofErr w:type="spellStart"/>
            <w:r w:rsidRPr="00AD25EB">
              <w:rPr>
                <w:rFonts w:asciiTheme="minorHAnsi" w:eastAsia="Calibri" w:hAnsiTheme="minorHAnsi" w:cs="Arial"/>
                <w:szCs w:val="22"/>
              </w:rPr>
              <w:t>i.a.w</w:t>
            </w:r>
            <w:proofErr w:type="spellEnd"/>
            <w:r w:rsidRPr="00AD25EB">
              <w:rPr>
                <w:rFonts w:asciiTheme="minorHAnsi" w:eastAsia="Calibri" w:hAnsiTheme="minorHAnsi" w:cs="Arial"/>
                <w:szCs w:val="22"/>
              </w:rPr>
              <w:t>. clause 6b)</w:t>
            </w:r>
          </w:p>
        </w:tc>
        <w:tc>
          <w:tcPr>
            <w:tcW w:w="1422" w:type="pct"/>
          </w:tcPr>
          <w:p w14:paraId="2C4EA833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18E16D00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D97F20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392C468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5 – Contractor’s Commercial Sensitive Information Form</w:t>
            </w:r>
          </w:p>
        </w:tc>
        <w:tc>
          <w:tcPr>
            <w:tcW w:w="1422" w:type="pct"/>
          </w:tcPr>
          <w:p w14:paraId="7299FF3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639435D1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1B1F688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1EF8C5A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6 – Hazardous Contractor Deliverables, Materials or Substance</w:t>
            </w:r>
            <w:r>
              <w:rPr>
                <w:rFonts w:asciiTheme="minorHAnsi" w:eastAsia="Calibri" w:hAnsiTheme="minorHAnsi" w:cs="Arial"/>
                <w:szCs w:val="22"/>
              </w:rPr>
              <w:t>s</w:t>
            </w:r>
            <w:r w:rsidRPr="00AD25EB">
              <w:rPr>
                <w:rFonts w:asciiTheme="minorHAnsi" w:eastAsia="Calibri" w:hAnsiTheme="minorHAnsi" w:cs="Arial"/>
                <w:szCs w:val="22"/>
              </w:rPr>
              <w:t xml:space="preserve"> S</w:t>
            </w:r>
            <w:r>
              <w:rPr>
                <w:rFonts w:asciiTheme="minorHAnsi" w:eastAsia="Calibri" w:hAnsiTheme="minorHAnsi" w:cs="Arial"/>
                <w:szCs w:val="22"/>
              </w:rPr>
              <w:t>tatement for Contract 701550484</w:t>
            </w:r>
          </w:p>
        </w:tc>
        <w:tc>
          <w:tcPr>
            <w:tcW w:w="1422" w:type="pct"/>
          </w:tcPr>
          <w:p w14:paraId="48C25DC5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2C01BAA8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47E1784E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2FD118F6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7 – Timber and Wood-Derived Products – Data Requirements</w:t>
            </w:r>
            <w:r>
              <w:rPr>
                <w:rFonts w:asciiTheme="minorHAnsi" w:eastAsia="Calibri" w:hAnsiTheme="minorHAnsi" w:cs="Arial"/>
                <w:szCs w:val="22"/>
              </w:rPr>
              <w:t xml:space="preserve"> for Contract 701550484</w:t>
            </w:r>
          </w:p>
        </w:tc>
        <w:tc>
          <w:tcPr>
            <w:tcW w:w="1422" w:type="pct"/>
          </w:tcPr>
          <w:p w14:paraId="03B759EE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:rsidRPr="00F308C4" w14:paraId="3D6C9BA4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5962858A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33A9D60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8 – Acceptance Procedure</w:t>
            </w:r>
          </w:p>
        </w:tc>
        <w:tc>
          <w:tcPr>
            <w:tcW w:w="1422" w:type="pct"/>
            <w:shd w:val="clear" w:color="auto" w:fill="auto"/>
          </w:tcPr>
          <w:p w14:paraId="15857F2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14:paraId="1CE7428A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0A9BC88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1569D19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 xml:space="preserve">Schedule 9 – </w:t>
            </w:r>
            <w:r w:rsidRPr="0089175F">
              <w:rPr>
                <w:rFonts w:asciiTheme="minorHAnsi" w:hAnsiTheme="minorHAnsi" w:cs="Arial"/>
                <w:szCs w:val="22"/>
              </w:rPr>
              <w:t>Price List for additional purchases</w:t>
            </w:r>
          </w:p>
        </w:tc>
        <w:tc>
          <w:tcPr>
            <w:tcW w:w="1422" w:type="pct"/>
            <w:shd w:val="clear" w:color="auto" w:fill="auto"/>
          </w:tcPr>
          <w:p w14:paraId="179A7E2D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N/A</w:t>
            </w:r>
          </w:p>
        </w:tc>
      </w:tr>
      <w:tr w:rsidR="009142A5" w14:paraId="204714BA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6EF078D4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1A584EE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 w:rsidRPr="00AD25EB">
              <w:rPr>
                <w:rFonts w:asciiTheme="minorHAnsi" w:eastAsia="Calibri" w:hAnsiTheme="minorHAnsi" w:cs="Arial"/>
                <w:szCs w:val="22"/>
              </w:rPr>
              <w:t>Schedule 10 – Security Aspects Letter</w:t>
            </w:r>
          </w:p>
        </w:tc>
        <w:tc>
          <w:tcPr>
            <w:tcW w:w="1422" w:type="pct"/>
            <w:shd w:val="clear" w:color="auto" w:fill="auto"/>
          </w:tcPr>
          <w:p w14:paraId="48D7F7B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14:paraId="43CE4537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61F2F6F7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40F941F0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Schedule 11 – IPR</w:t>
            </w:r>
          </w:p>
        </w:tc>
        <w:tc>
          <w:tcPr>
            <w:tcW w:w="1422" w:type="pct"/>
            <w:shd w:val="clear" w:color="auto" w:fill="auto"/>
          </w:tcPr>
          <w:p w14:paraId="356376B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14:paraId="2D4E46A2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5B4216AF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116D3143" w14:textId="77777777" w:rsidR="009142A5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 xml:space="preserve">Schedule 11 – Appendix 1 </w:t>
            </w:r>
          </w:p>
        </w:tc>
        <w:tc>
          <w:tcPr>
            <w:tcW w:w="1422" w:type="pct"/>
            <w:shd w:val="clear" w:color="auto" w:fill="auto"/>
          </w:tcPr>
          <w:p w14:paraId="25078A38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14:paraId="5724DD3E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2EF888D9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0FA6B810" w14:textId="77777777" w:rsidR="009142A5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Schedule 11 – Appendix 2</w:t>
            </w:r>
          </w:p>
        </w:tc>
        <w:tc>
          <w:tcPr>
            <w:tcW w:w="1422" w:type="pct"/>
            <w:shd w:val="clear" w:color="auto" w:fill="auto"/>
          </w:tcPr>
          <w:p w14:paraId="09EFFF61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9142A5" w14:paraId="3B15D0ED" w14:textId="77777777" w:rsidTr="007D00F8">
        <w:trPr>
          <w:trHeight w:val="103"/>
          <w:jc w:val="center"/>
        </w:trPr>
        <w:tc>
          <w:tcPr>
            <w:tcW w:w="548" w:type="pct"/>
            <w:shd w:val="clear" w:color="auto" w:fill="auto"/>
            <w:noWrap/>
            <w:vAlign w:val="center"/>
          </w:tcPr>
          <w:p w14:paraId="3C48656C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  <w:highlight w:val="yellow"/>
              </w:rPr>
            </w:pPr>
          </w:p>
        </w:tc>
        <w:tc>
          <w:tcPr>
            <w:tcW w:w="3030" w:type="pct"/>
            <w:shd w:val="clear" w:color="auto" w:fill="auto"/>
          </w:tcPr>
          <w:p w14:paraId="4067A82A" w14:textId="77777777" w:rsidR="009142A5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Schedule 12 – The Limit of Contractor’s Liability</w:t>
            </w:r>
          </w:p>
        </w:tc>
        <w:tc>
          <w:tcPr>
            <w:tcW w:w="1422" w:type="pct"/>
            <w:shd w:val="clear" w:color="auto" w:fill="auto"/>
          </w:tcPr>
          <w:p w14:paraId="63AB3B7B" w14:textId="77777777" w:rsidR="009142A5" w:rsidRPr="00AD25EB" w:rsidRDefault="009142A5" w:rsidP="007D00F8">
            <w:pPr>
              <w:spacing w:line="259" w:lineRule="auto"/>
              <w:ind w:right="2"/>
              <w:rPr>
                <w:rFonts w:asciiTheme="minorHAnsi" w:eastAsia="Calibri" w:hAnsiTheme="minorHAnsi" w:cs="Arial"/>
                <w:szCs w:val="22"/>
              </w:rPr>
            </w:pPr>
          </w:p>
        </w:tc>
      </w:tr>
    </w:tbl>
    <w:p w14:paraId="1A97AF18" w14:textId="77777777" w:rsidR="00D75DBF" w:rsidRDefault="00D75DBF"/>
    <w:sectPr w:rsidR="00D75DB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E401" w14:textId="77777777" w:rsidR="009142A5" w:rsidRDefault="009142A5" w:rsidP="009142A5">
      <w:r>
        <w:separator/>
      </w:r>
    </w:p>
  </w:endnote>
  <w:endnote w:type="continuationSeparator" w:id="0">
    <w:p w14:paraId="38801354" w14:textId="77777777" w:rsidR="009142A5" w:rsidRDefault="009142A5" w:rsidP="0091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3A8C5" w14:textId="77777777" w:rsidR="009142A5" w:rsidRDefault="009142A5" w:rsidP="009142A5">
      <w:r>
        <w:separator/>
      </w:r>
    </w:p>
  </w:footnote>
  <w:footnote w:type="continuationSeparator" w:id="0">
    <w:p w14:paraId="6F38966F" w14:textId="77777777" w:rsidR="009142A5" w:rsidRDefault="009142A5" w:rsidP="0091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9DD5F" w14:textId="324CB9BB" w:rsidR="009142A5" w:rsidRDefault="009142A5" w:rsidP="009142A5">
    <w:pPr>
      <w:pStyle w:val="Header"/>
      <w:jc w:val="center"/>
    </w:pPr>
    <w:r>
      <w:t>Official Sensitive Commercial</w:t>
    </w:r>
  </w:p>
  <w:p w14:paraId="5F852F06" w14:textId="77777777" w:rsidR="009142A5" w:rsidRPr="009142A5" w:rsidRDefault="009142A5" w:rsidP="009142A5">
    <w:pPr>
      <w:pStyle w:val="Header"/>
      <w:jc w:val="right"/>
    </w:pPr>
    <w:r w:rsidRPr="009142A5">
      <w:t>ITT 701550484</w:t>
    </w:r>
  </w:p>
  <w:p w14:paraId="447DFDC5" w14:textId="77777777" w:rsidR="009142A5" w:rsidRDefault="009142A5" w:rsidP="009142A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A5"/>
    <w:rsid w:val="009142A5"/>
    <w:rsid w:val="00D7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3FEFA"/>
  <w15:chartTrackingRefBased/>
  <w15:docId w15:val="{7A7C7BAD-CAC9-49AB-A757-D10A6AC0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A5"/>
    <w:pPr>
      <w:keepNext/>
      <w:keepLines/>
      <w:overflowPunct/>
      <w:autoSpaceDE/>
      <w:autoSpaceDN/>
      <w:adjustRightInd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2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4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2A5"/>
    <w:rPr>
      <w:rFonts w:ascii="Arial" w:eastAsia="Times New Roman" w:hAnsi="Arial" w:cs="Times New Roman"/>
      <w:kern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14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2A5"/>
    <w:rPr>
      <w:rFonts w:ascii="Arial" w:eastAsia="Times New Roman" w:hAnsi="Arial" w:cs="Times New Roman"/>
      <w:kern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Walford, Ela Mrs (DES WpnsComrcl-IGMR-CM1)</dc:creator>
  <cp:keywords/>
  <dc:description/>
  <cp:lastModifiedBy>Walford, Ela Mrs (DES WpnsComrcl-IGMR-CM1)</cp:lastModifiedBy>
  <cp:revision>1</cp:revision>
  <dcterms:created xsi:type="dcterms:W3CDTF">2021-11-05T18:19:00Z</dcterms:created>
  <dcterms:modified xsi:type="dcterms:W3CDTF">2021-11-05T18:22:00Z</dcterms:modified>
</cp:coreProperties>
</file>