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05173202" w:rsidR="00326132" w:rsidRPr="00C3320D" w:rsidRDefault="00116B22" w:rsidP="00D40F55">
      <w:pPr>
        <w:pStyle w:val="MarginText"/>
        <w:spacing w:before="120" w:after="120"/>
        <w:jc w:val="center"/>
        <w:rPr>
          <w:rFonts w:cs="Arial"/>
          <w:b/>
          <w:szCs w:val="22"/>
          <w:u w:val="single"/>
        </w:rPr>
      </w:pPr>
      <w:bookmarkStart w:id="0" w:name="LASTCURSORPOSITION"/>
      <w:bookmarkEnd w:id="0"/>
      <w:r>
        <w:rPr>
          <w:rFonts w:cs="Arial"/>
          <w:b/>
          <w:szCs w:val="22"/>
          <w:u w:val="single"/>
        </w:rPr>
        <w:t>i</w:t>
      </w:r>
      <w:r w:rsidR="001E00AD"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310B5707" w:rsidR="008E082F" w:rsidRPr="00C3320D" w:rsidRDefault="008E082F" w:rsidP="0089289C">
      <w:pPr>
        <w:numPr>
          <w:ilvl w:val="0"/>
          <w:numId w:val="23"/>
        </w:numPr>
        <w:spacing w:before="120" w:after="120" w:line="240" w:lineRule="auto"/>
        <w:rPr>
          <w:rFonts w:cs="Arial"/>
          <w:szCs w:val="22"/>
        </w:rPr>
      </w:pPr>
      <w:r w:rsidRPr="00C3320D">
        <w:rPr>
          <w:rFonts w:cs="Arial"/>
          <w:szCs w:val="22"/>
        </w:rPr>
        <w:t xml:space="preserve">This Order Form </w:t>
      </w:r>
      <w:r w:rsidR="00F944DA" w:rsidRPr="00C3320D">
        <w:rPr>
          <w:rFonts w:cs="Arial"/>
          <w:szCs w:val="22"/>
        </w:rPr>
        <w:t xml:space="preserve">dated </w:t>
      </w:r>
      <w:r w:rsidR="00D67F83">
        <w:rPr>
          <w:rFonts w:cs="Arial"/>
          <w:szCs w:val="22"/>
        </w:rPr>
        <w:t>26/06/2019</w:t>
      </w:r>
      <w:r w:rsidR="00F944DA" w:rsidRPr="00DF4169">
        <w:rPr>
          <w:rFonts w:cs="Arial"/>
          <w:b/>
          <w:szCs w:val="22"/>
        </w:rPr>
        <w:t xml:space="preserve"> </w:t>
      </w:r>
      <w:r w:rsidRPr="00DF4169">
        <w:rPr>
          <w:rFonts w:cs="Arial"/>
          <w:szCs w:val="22"/>
        </w:rPr>
        <w:t>is issued</w:t>
      </w:r>
      <w:r w:rsidRPr="00C3320D">
        <w:rPr>
          <w:rFonts w:cs="Arial"/>
          <w:szCs w:val="22"/>
        </w:rPr>
        <w:t xml:space="preserve">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DF4169">
        <w:rPr>
          <w:rFonts w:cs="Arial"/>
          <w:szCs w:val="22"/>
        </w:rPr>
        <w:t>Rail Legal S</w:t>
      </w:r>
      <w:r w:rsidR="00F944DA" w:rsidRPr="00C3320D">
        <w:rPr>
          <w:rFonts w:cs="Arial"/>
          <w:szCs w:val="22"/>
        </w:rPr>
        <w:t>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77777777" w:rsidR="008E082F" w:rsidRPr="00C3320D" w:rsidRDefault="008E082F" w:rsidP="0089289C">
      <w:pPr>
        <w:numPr>
          <w:ilvl w:val="0"/>
          <w:numId w:val="23"/>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89289C">
      <w:pPr>
        <w:numPr>
          <w:ilvl w:val="0"/>
          <w:numId w:val="23"/>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89289C">
      <w:pPr>
        <w:numPr>
          <w:ilvl w:val="0"/>
          <w:numId w:val="23"/>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89289C">
      <w:pPr>
        <w:numPr>
          <w:ilvl w:val="0"/>
          <w:numId w:val="23"/>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89289C">
      <w:pPr>
        <w:numPr>
          <w:ilvl w:val="0"/>
          <w:numId w:val="23"/>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380382" w:rsidRPr="00DF4169" w14:paraId="431A0C45" w14:textId="77777777" w:rsidTr="00DF4169">
        <w:trPr>
          <w:gridAfter w:val="1"/>
          <w:wAfter w:w="24" w:type="dxa"/>
        </w:trPr>
        <w:tc>
          <w:tcPr>
            <w:tcW w:w="576" w:type="dxa"/>
            <w:shd w:val="clear" w:color="auto" w:fill="auto"/>
          </w:tcPr>
          <w:p w14:paraId="73BCEB42" w14:textId="77777777" w:rsidR="008E082F" w:rsidRPr="00DF4169" w:rsidRDefault="008E082F" w:rsidP="00D40F55">
            <w:pPr>
              <w:spacing w:before="120" w:after="120" w:line="240" w:lineRule="auto"/>
              <w:jc w:val="left"/>
              <w:rPr>
                <w:rFonts w:cs="Arial"/>
                <w:b/>
                <w:szCs w:val="22"/>
              </w:rPr>
            </w:pPr>
            <w:r w:rsidRPr="00DF4169">
              <w:rPr>
                <w:rFonts w:cs="Arial"/>
                <w:b/>
                <w:szCs w:val="22"/>
              </w:rPr>
              <w:t>1.1</w:t>
            </w:r>
          </w:p>
        </w:tc>
        <w:tc>
          <w:tcPr>
            <w:tcW w:w="4249" w:type="dxa"/>
            <w:shd w:val="clear" w:color="auto" w:fill="auto"/>
          </w:tcPr>
          <w:p w14:paraId="319A2FA0" w14:textId="22453732" w:rsidR="008E082F" w:rsidRPr="00DF4169" w:rsidRDefault="00DF4169" w:rsidP="00D40F55">
            <w:pPr>
              <w:spacing w:before="120" w:after="120" w:line="240" w:lineRule="auto"/>
              <w:jc w:val="left"/>
              <w:rPr>
                <w:rFonts w:cs="Arial"/>
                <w:b/>
                <w:szCs w:val="22"/>
              </w:rPr>
            </w:pPr>
            <w:r>
              <w:rPr>
                <w:rFonts w:cs="Arial"/>
                <w:b/>
                <w:szCs w:val="22"/>
              </w:rPr>
              <w:t xml:space="preserve">Contract Reference </w:t>
            </w:r>
          </w:p>
        </w:tc>
        <w:tc>
          <w:tcPr>
            <w:tcW w:w="4309" w:type="dxa"/>
            <w:shd w:val="clear" w:color="auto" w:fill="auto"/>
          </w:tcPr>
          <w:p w14:paraId="0321CF4A" w14:textId="3118DBDF" w:rsidR="008E082F" w:rsidRPr="00DF4169" w:rsidRDefault="00DF4169" w:rsidP="00D40F55">
            <w:pPr>
              <w:spacing w:before="120" w:after="120" w:line="240" w:lineRule="auto"/>
              <w:jc w:val="left"/>
              <w:rPr>
                <w:rFonts w:cs="Arial"/>
                <w:szCs w:val="22"/>
              </w:rPr>
            </w:pPr>
            <w:r>
              <w:rPr>
                <w:rFonts w:cs="Arial"/>
                <w:szCs w:val="22"/>
              </w:rPr>
              <w:t xml:space="preserve">CCLL19A09 – The Provision of Legal Services for DfT Thameslink </w:t>
            </w:r>
          </w:p>
        </w:tc>
      </w:tr>
      <w:tr w:rsidR="00380382" w:rsidRPr="00DF4169" w14:paraId="5F0543CE" w14:textId="77777777" w:rsidTr="00DF4169">
        <w:trPr>
          <w:gridAfter w:val="1"/>
          <w:wAfter w:w="24" w:type="dxa"/>
        </w:trPr>
        <w:tc>
          <w:tcPr>
            <w:tcW w:w="576" w:type="dxa"/>
            <w:shd w:val="clear" w:color="auto" w:fill="auto"/>
          </w:tcPr>
          <w:p w14:paraId="59558A5C" w14:textId="77777777" w:rsidR="008E082F" w:rsidRPr="00DF4169" w:rsidRDefault="008E082F" w:rsidP="00D40F55">
            <w:pPr>
              <w:spacing w:before="120" w:after="120" w:line="240" w:lineRule="auto"/>
              <w:jc w:val="left"/>
              <w:rPr>
                <w:rFonts w:cs="Arial"/>
                <w:b/>
                <w:szCs w:val="22"/>
              </w:rPr>
            </w:pPr>
            <w:r w:rsidRPr="00DF4169">
              <w:rPr>
                <w:rFonts w:cs="Arial"/>
                <w:b/>
                <w:szCs w:val="22"/>
              </w:rPr>
              <w:t>1.2</w:t>
            </w:r>
          </w:p>
        </w:tc>
        <w:tc>
          <w:tcPr>
            <w:tcW w:w="4249" w:type="dxa"/>
            <w:shd w:val="clear" w:color="auto" w:fill="auto"/>
          </w:tcPr>
          <w:p w14:paraId="41A9CD5A" w14:textId="1DB54090" w:rsidR="008E082F" w:rsidRPr="00DF4169" w:rsidRDefault="00DF4169" w:rsidP="00D40F55">
            <w:pPr>
              <w:spacing w:before="120" w:after="120" w:line="240" w:lineRule="auto"/>
              <w:jc w:val="left"/>
              <w:rPr>
                <w:rFonts w:cs="Arial"/>
                <w:b/>
                <w:szCs w:val="22"/>
              </w:rPr>
            </w:pPr>
            <w:r>
              <w:rPr>
                <w:rFonts w:cs="Arial"/>
                <w:b/>
                <w:spacing w:val="-3"/>
                <w:szCs w:val="22"/>
                <w:lang w:eastAsia="en-GB"/>
              </w:rPr>
              <w:t xml:space="preserve">The Department for Transport </w:t>
            </w:r>
          </w:p>
          <w:p w14:paraId="2A37DF0C" w14:textId="77777777" w:rsidR="008E082F" w:rsidRPr="00DF4169" w:rsidRDefault="008E082F" w:rsidP="00D40F55">
            <w:pPr>
              <w:spacing w:before="120" w:after="120" w:line="240" w:lineRule="auto"/>
              <w:jc w:val="left"/>
              <w:rPr>
                <w:rFonts w:cs="Arial"/>
                <w:b/>
                <w:szCs w:val="22"/>
              </w:rPr>
            </w:pPr>
            <w:r w:rsidRPr="00DF4169">
              <w:rPr>
                <w:rFonts w:cs="Arial"/>
                <w:b/>
                <w:szCs w:val="22"/>
              </w:rPr>
              <w:t>("CUSTOMER")</w:t>
            </w:r>
          </w:p>
        </w:tc>
        <w:tc>
          <w:tcPr>
            <w:tcW w:w="4309" w:type="dxa"/>
            <w:shd w:val="clear" w:color="auto" w:fill="auto"/>
          </w:tcPr>
          <w:p w14:paraId="69FBEDDD" w14:textId="77777777" w:rsidR="008E082F" w:rsidRDefault="00DF4169" w:rsidP="00D40F55">
            <w:pPr>
              <w:spacing w:before="120" w:after="120" w:line="240" w:lineRule="auto"/>
              <w:jc w:val="left"/>
              <w:rPr>
                <w:rFonts w:cs="Arial"/>
                <w:szCs w:val="22"/>
              </w:rPr>
            </w:pPr>
            <w:r>
              <w:rPr>
                <w:rFonts w:cs="Arial"/>
                <w:szCs w:val="22"/>
              </w:rPr>
              <w:t xml:space="preserve">Great Minster House, </w:t>
            </w:r>
          </w:p>
          <w:p w14:paraId="62F8E2FF" w14:textId="77777777" w:rsidR="00DF4169" w:rsidRDefault="00DF4169" w:rsidP="00D40F55">
            <w:pPr>
              <w:spacing w:before="120" w:after="120" w:line="240" w:lineRule="auto"/>
              <w:jc w:val="left"/>
              <w:rPr>
                <w:rFonts w:cs="Arial"/>
                <w:szCs w:val="22"/>
              </w:rPr>
            </w:pPr>
            <w:r>
              <w:rPr>
                <w:rFonts w:cs="Arial"/>
                <w:szCs w:val="22"/>
              </w:rPr>
              <w:t>33 Horseferry Road,</w:t>
            </w:r>
          </w:p>
          <w:p w14:paraId="69126DF9" w14:textId="77777777" w:rsidR="00DF4169" w:rsidRDefault="00DF4169" w:rsidP="00D40F55">
            <w:pPr>
              <w:spacing w:before="120" w:after="120" w:line="240" w:lineRule="auto"/>
              <w:jc w:val="left"/>
              <w:rPr>
                <w:rFonts w:cs="Arial"/>
                <w:szCs w:val="22"/>
              </w:rPr>
            </w:pPr>
            <w:r>
              <w:rPr>
                <w:rFonts w:cs="Arial"/>
                <w:szCs w:val="22"/>
              </w:rPr>
              <w:t>London,</w:t>
            </w:r>
          </w:p>
          <w:p w14:paraId="3C7491AC" w14:textId="7C682AD1" w:rsidR="00DF4169" w:rsidRPr="00DF4169" w:rsidRDefault="00DF4169" w:rsidP="00D40F55">
            <w:pPr>
              <w:spacing w:before="120" w:after="120" w:line="240" w:lineRule="auto"/>
              <w:jc w:val="left"/>
              <w:rPr>
                <w:rFonts w:cs="Arial"/>
                <w:szCs w:val="22"/>
              </w:rPr>
            </w:pPr>
            <w:r>
              <w:rPr>
                <w:rFonts w:cs="Arial"/>
                <w:szCs w:val="22"/>
              </w:rPr>
              <w:t>SW1P 4DR</w:t>
            </w:r>
          </w:p>
        </w:tc>
      </w:tr>
      <w:tr w:rsidR="00380382" w:rsidRPr="00DF4169" w14:paraId="70BF2D98" w14:textId="77777777" w:rsidTr="00DF4169">
        <w:trPr>
          <w:gridAfter w:val="1"/>
          <w:wAfter w:w="24" w:type="dxa"/>
        </w:trPr>
        <w:tc>
          <w:tcPr>
            <w:tcW w:w="576" w:type="dxa"/>
            <w:shd w:val="clear" w:color="auto" w:fill="auto"/>
          </w:tcPr>
          <w:p w14:paraId="68072B3F" w14:textId="77777777" w:rsidR="008E082F" w:rsidRPr="00DF4169" w:rsidRDefault="008E082F" w:rsidP="00D40F55">
            <w:pPr>
              <w:spacing w:before="120" w:after="120" w:line="240" w:lineRule="auto"/>
              <w:jc w:val="left"/>
              <w:rPr>
                <w:rFonts w:cs="Arial"/>
                <w:b/>
                <w:szCs w:val="22"/>
              </w:rPr>
            </w:pPr>
            <w:r w:rsidRPr="00DF4169">
              <w:rPr>
                <w:rFonts w:cs="Arial"/>
                <w:b/>
                <w:szCs w:val="22"/>
              </w:rPr>
              <w:t>1.3</w:t>
            </w:r>
          </w:p>
        </w:tc>
        <w:tc>
          <w:tcPr>
            <w:tcW w:w="4249" w:type="dxa"/>
            <w:shd w:val="clear" w:color="auto" w:fill="auto"/>
          </w:tcPr>
          <w:p w14:paraId="523DCC78" w14:textId="545B4709" w:rsidR="00353A2B" w:rsidRPr="00DF4169" w:rsidRDefault="008E082F" w:rsidP="00D40F55">
            <w:pPr>
              <w:spacing w:before="120" w:after="120" w:line="240" w:lineRule="auto"/>
              <w:jc w:val="left"/>
              <w:rPr>
                <w:rFonts w:cs="Arial"/>
                <w:b/>
                <w:szCs w:val="22"/>
              </w:rPr>
            </w:pPr>
            <w:r w:rsidRPr="00DF4169">
              <w:rPr>
                <w:rFonts w:cs="Arial"/>
                <w:b/>
                <w:szCs w:val="22"/>
              </w:rPr>
              <w:t>("SUPPLIER")</w:t>
            </w:r>
          </w:p>
          <w:p w14:paraId="269275C6" w14:textId="77777777" w:rsidR="008E082F" w:rsidRPr="00DF4169" w:rsidRDefault="008E082F" w:rsidP="00353A2B">
            <w:pPr>
              <w:ind w:firstLine="720"/>
              <w:rPr>
                <w:rFonts w:cs="Arial"/>
                <w:szCs w:val="22"/>
              </w:rPr>
            </w:pPr>
          </w:p>
        </w:tc>
        <w:tc>
          <w:tcPr>
            <w:tcW w:w="4309" w:type="dxa"/>
            <w:shd w:val="clear" w:color="auto" w:fill="auto"/>
          </w:tcPr>
          <w:p w14:paraId="2CF93079" w14:textId="77777777" w:rsidR="008E082F" w:rsidRDefault="00DB7D75" w:rsidP="00A7690E">
            <w:pPr>
              <w:spacing w:before="120" w:after="120" w:line="240" w:lineRule="auto"/>
              <w:jc w:val="left"/>
              <w:rPr>
                <w:rFonts w:cs="Arial"/>
                <w:szCs w:val="22"/>
              </w:rPr>
            </w:pPr>
            <w:r>
              <w:rPr>
                <w:rFonts w:cs="Arial"/>
                <w:szCs w:val="22"/>
              </w:rPr>
              <w:lastRenderedPageBreak/>
              <w:t xml:space="preserve">160 Aldersgate Street, </w:t>
            </w:r>
          </w:p>
          <w:p w14:paraId="340857A5" w14:textId="77777777" w:rsidR="00DB7D75" w:rsidRDefault="00DB7D75" w:rsidP="00A7690E">
            <w:pPr>
              <w:spacing w:before="120" w:after="120" w:line="240" w:lineRule="auto"/>
              <w:jc w:val="left"/>
              <w:rPr>
                <w:rFonts w:cs="Arial"/>
                <w:szCs w:val="22"/>
              </w:rPr>
            </w:pPr>
            <w:r>
              <w:rPr>
                <w:rFonts w:cs="Arial"/>
                <w:szCs w:val="22"/>
              </w:rPr>
              <w:t xml:space="preserve">London, </w:t>
            </w:r>
          </w:p>
          <w:p w14:paraId="27D9FCAC" w14:textId="4C1B7639" w:rsidR="00DB7D75" w:rsidRPr="00A7690E" w:rsidRDefault="00DB7D75" w:rsidP="00A7690E">
            <w:pPr>
              <w:spacing w:before="120" w:after="120" w:line="240" w:lineRule="auto"/>
              <w:jc w:val="left"/>
              <w:rPr>
                <w:rFonts w:cs="Arial"/>
                <w:b/>
                <w:szCs w:val="22"/>
              </w:rPr>
            </w:pPr>
            <w:r>
              <w:rPr>
                <w:rFonts w:cs="Arial"/>
                <w:szCs w:val="22"/>
              </w:rPr>
              <w:lastRenderedPageBreak/>
              <w:t xml:space="preserve">EC1A 4HT </w:t>
            </w:r>
          </w:p>
        </w:tc>
      </w:tr>
      <w:tr w:rsidR="00380382" w:rsidRPr="00DF4169" w14:paraId="16AC3458" w14:textId="77777777" w:rsidTr="00DF4169">
        <w:tc>
          <w:tcPr>
            <w:tcW w:w="576" w:type="dxa"/>
          </w:tcPr>
          <w:p w14:paraId="71451B9F" w14:textId="77777777" w:rsidR="008E082F" w:rsidRPr="00DF4169" w:rsidRDefault="008E082F" w:rsidP="00D40F55">
            <w:pPr>
              <w:pStyle w:val="ORDERFORML1NONBOLDNONNUMBERTEXT"/>
              <w:spacing w:before="120"/>
              <w:rPr>
                <w:rFonts w:cs="Arial"/>
                <w:b/>
              </w:rPr>
            </w:pPr>
            <w:r w:rsidRPr="00DF4169">
              <w:rPr>
                <w:rFonts w:cs="Arial"/>
                <w:b/>
              </w:rPr>
              <w:lastRenderedPageBreak/>
              <w:t>1.4</w:t>
            </w:r>
          </w:p>
        </w:tc>
        <w:tc>
          <w:tcPr>
            <w:tcW w:w="4249" w:type="dxa"/>
            <w:shd w:val="clear" w:color="auto" w:fill="auto"/>
          </w:tcPr>
          <w:p w14:paraId="0341A943" w14:textId="3A5EAD64" w:rsidR="008E082F" w:rsidRPr="00DF4169"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DF4169">
              <w:rPr>
                <w:rFonts w:eastAsia="STZhongsong" w:cs="Arial"/>
                <w:b/>
                <w:szCs w:val="22"/>
                <w:lang w:eastAsia="zh-CN"/>
              </w:rPr>
              <w:t>Commencement Date</w:t>
            </w:r>
            <w:r w:rsidR="00A7690E">
              <w:rPr>
                <w:rFonts w:eastAsia="STZhongsong" w:cs="Arial"/>
                <w:szCs w:val="22"/>
                <w:lang w:eastAsia="zh-CN"/>
              </w:rPr>
              <w:t xml:space="preserve">: </w:t>
            </w:r>
          </w:p>
          <w:p w14:paraId="0907249E" w14:textId="77777777" w:rsidR="008E082F" w:rsidRPr="00DF4169" w:rsidRDefault="008E082F" w:rsidP="00D40F55">
            <w:pPr>
              <w:overflowPunct/>
              <w:autoSpaceDE/>
              <w:autoSpaceDN/>
              <w:adjustRightInd/>
              <w:spacing w:before="120" w:after="120" w:line="240" w:lineRule="auto"/>
              <w:ind w:right="936"/>
              <w:jc w:val="left"/>
              <w:textAlignment w:val="auto"/>
              <w:rPr>
                <w:rFonts w:eastAsia="Calibri" w:cs="Arial"/>
                <w:szCs w:val="22"/>
              </w:rPr>
            </w:pPr>
          </w:p>
        </w:tc>
        <w:tc>
          <w:tcPr>
            <w:tcW w:w="4333" w:type="dxa"/>
            <w:gridSpan w:val="2"/>
            <w:shd w:val="clear" w:color="auto" w:fill="auto"/>
          </w:tcPr>
          <w:p w14:paraId="72147A7E" w14:textId="49FA81E4" w:rsidR="008E082F" w:rsidRPr="00A7690E" w:rsidRDefault="00BD4E6C" w:rsidP="00D40F55">
            <w:pPr>
              <w:spacing w:before="120" w:after="120" w:line="240" w:lineRule="auto"/>
              <w:jc w:val="left"/>
              <w:rPr>
                <w:rFonts w:cs="Arial"/>
                <w:szCs w:val="22"/>
                <w:shd w:val="clear" w:color="auto" w:fill="D9D9D9"/>
              </w:rPr>
            </w:pPr>
            <w:r>
              <w:rPr>
                <w:rFonts w:eastAsia="Calibri" w:cs="Arial"/>
                <w:szCs w:val="22"/>
              </w:rPr>
              <w:t>1</w:t>
            </w:r>
            <w:r w:rsidRPr="00BD4E6C">
              <w:rPr>
                <w:rFonts w:eastAsia="Calibri" w:cs="Arial"/>
                <w:szCs w:val="22"/>
                <w:vertAlign w:val="superscript"/>
              </w:rPr>
              <w:t>st</w:t>
            </w:r>
            <w:r>
              <w:rPr>
                <w:rFonts w:eastAsia="Calibri" w:cs="Arial"/>
                <w:szCs w:val="22"/>
              </w:rPr>
              <w:t xml:space="preserve"> July 2019</w:t>
            </w:r>
          </w:p>
        </w:tc>
      </w:tr>
      <w:tr w:rsidR="00380382" w:rsidRPr="00DF4169" w14:paraId="39842C8A" w14:textId="77777777" w:rsidTr="00DF4169">
        <w:tc>
          <w:tcPr>
            <w:tcW w:w="576" w:type="dxa"/>
          </w:tcPr>
          <w:p w14:paraId="6760D2FB" w14:textId="77777777" w:rsidR="008E082F" w:rsidRPr="00DF4169" w:rsidRDefault="008E082F" w:rsidP="00D40F55">
            <w:pPr>
              <w:pStyle w:val="11table"/>
              <w:numPr>
                <w:ilvl w:val="0"/>
                <w:numId w:val="0"/>
              </w:numPr>
              <w:spacing w:before="120" w:after="120"/>
              <w:rPr>
                <w:rFonts w:ascii="Arial" w:hAnsi="Arial" w:cs="Arial"/>
              </w:rPr>
            </w:pPr>
            <w:r w:rsidRPr="00DF4169">
              <w:rPr>
                <w:rFonts w:ascii="Arial" w:hAnsi="Arial" w:cs="Arial"/>
              </w:rPr>
              <w:t xml:space="preserve"> 1.5</w:t>
            </w:r>
          </w:p>
          <w:p w14:paraId="088ADE2C" w14:textId="77777777" w:rsidR="008E082F" w:rsidRPr="00DF4169"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4DAAEAD5" w:rsidR="008E082F" w:rsidRPr="00DF4169" w:rsidRDefault="00BD4E6C" w:rsidP="00D40F55">
            <w:pPr>
              <w:overflowPunct/>
              <w:autoSpaceDE/>
              <w:autoSpaceDN/>
              <w:spacing w:before="120" w:after="120" w:line="240" w:lineRule="auto"/>
              <w:jc w:val="left"/>
              <w:textAlignment w:val="auto"/>
              <w:rPr>
                <w:rFonts w:eastAsia="STZhongsong" w:cs="Arial"/>
                <w:szCs w:val="22"/>
                <w:lang w:eastAsia="zh-CN"/>
              </w:rPr>
            </w:pPr>
            <w:r>
              <w:rPr>
                <w:rFonts w:eastAsia="STZhongsong" w:cs="Arial"/>
                <w:b/>
                <w:szCs w:val="22"/>
                <w:lang w:eastAsia="zh-CN"/>
              </w:rPr>
              <w:t xml:space="preserve">Expiry Date: </w:t>
            </w:r>
          </w:p>
        </w:tc>
        <w:tc>
          <w:tcPr>
            <w:tcW w:w="4333" w:type="dxa"/>
            <w:gridSpan w:val="2"/>
            <w:shd w:val="clear" w:color="auto" w:fill="auto"/>
          </w:tcPr>
          <w:p w14:paraId="7A982303" w14:textId="69C32927" w:rsidR="00EA26DD" w:rsidRPr="00BD4E6C" w:rsidRDefault="00BD4E6C" w:rsidP="00D40F55">
            <w:pPr>
              <w:spacing w:before="120" w:after="120" w:line="240" w:lineRule="auto"/>
              <w:jc w:val="left"/>
              <w:rPr>
                <w:rFonts w:cs="Arial"/>
                <w:szCs w:val="22"/>
              </w:rPr>
            </w:pPr>
            <w:r>
              <w:rPr>
                <w:rFonts w:cs="Arial"/>
                <w:szCs w:val="22"/>
              </w:rPr>
              <w:t>30</w:t>
            </w:r>
            <w:r w:rsidRPr="00BD4E6C">
              <w:rPr>
                <w:rFonts w:cs="Arial"/>
                <w:szCs w:val="22"/>
                <w:vertAlign w:val="superscript"/>
              </w:rPr>
              <w:t>th</w:t>
            </w:r>
            <w:r>
              <w:rPr>
                <w:rFonts w:cs="Arial"/>
                <w:szCs w:val="22"/>
              </w:rPr>
              <w:t xml:space="preserve"> June 2020 with no option to extend. </w:t>
            </w:r>
          </w:p>
        </w:tc>
      </w:tr>
      <w:tr w:rsidR="00380382" w:rsidRPr="00DF4169" w14:paraId="03449035" w14:textId="77777777" w:rsidTr="00DF4169">
        <w:tc>
          <w:tcPr>
            <w:tcW w:w="576" w:type="dxa"/>
          </w:tcPr>
          <w:p w14:paraId="1EAD8D1E" w14:textId="77777777" w:rsidR="008E082F" w:rsidRPr="00DF4169" w:rsidRDefault="008E082F" w:rsidP="00D40F55">
            <w:pPr>
              <w:pStyle w:val="11table"/>
              <w:numPr>
                <w:ilvl w:val="0"/>
                <w:numId w:val="0"/>
              </w:numPr>
              <w:spacing w:before="120" w:after="120"/>
              <w:rPr>
                <w:rFonts w:ascii="Arial" w:hAnsi="Arial" w:cs="Arial"/>
              </w:rPr>
            </w:pPr>
            <w:r w:rsidRPr="00DF4169">
              <w:rPr>
                <w:rFonts w:ascii="Arial" w:hAnsi="Arial" w:cs="Arial"/>
              </w:rPr>
              <w:t>1.6</w:t>
            </w:r>
          </w:p>
        </w:tc>
        <w:tc>
          <w:tcPr>
            <w:tcW w:w="4249" w:type="dxa"/>
            <w:shd w:val="clear" w:color="auto" w:fill="auto"/>
          </w:tcPr>
          <w:p w14:paraId="030B695B"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F4169">
              <w:rPr>
                <w:rFonts w:eastAsia="STZhongsong" w:cs="Arial"/>
                <w:b/>
                <w:szCs w:val="22"/>
                <w:lang w:eastAsia="zh-CN"/>
              </w:rPr>
              <w:t>Signed for and on behalf of the Customer</w:t>
            </w:r>
            <w:r w:rsidR="007410E2" w:rsidRPr="00DF4169">
              <w:rPr>
                <w:rFonts w:eastAsia="STZhongsong" w:cs="Arial"/>
                <w:b/>
                <w:szCs w:val="22"/>
                <w:lang w:eastAsia="zh-CN"/>
              </w:rPr>
              <w:t xml:space="preserve"> by an authorised representative</w:t>
            </w:r>
            <w:r w:rsidRPr="00DF4169">
              <w:rPr>
                <w:rFonts w:eastAsia="STZhongsong" w:cs="Arial"/>
                <w:b/>
                <w:szCs w:val="22"/>
                <w:lang w:eastAsia="zh-CN"/>
              </w:rPr>
              <w:t>:</w:t>
            </w:r>
          </w:p>
        </w:tc>
        <w:tc>
          <w:tcPr>
            <w:tcW w:w="4333" w:type="dxa"/>
            <w:gridSpan w:val="2"/>
            <w:shd w:val="clear" w:color="auto" w:fill="auto"/>
          </w:tcPr>
          <w:p w14:paraId="67D57709" w14:textId="6A52F739" w:rsidR="008E082F" w:rsidRPr="00DF4169" w:rsidRDefault="008E082F" w:rsidP="00D40F55">
            <w:pPr>
              <w:spacing w:before="120" w:after="120" w:line="240" w:lineRule="auto"/>
              <w:jc w:val="left"/>
              <w:rPr>
                <w:rFonts w:cs="Arial"/>
                <w:i/>
                <w:szCs w:val="22"/>
              </w:rPr>
            </w:pPr>
          </w:p>
        </w:tc>
      </w:tr>
      <w:tr w:rsidR="00380382" w:rsidRPr="00DF4169" w14:paraId="04D4E700" w14:textId="77777777" w:rsidTr="00DF4169">
        <w:tc>
          <w:tcPr>
            <w:tcW w:w="576" w:type="dxa"/>
          </w:tcPr>
          <w:p w14:paraId="785CF600" w14:textId="77777777" w:rsidR="008E082F" w:rsidRPr="00DF4169"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DF4169"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F4169">
              <w:rPr>
                <w:rFonts w:eastAsia="STZhongsong" w:cs="Arial"/>
                <w:szCs w:val="22"/>
                <w:lang w:eastAsia="zh-CN"/>
              </w:rPr>
              <w:t>Name and Title</w:t>
            </w:r>
          </w:p>
        </w:tc>
        <w:tc>
          <w:tcPr>
            <w:tcW w:w="4333" w:type="dxa"/>
            <w:gridSpan w:val="2"/>
            <w:shd w:val="clear" w:color="auto" w:fill="auto"/>
          </w:tcPr>
          <w:p w14:paraId="08B0E1D9" w14:textId="3F12B917" w:rsidR="008E082F" w:rsidRPr="00DF4169" w:rsidRDefault="00D07AEC" w:rsidP="00D40F55">
            <w:pPr>
              <w:spacing w:before="120" w:after="120" w:line="240" w:lineRule="auto"/>
              <w:jc w:val="left"/>
              <w:rPr>
                <w:rFonts w:cs="Arial"/>
                <w:i/>
                <w:szCs w:val="22"/>
              </w:rPr>
            </w:pPr>
            <w:r>
              <w:rPr>
                <w:rFonts w:cs="Arial"/>
                <w:lang w:eastAsia="en-GB"/>
              </w:rPr>
              <w:t xml:space="preserve">REDACTED </w:t>
            </w:r>
            <w:r w:rsidRPr="000365EF">
              <w:rPr>
                <w:rFonts w:cs="Arial"/>
                <w:lang w:eastAsia="en-GB"/>
              </w:rPr>
              <w:t xml:space="preserve"> </w:t>
            </w:r>
          </w:p>
        </w:tc>
      </w:tr>
      <w:tr w:rsidR="00380382" w:rsidRPr="00DF4169" w14:paraId="08486D76" w14:textId="77777777" w:rsidTr="00DF4169">
        <w:tc>
          <w:tcPr>
            <w:tcW w:w="576" w:type="dxa"/>
          </w:tcPr>
          <w:p w14:paraId="76AEA212" w14:textId="77777777" w:rsidR="008E082F" w:rsidRPr="00DF4169"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DF4169"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F4169">
              <w:rPr>
                <w:rFonts w:eastAsia="STZhongsong" w:cs="Arial"/>
                <w:szCs w:val="22"/>
                <w:lang w:eastAsia="zh-CN"/>
              </w:rPr>
              <w:t>Signature</w:t>
            </w:r>
          </w:p>
        </w:tc>
        <w:tc>
          <w:tcPr>
            <w:tcW w:w="4333" w:type="dxa"/>
            <w:gridSpan w:val="2"/>
            <w:shd w:val="clear" w:color="auto" w:fill="auto"/>
          </w:tcPr>
          <w:p w14:paraId="3C28E791" w14:textId="6DF2C261" w:rsidR="008E082F" w:rsidRPr="00DF4169" w:rsidRDefault="00D07AEC" w:rsidP="00D40F55">
            <w:pPr>
              <w:spacing w:before="120" w:after="120" w:line="240" w:lineRule="auto"/>
              <w:jc w:val="left"/>
              <w:rPr>
                <w:rFonts w:cs="Arial"/>
                <w:i/>
                <w:szCs w:val="22"/>
              </w:rPr>
            </w:pPr>
            <w:r>
              <w:rPr>
                <w:rFonts w:cs="Arial"/>
                <w:lang w:eastAsia="en-GB"/>
              </w:rPr>
              <w:t xml:space="preserve">REDACTED </w:t>
            </w:r>
            <w:r w:rsidRPr="000365EF">
              <w:rPr>
                <w:rFonts w:cs="Arial"/>
                <w:lang w:eastAsia="en-GB"/>
              </w:rPr>
              <w:t xml:space="preserve"> </w:t>
            </w:r>
          </w:p>
        </w:tc>
      </w:tr>
      <w:tr w:rsidR="00380382" w:rsidRPr="00DF4169" w14:paraId="63E7C589" w14:textId="77777777" w:rsidTr="00DF4169">
        <w:tc>
          <w:tcPr>
            <w:tcW w:w="576" w:type="dxa"/>
          </w:tcPr>
          <w:p w14:paraId="5D9BFBCB" w14:textId="77777777" w:rsidR="008E082F" w:rsidRPr="00DF4169"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DF4169"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F4169">
              <w:rPr>
                <w:rFonts w:eastAsia="STZhongsong" w:cs="Arial"/>
                <w:szCs w:val="22"/>
                <w:lang w:eastAsia="zh-CN"/>
              </w:rPr>
              <w:t>Date</w:t>
            </w:r>
          </w:p>
        </w:tc>
        <w:tc>
          <w:tcPr>
            <w:tcW w:w="4333" w:type="dxa"/>
            <w:gridSpan w:val="2"/>
            <w:shd w:val="clear" w:color="auto" w:fill="auto"/>
          </w:tcPr>
          <w:p w14:paraId="522B5850" w14:textId="7767B6F9" w:rsidR="008E082F" w:rsidRPr="00DF4169" w:rsidRDefault="00D07AEC" w:rsidP="00D40F55">
            <w:pPr>
              <w:spacing w:before="120" w:after="120" w:line="240" w:lineRule="auto"/>
              <w:jc w:val="left"/>
              <w:rPr>
                <w:rFonts w:cs="Arial"/>
                <w:i/>
                <w:szCs w:val="22"/>
              </w:rPr>
            </w:pPr>
            <w:r>
              <w:rPr>
                <w:rFonts w:cs="Arial"/>
                <w:lang w:eastAsia="en-GB"/>
              </w:rPr>
              <w:t xml:space="preserve">REDACTED </w:t>
            </w:r>
            <w:r w:rsidRPr="000365EF">
              <w:rPr>
                <w:rFonts w:cs="Arial"/>
                <w:lang w:eastAsia="en-GB"/>
              </w:rPr>
              <w:t xml:space="preserve"> </w:t>
            </w:r>
          </w:p>
        </w:tc>
      </w:tr>
      <w:tr w:rsidR="00380382" w:rsidRPr="00DF4169" w14:paraId="30AA013D" w14:textId="77777777" w:rsidTr="00DF4169">
        <w:tc>
          <w:tcPr>
            <w:tcW w:w="576" w:type="dxa"/>
          </w:tcPr>
          <w:p w14:paraId="4D91F5C1" w14:textId="77777777" w:rsidR="008E082F" w:rsidRPr="00DF4169" w:rsidRDefault="008E082F" w:rsidP="00D40F55">
            <w:pPr>
              <w:pStyle w:val="11table"/>
              <w:numPr>
                <w:ilvl w:val="0"/>
                <w:numId w:val="0"/>
              </w:numPr>
              <w:spacing w:before="120" w:after="120"/>
              <w:rPr>
                <w:rFonts w:ascii="Arial" w:hAnsi="Arial" w:cs="Arial"/>
              </w:rPr>
            </w:pPr>
            <w:r w:rsidRPr="00DF4169">
              <w:rPr>
                <w:rFonts w:ascii="Arial" w:hAnsi="Arial" w:cs="Arial"/>
              </w:rPr>
              <w:t>1.7</w:t>
            </w:r>
          </w:p>
        </w:tc>
        <w:tc>
          <w:tcPr>
            <w:tcW w:w="4249" w:type="dxa"/>
            <w:shd w:val="clear" w:color="auto" w:fill="auto"/>
          </w:tcPr>
          <w:p w14:paraId="738DD6E9" w14:textId="77777777" w:rsidR="008E082F" w:rsidRPr="00DF4169"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F4169">
              <w:rPr>
                <w:rFonts w:eastAsia="STZhongsong" w:cs="Arial"/>
                <w:b/>
                <w:szCs w:val="22"/>
                <w:lang w:eastAsia="zh-CN"/>
              </w:rPr>
              <w:t>Signed for and on behalf of the Supplier</w:t>
            </w:r>
            <w:r w:rsidR="007410E2" w:rsidRPr="00DF4169">
              <w:rPr>
                <w:rFonts w:eastAsia="STZhongsong" w:cs="Arial"/>
                <w:b/>
                <w:szCs w:val="22"/>
                <w:lang w:eastAsia="zh-CN"/>
              </w:rPr>
              <w:t xml:space="preserve"> by an authorised representative</w:t>
            </w:r>
            <w:r w:rsidRPr="00DF4169">
              <w:rPr>
                <w:rFonts w:eastAsia="STZhongsong" w:cs="Arial"/>
                <w:b/>
                <w:szCs w:val="22"/>
                <w:lang w:eastAsia="zh-CN"/>
              </w:rPr>
              <w:t>:</w:t>
            </w:r>
          </w:p>
        </w:tc>
        <w:tc>
          <w:tcPr>
            <w:tcW w:w="4333" w:type="dxa"/>
            <w:gridSpan w:val="2"/>
            <w:shd w:val="clear" w:color="auto" w:fill="auto"/>
          </w:tcPr>
          <w:p w14:paraId="237A94C5" w14:textId="51D0E674" w:rsidR="008E082F" w:rsidRPr="00DF4169" w:rsidRDefault="008E082F" w:rsidP="00D40F55">
            <w:pPr>
              <w:spacing w:before="120" w:after="120" w:line="240" w:lineRule="auto"/>
              <w:jc w:val="left"/>
              <w:rPr>
                <w:rFonts w:cs="Arial"/>
                <w:i/>
                <w:szCs w:val="22"/>
              </w:rPr>
            </w:pPr>
          </w:p>
        </w:tc>
      </w:tr>
      <w:tr w:rsidR="00380382" w:rsidRPr="00DF4169" w14:paraId="61FA6E57" w14:textId="77777777" w:rsidTr="00DF4169">
        <w:tc>
          <w:tcPr>
            <w:tcW w:w="576" w:type="dxa"/>
          </w:tcPr>
          <w:p w14:paraId="04FE596E" w14:textId="77777777" w:rsidR="008E082F" w:rsidRPr="00DF4169"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DF4169"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F4169">
              <w:rPr>
                <w:rFonts w:eastAsia="STZhongsong" w:cs="Arial"/>
                <w:szCs w:val="22"/>
                <w:lang w:eastAsia="zh-CN"/>
              </w:rPr>
              <w:t>Name and Title</w:t>
            </w:r>
          </w:p>
        </w:tc>
        <w:tc>
          <w:tcPr>
            <w:tcW w:w="4333" w:type="dxa"/>
            <w:gridSpan w:val="2"/>
            <w:shd w:val="clear" w:color="auto" w:fill="auto"/>
          </w:tcPr>
          <w:p w14:paraId="63F2502B" w14:textId="454C429F" w:rsidR="008E082F" w:rsidRPr="00DF4169" w:rsidRDefault="00D07AEC" w:rsidP="00D40F55">
            <w:pPr>
              <w:spacing w:before="120" w:after="120" w:line="240" w:lineRule="auto"/>
              <w:jc w:val="left"/>
              <w:rPr>
                <w:rFonts w:cs="Arial"/>
                <w:i/>
                <w:szCs w:val="22"/>
              </w:rPr>
            </w:pPr>
            <w:r>
              <w:rPr>
                <w:rFonts w:cs="Arial"/>
                <w:lang w:eastAsia="en-GB"/>
              </w:rPr>
              <w:t xml:space="preserve">REDACTED </w:t>
            </w:r>
            <w:r w:rsidRPr="000365EF">
              <w:rPr>
                <w:rFonts w:cs="Arial"/>
                <w:lang w:eastAsia="en-GB"/>
              </w:rPr>
              <w:t xml:space="preserve"> </w:t>
            </w:r>
          </w:p>
        </w:tc>
      </w:tr>
      <w:tr w:rsidR="00380382" w:rsidRPr="00DF4169" w14:paraId="18997506" w14:textId="77777777" w:rsidTr="00DF4169">
        <w:tc>
          <w:tcPr>
            <w:tcW w:w="576" w:type="dxa"/>
          </w:tcPr>
          <w:p w14:paraId="5F67EEF3" w14:textId="77777777" w:rsidR="008E082F" w:rsidRPr="00DF4169"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DF4169"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F4169">
              <w:rPr>
                <w:rFonts w:eastAsia="STZhongsong" w:cs="Arial"/>
                <w:szCs w:val="22"/>
                <w:lang w:eastAsia="zh-CN"/>
              </w:rPr>
              <w:t>Signature</w:t>
            </w:r>
          </w:p>
        </w:tc>
        <w:tc>
          <w:tcPr>
            <w:tcW w:w="4333" w:type="dxa"/>
            <w:gridSpan w:val="2"/>
            <w:shd w:val="clear" w:color="auto" w:fill="auto"/>
          </w:tcPr>
          <w:p w14:paraId="00E62802" w14:textId="6FE07BD8" w:rsidR="008E082F" w:rsidRPr="00DF4169" w:rsidRDefault="00D07AEC" w:rsidP="00D40F55">
            <w:pPr>
              <w:spacing w:before="120" w:after="120" w:line="240" w:lineRule="auto"/>
              <w:jc w:val="left"/>
              <w:rPr>
                <w:rFonts w:cs="Arial"/>
                <w:i/>
                <w:szCs w:val="22"/>
              </w:rPr>
            </w:pPr>
            <w:r>
              <w:rPr>
                <w:rFonts w:cs="Arial"/>
                <w:lang w:eastAsia="en-GB"/>
              </w:rPr>
              <w:t xml:space="preserve">REDACTED </w:t>
            </w:r>
            <w:r w:rsidRPr="000365EF">
              <w:rPr>
                <w:rFonts w:cs="Arial"/>
                <w:lang w:eastAsia="en-GB"/>
              </w:rPr>
              <w:t xml:space="preserve"> </w:t>
            </w:r>
          </w:p>
        </w:tc>
      </w:tr>
      <w:tr w:rsidR="00380382" w:rsidRPr="00DF4169" w14:paraId="7A5BFCD6" w14:textId="77777777" w:rsidTr="00DF4169">
        <w:tc>
          <w:tcPr>
            <w:tcW w:w="576" w:type="dxa"/>
          </w:tcPr>
          <w:p w14:paraId="522B25AC" w14:textId="77777777" w:rsidR="008E082F" w:rsidRPr="00DF4169"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DF4169"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DF4169">
              <w:rPr>
                <w:rFonts w:eastAsia="STZhongsong" w:cs="Arial"/>
                <w:szCs w:val="22"/>
                <w:lang w:eastAsia="zh-CN"/>
              </w:rPr>
              <w:t>Date</w:t>
            </w:r>
          </w:p>
        </w:tc>
        <w:tc>
          <w:tcPr>
            <w:tcW w:w="4333" w:type="dxa"/>
            <w:gridSpan w:val="2"/>
            <w:shd w:val="clear" w:color="auto" w:fill="auto"/>
          </w:tcPr>
          <w:p w14:paraId="2BDA8CE5" w14:textId="1E2C90E3" w:rsidR="008E082F" w:rsidRPr="00DF4169" w:rsidRDefault="00D07AEC" w:rsidP="00D40F55">
            <w:pPr>
              <w:spacing w:before="120" w:after="120" w:line="240" w:lineRule="auto"/>
              <w:jc w:val="left"/>
              <w:rPr>
                <w:rFonts w:cs="Arial"/>
                <w:i/>
                <w:szCs w:val="22"/>
              </w:rPr>
            </w:pPr>
            <w:r>
              <w:rPr>
                <w:rFonts w:cs="Arial"/>
                <w:lang w:eastAsia="en-GB"/>
              </w:rPr>
              <w:t xml:space="preserve">REDACTED </w:t>
            </w:r>
            <w:r w:rsidRPr="000365EF">
              <w:rPr>
                <w:rFonts w:cs="Arial"/>
                <w:lang w:eastAsia="en-GB"/>
              </w:rPr>
              <w:t xml:space="preserve"> </w:t>
            </w:r>
          </w:p>
        </w:tc>
      </w:tr>
    </w:tbl>
    <w:p w14:paraId="0A8AC2ED" w14:textId="722F84FB" w:rsidR="008E082F" w:rsidRPr="00DF4169"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DF4169">
        <w:rPr>
          <w:rFonts w:eastAsia="Calibri" w:cs="Arial"/>
          <w:szCs w:val="22"/>
        </w:rPr>
        <w:br w:type="page"/>
      </w:r>
      <w:r w:rsidR="00DB297D" w:rsidRPr="00DF4169">
        <w:rPr>
          <w:rFonts w:eastAsia="Calibri" w:cs="Arial"/>
          <w:b/>
          <w:szCs w:val="22"/>
        </w:rPr>
        <w:lastRenderedPageBreak/>
        <w:t xml:space="preserve">SECTION B </w:t>
      </w:r>
    </w:p>
    <w:p w14:paraId="0864ADD5" w14:textId="488C0247" w:rsidR="008E082F" w:rsidRPr="00DF4169" w:rsidRDefault="002D03A0" w:rsidP="0089289C">
      <w:pPr>
        <w:pStyle w:val="ORDERFORML1PraraNo"/>
        <w:numPr>
          <w:ilvl w:val="0"/>
          <w:numId w:val="22"/>
        </w:numPr>
        <w:spacing w:before="120" w:after="120"/>
        <w:rPr>
          <w:rFonts w:ascii="Arial" w:hAnsi="Arial" w:cs="Arial"/>
        </w:rPr>
      </w:pPr>
      <w:r w:rsidRPr="00DF4169">
        <w:rPr>
          <w:rFonts w:ascii="Arial" w:hAnsi="Arial" w:cs="Arial"/>
        </w:rPr>
        <w:t xml:space="preserve">Panel </w:t>
      </w:r>
      <w:r w:rsidR="008E082F" w:rsidRPr="00DF4169">
        <w:rPr>
          <w:rFonts w:ascii="Arial" w:hAnsi="Arial" w:cs="Arial"/>
        </w:rPr>
        <w:t>Services</w:t>
      </w:r>
    </w:p>
    <w:p w14:paraId="196D6C8B" w14:textId="77777777" w:rsidR="008E082F" w:rsidRPr="00DF4169"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DF4169" w14:paraId="3B03F3FA" w14:textId="77777777" w:rsidTr="00DF4169">
        <w:tc>
          <w:tcPr>
            <w:tcW w:w="534" w:type="dxa"/>
          </w:tcPr>
          <w:p w14:paraId="15E9D1C3" w14:textId="77777777" w:rsidR="008E082F" w:rsidRPr="00DF4169" w:rsidRDefault="008E082F" w:rsidP="00D40F55">
            <w:pPr>
              <w:pStyle w:val="11table"/>
              <w:numPr>
                <w:ilvl w:val="0"/>
                <w:numId w:val="0"/>
              </w:numPr>
              <w:spacing w:before="120" w:after="120"/>
              <w:ind w:left="360" w:hanging="360"/>
              <w:rPr>
                <w:rFonts w:ascii="Arial" w:hAnsi="Arial" w:cs="Arial"/>
              </w:rPr>
            </w:pPr>
            <w:r w:rsidRPr="00DF4169">
              <w:rPr>
                <w:rFonts w:ascii="Arial" w:hAnsi="Arial" w:cs="Arial"/>
              </w:rPr>
              <w:t xml:space="preserve">1.1  </w:t>
            </w:r>
          </w:p>
        </w:tc>
        <w:tc>
          <w:tcPr>
            <w:tcW w:w="4688" w:type="dxa"/>
            <w:shd w:val="clear" w:color="auto" w:fill="auto"/>
          </w:tcPr>
          <w:p w14:paraId="4620E155" w14:textId="3E403190" w:rsidR="008E082F" w:rsidRPr="00DF4169"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F4169">
              <w:rPr>
                <w:rFonts w:eastAsia="STZhongsong" w:cs="Arial"/>
                <w:b/>
                <w:szCs w:val="22"/>
                <w:lang w:eastAsia="zh-CN"/>
              </w:rPr>
              <w:t xml:space="preserve">Panel </w:t>
            </w:r>
            <w:r w:rsidR="008E082F" w:rsidRPr="00DF4169">
              <w:rPr>
                <w:rFonts w:eastAsia="STZhongsong" w:cs="Arial"/>
                <w:b/>
                <w:szCs w:val="22"/>
                <w:lang w:eastAsia="zh-CN"/>
              </w:rPr>
              <w:t>Services</w:t>
            </w:r>
            <w:r w:rsidR="008E082F" w:rsidRPr="00DF4169">
              <w:rPr>
                <w:rFonts w:eastAsia="STZhongsong" w:cs="Arial"/>
                <w:szCs w:val="22"/>
                <w:lang w:eastAsia="zh-CN"/>
              </w:rPr>
              <w:t xml:space="preserve">: </w:t>
            </w:r>
          </w:p>
          <w:p w14:paraId="76715C42"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2E2776C3" w14:textId="24D4255E" w:rsidR="008E082F" w:rsidRPr="00BD4E6C" w:rsidRDefault="00567E36" w:rsidP="00BD4E6C">
            <w:pPr>
              <w:tabs>
                <w:tab w:val="left" w:pos="577"/>
              </w:tabs>
              <w:overflowPunct/>
              <w:autoSpaceDE/>
              <w:autoSpaceDN/>
              <w:spacing w:before="120" w:after="120" w:line="240" w:lineRule="auto"/>
              <w:jc w:val="left"/>
              <w:textAlignment w:val="auto"/>
              <w:rPr>
                <w:rFonts w:eastAsia="STZhongsong" w:cs="Arial"/>
                <w:b/>
                <w:szCs w:val="22"/>
                <w:lang w:eastAsia="zh-CN"/>
              </w:rPr>
            </w:pPr>
            <w:r>
              <w:rPr>
                <w:rFonts w:cs="Arial"/>
                <w:szCs w:val="22"/>
              </w:rPr>
              <w:t xml:space="preserve">Please refer to section C – Statement of Requirements. </w:t>
            </w:r>
          </w:p>
        </w:tc>
      </w:tr>
      <w:tr w:rsidR="00C3320D" w:rsidRPr="00DF4169" w14:paraId="7E732C24" w14:textId="77777777" w:rsidTr="00DF4169">
        <w:tc>
          <w:tcPr>
            <w:tcW w:w="534" w:type="dxa"/>
          </w:tcPr>
          <w:p w14:paraId="21B38F32" w14:textId="77777777" w:rsidR="008E082F" w:rsidRPr="00DF4169" w:rsidRDefault="008E082F" w:rsidP="00D40F55">
            <w:pPr>
              <w:pStyle w:val="11table"/>
              <w:numPr>
                <w:ilvl w:val="0"/>
                <w:numId w:val="0"/>
              </w:numPr>
              <w:spacing w:before="120" w:after="120"/>
              <w:ind w:left="360" w:hanging="360"/>
              <w:rPr>
                <w:rFonts w:ascii="Arial" w:hAnsi="Arial" w:cs="Arial"/>
              </w:rPr>
            </w:pPr>
            <w:r w:rsidRPr="00DF4169">
              <w:rPr>
                <w:rFonts w:ascii="Arial" w:hAnsi="Arial" w:cs="Arial"/>
              </w:rPr>
              <w:t>1.2</w:t>
            </w:r>
          </w:p>
        </w:tc>
        <w:tc>
          <w:tcPr>
            <w:tcW w:w="4688" w:type="dxa"/>
            <w:shd w:val="clear" w:color="auto" w:fill="auto"/>
          </w:tcPr>
          <w:p w14:paraId="00892EAF"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F4169">
              <w:rPr>
                <w:rFonts w:eastAsia="STZhongsong" w:cs="Arial"/>
                <w:b/>
                <w:szCs w:val="22"/>
                <w:lang w:eastAsia="zh-CN"/>
              </w:rPr>
              <w:t>Management and review of the Services</w:t>
            </w:r>
          </w:p>
          <w:p w14:paraId="29D0A7EC"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7A68DE7D" w:rsidR="008E082F" w:rsidRPr="00DF4169" w:rsidRDefault="00567E36" w:rsidP="00567E36">
            <w:pPr>
              <w:numPr>
                <w:ilvl w:val="1"/>
                <w:numId w:val="0"/>
              </w:numPr>
              <w:tabs>
                <w:tab w:val="left" w:pos="577"/>
              </w:tabs>
              <w:overflowPunct/>
              <w:autoSpaceDE/>
              <w:autoSpaceDN/>
              <w:spacing w:before="120" w:after="120" w:line="240" w:lineRule="auto"/>
              <w:jc w:val="left"/>
              <w:textAlignment w:val="auto"/>
              <w:rPr>
                <w:rFonts w:cs="Arial"/>
                <w:i/>
                <w:szCs w:val="22"/>
              </w:rPr>
            </w:pPr>
            <w:r>
              <w:rPr>
                <w:rFonts w:cs="Arial"/>
                <w:szCs w:val="22"/>
              </w:rPr>
              <w:t xml:space="preserve">Please refer to Section 15 of the Statement of Requirements. </w:t>
            </w:r>
          </w:p>
        </w:tc>
      </w:tr>
      <w:tr w:rsidR="00C3320D" w:rsidRPr="00DF4169" w14:paraId="677CDEBB" w14:textId="77777777" w:rsidTr="00DF4169">
        <w:tc>
          <w:tcPr>
            <w:tcW w:w="534" w:type="dxa"/>
          </w:tcPr>
          <w:p w14:paraId="23716494" w14:textId="77777777" w:rsidR="008E082F" w:rsidRPr="00DF4169" w:rsidRDefault="008E082F" w:rsidP="00D40F55">
            <w:pPr>
              <w:pStyle w:val="11table"/>
              <w:numPr>
                <w:ilvl w:val="0"/>
                <w:numId w:val="0"/>
              </w:numPr>
              <w:spacing w:before="120" w:after="120"/>
              <w:ind w:left="360" w:hanging="360"/>
              <w:rPr>
                <w:rFonts w:ascii="Arial" w:hAnsi="Arial" w:cs="Arial"/>
              </w:rPr>
            </w:pPr>
            <w:r w:rsidRPr="00DF4169">
              <w:rPr>
                <w:rFonts w:ascii="Arial" w:hAnsi="Arial" w:cs="Arial"/>
              </w:rPr>
              <w:t>1.3</w:t>
            </w:r>
          </w:p>
        </w:tc>
        <w:tc>
          <w:tcPr>
            <w:tcW w:w="4688" w:type="dxa"/>
            <w:shd w:val="clear" w:color="auto" w:fill="auto"/>
          </w:tcPr>
          <w:p w14:paraId="502C5336"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F812977"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F4169">
              <w:rPr>
                <w:rFonts w:eastAsia="STZhongsong" w:cs="Arial"/>
                <w:b/>
                <w:szCs w:val="22"/>
                <w:lang w:eastAsia="zh-CN"/>
              </w:rPr>
              <w:t>Place of performance</w:t>
            </w:r>
          </w:p>
          <w:p w14:paraId="292094D2"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1D7E468" w14:textId="33953E1B" w:rsidR="00BD4E6C" w:rsidRDefault="00BD4E6C"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Great Minster House, </w:t>
            </w:r>
          </w:p>
          <w:p w14:paraId="7F7C64D3" w14:textId="601AE4BF" w:rsidR="00BD4E6C" w:rsidRDefault="00BD4E6C"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33 Horseferry Road, </w:t>
            </w:r>
          </w:p>
          <w:p w14:paraId="02C66B6D" w14:textId="34B61EE8" w:rsidR="00BD4E6C" w:rsidRDefault="00BD4E6C"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London, </w:t>
            </w:r>
          </w:p>
          <w:p w14:paraId="4D08D915" w14:textId="4EC5B69B" w:rsidR="008E082F" w:rsidRPr="00BD4E6C" w:rsidRDefault="00BD4E6C" w:rsidP="00D40F55">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SW1P 4DR</w:t>
            </w:r>
          </w:p>
        </w:tc>
      </w:tr>
    </w:tbl>
    <w:p w14:paraId="3C799F8C" w14:textId="77777777" w:rsidR="008E082F" w:rsidRPr="00DF4169" w:rsidRDefault="008E082F" w:rsidP="00D40F55">
      <w:pPr>
        <w:spacing w:before="120" w:after="120" w:line="240" w:lineRule="auto"/>
        <w:rPr>
          <w:rFonts w:cs="Arial"/>
          <w:szCs w:val="22"/>
        </w:rPr>
      </w:pPr>
    </w:p>
    <w:p w14:paraId="20EAA21E" w14:textId="77777777" w:rsidR="008E082F" w:rsidRPr="00DF4169" w:rsidRDefault="008E082F" w:rsidP="00D40F55">
      <w:pPr>
        <w:pStyle w:val="ORDERFORML1PraraNo"/>
        <w:spacing w:before="120" w:after="120"/>
        <w:rPr>
          <w:rFonts w:ascii="Arial" w:hAnsi="Arial" w:cs="Arial"/>
        </w:rPr>
      </w:pPr>
      <w:r w:rsidRPr="00DF4169">
        <w:rPr>
          <w:rFonts w:ascii="Arial" w:hAnsi="Arial" w:cs="Arial"/>
        </w:rPr>
        <w:t>charges</w:t>
      </w:r>
    </w:p>
    <w:p w14:paraId="645A0DB9" w14:textId="77777777" w:rsidR="008E082F" w:rsidRPr="00DF4169"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173"/>
        <w:gridCol w:w="4081"/>
      </w:tblGrid>
      <w:tr w:rsidR="00C3320D" w:rsidRPr="00DF4169" w14:paraId="57650518" w14:textId="77777777" w:rsidTr="00BD4E6C">
        <w:trPr>
          <w:trHeight w:val="274"/>
        </w:trPr>
        <w:tc>
          <w:tcPr>
            <w:tcW w:w="657" w:type="dxa"/>
          </w:tcPr>
          <w:p w14:paraId="6DCD4E37" w14:textId="7F4334E1" w:rsidR="007A2902" w:rsidRPr="00DF4169" w:rsidRDefault="00DB7D75"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2.1</w:t>
            </w:r>
          </w:p>
        </w:tc>
        <w:tc>
          <w:tcPr>
            <w:tcW w:w="4173" w:type="dxa"/>
            <w:shd w:val="clear" w:color="auto" w:fill="auto"/>
          </w:tcPr>
          <w:p w14:paraId="7C250DA8" w14:textId="63FE621A" w:rsidR="007A2902" w:rsidRPr="00DF4169" w:rsidRDefault="007A2902" w:rsidP="00BD4E6C">
            <w:pPr>
              <w:numPr>
                <w:ilvl w:val="1"/>
                <w:numId w:val="0"/>
              </w:numPr>
              <w:overflowPunct/>
              <w:autoSpaceDE/>
              <w:autoSpaceDN/>
              <w:spacing w:before="120" w:after="120" w:line="240" w:lineRule="auto"/>
              <w:jc w:val="left"/>
              <w:textAlignment w:val="auto"/>
              <w:rPr>
                <w:rFonts w:eastAsia="STZhongsong" w:cs="Arial"/>
                <w:b/>
                <w:szCs w:val="22"/>
                <w:lang w:eastAsia="zh-CN"/>
              </w:rPr>
            </w:pPr>
            <w:r w:rsidRPr="00DF4169">
              <w:rPr>
                <w:rFonts w:eastAsia="STZhongsong" w:cs="Arial"/>
                <w:b/>
                <w:szCs w:val="22"/>
                <w:lang w:eastAsia="zh-CN"/>
              </w:rPr>
              <w:t xml:space="preserve">Hourly Rates </w:t>
            </w:r>
          </w:p>
          <w:p w14:paraId="3489E7F5" w14:textId="77777777" w:rsidR="007A2902" w:rsidRPr="00DF4169"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DF4169"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DF4169"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DF4169"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DF4169"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DF4169"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DF4169"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DF4169"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DF4169"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4081" w:type="dxa"/>
            <w:shd w:val="clear" w:color="auto" w:fill="auto"/>
          </w:tcPr>
          <w:p w14:paraId="195E72C1" w14:textId="1AA8A247" w:rsidR="007A2902" w:rsidRPr="00BD4E6C" w:rsidRDefault="00D07AEC" w:rsidP="00BD4E6C">
            <w:pPr>
              <w:numPr>
                <w:ilvl w:val="1"/>
                <w:numId w:val="0"/>
              </w:numPr>
              <w:overflowPunct/>
              <w:autoSpaceDE/>
              <w:autoSpaceDN/>
              <w:spacing w:before="120" w:after="120" w:line="240" w:lineRule="auto"/>
              <w:jc w:val="left"/>
              <w:textAlignment w:val="auto"/>
              <w:rPr>
                <w:rFonts w:cs="Arial"/>
                <w:szCs w:val="22"/>
              </w:rPr>
            </w:pPr>
            <w:r>
              <w:rPr>
                <w:rFonts w:cs="Arial"/>
                <w:lang w:eastAsia="en-GB"/>
              </w:rPr>
              <w:t xml:space="preserve">REDACTED </w:t>
            </w:r>
            <w:r w:rsidRPr="000365EF">
              <w:rPr>
                <w:rFonts w:cs="Arial"/>
                <w:lang w:eastAsia="en-GB"/>
              </w:rPr>
              <w:t xml:space="preserve"> </w:t>
            </w:r>
          </w:p>
        </w:tc>
      </w:tr>
      <w:tr w:rsidR="00C3320D" w:rsidRPr="00DF4169" w14:paraId="390CE8EF" w14:textId="77777777" w:rsidTr="00BD4E6C">
        <w:tc>
          <w:tcPr>
            <w:tcW w:w="657" w:type="dxa"/>
            <w:shd w:val="clear" w:color="auto" w:fill="auto"/>
          </w:tcPr>
          <w:p w14:paraId="16030869"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F4169">
              <w:rPr>
                <w:rFonts w:eastAsia="STZhongsong" w:cs="Arial"/>
                <w:b/>
                <w:szCs w:val="22"/>
                <w:lang w:eastAsia="zh-CN"/>
              </w:rPr>
              <w:t>2.2</w:t>
            </w:r>
          </w:p>
        </w:tc>
        <w:tc>
          <w:tcPr>
            <w:tcW w:w="4173" w:type="dxa"/>
            <w:shd w:val="clear" w:color="auto" w:fill="auto"/>
          </w:tcPr>
          <w:p w14:paraId="0D665886" w14:textId="5F64F947" w:rsidR="008E082F" w:rsidRPr="00DF4169" w:rsidRDefault="00BD4E6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Estimate of Charges</w:t>
            </w:r>
          </w:p>
          <w:p w14:paraId="2A5EBEE2"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1" w:type="dxa"/>
            <w:shd w:val="clear" w:color="auto" w:fill="auto"/>
          </w:tcPr>
          <w:p w14:paraId="6141EC23" w14:textId="7759FF99" w:rsidR="008E082F" w:rsidRPr="00BD4E6C" w:rsidRDefault="00DB7D75"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 xml:space="preserve">£110,000.00 (Ex. VAT) </w:t>
            </w:r>
          </w:p>
        </w:tc>
      </w:tr>
      <w:tr w:rsidR="00C3320D" w:rsidRPr="00DF4169" w14:paraId="2F19B1C1" w14:textId="77777777" w:rsidTr="00BD4E6C">
        <w:tc>
          <w:tcPr>
            <w:tcW w:w="657" w:type="dxa"/>
          </w:tcPr>
          <w:p w14:paraId="3F50FA15"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F4169">
              <w:rPr>
                <w:rFonts w:eastAsia="STZhongsong" w:cs="Arial"/>
                <w:b/>
                <w:szCs w:val="22"/>
                <w:lang w:eastAsia="zh-CN"/>
              </w:rPr>
              <w:t>2.3</w:t>
            </w:r>
          </w:p>
        </w:tc>
        <w:tc>
          <w:tcPr>
            <w:tcW w:w="4173" w:type="dxa"/>
            <w:shd w:val="clear" w:color="auto" w:fill="auto"/>
          </w:tcPr>
          <w:p w14:paraId="2096C8A1" w14:textId="4560768A"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F4169">
              <w:rPr>
                <w:rFonts w:eastAsia="STZhongsong" w:cs="Arial"/>
                <w:b/>
                <w:szCs w:val="22"/>
                <w:lang w:eastAsia="zh-CN"/>
              </w:rPr>
              <w:t xml:space="preserve">Fixed Price </w:t>
            </w:r>
          </w:p>
          <w:p w14:paraId="539B8986"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F7CCFF"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D801B05"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1" w:type="dxa"/>
            <w:shd w:val="clear" w:color="auto" w:fill="auto"/>
          </w:tcPr>
          <w:p w14:paraId="0F50F027" w14:textId="33731921" w:rsidR="008E082F" w:rsidRPr="00BD4E6C" w:rsidRDefault="003C09F1" w:rsidP="003C09F1">
            <w:pPr>
              <w:overflowPunct/>
              <w:autoSpaceDE/>
              <w:autoSpaceDN/>
              <w:spacing w:before="120" w:after="120" w:line="240" w:lineRule="auto"/>
              <w:jc w:val="left"/>
              <w:textAlignment w:val="auto"/>
              <w:rPr>
                <w:rFonts w:cs="Arial"/>
                <w:szCs w:val="22"/>
              </w:rPr>
            </w:pPr>
            <w:r>
              <w:rPr>
                <w:rFonts w:cs="Arial"/>
                <w:szCs w:val="22"/>
              </w:rPr>
              <w:t xml:space="preserve">Not used </w:t>
            </w:r>
          </w:p>
        </w:tc>
      </w:tr>
      <w:tr w:rsidR="00C3320D" w:rsidRPr="00DF4169" w14:paraId="53D9C72F" w14:textId="77777777" w:rsidTr="00BD4E6C">
        <w:tc>
          <w:tcPr>
            <w:tcW w:w="657" w:type="dxa"/>
          </w:tcPr>
          <w:p w14:paraId="07C50BB0"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F4169">
              <w:rPr>
                <w:rFonts w:eastAsia="STZhongsong" w:cs="Arial"/>
                <w:b/>
                <w:szCs w:val="22"/>
                <w:lang w:eastAsia="zh-CN"/>
              </w:rPr>
              <w:t>2.4</w:t>
            </w:r>
          </w:p>
        </w:tc>
        <w:tc>
          <w:tcPr>
            <w:tcW w:w="4173" w:type="dxa"/>
            <w:shd w:val="clear" w:color="auto" w:fill="auto"/>
          </w:tcPr>
          <w:p w14:paraId="2D5E18DC" w14:textId="7DEFA927" w:rsidR="008E082F" w:rsidRPr="00DF4169" w:rsidRDefault="00BD4E6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Capped Price</w:t>
            </w:r>
          </w:p>
          <w:p w14:paraId="0DEC7310"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306D6B3" w14:textId="77777777" w:rsidR="008E082F" w:rsidRPr="00DF4169"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81" w:type="dxa"/>
            <w:shd w:val="clear" w:color="auto" w:fill="auto"/>
          </w:tcPr>
          <w:p w14:paraId="08B6474B" w14:textId="0755D37A" w:rsidR="008E082F" w:rsidRPr="00BD4E6C" w:rsidRDefault="003C09F1" w:rsidP="003C09F1">
            <w:pPr>
              <w:overflowPunct/>
              <w:autoSpaceDE/>
              <w:autoSpaceDN/>
              <w:spacing w:before="120" w:after="120" w:line="240" w:lineRule="auto"/>
              <w:jc w:val="left"/>
              <w:textAlignment w:val="auto"/>
              <w:rPr>
                <w:rFonts w:cs="Arial"/>
                <w:szCs w:val="22"/>
              </w:rPr>
            </w:pPr>
            <w:r>
              <w:rPr>
                <w:rFonts w:cs="Arial"/>
                <w:szCs w:val="22"/>
              </w:rPr>
              <w:lastRenderedPageBreak/>
              <w:t>Not used</w:t>
            </w:r>
          </w:p>
        </w:tc>
      </w:tr>
      <w:tr w:rsidR="00C3320D" w:rsidRPr="00DF4169" w14:paraId="5A92AABB" w14:textId="77777777" w:rsidTr="00BD4E6C">
        <w:tc>
          <w:tcPr>
            <w:tcW w:w="657" w:type="dxa"/>
          </w:tcPr>
          <w:p w14:paraId="64BB4617" w14:textId="77777777" w:rsidR="00DD17E4" w:rsidRPr="00DF4169"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F4169">
              <w:rPr>
                <w:rFonts w:eastAsia="STZhongsong" w:cs="Arial"/>
                <w:b/>
                <w:szCs w:val="22"/>
                <w:lang w:eastAsia="zh-CN"/>
              </w:rPr>
              <w:t>2.</w:t>
            </w:r>
            <w:r w:rsidR="00C54786" w:rsidRPr="00DF4169">
              <w:rPr>
                <w:rFonts w:eastAsia="STZhongsong" w:cs="Arial"/>
                <w:b/>
                <w:szCs w:val="22"/>
                <w:lang w:eastAsia="zh-CN"/>
              </w:rPr>
              <w:t>5</w:t>
            </w:r>
          </w:p>
        </w:tc>
        <w:tc>
          <w:tcPr>
            <w:tcW w:w="4173" w:type="dxa"/>
            <w:shd w:val="clear" w:color="auto" w:fill="auto"/>
          </w:tcPr>
          <w:p w14:paraId="7F7CCF65" w14:textId="1253E146" w:rsidR="00DD17E4"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F4169">
              <w:rPr>
                <w:rFonts w:eastAsia="STZhongsong" w:cs="Arial"/>
                <w:b/>
                <w:szCs w:val="22"/>
                <w:lang w:eastAsia="zh-CN"/>
              </w:rPr>
              <w:t>Other Costs</w:t>
            </w:r>
          </w:p>
          <w:p w14:paraId="36F5EFDB" w14:textId="77777777" w:rsidR="00EC2891" w:rsidRPr="00DF4169" w:rsidRDefault="00EC289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722D5D3C" w14:textId="77777777" w:rsidR="00EF4696" w:rsidRPr="00DF4169" w:rsidRDefault="00EF4696"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DF4169">
              <w:rPr>
                <w:rFonts w:cs="Arial"/>
                <w:b/>
                <w:szCs w:val="22"/>
              </w:rPr>
              <w:t xml:space="preserve">Reimbursable Expenses </w:t>
            </w:r>
          </w:p>
          <w:p w14:paraId="1CA6849B" w14:textId="22FF554A" w:rsidR="00EC2891" w:rsidRPr="00DF4169" w:rsidRDefault="00EC2891"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A6C6AA5" w14:textId="75825B1F" w:rsidR="00EC2891" w:rsidRPr="00DF4169" w:rsidRDefault="00EC2891" w:rsidP="00D40F55">
            <w:pPr>
              <w:numPr>
                <w:ilvl w:val="1"/>
                <w:numId w:val="0"/>
              </w:numPr>
              <w:tabs>
                <w:tab w:val="left" w:pos="577"/>
              </w:tabs>
              <w:overflowPunct/>
              <w:autoSpaceDE/>
              <w:autoSpaceDN/>
              <w:spacing w:before="120" w:after="120" w:line="240" w:lineRule="auto"/>
              <w:jc w:val="left"/>
              <w:textAlignment w:val="auto"/>
              <w:rPr>
                <w:rFonts w:cs="Arial"/>
                <w:b/>
                <w:szCs w:val="22"/>
              </w:rPr>
            </w:pPr>
            <w:r>
              <w:rPr>
                <w:rFonts w:cs="Arial"/>
                <w:b/>
                <w:szCs w:val="22"/>
              </w:rPr>
              <w:t>Disbursements</w:t>
            </w:r>
          </w:p>
          <w:p w14:paraId="30FC2506" w14:textId="7980BCD4" w:rsidR="00C916CB" w:rsidRPr="00DF4169" w:rsidRDefault="00C916C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2519B7" w14:textId="48AFBFB7" w:rsidR="00DB3DDB" w:rsidRDefault="00DB3DDB"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DF4169">
              <w:rPr>
                <w:rFonts w:eastAsia="STZhongsong" w:cs="Arial"/>
                <w:b/>
                <w:szCs w:val="22"/>
                <w:lang w:eastAsia="zh-CN"/>
              </w:rPr>
              <w:t>Additional training</w:t>
            </w:r>
          </w:p>
          <w:p w14:paraId="195A9ED5" w14:textId="77777777" w:rsidR="00EC2891" w:rsidRPr="00DF4169" w:rsidRDefault="00EC2891"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E5866B6" w14:textId="77777777" w:rsidR="00DB3DDB" w:rsidRPr="00DF4169"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DF4169">
              <w:rPr>
                <w:rFonts w:eastAsia="STZhongsong" w:cs="Arial"/>
                <w:b/>
                <w:szCs w:val="22"/>
                <w:lang w:eastAsia="zh-CN"/>
              </w:rPr>
              <w:t>Secondment Charge</w:t>
            </w:r>
          </w:p>
        </w:tc>
        <w:tc>
          <w:tcPr>
            <w:tcW w:w="4081" w:type="dxa"/>
            <w:shd w:val="clear" w:color="auto" w:fill="auto"/>
          </w:tcPr>
          <w:p w14:paraId="6B1F551D" w14:textId="77777777" w:rsidR="00EC2891" w:rsidRDefault="00EC2891" w:rsidP="00EC2891">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Not used</w:t>
            </w:r>
          </w:p>
          <w:p w14:paraId="1E9B5A86" w14:textId="77777777" w:rsidR="00EC2891" w:rsidRDefault="00EC2891" w:rsidP="00EC2891">
            <w:pPr>
              <w:numPr>
                <w:ilvl w:val="1"/>
                <w:numId w:val="0"/>
              </w:numPr>
              <w:tabs>
                <w:tab w:val="left" w:pos="577"/>
              </w:tabs>
              <w:overflowPunct/>
              <w:autoSpaceDE/>
              <w:autoSpaceDN/>
              <w:spacing w:before="120" w:after="120" w:line="240" w:lineRule="auto"/>
              <w:jc w:val="left"/>
              <w:textAlignment w:val="auto"/>
              <w:rPr>
                <w:rFonts w:cs="Arial"/>
                <w:szCs w:val="22"/>
              </w:rPr>
            </w:pPr>
          </w:p>
          <w:p w14:paraId="5AA19ADB" w14:textId="77777777" w:rsidR="00C54786" w:rsidRDefault="00EC2891" w:rsidP="00EC2891">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Not payable  </w:t>
            </w:r>
          </w:p>
          <w:p w14:paraId="27B42E47" w14:textId="4A305E5C" w:rsidR="00EC2891" w:rsidRDefault="00EC2891" w:rsidP="00EC2891">
            <w:pPr>
              <w:numPr>
                <w:ilvl w:val="1"/>
                <w:numId w:val="0"/>
              </w:numPr>
              <w:tabs>
                <w:tab w:val="left" w:pos="577"/>
              </w:tabs>
              <w:overflowPunct/>
              <w:autoSpaceDE/>
              <w:autoSpaceDN/>
              <w:spacing w:before="120" w:after="120" w:line="240" w:lineRule="auto"/>
              <w:jc w:val="left"/>
              <w:textAlignment w:val="auto"/>
              <w:rPr>
                <w:rFonts w:cs="Arial"/>
                <w:szCs w:val="22"/>
              </w:rPr>
            </w:pPr>
          </w:p>
          <w:p w14:paraId="492D342B" w14:textId="77777777" w:rsidR="00EC2891" w:rsidRDefault="00EC2891" w:rsidP="00EC2891">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Not Payable </w:t>
            </w:r>
          </w:p>
          <w:p w14:paraId="7379FE80" w14:textId="77777777" w:rsidR="00EC2891" w:rsidRDefault="00EC2891" w:rsidP="00EC2891">
            <w:pPr>
              <w:numPr>
                <w:ilvl w:val="1"/>
                <w:numId w:val="0"/>
              </w:numPr>
              <w:tabs>
                <w:tab w:val="left" w:pos="577"/>
              </w:tabs>
              <w:overflowPunct/>
              <w:autoSpaceDE/>
              <w:autoSpaceDN/>
              <w:spacing w:before="120" w:after="120" w:line="240" w:lineRule="auto"/>
              <w:jc w:val="left"/>
              <w:textAlignment w:val="auto"/>
              <w:rPr>
                <w:rFonts w:cs="Arial"/>
                <w:szCs w:val="22"/>
              </w:rPr>
            </w:pPr>
          </w:p>
          <w:p w14:paraId="16CBB09E" w14:textId="4DF2C706" w:rsidR="00EC2891" w:rsidRDefault="00EC2891" w:rsidP="00EC2891">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Not used </w:t>
            </w:r>
          </w:p>
          <w:p w14:paraId="75CA083E" w14:textId="77777777" w:rsidR="00EC2891" w:rsidRDefault="00EC2891" w:rsidP="00EC2891">
            <w:pPr>
              <w:numPr>
                <w:ilvl w:val="1"/>
                <w:numId w:val="0"/>
              </w:numPr>
              <w:tabs>
                <w:tab w:val="left" w:pos="577"/>
              </w:tabs>
              <w:overflowPunct/>
              <w:autoSpaceDE/>
              <w:autoSpaceDN/>
              <w:spacing w:before="120" w:after="120" w:line="240" w:lineRule="auto"/>
              <w:jc w:val="left"/>
              <w:textAlignment w:val="auto"/>
              <w:rPr>
                <w:rFonts w:cs="Arial"/>
                <w:szCs w:val="22"/>
              </w:rPr>
            </w:pPr>
          </w:p>
          <w:p w14:paraId="08AC71B4" w14:textId="281671C1" w:rsidR="00EC2891" w:rsidRPr="00EC2891" w:rsidRDefault="00EC2891" w:rsidP="00EC2891">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Not used </w:t>
            </w:r>
          </w:p>
        </w:tc>
      </w:tr>
    </w:tbl>
    <w:p w14:paraId="47ACA572" w14:textId="77777777" w:rsidR="008E082F" w:rsidRPr="00DF4169"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DF4169" w:rsidRDefault="008E082F" w:rsidP="00D40F55">
      <w:pPr>
        <w:pStyle w:val="ORDERFORML1PraraNo"/>
        <w:spacing w:before="120" w:after="120"/>
        <w:rPr>
          <w:rFonts w:ascii="Arial" w:hAnsi="Arial" w:cs="Arial"/>
        </w:rPr>
      </w:pPr>
      <w:r w:rsidRPr="00DF4169">
        <w:rPr>
          <w:rFonts w:ascii="Arial" w:hAnsi="Arial" w:cs="Arial"/>
        </w:rPr>
        <w:t>miscellaneous</w:t>
      </w:r>
    </w:p>
    <w:p w14:paraId="3C0303FA" w14:textId="77777777" w:rsidR="008E082F" w:rsidRPr="00DF4169" w:rsidRDefault="008E082F" w:rsidP="00D40F55">
      <w:pPr>
        <w:pStyle w:val="ORDERFORML1PraraNo"/>
        <w:numPr>
          <w:ilvl w:val="0"/>
          <w:numId w:val="0"/>
        </w:numPr>
        <w:spacing w:before="120" w:after="120"/>
        <w:ind w:left="426"/>
        <w:rPr>
          <w:rFonts w:ascii="Arial" w:hAnsi="Arial" w:cs="Arial"/>
        </w:rPr>
      </w:pPr>
    </w:p>
    <w:tbl>
      <w:tblPr>
        <w:tblW w:w="90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4056"/>
        <w:gridCol w:w="4302"/>
      </w:tblGrid>
      <w:tr w:rsidR="00C3320D" w:rsidRPr="00DF4169" w14:paraId="7805A5E1" w14:textId="77777777" w:rsidTr="00D07AEC">
        <w:trPr>
          <w:trHeight w:val="1247"/>
        </w:trPr>
        <w:tc>
          <w:tcPr>
            <w:tcW w:w="652" w:type="dxa"/>
          </w:tcPr>
          <w:p w14:paraId="5ABC6E67" w14:textId="77777777" w:rsidR="008E082F" w:rsidRPr="00DF4169" w:rsidRDefault="00E3495B" w:rsidP="00D40F55">
            <w:pPr>
              <w:numPr>
                <w:ilvl w:val="1"/>
                <w:numId w:val="0"/>
              </w:numPr>
              <w:overflowPunct/>
              <w:autoSpaceDE/>
              <w:autoSpaceDN/>
              <w:spacing w:before="120" w:after="120" w:line="240" w:lineRule="auto"/>
              <w:textAlignment w:val="auto"/>
              <w:rPr>
                <w:rFonts w:cs="Arial"/>
                <w:b/>
                <w:szCs w:val="22"/>
              </w:rPr>
            </w:pPr>
            <w:r w:rsidRPr="00DF4169">
              <w:rPr>
                <w:rFonts w:cs="Arial"/>
                <w:b/>
                <w:szCs w:val="22"/>
              </w:rPr>
              <w:t>3.1</w:t>
            </w:r>
          </w:p>
        </w:tc>
        <w:tc>
          <w:tcPr>
            <w:tcW w:w="4056" w:type="dxa"/>
            <w:shd w:val="clear" w:color="auto" w:fill="auto"/>
          </w:tcPr>
          <w:p w14:paraId="09E4446E" w14:textId="77777777" w:rsidR="008E082F" w:rsidRPr="00DF4169"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F4169">
              <w:rPr>
                <w:rFonts w:eastAsia="STZhongsong" w:cs="Arial"/>
                <w:b/>
                <w:caps/>
                <w:szCs w:val="22"/>
                <w:lang w:eastAsia="zh-CN"/>
              </w:rPr>
              <w:t>CUSTOMER REPRESENTATIVE</w:t>
            </w:r>
          </w:p>
        </w:tc>
        <w:tc>
          <w:tcPr>
            <w:tcW w:w="4302" w:type="dxa"/>
            <w:shd w:val="clear" w:color="auto" w:fill="auto"/>
          </w:tcPr>
          <w:p w14:paraId="47F3F91D" w14:textId="77777777" w:rsidR="00D07AEC" w:rsidRDefault="00D07AEC" w:rsidP="00EC2891">
            <w:pPr>
              <w:keepNext/>
              <w:keepLines/>
              <w:overflowPunct/>
              <w:autoSpaceDE/>
              <w:autoSpaceDN/>
              <w:spacing w:before="120" w:after="120" w:line="240" w:lineRule="auto"/>
              <w:textAlignment w:val="auto"/>
              <w:rPr>
                <w:rFonts w:cs="Arial"/>
                <w:lang w:eastAsia="en-GB"/>
              </w:rPr>
            </w:pPr>
            <w:r>
              <w:rPr>
                <w:rFonts w:cs="Arial"/>
                <w:lang w:eastAsia="en-GB"/>
              </w:rPr>
              <w:t xml:space="preserve">REDACTED </w:t>
            </w:r>
            <w:r w:rsidRPr="000365EF">
              <w:rPr>
                <w:rFonts w:cs="Arial"/>
                <w:lang w:eastAsia="en-GB"/>
              </w:rPr>
              <w:t xml:space="preserve"> </w:t>
            </w:r>
          </w:p>
          <w:p w14:paraId="3D570D8B" w14:textId="77777777" w:rsidR="00D07AEC" w:rsidRDefault="003C09F1" w:rsidP="00EC2891">
            <w:pPr>
              <w:keepNext/>
              <w:keepLines/>
              <w:overflowPunct/>
              <w:autoSpaceDE/>
              <w:autoSpaceDN/>
              <w:spacing w:before="120" w:after="120" w:line="240" w:lineRule="auto"/>
              <w:textAlignment w:val="auto"/>
              <w:rPr>
                <w:rFonts w:cs="Arial"/>
                <w:lang w:eastAsia="en-GB"/>
              </w:rPr>
            </w:pPr>
            <w:r>
              <w:rPr>
                <w:rFonts w:eastAsia="STZhongsong" w:cs="Arial"/>
                <w:szCs w:val="22"/>
                <w:lang w:eastAsia="zh-CN"/>
              </w:rPr>
              <w:t xml:space="preserve">Tel: </w:t>
            </w:r>
            <w:r w:rsidR="00D07AEC">
              <w:rPr>
                <w:rFonts w:cs="Arial"/>
                <w:lang w:eastAsia="en-GB"/>
              </w:rPr>
              <w:t xml:space="preserve">REDACTED </w:t>
            </w:r>
            <w:r w:rsidR="00D07AEC" w:rsidRPr="000365EF">
              <w:rPr>
                <w:rFonts w:cs="Arial"/>
                <w:lang w:eastAsia="en-GB"/>
              </w:rPr>
              <w:t xml:space="preserve"> </w:t>
            </w:r>
          </w:p>
          <w:p w14:paraId="51F67C26" w14:textId="37D0686E" w:rsidR="003C09F1" w:rsidRPr="00EC2891" w:rsidRDefault="003C09F1" w:rsidP="00EC2891">
            <w:pPr>
              <w:keepNext/>
              <w:keepLines/>
              <w:overflowPunct/>
              <w:autoSpaceDE/>
              <w:autoSpaceDN/>
              <w:spacing w:before="120" w:after="120" w:line="240" w:lineRule="auto"/>
              <w:textAlignment w:val="auto"/>
              <w:rPr>
                <w:rFonts w:eastAsia="STZhongsong" w:cs="Arial"/>
                <w:caps/>
                <w:szCs w:val="22"/>
                <w:lang w:eastAsia="zh-CN"/>
              </w:rPr>
            </w:pPr>
            <w:r>
              <w:rPr>
                <w:rFonts w:eastAsia="STZhongsong" w:cs="Arial"/>
                <w:szCs w:val="22"/>
                <w:lang w:eastAsia="zh-CN"/>
              </w:rPr>
              <w:t xml:space="preserve">Email: </w:t>
            </w:r>
            <w:r w:rsidR="00D07AEC">
              <w:rPr>
                <w:rFonts w:cs="Arial"/>
                <w:lang w:eastAsia="en-GB"/>
              </w:rPr>
              <w:t xml:space="preserve">REDACTED </w:t>
            </w:r>
            <w:r w:rsidR="00D07AEC" w:rsidRPr="000365EF">
              <w:rPr>
                <w:rFonts w:cs="Arial"/>
                <w:lang w:eastAsia="en-GB"/>
              </w:rPr>
              <w:t xml:space="preserve"> </w:t>
            </w:r>
          </w:p>
        </w:tc>
      </w:tr>
      <w:tr w:rsidR="00C3320D" w:rsidRPr="00DF4169" w14:paraId="48F22CFB" w14:textId="77777777" w:rsidTr="00D07AEC">
        <w:trPr>
          <w:trHeight w:val="1247"/>
        </w:trPr>
        <w:tc>
          <w:tcPr>
            <w:tcW w:w="652" w:type="dxa"/>
          </w:tcPr>
          <w:p w14:paraId="0BB98E0B" w14:textId="77777777" w:rsidR="008E082F" w:rsidRPr="00DF4169" w:rsidRDefault="00E3495B" w:rsidP="00D40F55">
            <w:pPr>
              <w:numPr>
                <w:ilvl w:val="1"/>
                <w:numId w:val="0"/>
              </w:numPr>
              <w:overflowPunct/>
              <w:autoSpaceDE/>
              <w:autoSpaceDN/>
              <w:spacing w:before="120" w:after="120" w:line="240" w:lineRule="auto"/>
              <w:textAlignment w:val="auto"/>
              <w:rPr>
                <w:rFonts w:cs="Arial"/>
                <w:b/>
                <w:szCs w:val="22"/>
              </w:rPr>
            </w:pPr>
            <w:r w:rsidRPr="00DF4169">
              <w:rPr>
                <w:rFonts w:cs="Arial"/>
                <w:b/>
                <w:szCs w:val="22"/>
              </w:rPr>
              <w:t>3.2</w:t>
            </w:r>
          </w:p>
        </w:tc>
        <w:tc>
          <w:tcPr>
            <w:tcW w:w="4056" w:type="dxa"/>
            <w:shd w:val="clear" w:color="auto" w:fill="auto"/>
          </w:tcPr>
          <w:p w14:paraId="688B05A6" w14:textId="77777777" w:rsidR="008E082F" w:rsidRPr="00DF4169"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DF4169">
              <w:rPr>
                <w:rFonts w:eastAsia="STZhongsong" w:cs="Arial"/>
                <w:b/>
                <w:caps/>
                <w:szCs w:val="22"/>
                <w:lang w:eastAsia="zh-CN"/>
              </w:rPr>
              <w:t>SUPPLIER REPRESENTATIVE</w:t>
            </w:r>
          </w:p>
        </w:tc>
        <w:tc>
          <w:tcPr>
            <w:tcW w:w="4302" w:type="dxa"/>
            <w:shd w:val="clear" w:color="auto" w:fill="auto"/>
          </w:tcPr>
          <w:p w14:paraId="4EE85B37" w14:textId="77777777" w:rsidR="00D07AEC" w:rsidRDefault="00D07AEC" w:rsidP="00D40F55">
            <w:pPr>
              <w:keepNext/>
              <w:keepLines/>
              <w:overflowPunct/>
              <w:autoSpaceDE/>
              <w:autoSpaceDN/>
              <w:spacing w:before="120" w:after="120" w:line="240" w:lineRule="auto"/>
              <w:textAlignment w:val="auto"/>
              <w:rPr>
                <w:rFonts w:cs="Arial"/>
                <w:lang w:eastAsia="en-GB"/>
              </w:rPr>
            </w:pPr>
            <w:r>
              <w:rPr>
                <w:rFonts w:cs="Arial"/>
                <w:lang w:eastAsia="en-GB"/>
              </w:rPr>
              <w:t xml:space="preserve">REDACTED </w:t>
            </w:r>
            <w:r w:rsidRPr="000365EF">
              <w:rPr>
                <w:rFonts w:cs="Arial"/>
                <w:lang w:eastAsia="en-GB"/>
              </w:rPr>
              <w:t xml:space="preserve"> </w:t>
            </w:r>
          </w:p>
          <w:p w14:paraId="64FDD9E7" w14:textId="561173F1" w:rsidR="003C09F1" w:rsidRDefault="003C09F1"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Tel:</w:t>
            </w:r>
            <w:r w:rsidR="00D07AEC">
              <w:rPr>
                <w:rFonts w:eastAsia="STZhongsong" w:cs="Arial"/>
                <w:szCs w:val="22"/>
                <w:lang w:eastAsia="zh-CN"/>
              </w:rPr>
              <w:t xml:space="preserve"> </w:t>
            </w:r>
            <w:r w:rsidR="00D07AEC">
              <w:rPr>
                <w:rFonts w:cs="Arial"/>
                <w:lang w:eastAsia="en-GB"/>
              </w:rPr>
              <w:t xml:space="preserve">REDACTED </w:t>
            </w:r>
            <w:r w:rsidR="00D07AEC" w:rsidRPr="000365EF">
              <w:rPr>
                <w:rFonts w:cs="Arial"/>
                <w:lang w:eastAsia="en-GB"/>
              </w:rPr>
              <w:t xml:space="preserve"> </w:t>
            </w:r>
          </w:p>
          <w:p w14:paraId="07685785" w14:textId="54FE29A6" w:rsidR="00D67F83" w:rsidRPr="00DF4169" w:rsidRDefault="00D67F83" w:rsidP="00D40F55">
            <w:pPr>
              <w:keepNext/>
              <w:keepLines/>
              <w:overflowPunct/>
              <w:autoSpaceDE/>
              <w:autoSpaceDN/>
              <w:spacing w:before="120" w:after="120" w:line="240" w:lineRule="auto"/>
              <w:textAlignment w:val="auto"/>
              <w:rPr>
                <w:rFonts w:eastAsia="STZhongsong" w:cs="Arial"/>
                <w:i/>
                <w:caps/>
                <w:szCs w:val="22"/>
                <w:lang w:eastAsia="zh-CN"/>
              </w:rPr>
            </w:pPr>
            <w:r>
              <w:rPr>
                <w:rFonts w:eastAsia="STZhongsong" w:cs="Arial"/>
                <w:szCs w:val="22"/>
                <w:lang w:eastAsia="zh-CN"/>
              </w:rPr>
              <w:t xml:space="preserve">Email: </w:t>
            </w:r>
            <w:r w:rsidR="00D07AEC">
              <w:rPr>
                <w:rFonts w:cs="Arial"/>
                <w:lang w:eastAsia="en-GB"/>
              </w:rPr>
              <w:t xml:space="preserve">REDACTED </w:t>
            </w:r>
            <w:r w:rsidR="00D07AEC" w:rsidRPr="000365EF">
              <w:rPr>
                <w:rFonts w:cs="Arial"/>
                <w:lang w:eastAsia="en-GB"/>
              </w:rPr>
              <w:t xml:space="preserve"> </w:t>
            </w:r>
          </w:p>
        </w:tc>
      </w:tr>
      <w:tr w:rsidR="00C3320D" w:rsidRPr="00DF4169" w14:paraId="54B5A07E" w14:textId="77777777" w:rsidTr="00D07AEC">
        <w:trPr>
          <w:trHeight w:val="4254"/>
        </w:trPr>
        <w:tc>
          <w:tcPr>
            <w:tcW w:w="652" w:type="dxa"/>
          </w:tcPr>
          <w:p w14:paraId="0DB484B6" w14:textId="77777777" w:rsidR="008E082F" w:rsidRPr="00DF4169" w:rsidRDefault="00E3495B" w:rsidP="00DF4169">
            <w:pPr>
              <w:numPr>
                <w:ilvl w:val="1"/>
                <w:numId w:val="0"/>
              </w:numPr>
              <w:overflowPunct/>
              <w:autoSpaceDE/>
              <w:autoSpaceDN/>
              <w:spacing w:before="120" w:after="120" w:line="240" w:lineRule="auto"/>
              <w:textAlignment w:val="auto"/>
              <w:rPr>
                <w:rFonts w:cs="Arial"/>
                <w:b/>
                <w:szCs w:val="22"/>
              </w:rPr>
            </w:pPr>
            <w:r w:rsidRPr="00DF4169">
              <w:rPr>
                <w:rFonts w:cs="Arial"/>
                <w:b/>
                <w:szCs w:val="22"/>
              </w:rPr>
              <w:t>3.3</w:t>
            </w:r>
          </w:p>
        </w:tc>
        <w:tc>
          <w:tcPr>
            <w:tcW w:w="4056" w:type="dxa"/>
            <w:shd w:val="clear" w:color="auto" w:fill="auto"/>
          </w:tcPr>
          <w:p w14:paraId="69D1E8C7" w14:textId="775FC83E" w:rsidR="008E082F" w:rsidRPr="00DF4169" w:rsidRDefault="008E082F" w:rsidP="00EC2891">
            <w:pPr>
              <w:keepNext/>
              <w:keepLines/>
              <w:overflowPunct/>
              <w:autoSpaceDE/>
              <w:autoSpaceDN/>
              <w:spacing w:before="120" w:after="120" w:line="240" w:lineRule="auto"/>
              <w:textAlignment w:val="auto"/>
              <w:rPr>
                <w:rFonts w:eastAsia="STZhongsong" w:cs="Arial"/>
                <w:b/>
                <w:caps/>
                <w:szCs w:val="22"/>
                <w:lang w:eastAsia="zh-CN"/>
              </w:rPr>
            </w:pPr>
            <w:r w:rsidRPr="00DF4169">
              <w:rPr>
                <w:rFonts w:eastAsia="STZhongsong" w:cs="Arial"/>
                <w:b/>
                <w:caps/>
                <w:szCs w:val="22"/>
                <w:lang w:eastAsia="zh-CN"/>
              </w:rPr>
              <w:t>key personnel</w:t>
            </w:r>
          </w:p>
        </w:tc>
        <w:tc>
          <w:tcPr>
            <w:tcW w:w="4302" w:type="dxa"/>
            <w:shd w:val="clear" w:color="auto" w:fill="auto"/>
          </w:tcPr>
          <w:p w14:paraId="3A5BFF60" w14:textId="77777777" w:rsidR="00D07AEC" w:rsidRDefault="00D07AEC" w:rsidP="008E2FC6">
            <w:pPr>
              <w:keepNext/>
              <w:keepLines/>
              <w:overflowPunct/>
              <w:autoSpaceDE/>
              <w:autoSpaceDN/>
              <w:spacing w:before="120" w:after="120" w:line="240" w:lineRule="auto"/>
              <w:textAlignment w:val="auto"/>
              <w:rPr>
                <w:rFonts w:cs="Arial"/>
                <w:lang w:eastAsia="en-GB"/>
              </w:rPr>
            </w:pPr>
            <w:r>
              <w:rPr>
                <w:rFonts w:cs="Arial"/>
                <w:lang w:eastAsia="en-GB"/>
              </w:rPr>
              <w:t xml:space="preserve">REDACTED </w:t>
            </w:r>
          </w:p>
          <w:p w14:paraId="627D9DE8" w14:textId="14E899AB" w:rsidR="008E2FC6" w:rsidRDefault="00D07AEC" w:rsidP="008E2FC6">
            <w:pPr>
              <w:keepNext/>
              <w:keepLines/>
              <w:overflowPunct/>
              <w:autoSpaceDE/>
              <w:autoSpaceDN/>
              <w:spacing w:before="120" w:after="120" w:line="240" w:lineRule="auto"/>
              <w:textAlignment w:val="auto"/>
              <w:rPr>
                <w:rFonts w:cs="Arial"/>
                <w:szCs w:val="22"/>
              </w:rPr>
            </w:pPr>
            <w:r w:rsidRPr="000365EF">
              <w:rPr>
                <w:rFonts w:cs="Arial"/>
                <w:lang w:eastAsia="en-GB"/>
              </w:rPr>
              <w:t xml:space="preserve"> </w:t>
            </w:r>
          </w:p>
          <w:p w14:paraId="2126486F" w14:textId="06C05DD8" w:rsidR="008E2FC6" w:rsidRPr="00DF4169" w:rsidRDefault="00D07AEC" w:rsidP="008E2FC6">
            <w:pPr>
              <w:keepNext/>
              <w:keepLines/>
              <w:overflowPunct/>
              <w:autoSpaceDE/>
              <w:autoSpaceDN/>
              <w:spacing w:before="120" w:after="120" w:line="240" w:lineRule="auto"/>
              <w:textAlignment w:val="auto"/>
              <w:rPr>
                <w:rFonts w:eastAsia="STZhongsong" w:cs="Arial"/>
                <w:i/>
                <w:szCs w:val="22"/>
                <w:lang w:eastAsia="zh-CN"/>
              </w:rPr>
            </w:pPr>
            <w:r>
              <w:rPr>
                <w:rFonts w:cs="Arial"/>
                <w:lang w:eastAsia="en-GB"/>
              </w:rPr>
              <w:t xml:space="preserve">REDACTED </w:t>
            </w:r>
            <w:r w:rsidRPr="000365EF">
              <w:rPr>
                <w:rFonts w:cs="Arial"/>
                <w:lang w:eastAsia="en-GB"/>
              </w:rPr>
              <w:t xml:space="preserve"> </w:t>
            </w:r>
          </w:p>
        </w:tc>
      </w:tr>
      <w:tr w:rsidR="00C3320D" w:rsidRPr="00DF4169" w14:paraId="110CF97A" w14:textId="77777777" w:rsidTr="00D07AEC">
        <w:trPr>
          <w:trHeight w:val="504"/>
        </w:trPr>
        <w:tc>
          <w:tcPr>
            <w:tcW w:w="652" w:type="dxa"/>
          </w:tcPr>
          <w:p w14:paraId="56DAD744" w14:textId="77777777" w:rsidR="008E082F" w:rsidRPr="00DF4169" w:rsidRDefault="00E3495B" w:rsidP="00DF4169">
            <w:pPr>
              <w:numPr>
                <w:ilvl w:val="1"/>
                <w:numId w:val="0"/>
              </w:numPr>
              <w:overflowPunct/>
              <w:autoSpaceDE/>
              <w:autoSpaceDN/>
              <w:spacing w:before="120" w:after="120" w:line="240" w:lineRule="auto"/>
              <w:textAlignment w:val="auto"/>
              <w:rPr>
                <w:rFonts w:cs="Arial"/>
                <w:b/>
                <w:szCs w:val="22"/>
              </w:rPr>
            </w:pPr>
            <w:r w:rsidRPr="00DF4169">
              <w:rPr>
                <w:rFonts w:cs="Arial"/>
                <w:b/>
                <w:szCs w:val="22"/>
              </w:rPr>
              <w:t>3.4</w:t>
            </w:r>
          </w:p>
        </w:tc>
        <w:tc>
          <w:tcPr>
            <w:tcW w:w="4056" w:type="dxa"/>
            <w:shd w:val="clear" w:color="auto" w:fill="auto"/>
          </w:tcPr>
          <w:p w14:paraId="24812F36" w14:textId="77777777" w:rsidR="008E082F" w:rsidRPr="00DF4169" w:rsidRDefault="008E082F" w:rsidP="00DF4169">
            <w:pPr>
              <w:keepNext/>
              <w:keepLines/>
              <w:overflowPunct/>
              <w:autoSpaceDE/>
              <w:autoSpaceDN/>
              <w:spacing w:before="120" w:after="120" w:line="240" w:lineRule="auto"/>
              <w:textAlignment w:val="auto"/>
              <w:rPr>
                <w:rFonts w:eastAsia="STZhongsong" w:cs="Arial"/>
                <w:b/>
                <w:caps/>
                <w:szCs w:val="22"/>
                <w:lang w:eastAsia="zh-CN"/>
              </w:rPr>
            </w:pPr>
            <w:r w:rsidRPr="00DF4169">
              <w:rPr>
                <w:rFonts w:eastAsia="STZhongsong" w:cs="Arial"/>
                <w:b/>
                <w:caps/>
                <w:szCs w:val="22"/>
                <w:lang w:eastAsia="zh-CN"/>
              </w:rPr>
              <w:t>Notices</w:t>
            </w:r>
          </w:p>
        </w:tc>
        <w:tc>
          <w:tcPr>
            <w:tcW w:w="4302" w:type="dxa"/>
            <w:shd w:val="clear" w:color="auto" w:fill="auto"/>
          </w:tcPr>
          <w:p w14:paraId="232301E8" w14:textId="67980861" w:rsidR="008E082F" w:rsidRPr="00DF4169" w:rsidRDefault="00D67F83" w:rsidP="00D67F83">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 xml:space="preserve">DLA Piper: </w:t>
            </w:r>
            <w:r w:rsidR="00D07AEC">
              <w:rPr>
                <w:rFonts w:cs="Arial"/>
                <w:lang w:eastAsia="en-GB"/>
              </w:rPr>
              <w:t xml:space="preserve">REDACTED </w:t>
            </w:r>
            <w:r w:rsidR="00D07AEC" w:rsidRPr="000365EF">
              <w:rPr>
                <w:rFonts w:cs="Arial"/>
                <w:lang w:eastAsia="en-GB"/>
              </w:rPr>
              <w:t xml:space="preserve"> </w:t>
            </w:r>
          </w:p>
        </w:tc>
      </w:tr>
      <w:tr w:rsidR="00C3320D" w:rsidRPr="00DF4169" w14:paraId="0E8449E4" w14:textId="77777777" w:rsidTr="00D07AEC">
        <w:trPr>
          <w:trHeight w:val="3378"/>
        </w:trPr>
        <w:tc>
          <w:tcPr>
            <w:tcW w:w="652" w:type="dxa"/>
          </w:tcPr>
          <w:p w14:paraId="39CB68C8" w14:textId="77777777" w:rsidR="008E082F" w:rsidRPr="00DF4169" w:rsidRDefault="00E3495B" w:rsidP="00DF4169">
            <w:pPr>
              <w:numPr>
                <w:ilvl w:val="1"/>
                <w:numId w:val="0"/>
              </w:numPr>
              <w:overflowPunct/>
              <w:autoSpaceDE/>
              <w:autoSpaceDN/>
              <w:spacing w:before="120" w:after="120" w:line="240" w:lineRule="auto"/>
              <w:textAlignment w:val="auto"/>
              <w:rPr>
                <w:rFonts w:cs="Arial"/>
                <w:b/>
                <w:szCs w:val="22"/>
              </w:rPr>
            </w:pPr>
            <w:r w:rsidRPr="00DF4169">
              <w:rPr>
                <w:rFonts w:cs="Arial"/>
                <w:b/>
                <w:szCs w:val="22"/>
              </w:rPr>
              <w:lastRenderedPageBreak/>
              <w:t>3.5</w:t>
            </w:r>
          </w:p>
        </w:tc>
        <w:tc>
          <w:tcPr>
            <w:tcW w:w="4056" w:type="dxa"/>
            <w:shd w:val="clear" w:color="auto" w:fill="auto"/>
          </w:tcPr>
          <w:p w14:paraId="4B7F819E" w14:textId="77777777" w:rsidR="008E082F" w:rsidRPr="00DF4169" w:rsidRDefault="008E082F" w:rsidP="00DF4169">
            <w:pPr>
              <w:keepNext/>
              <w:keepLines/>
              <w:overflowPunct/>
              <w:autoSpaceDE/>
              <w:autoSpaceDN/>
              <w:spacing w:before="120" w:after="120" w:line="240" w:lineRule="auto"/>
              <w:textAlignment w:val="auto"/>
              <w:rPr>
                <w:rFonts w:eastAsia="STZhongsong" w:cs="Arial"/>
                <w:b/>
                <w:caps/>
                <w:szCs w:val="22"/>
                <w:lang w:eastAsia="zh-CN"/>
              </w:rPr>
            </w:pPr>
            <w:r w:rsidRPr="00DF4169">
              <w:rPr>
                <w:rFonts w:eastAsia="STZhongsong" w:cs="Arial"/>
                <w:b/>
                <w:caps/>
                <w:szCs w:val="22"/>
                <w:lang w:eastAsia="zh-CN"/>
              </w:rPr>
              <w:t>CUSTOMER BILLING ADDRESS</w:t>
            </w:r>
          </w:p>
        </w:tc>
        <w:tc>
          <w:tcPr>
            <w:tcW w:w="4302" w:type="dxa"/>
            <w:shd w:val="clear" w:color="auto" w:fill="auto"/>
          </w:tcPr>
          <w:p w14:paraId="697E95ED" w14:textId="77777777" w:rsidR="008E082F" w:rsidRDefault="00B858A0" w:rsidP="00DF41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DfT Shared Services Centre </w:t>
            </w:r>
          </w:p>
          <w:p w14:paraId="10972882" w14:textId="77777777" w:rsidR="00B858A0" w:rsidRDefault="00B858A0" w:rsidP="00DF41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Shared Services Arvato </w:t>
            </w:r>
          </w:p>
          <w:p w14:paraId="7654C990" w14:textId="77777777" w:rsidR="00B858A0" w:rsidRDefault="00B858A0" w:rsidP="00DF41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5 Sandringham Park </w:t>
            </w:r>
          </w:p>
          <w:p w14:paraId="4150A9E3" w14:textId="77777777" w:rsidR="00B858A0" w:rsidRDefault="00B858A0" w:rsidP="00DF41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Swansea Vale </w:t>
            </w:r>
          </w:p>
          <w:p w14:paraId="4F7EAF47" w14:textId="77777777" w:rsidR="00B858A0" w:rsidRDefault="00B858A0" w:rsidP="00DF41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Swansea </w:t>
            </w:r>
          </w:p>
          <w:p w14:paraId="2CAFE93A" w14:textId="77777777" w:rsidR="00B858A0" w:rsidRDefault="00B858A0" w:rsidP="00DF41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SA07 0EA</w:t>
            </w:r>
          </w:p>
          <w:p w14:paraId="59385310" w14:textId="77777777" w:rsidR="00B858A0" w:rsidRDefault="00B858A0" w:rsidP="00DF4169">
            <w:pPr>
              <w:keepNext/>
              <w:keepLines/>
              <w:overflowPunct/>
              <w:autoSpaceDE/>
              <w:autoSpaceDN/>
              <w:spacing w:before="120" w:after="120" w:line="240" w:lineRule="auto"/>
              <w:textAlignment w:val="auto"/>
              <w:rPr>
                <w:rFonts w:eastAsia="STZhongsong" w:cs="Arial"/>
                <w:szCs w:val="22"/>
                <w:lang w:eastAsia="zh-CN"/>
              </w:rPr>
            </w:pPr>
          </w:p>
          <w:p w14:paraId="759C76BE" w14:textId="24CB24E2" w:rsidR="00B858A0" w:rsidRPr="00B858A0" w:rsidRDefault="00B858A0" w:rsidP="00D07AEC">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szCs w:val="22"/>
                <w:lang w:eastAsia="zh-CN"/>
              </w:rPr>
              <w:t xml:space="preserve">Email: </w:t>
            </w:r>
            <w:r w:rsidR="00D07AEC">
              <w:rPr>
                <w:rFonts w:cs="Arial"/>
                <w:lang w:eastAsia="en-GB"/>
              </w:rPr>
              <w:t xml:space="preserve">REDACTED </w:t>
            </w:r>
            <w:r w:rsidR="00D07AEC" w:rsidRPr="000365EF">
              <w:rPr>
                <w:rFonts w:cs="Arial"/>
                <w:lang w:eastAsia="en-GB"/>
              </w:rPr>
              <w:t xml:space="preserve"> </w:t>
            </w:r>
          </w:p>
        </w:tc>
      </w:tr>
      <w:tr w:rsidR="00C3320D" w:rsidRPr="00DF4169" w14:paraId="30E47F98" w14:textId="77777777" w:rsidTr="00D07AEC">
        <w:trPr>
          <w:trHeight w:val="751"/>
        </w:trPr>
        <w:tc>
          <w:tcPr>
            <w:tcW w:w="652" w:type="dxa"/>
          </w:tcPr>
          <w:p w14:paraId="041374D7" w14:textId="77777777" w:rsidR="008E082F" w:rsidRPr="00DF4169" w:rsidRDefault="00E3495B" w:rsidP="00DF4169">
            <w:pPr>
              <w:numPr>
                <w:ilvl w:val="1"/>
                <w:numId w:val="0"/>
              </w:numPr>
              <w:overflowPunct/>
              <w:autoSpaceDE/>
              <w:autoSpaceDN/>
              <w:spacing w:before="120" w:after="120" w:line="240" w:lineRule="auto"/>
              <w:textAlignment w:val="auto"/>
              <w:rPr>
                <w:rFonts w:cs="Arial"/>
                <w:b/>
                <w:szCs w:val="22"/>
              </w:rPr>
            </w:pPr>
            <w:r w:rsidRPr="00DF4169">
              <w:rPr>
                <w:rFonts w:cs="Arial"/>
                <w:b/>
                <w:szCs w:val="22"/>
              </w:rPr>
              <w:t>3.6</w:t>
            </w:r>
          </w:p>
        </w:tc>
        <w:tc>
          <w:tcPr>
            <w:tcW w:w="4056" w:type="dxa"/>
            <w:shd w:val="clear" w:color="auto" w:fill="auto"/>
          </w:tcPr>
          <w:p w14:paraId="79761ABE" w14:textId="77777777" w:rsidR="008E082F" w:rsidRPr="00DF4169" w:rsidRDefault="008E082F" w:rsidP="00DF4169">
            <w:pPr>
              <w:keepNext/>
              <w:keepLines/>
              <w:overflowPunct/>
              <w:autoSpaceDE/>
              <w:autoSpaceDN/>
              <w:spacing w:before="120" w:after="120" w:line="240" w:lineRule="auto"/>
              <w:textAlignment w:val="auto"/>
              <w:rPr>
                <w:rFonts w:eastAsia="STZhongsong" w:cs="Arial"/>
                <w:b/>
                <w:caps/>
                <w:szCs w:val="22"/>
                <w:lang w:eastAsia="zh-CN"/>
              </w:rPr>
            </w:pPr>
            <w:r w:rsidRPr="00DF4169">
              <w:rPr>
                <w:rFonts w:eastAsia="STZhongsong" w:cs="Arial"/>
                <w:b/>
                <w:caps/>
                <w:szCs w:val="22"/>
                <w:lang w:eastAsia="zh-CN"/>
              </w:rPr>
              <w:t>SUPPLIER BANK DETAILS</w:t>
            </w:r>
          </w:p>
        </w:tc>
        <w:tc>
          <w:tcPr>
            <w:tcW w:w="4302" w:type="dxa"/>
            <w:shd w:val="clear" w:color="auto" w:fill="auto"/>
          </w:tcPr>
          <w:p w14:paraId="152E6BA6" w14:textId="1541B139" w:rsidR="008E082F" w:rsidRPr="003A283E" w:rsidRDefault="00B858A0" w:rsidP="00DF41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To be confirmed between the customer and supplier. </w:t>
            </w:r>
          </w:p>
        </w:tc>
      </w:tr>
      <w:tr w:rsidR="00C3320D" w:rsidRPr="00DF4169" w14:paraId="5F745813" w14:textId="77777777" w:rsidTr="00D07AEC">
        <w:trPr>
          <w:trHeight w:val="2789"/>
        </w:trPr>
        <w:tc>
          <w:tcPr>
            <w:tcW w:w="652" w:type="dxa"/>
          </w:tcPr>
          <w:p w14:paraId="48FFBE37" w14:textId="77777777" w:rsidR="008E082F" w:rsidRPr="00DF4169" w:rsidRDefault="00E3495B" w:rsidP="00DF4169">
            <w:pPr>
              <w:numPr>
                <w:ilvl w:val="1"/>
                <w:numId w:val="0"/>
              </w:numPr>
              <w:overflowPunct/>
              <w:autoSpaceDE/>
              <w:autoSpaceDN/>
              <w:spacing w:before="120" w:after="120" w:line="240" w:lineRule="auto"/>
              <w:textAlignment w:val="auto"/>
              <w:rPr>
                <w:rFonts w:cs="Arial"/>
                <w:b/>
                <w:szCs w:val="22"/>
              </w:rPr>
            </w:pPr>
            <w:r w:rsidRPr="00DF4169">
              <w:rPr>
                <w:rFonts w:cs="Arial"/>
                <w:b/>
                <w:szCs w:val="22"/>
              </w:rPr>
              <w:t>3.7</w:t>
            </w:r>
          </w:p>
        </w:tc>
        <w:tc>
          <w:tcPr>
            <w:tcW w:w="4056" w:type="dxa"/>
            <w:shd w:val="clear" w:color="auto" w:fill="auto"/>
          </w:tcPr>
          <w:p w14:paraId="16310F36" w14:textId="77777777" w:rsidR="008E082F" w:rsidRPr="00DF4169" w:rsidRDefault="008E082F" w:rsidP="00DF4169">
            <w:pPr>
              <w:keepNext/>
              <w:keepLines/>
              <w:overflowPunct/>
              <w:autoSpaceDE/>
              <w:autoSpaceDN/>
              <w:spacing w:before="120" w:after="120" w:line="240" w:lineRule="auto"/>
              <w:textAlignment w:val="auto"/>
              <w:rPr>
                <w:rFonts w:eastAsia="STZhongsong" w:cs="Arial"/>
                <w:b/>
                <w:caps/>
                <w:szCs w:val="22"/>
                <w:lang w:eastAsia="zh-CN"/>
              </w:rPr>
            </w:pPr>
            <w:r w:rsidRPr="00DF4169">
              <w:rPr>
                <w:rFonts w:eastAsia="STZhongsong" w:cs="Arial"/>
                <w:b/>
                <w:caps/>
                <w:szCs w:val="22"/>
                <w:lang w:eastAsia="zh-CN"/>
              </w:rPr>
              <w:t>Customer’s purchase order number</w:t>
            </w:r>
          </w:p>
        </w:tc>
        <w:tc>
          <w:tcPr>
            <w:tcW w:w="4302" w:type="dxa"/>
            <w:shd w:val="clear" w:color="auto" w:fill="auto"/>
          </w:tcPr>
          <w:p w14:paraId="73214C2D" w14:textId="0B51EEB6" w:rsidR="008E082F" w:rsidRPr="003A283E" w:rsidRDefault="008025E0" w:rsidP="00DF41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Monthly timesheets will need to be supplied for approval by the Department before an invoice is submitted. This must set out detailed breakdown of work completed and the associated costs. Once the department has approved these timesheets, an invoice can be raised and submitted. The Department will undertake its review of the timesheets within 5 working days of receipt. </w:t>
            </w:r>
          </w:p>
        </w:tc>
      </w:tr>
      <w:tr w:rsidR="00C3320D" w:rsidRPr="00DF4169" w14:paraId="5ABDD40A" w14:textId="77777777" w:rsidTr="00D07AEC">
        <w:trPr>
          <w:trHeight w:val="504"/>
        </w:trPr>
        <w:tc>
          <w:tcPr>
            <w:tcW w:w="652" w:type="dxa"/>
          </w:tcPr>
          <w:p w14:paraId="0D63C951" w14:textId="77777777" w:rsidR="008E082F" w:rsidRPr="00DF4169" w:rsidRDefault="00E3495B" w:rsidP="00DF4169">
            <w:pPr>
              <w:numPr>
                <w:ilvl w:val="1"/>
                <w:numId w:val="0"/>
              </w:numPr>
              <w:overflowPunct/>
              <w:autoSpaceDE/>
              <w:autoSpaceDN/>
              <w:spacing w:before="120" w:after="120" w:line="240" w:lineRule="auto"/>
              <w:textAlignment w:val="auto"/>
              <w:rPr>
                <w:rFonts w:cs="Arial"/>
                <w:b/>
                <w:szCs w:val="22"/>
              </w:rPr>
            </w:pPr>
            <w:r w:rsidRPr="00DF4169">
              <w:rPr>
                <w:rFonts w:cs="Arial"/>
                <w:b/>
                <w:szCs w:val="22"/>
              </w:rPr>
              <w:t>3.8</w:t>
            </w:r>
          </w:p>
        </w:tc>
        <w:tc>
          <w:tcPr>
            <w:tcW w:w="4056" w:type="dxa"/>
            <w:shd w:val="clear" w:color="auto" w:fill="auto"/>
          </w:tcPr>
          <w:p w14:paraId="482ED7EE" w14:textId="77777777" w:rsidR="008E082F" w:rsidRPr="00DF4169" w:rsidRDefault="008E082F" w:rsidP="00DF4169">
            <w:pPr>
              <w:keepNext/>
              <w:keepLines/>
              <w:overflowPunct/>
              <w:autoSpaceDE/>
              <w:autoSpaceDN/>
              <w:spacing w:before="120" w:after="120" w:line="240" w:lineRule="auto"/>
              <w:textAlignment w:val="auto"/>
              <w:rPr>
                <w:rFonts w:eastAsia="STZhongsong" w:cs="Arial"/>
                <w:b/>
                <w:caps/>
                <w:szCs w:val="22"/>
                <w:lang w:eastAsia="zh-CN"/>
              </w:rPr>
            </w:pPr>
            <w:r w:rsidRPr="00DF4169">
              <w:rPr>
                <w:rFonts w:eastAsia="STZhongsong" w:cs="Arial"/>
                <w:b/>
                <w:caps/>
                <w:szCs w:val="22"/>
                <w:lang w:eastAsia="zh-CN"/>
              </w:rPr>
              <w:t xml:space="preserve">approved sub-contractors </w:t>
            </w:r>
          </w:p>
        </w:tc>
        <w:tc>
          <w:tcPr>
            <w:tcW w:w="4302" w:type="dxa"/>
            <w:shd w:val="clear" w:color="auto" w:fill="auto"/>
          </w:tcPr>
          <w:p w14:paraId="481EA572" w14:textId="30D876AB" w:rsidR="008E082F" w:rsidRPr="00DF4169" w:rsidRDefault="00D67F83" w:rsidP="00DF4169">
            <w:pPr>
              <w:keepNext/>
              <w:keepLines/>
              <w:overflowPunct/>
              <w:autoSpaceDE/>
              <w:autoSpaceDN/>
              <w:spacing w:before="120" w:after="120" w:line="240" w:lineRule="auto"/>
              <w:textAlignment w:val="auto"/>
              <w:rPr>
                <w:rFonts w:eastAsia="STZhongsong" w:cs="Arial"/>
                <w:i/>
                <w:szCs w:val="22"/>
                <w:lang w:eastAsia="zh-CN"/>
              </w:rPr>
            </w:pPr>
            <w:r>
              <w:rPr>
                <w:rFonts w:eastAsia="STZhongsong" w:cs="Arial"/>
                <w:szCs w:val="22"/>
                <w:lang w:eastAsia="zh-CN"/>
              </w:rPr>
              <w:t xml:space="preserve">Not Applicable. </w:t>
            </w:r>
          </w:p>
        </w:tc>
      </w:tr>
      <w:tr w:rsidR="00C3320D" w:rsidRPr="00DF4169" w14:paraId="22C9699F" w14:textId="77777777" w:rsidTr="00D07AEC">
        <w:trPr>
          <w:trHeight w:val="1511"/>
        </w:trPr>
        <w:tc>
          <w:tcPr>
            <w:tcW w:w="652" w:type="dxa"/>
          </w:tcPr>
          <w:p w14:paraId="3F7C645E" w14:textId="77777777" w:rsidR="008E082F" w:rsidRPr="00DF4169" w:rsidRDefault="00E3495B" w:rsidP="00DF4169">
            <w:pPr>
              <w:numPr>
                <w:ilvl w:val="1"/>
                <w:numId w:val="0"/>
              </w:numPr>
              <w:overflowPunct/>
              <w:autoSpaceDE/>
              <w:autoSpaceDN/>
              <w:spacing w:before="120" w:after="120" w:line="240" w:lineRule="auto"/>
              <w:textAlignment w:val="auto"/>
              <w:rPr>
                <w:rFonts w:cs="Arial"/>
                <w:b/>
                <w:szCs w:val="22"/>
              </w:rPr>
            </w:pPr>
            <w:r w:rsidRPr="00DF4169">
              <w:rPr>
                <w:rFonts w:cs="Arial"/>
                <w:b/>
                <w:szCs w:val="22"/>
              </w:rPr>
              <w:t>3.9</w:t>
            </w:r>
          </w:p>
        </w:tc>
        <w:tc>
          <w:tcPr>
            <w:tcW w:w="4056" w:type="dxa"/>
            <w:shd w:val="clear" w:color="auto" w:fill="auto"/>
          </w:tcPr>
          <w:p w14:paraId="222330BC" w14:textId="77777777" w:rsidR="008E082F" w:rsidRPr="00DF4169" w:rsidRDefault="008E082F" w:rsidP="00DF4169">
            <w:pPr>
              <w:keepNext/>
              <w:keepLines/>
              <w:overflowPunct/>
              <w:autoSpaceDE/>
              <w:autoSpaceDN/>
              <w:spacing w:before="120" w:after="120" w:line="240" w:lineRule="auto"/>
              <w:textAlignment w:val="auto"/>
              <w:rPr>
                <w:rFonts w:eastAsia="STZhongsong" w:cs="Arial"/>
                <w:b/>
                <w:caps/>
                <w:szCs w:val="22"/>
                <w:lang w:eastAsia="zh-CN"/>
              </w:rPr>
            </w:pPr>
            <w:r w:rsidRPr="00DF4169">
              <w:rPr>
                <w:rFonts w:eastAsia="STZhongsong" w:cs="Arial"/>
                <w:b/>
                <w:caps/>
                <w:szCs w:val="22"/>
                <w:lang w:eastAsia="zh-CN"/>
              </w:rPr>
              <w:t>BCDR</w:t>
            </w:r>
          </w:p>
        </w:tc>
        <w:tc>
          <w:tcPr>
            <w:tcW w:w="4302" w:type="dxa"/>
            <w:shd w:val="clear" w:color="auto" w:fill="auto"/>
          </w:tcPr>
          <w:p w14:paraId="3B1153D2" w14:textId="0FDA7742" w:rsidR="008E082F" w:rsidRPr="003A283E" w:rsidRDefault="003A283E" w:rsidP="00DF41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 xml:space="preserve">DfT required the external legal provider to provide a sufficient level of resource throughout the duration of the engagement in order to consistently deliver a quality service. </w:t>
            </w:r>
          </w:p>
        </w:tc>
      </w:tr>
      <w:tr w:rsidR="00C3320D" w:rsidRPr="00DF4169" w14:paraId="31DD9B40" w14:textId="77777777" w:rsidTr="00D07AEC">
        <w:trPr>
          <w:trHeight w:val="759"/>
        </w:trPr>
        <w:tc>
          <w:tcPr>
            <w:tcW w:w="652" w:type="dxa"/>
          </w:tcPr>
          <w:p w14:paraId="23E5B36F" w14:textId="77777777" w:rsidR="00021D24" w:rsidRPr="00DF4169" w:rsidRDefault="005B6A9E" w:rsidP="00DF4169">
            <w:pPr>
              <w:numPr>
                <w:ilvl w:val="1"/>
                <w:numId w:val="0"/>
              </w:numPr>
              <w:overflowPunct/>
              <w:autoSpaceDE/>
              <w:autoSpaceDN/>
              <w:spacing w:before="120" w:after="120" w:line="240" w:lineRule="auto"/>
              <w:textAlignment w:val="auto"/>
              <w:rPr>
                <w:rFonts w:cs="Arial"/>
                <w:b/>
                <w:szCs w:val="22"/>
              </w:rPr>
            </w:pPr>
            <w:r w:rsidRPr="00DF4169">
              <w:rPr>
                <w:rFonts w:cs="Arial"/>
                <w:b/>
                <w:szCs w:val="22"/>
              </w:rPr>
              <w:t>3.10</w:t>
            </w:r>
          </w:p>
        </w:tc>
        <w:tc>
          <w:tcPr>
            <w:tcW w:w="4056" w:type="dxa"/>
            <w:shd w:val="clear" w:color="auto" w:fill="auto"/>
          </w:tcPr>
          <w:p w14:paraId="08AB7909" w14:textId="33F5C22D" w:rsidR="00021D24" w:rsidRPr="003A283E" w:rsidRDefault="003A283E" w:rsidP="003A283E">
            <w:pPr>
              <w:numPr>
                <w:ilvl w:val="1"/>
                <w:numId w:val="0"/>
              </w:numPr>
              <w:spacing w:before="120" w:after="120" w:line="240" w:lineRule="auto"/>
              <w:rPr>
                <w:rFonts w:eastAsia="STZhongsong" w:cs="Arial"/>
                <w:b/>
                <w:szCs w:val="22"/>
                <w:lang w:eastAsia="zh-CN"/>
              </w:rPr>
            </w:pPr>
            <w:r>
              <w:rPr>
                <w:rFonts w:eastAsia="STZhongsong" w:cs="Arial"/>
                <w:b/>
                <w:szCs w:val="22"/>
                <w:lang w:eastAsia="zh-CN"/>
              </w:rPr>
              <w:t>Exit Management:</w:t>
            </w:r>
            <w:r w:rsidR="00021D24" w:rsidRPr="00DF4169">
              <w:rPr>
                <w:rFonts w:cs="Arial"/>
                <w:szCs w:val="22"/>
              </w:rPr>
              <w:t xml:space="preserve"> </w:t>
            </w:r>
          </w:p>
        </w:tc>
        <w:tc>
          <w:tcPr>
            <w:tcW w:w="4302" w:type="dxa"/>
            <w:shd w:val="clear" w:color="auto" w:fill="auto"/>
          </w:tcPr>
          <w:p w14:paraId="354EFA1B" w14:textId="7E49CFB9" w:rsidR="00021D24" w:rsidRPr="003A283E" w:rsidRDefault="003A283E" w:rsidP="00DF4169">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Please see Schedule 2 (Exit Management).</w:t>
            </w:r>
          </w:p>
        </w:tc>
      </w:tr>
      <w:tr w:rsidR="00C3320D" w:rsidRPr="00DF4169" w14:paraId="23EBD425" w14:textId="77777777" w:rsidTr="00D07AEC">
        <w:trPr>
          <w:trHeight w:val="1123"/>
        </w:trPr>
        <w:tc>
          <w:tcPr>
            <w:tcW w:w="652" w:type="dxa"/>
          </w:tcPr>
          <w:p w14:paraId="1D99BDFE" w14:textId="77777777" w:rsidR="005B6A9E" w:rsidRPr="00DF4169" w:rsidRDefault="005B6A9E" w:rsidP="00DF4169">
            <w:pPr>
              <w:numPr>
                <w:ilvl w:val="1"/>
                <w:numId w:val="0"/>
              </w:numPr>
              <w:overflowPunct/>
              <w:autoSpaceDE/>
              <w:autoSpaceDN/>
              <w:spacing w:before="120" w:after="120" w:line="240" w:lineRule="auto"/>
              <w:textAlignment w:val="auto"/>
              <w:rPr>
                <w:rFonts w:cs="Arial"/>
                <w:b/>
                <w:szCs w:val="22"/>
              </w:rPr>
            </w:pPr>
            <w:r w:rsidRPr="00DF4169">
              <w:rPr>
                <w:rFonts w:cs="Arial"/>
                <w:b/>
                <w:szCs w:val="22"/>
              </w:rPr>
              <w:t>3.11</w:t>
            </w:r>
          </w:p>
        </w:tc>
        <w:tc>
          <w:tcPr>
            <w:tcW w:w="4056" w:type="dxa"/>
            <w:shd w:val="clear" w:color="auto" w:fill="auto"/>
          </w:tcPr>
          <w:p w14:paraId="2E1A87A6" w14:textId="77777777" w:rsidR="005B6A9E" w:rsidRPr="00DF4169" w:rsidRDefault="005B6A9E" w:rsidP="00DF4169">
            <w:pPr>
              <w:numPr>
                <w:ilvl w:val="1"/>
                <w:numId w:val="0"/>
              </w:numPr>
              <w:spacing w:before="120" w:after="120" w:line="240" w:lineRule="auto"/>
              <w:rPr>
                <w:rFonts w:eastAsia="STZhongsong" w:cs="Arial"/>
                <w:b/>
                <w:szCs w:val="22"/>
                <w:lang w:eastAsia="zh-CN"/>
              </w:rPr>
            </w:pPr>
            <w:r w:rsidRPr="00DF4169">
              <w:rPr>
                <w:rFonts w:eastAsia="STZhongsong" w:cs="Arial"/>
                <w:b/>
                <w:szCs w:val="22"/>
                <w:lang w:eastAsia="zh-CN"/>
              </w:rPr>
              <w:t xml:space="preserve">Transparency </w:t>
            </w:r>
            <w:r w:rsidR="00482950" w:rsidRPr="00DF4169">
              <w:rPr>
                <w:rFonts w:eastAsia="STZhongsong" w:cs="Arial"/>
                <w:b/>
                <w:szCs w:val="22"/>
                <w:lang w:eastAsia="zh-CN"/>
              </w:rPr>
              <w:t>R</w:t>
            </w:r>
            <w:r w:rsidRPr="00DF4169">
              <w:rPr>
                <w:rFonts w:eastAsia="STZhongsong" w:cs="Arial"/>
                <w:b/>
                <w:szCs w:val="22"/>
                <w:lang w:eastAsia="zh-CN"/>
              </w:rPr>
              <w:t>eports</w:t>
            </w:r>
          </w:p>
          <w:p w14:paraId="4AD2C4FE" w14:textId="77777777" w:rsidR="00482950" w:rsidRPr="00DF4169" w:rsidRDefault="00482950" w:rsidP="00DF4169">
            <w:pPr>
              <w:numPr>
                <w:ilvl w:val="1"/>
                <w:numId w:val="0"/>
              </w:numPr>
              <w:spacing w:before="120" w:after="120" w:line="240" w:lineRule="auto"/>
              <w:rPr>
                <w:rFonts w:eastAsia="STZhongsong" w:cs="Arial"/>
                <w:szCs w:val="22"/>
                <w:lang w:eastAsia="zh-CN"/>
              </w:rPr>
            </w:pPr>
            <w:r w:rsidRPr="00DF4169">
              <w:rPr>
                <w:rFonts w:eastAsia="STZhongsong" w:cs="Arial"/>
                <w:szCs w:val="22"/>
                <w:lang w:eastAsia="zh-CN"/>
              </w:rPr>
              <w:t>In Contract Schedule 4 (Transparency Reports)</w:t>
            </w:r>
          </w:p>
        </w:tc>
        <w:tc>
          <w:tcPr>
            <w:tcW w:w="4302" w:type="dxa"/>
            <w:shd w:val="clear" w:color="auto" w:fill="auto"/>
          </w:tcPr>
          <w:p w14:paraId="12DC2E60" w14:textId="3225A3C0" w:rsidR="005B6A9E" w:rsidRPr="003A283E" w:rsidRDefault="003A283E" w:rsidP="00DF4169">
            <w:pPr>
              <w:keepNext/>
              <w:keepLines/>
              <w:overflowPunct/>
              <w:autoSpaceDE/>
              <w:autoSpaceDN/>
              <w:spacing w:before="120" w:after="120" w:line="240" w:lineRule="auto"/>
              <w:textAlignment w:val="auto"/>
              <w:rPr>
                <w:rFonts w:eastAsia="STZhongsong" w:cs="Arial"/>
                <w:szCs w:val="22"/>
                <w:lang w:eastAsia="zh-CN"/>
              </w:rPr>
            </w:pPr>
            <w:r w:rsidRPr="003A283E">
              <w:rPr>
                <w:rFonts w:eastAsia="STZhongsong" w:cs="Arial"/>
                <w:szCs w:val="22"/>
                <w:lang w:eastAsia="zh-CN"/>
              </w:rPr>
              <w:t xml:space="preserve">Please review Contract Schedule 4 (Transparency Reports) – Section </w:t>
            </w:r>
            <w:r>
              <w:rPr>
                <w:rFonts w:eastAsia="STZhongsong" w:cs="Arial"/>
                <w:szCs w:val="22"/>
                <w:lang w:eastAsia="zh-CN"/>
              </w:rPr>
              <w:t>9.5.</w:t>
            </w:r>
          </w:p>
        </w:tc>
      </w:tr>
      <w:tr w:rsidR="00C3320D" w:rsidRPr="00DF4169" w14:paraId="25B5F6DE" w14:textId="77777777" w:rsidTr="00D07AEC">
        <w:trPr>
          <w:trHeight w:val="759"/>
        </w:trPr>
        <w:tc>
          <w:tcPr>
            <w:tcW w:w="652" w:type="dxa"/>
          </w:tcPr>
          <w:p w14:paraId="29365CEB" w14:textId="77777777" w:rsidR="00144AFA" w:rsidRPr="00DF4169" w:rsidRDefault="00667CA8" w:rsidP="00DF4169">
            <w:pPr>
              <w:numPr>
                <w:ilvl w:val="1"/>
                <w:numId w:val="0"/>
              </w:numPr>
              <w:overflowPunct/>
              <w:autoSpaceDE/>
              <w:autoSpaceDN/>
              <w:spacing w:before="120" w:after="120" w:line="240" w:lineRule="auto"/>
              <w:textAlignment w:val="auto"/>
              <w:rPr>
                <w:rFonts w:cs="Arial"/>
                <w:b/>
                <w:szCs w:val="22"/>
              </w:rPr>
            </w:pPr>
            <w:r w:rsidRPr="00DF4169">
              <w:rPr>
                <w:rFonts w:cs="Arial"/>
                <w:b/>
                <w:szCs w:val="22"/>
              </w:rPr>
              <w:t>3.12</w:t>
            </w:r>
          </w:p>
        </w:tc>
        <w:tc>
          <w:tcPr>
            <w:tcW w:w="4056" w:type="dxa"/>
            <w:shd w:val="clear" w:color="auto" w:fill="auto"/>
          </w:tcPr>
          <w:p w14:paraId="71716A98" w14:textId="4FCD66CE" w:rsidR="00144AFA" w:rsidRPr="003A283E" w:rsidRDefault="00144AFA" w:rsidP="003A283E">
            <w:pPr>
              <w:numPr>
                <w:ilvl w:val="1"/>
                <w:numId w:val="0"/>
              </w:numPr>
              <w:overflowPunct/>
              <w:autoSpaceDE/>
              <w:autoSpaceDN/>
              <w:spacing w:before="120" w:after="120" w:line="240" w:lineRule="auto"/>
              <w:textAlignment w:val="auto"/>
              <w:rPr>
                <w:rFonts w:cs="Arial"/>
                <w:b/>
                <w:szCs w:val="22"/>
              </w:rPr>
            </w:pPr>
            <w:r w:rsidRPr="00DF4169">
              <w:rPr>
                <w:rFonts w:cs="Arial"/>
                <w:b/>
                <w:szCs w:val="22"/>
              </w:rPr>
              <w:t xml:space="preserve">Call Off Guarantee (Clause </w:t>
            </w:r>
            <w:r w:rsidR="00F81B4D" w:rsidRPr="00DF4169">
              <w:rPr>
                <w:rFonts w:cs="Arial"/>
                <w:b/>
                <w:szCs w:val="22"/>
              </w:rPr>
              <w:t>10</w:t>
            </w:r>
            <w:r w:rsidRPr="00DF4169">
              <w:rPr>
                <w:rFonts w:cs="Arial"/>
                <w:b/>
                <w:szCs w:val="22"/>
              </w:rPr>
              <w:t xml:space="preserve"> of the </w:t>
            </w:r>
            <w:r w:rsidR="003254C0" w:rsidRPr="00DF4169">
              <w:rPr>
                <w:rFonts w:cs="Arial"/>
                <w:b/>
                <w:szCs w:val="22"/>
              </w:rPr>
              <w:t>Legal Service Contract</w:t>
            </w:r>
            <w:r w:rsidR="003A283E">
              <w:rPr>
                <w:rFonts w:cs="Arial"/>
                <w:b/>
                <w:szCs w:val="22"/>
              </w:rPr>
              <w:t>):</w:t>
            </w:r>
          </w:p>
        </w:tc>
        <w:tc>
          <w:tcPr>
            <w:tcW w:w="4302" w:type="dxa"/>
            <w:shd w:val="clear" w:color="auto" w:fill="auto"/>
          </w:tcPr>
          <w:p w14:paraId="27132D1A" w14:textId="4E61C8A4" w:rsidR="00144AFA" w:rsidRPr="003A283E" w:rsidRDefault="003A283E" w:rsidP="00DF4169">
            <w:pPr>
              <w:keepNext/>
              <w:keepLines/>
              <w:overflowPunct/>
              <w:autoSpaceDE/>
              <w:autoSpaceDN/>
              <w:spacing w:before="120" w:after="120" w:line="240" w:lineRule="auto"/>
              <w:textAlignment w:val="auto"/>
              <w:rPr>
                <w:rFonts w:eastAsia="STZhongsong" w:cs="Arial"/>
                <w:szCs w:val="22"/>
                <w:lang w:eastAsia="zh-CN"/>
              </w:rPr>
            </w:pPr>
            <w:r w:rsidRPr="003A283E">
              <w:rPr>
                <w:rFonts w:cs="Arial"/>
                <w:szCs w:val="22"/>
              </w:rPr>
              <w:t xml:space="preserve">There has been no Call off </w:t>
            </w:r>
            <w:r w:rsidR="008E2FC6" w:rsidRPr="003A283E">
              <w:rPr>
                <w:rFonts w:cs="Arial"/>
                <w:szCs w:val="22"/>
              </w:rPr>
              <w:t>Guarantee</w:t>
            </w:r>
            <w:r w:rsidRPr="003A283E">
              <w:rPr>
                <w:rFonts w:cs="Arial"/>
                <w:szCs w:val="22"/>
              </w:rPr>
              <w:t xml:space="preserve"> for this Contract. </w:t>
            </w:r>
          </w:p>
        </w:tc>
      </w:tr>
    </w:tbl>
    <w:p w14:paraId="50CC73DF" w14:textId="150B0BD2" w:rsidR="008E082F" w:rsidRPr="00DF4169" w:rsidRDefault="00DB297D" w:rsidP="00DF4169">
      <w:pPr>
        <w:spacing w:before="120" w:after="120" w:line="240" w:lineRule="auto"/>
        <w:rPr>
          <w:rFonts w:cs="Arial"/>
          <w:i/>
          <w:szCs w:val="22"/>
        </w:rPr>
      </w:pPr>
      <w:r w:rsidRPr="00DF4169">
        <w:rPr>
          <w:rFonts w:cs="Arial"/>
          <w:i/>
          <w:szCs w:val="22"/>
        </w:rPr>
        <w:br/>
      </w:r>
      <w:r w:rsidRPr="00DF4169">
        <w:rPr>
          <w:rFonts w:cs="Arial"/>
          <w:i/>
          <w:szCs w:val="22"/>
        </w:rPr>
        <w:br/>
      </w:r>
      <w:r w:rsidRPr="00DF4169">
        <w:rPr>
          <w:rFonts w:cs="Arial"/>
          <w:i/>
          <w:szCs w:val="22"/>
        </w:rPr>
        <w:br/>
      </w:r>
      <w:r w:rsidRPr="00DF4169">
        <w:rPr>
          <w:rFonts w:cs="Arial"/>
          <w:i/>
          <w:szCs w:val="22"/>
        </w:rPr>
        <w:br/>
      </w:r>
      <w:r w:rsidRPr="00DF4169">
        <w:rPr>
          <w:rFonts w:cs="Arial"/>
          <w:i/>
          <w:szCs w:val="22"/>
        </w:rPr>
        <w:br/>
      </w:r>
    </w:p>
    <w:p w14:paraId="4E8607F4" w14:textId="77777777" w:rsidR="008E082F" w:rsidRPr="00DF4169" w:rsidRDefault="008E082F" w:rsidP="00DF4169">
      <w:pPr>
        <w:pStyle w:val="ORDERFORML1PraraNo"/>
        <w:spacing w:before="120" w:after="120"/>
        <w:rPr>
          <w:rFonts w:ascii="Arial" w:hAnsi="Arial" w:cs="Arial"/>
        </w:rPr>
      </w:pPr>
      <w:r w:rsidRPr="00DF4169">
        <w:rPr>
          <w:rFonts w:ascii="Arial" w:hAnsi="Arial" w:cs="Arial"/>
        </w:rPr>
        <w:t>VARIATIONS TO THE tERMS AND CONDITIONS</w:t>
      </w:r>
    </w:p>
    <w:p w14:paraId="06EC0299" w14:textId="77777777" w:rsidR="008E082F" w:rsidRPr="00DF4169" w:rsidRDefault="008E082F" w:rsidP="00DF4169">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74"/>
        <w:gridCol w:w="4073"/>
      </w:tblGrid>
      <w:tr w:rsidR="00C3320D" w:rsidRPr="00DF4169" w14:paraId="20964881" w14:textId="77777777" w:rsidTr="003E1E6B">
        <w:tc>
          <w:tcPr>
            <w:tcW w:w="564" w:type="dxa"/>
          </w:tcPr>
          <w:p w14:paraId="272C4ABA" w14:textId="77777777" w:rsidR="008E082F" w:rsidRPr="00937CF6" w:rsidRDefault="008E082F" w:rsidP="00DF4169">
            <w:pPr>
              <w:numPr>
                <w:ilvl w:val="1"/>
                <w:numId w:val="0"/>
              </w:numPr>
              <w:overflowPunct/>
              <w:autoSpaceDE/>
              <w:autoSpaceDN/>
              <w:spacing w:before="120" w:after="120" w:line="240" w:lineRule="auto"/>
              <w:textAlignment w:val="auto"/>
              <w:rPr>
                <w:rFonts w:eastAsia="STZhongsong" w:cs="Arial"/>
                <w:b/>
                <w:szCs w:val="22"/>
                <w:lang w:eastAsia="zh-CN"/>
              </w:rPr>
            </w:pPr>
            <w:r w:rsidRPr="00937CF6">
              <w:rPr>
                <w:rFonts w:eastAsia="STZhongsong" w:cs="Arial"/>
                <w:b/>
                <w:szCs w:val="22"/>
                <w:lang w:eastAsia="zh-CN"/>
              </w:rPr>
              <w:t>4.1</w:t>
            </w:r>
          </w:p>
        </w:tc>
        <w:tc>
          <w:tcPr>
            <w:tcW w:w="4274" w:type="dxa"/>
            <w:shd w:val="clear" w:color="auto" w:fill="auto"/>
          </w:tcPr>
          <w:p w14:paraId="693B7C50" w14:textId="77777777" w:rsidR="008E082F" w:rsidRPr="00937CF6" w:rsidRDefault="00CF17A5" w:rsidP="00DF4169">
            <w:pPr>
              <w:keepNext/>
              <w:keepLines/>
              <w:overflowPunct/>
              <w:autoSpaceDE/>
              <w:autoSpaceDN/>
              <w:spacing w:before="120" w:after="120" w:line="240" w:lineRule="auto"/>
              <w:textAlignment w:val="auto"/>
              <w:rPr>
                <w:rFonts w:cs="Arial"/>
                <w:b/>
                <w:szCs w:val="22"/>
              </w:rPr>
            </w:pPr>
            <w:r w:rsidRPr="00937CF6">
              <w:rPr>
                <w:rFonts w:cs="Arial"/>
                <w:b/>
                <w:szCs w:val="22"/>
              </w:rPr>
              <w:t>Liability cap</w:t>
            </w:r>
          </w:p>
        </w:tc>
        <w:tc>
          <w:tcPr>
            <w:tcW w:w="4073" w:type="dxa"/>
            <w:shd w:val="clear" w:color="auto" w:fill="auto"/>
          </w:tcPr>
          <w:p w14:paraId="338F6EB1" w14:textId="0535F3B6" w:rsidR="008E082F" w:rsidRPr="00DF4169" w:rsidRDefault="00937CF6" w:rsidP="0051388B">
            <w:pPr>
              <w:keepNext/>
              <w:keepLines/>
              <w:overflowPunct/>
              <w:autoSpaceDE/>
              <w:autoSpaceDN/>
              <w:spacing w:before="120" w:after="120" w:line="240" w:lineRule="auto"/>
              <w:textAlignment w:val="auto"/>
              <w:rPr>
                <w:rFonts w:eastAsia="STZhongsong" w:cs="Arial"/>
                <w:b/>
                <w:caps/>
                <w:szCs w:val="22"/>
                <w:lang w:eastAsia="zh-CN"/>
              </w:rPr>
            </w:pPr>
            <w:r w:rsidRPr="00937CF6">
              <w:rPr>
                <w:rFonts w:cs="Arial"/>
                <w:szCs w:val="22"/>
              </w:rPr>
              <w:t xml:space="preserve">The limit of liability will be uncapped, </w:t>
            </w:r>
            <w:r w:rsidRPr="00937CF6">
              <w:rPr>
                <w:rFonts w:cs="Arial"/>
                <w:szCs w:val="22"/>
              </w:rPr>
              <w:br/>
              <w:t>please refer to Clause 7 - Liability and</w:t>
            </w:r>
            <w:r w:rsidRPr="00937CF6">
              <w:rPr>
                <w:rFonts w:cs="Arial"/>
                <w:szCs w:val="22"/>
              </w:rPr>
              <w:br/>
              <w:t>Insurance.</w:t>
            </w:r>
          </w:p>
        </w:tc>
      </w:tr>
      <w:tr w:rsidR="00C3320D" w:rsidRPr="00DF4169" w14:paraId="37E00115" w14:textId="77777777" w:rsidTr="003E1E6B">
        <w:tc>
          <w:tcPr>
            <w:tcW w:w="564" w:type="dxa"/>
          </w:tcPr>
          <w:p w14:paraId="40684C4A" w14:textId="77777777" w:rsidR="008E082F" w:rsidRPr="00DF4169" w:rsidRDefault="008E082F" w:rsidP="00DF4169">
            <w:pPr>
              <w:numPr>
                <w:ilvl w:val="1"/>
                <w:numId w:val="0"/>
              </w:numPr>
              <w:overflowPunct/>
              <w:autoSpaceDE/>
              <w:autoSpaceDN/>
              <w:spacing w:before="120" w:after="120" w:line="240" w:lineRule="auto"/>
              <w:textAlignment w:val="auto"/>
              <w:rPr>
                <w:rFonts w:eastAsia="STZhongsong" w:cs="Arial"/>
                <w:b/>
                <w:szCs w:val="22"/>
                <w:lang w:eastAsia="zh-CN"/>
              </w:rPr>
            </w:pPr>
            <w:r w:rsidRPr="00DF4169">
              <w:rPr>
                <w:rFonts w:eastAsia="STZhongsong" w:cs="Arial"/>
                <w:b/>
                <w:szCs w:val="22"/>
                <w:lang w:eastAsia="zh-CN"/>
              </w:rPr>
              <w:t>4.2</w:t>
            </w:r>
          </w:p>
        </w:tc>
        <w:tc>
          <w:tcPr>
            <w:tcW w:w="4274" w:type="dxa"/>
            <w:shd w:val="clear" w:color="auto" w:fill="auto"/>
          </w:tcPr>
          <w:p w14:paraId="7C437B09" w14:textId="77777777" w:rsidR="008E082F" w:rsidRPr="00DF4169" w:rsidRDefault="008E082F" w:rsidP="00DF4169">
            <w:pPr>
              <w:keepNext/>
              <w:keepLines/>
              <w:overflowPunct/>
              <w:autoSpaceDE/>
              <w:autoSpaceDN/>
              <w:spacing w:before="120" w:after="120" w:line="240" w:lineRule="auto"/>
              <w:textAlignment w:val="auto"/>
              <w:rPr>
                <w:rFonts w:cs="Arial"/>
                <w:b/>
                <w:szCs w:val="22"/>
              </w:rPr>
            </w:pPr>
            <w:r w:rsidRPr="00DF4169">
              <w:rPr>
                <w:rFonts w:cs="Arial"/>
                <w:b/>
                <w:szCs w:val="22"/>
              </w:rPr>
              <w:t xml:space="preserve">Conflicts of </w:t>
            </w:r>
            <w:r w:rsidR="00F4522F" w:rsidRPr="00DF4169">
              <w:rPr>
                <w:rFonts w:cs="Arial"/>
                <w:b/>
                <w:szCs w:val="22"/>
              </w:rPr>
              <w:t>I</w:t>
            </w:r>
            <w:r w:rsidRPr="00DF4169">
              <w:rPr>
                <w:rFonts w:cs="Arial"/>
                <w:b/>
                <w:szCs w:val="22"/>
              </w:rPr>
              <w:t>nterest</w:t>
            </w:r>
          </w:p>
        </w:tc>
        <w:tc>
          <w:tcPr>
            <w:tcW w:w="4073" w:type="dxa"/>
            <w:shd w:val="clear" w:color="auto" w:fill="auto"/>
          </w:tcPr>
          <w:p w14:paraId="43D40566" w14:textId="56EBC91C" w:rsidR="008E082F" w:rsidRPr="0051388B" w:rsidRDefault="0051388B" w:rsidP="00DF4169">
            <w:pPr>
              <w:keepNext/>
              <w:keepLines/>
              <w:overflowPunct/>
              <w:autoSpaceDE/>
              <w:autoSpaceDN/>
              <w:spacing w:before="120" w:after="120" w:line="240" w:lineRule="auto"/>
              <w:textAlignment w:val="auto"/>
              <w:rPr>
                <w:rFonts w:cs="Arial"/>
                <w:szCs w:val="22"/>
              </w:rPr>
            </w:pPr>
            <w:r>
              <w:rPr>
                <w:rFonts w:cs="Arial"/>
                <w:szCs w:val="22"/>
              </w:rPr>
              <w:t xml:space="preserve">Please refer to Section 3 of the Terms and Conditions </w:t>
            </w:r>
          </w:p>
        </w:tc>
      </w:tr>
      <w:tr w:rsidR="00C3320D" w:rsidRPr="00DF4169" w14:paraId="3FC0EB8B" w14:textId="77777777" w:rsidTr="003E1E6B">
        <w:tc>
          <w:tcPr>
            <w:tcW w:w="564" w:type="dxa"/>
          </w:tcPr>
          <w:p w14:paraId="2796531B" w14:textId="77777777" w:rsidR="008E082F" w:rsidRPr="00DF4169" w:rsidRDefault="008E082F" w:rsidP="00DF4169">
            <w:pPr>
              <w:numPr>
                <w:ilvl w:val="1"/>
                <w:numId w:val="0"/>
              </w:numPr>
              <w:overflowPunct/>
              <w:autoSpaceDE/>
              <w:autoSpaceDN/>
              <w:spacing w:before="120" w:after="120" w:line="240" w:lineRule="auto"/>
              <w:textAlignment w:val="auto"/>
              <w:rPr>
                <w:rFonts w:eastAsia="STZhongsong" w:cs="Arial"/>
                <w:b/>
                <w:szCs w:val="22"/>
                <w:lang w:eastAsia="zh-CN"/>
              </w:rPr>
            </w:pPr>
            <w:r w:rsidRPr="00DF4169">
              <w:rPr>
                <w:rFonts w:eastAsia="STZhongsong" w:cs="Arial"/>
                <w:b/>
                <w:szCs w:val="22"/>
                <w:lang w:eastAsia="zh-CN"/>
              </w:rPr>
              <w:t>4.3</w:t>
            </w:r>
          </w:p>
        </w:tc>
        <w:tc>
          <w:tcPr>
            <w:tcW w:w="4274" w:type="dxa"/>
            <w:shd w:val="clear" w:color="auto" w:fill="auto"/>
          </w:tcPr>
          <w:p w14:paraId="4CFEE96E" w14:textId="77777777" w:rsidR="008E082F" w:rsidRPr="00DF4169" w:rsidRDefault="008E082F" w:rsidP="00DF4169">
            <w:pPr>
              <w:numPr>
                <w:ilvl w:val="1"/>
                <w:numId w:val="0"/>
              </w:numPr>
              <w:overflowPunct/>
              <w:autoSpaceDE/>
              <w:autoSpaceDN/>
              <w:spacing w:before="120" w:after="120" w:line="240" w:lineRule="auto"/>
              <w:textAlignment w:val="auto"/>
              <w:rPr>
                <w:rFonts w:eastAsia="STZhongsong" w:cs="Arial"/>
                <w:b/>
                <w:szCs w:val="22"/>
                <w:lang w:eastAsia="zh-CN"/>
              </w:rPr>
            </w:pPr>
            <w:r w:rsidRPr="00DF4169">
              <w:rPr>
                <w:rFonts w:eastAsia="STZhongsong" w:cs="Arial"/>
                <w:b/>
                <w:szCs w:val="22"/>
                <w:lang w:eastAsia="zh-CN"/>
              </w:rPr>
              <w:t>Confidentiality</w:t>
            </w:r>
          </w:p>
        </w:tc>
        <w:tc>
          <w:tcPr>
            <w:tcW w:w="4073" w:type="dxa"/>
            <w:shd w:val="clear" w:color="auto" w:fill="auto"/>
          </w:tcPr>
          <w:p w14:paraId="4EFFA099" w14:textId="605B970D" w:rsidR="008E082F" w:rsidRPr="0051388B" w:rsidRDefault="008E2FC6" w:rsidP="0051388B">
            <w:pPr>
              <w:keepNext/>
              <w:keepLines/>
              <w:overflowPunct/>
              <w:autoSpaceDE/>
              <w:autoSpaceDN/>
              <w:spacing w:before="120" w:after="120" w:line="240" w:lineRule="auto"/>
              <w:textAlignment w:val="auto"/>
              <w:rPr>
                <w:rFonts w:eastAsia="STZhongsong" w:cs="Arial"/>
                <w:b/>
                <w:caps/>
                <w:szCs w:val="22"/>
                <w:lang w:eastAsia="zh-CN"/>
              </w:rPr>
            </w:pPr>
            <w:r>
              <w:rPr>
                <w:rFonts w:cs="Arial"/>
                <w:color w:val="222222"/>
                <w:shd w:val="clear" w:color="auto" w:fill="FFFFFF"/>
              </w:rPr>
              <w:t>The Department takes data security extremely seriously and applies agreed government security procedures to all Contracts involving the handling of data and ‘Official Sensitive’ and ‘Commercial Sensitive’ information.</w:t>
            </w:r>
          </w:p>
        </w:tc>
      </w:tr>
      <w:tr w:rsidR="00C3320D" w:rsidRPr="00DF4169" w14:paraId="5E42AA5C" w14:textId="77777777" w:rsidTr="003E1E6B">
        <w:tc>
          <w:tcPr>
            <w:tcW w:w="564" w:type="dxa"/>
          </w:tcPr>
          <w:p w14:paraId="671904CB" w14:textId="605AFC0A" w:rsidR="008E082F" w:rsidRPr="00DF4169" w:rsidRDefault="008E2FC6" w:rsidP="00DF4169">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4.4</w:t>
            </w:r>
          </w:p>
          <w:p w14:paraId="45D9BCA8" w14:textId="77777777" w:rsidR="008E082F" w:rsidRPr="00DF4169" w:rsidRDefault="008E082F" w:rsidP="00DF4169">
            <w:pPr>
              <w:numPr>
                <w:ilvl w:val="1"/>
                <w:numId w:val="0"/>
              </w:numPr>
              <w:overflowPunct/>
              <w:autoSpaceDE/>
              <w:autoSpaceDN/>
              <w:spacing w:before="120" w:after="120" w:line="240" w:lineRule="auto"/>
              <w:textAlignment w:val="auto"/>
              <w:rPr>
                <w:rFonts w:eastAsia="STZhongsong" w:cs="Arial"/>
                <w:b/>
                <w:szCs w:val="22"/>
                <w:lang w:eastAsia="zh-CN"/>
              </w:rPr>
            </w:pPr>
          </w:p>
        </w:tc>
        <w:tc>
          <w:tcPr>
            <w:tcW w:w="4274" w:type="dxa"/>
            <w:shd w:val="clear" w:color="auto" w:fill="auto"/>
          </w:tcPr>
          <w:p w14:paraId="4D275BDC" w14:textId="77777777" w:rsidR="008E082F" w:rsidRPr="00DF4169" w:rsidRDefault="008E082F" w:rsidP="00DF4169">
            <w:pPr>
              <w:numPr>
                <w:ilvl w:val="1"/>
                <w:numId w:val="0"/>
              </w:numPr>
              <w:overflowPunct/>
              <w:autoSpaceDE/>
              <w:autoSpaceDN/>
              <w:spacing w:before="120" w:after="120" w:line="240" w:lineRule="auto"/>
              <w:textAlignment w:val="auto"/>
              <w:rPr>
                <w:rFonts w:eastAsia="STZhongsong" w:cs="Arial"/>
                <w:b/>
                <w:szCs w:val="22"/>
                <w:lang w:eastAsia="zh-CN"/>
              </w:rPr>
            </w:pPr>
            <w:r w:rsidRPr="00DF4169">
              <w:rPr>
                <w:rFonts w:eastAsia="STZhongsong" w:cs="Arial"/>
                <w:b/>
                <w:szCs w:val="22"/>
                <w:lang w:eastAsia="zh-CN"/>
              </w:rPr>
              <w:t>Intellectual Property Rights</w:t>
            </w:r>
          </w:p>
        </w:tc>
        <w:tc>
          <w:tcPr>
            <w:tcW w:w="4073" w:type="dxa"/>
            <w:shd w:val="clear" w:color="auto" w:fill="auto"/>
          </w:tcPr>
          <w:p w14:paraId="5245E3D8" w14:textId="1434E9C1" w:rsidR="008E082F" w:rsidRPr="00DF4169" w:rsidRDefault="00944BBB" w:rsidP="00DF4169">
            <w:pPr>
              <w:keepNext/>
              <w:keepLines/>
              <w:overflowPunct/>
              <w:autoSpaceDE/>
              <w:autoSpaceDN/>
              <w:spacing w:before="120" w:after="120" w:line="240" w:lineRule="auto"/>
              <w:textAlignment w:val="auto"/>
              <w:rPr>
                <w:rFonts w:eastAsia="STZhongsong" w:cs="Arial"/>
                <w:b/>
                <w:caps/>
                <w:szCs w:val="22"/>
                <w:lang w:eastAsia="zh-CN"/>
              </w:rPr>
            </w:pPr>
            <w:r>
              <w:rPr>
                <w:rFonts w:cs="Arial"/>
                <w:color w:val="222222"/>
                <w:shd w:val="clear" w:color="auto" w:fill="FFFFFF"/>
              </w:rPr>
              <w:t>Please see clause 8 of this order form, Terms and Conditions. Intellectual Property Rights.</w:t>
            </w:r>
          </w:p>
        </w:tc>
      </w:tr>
    </w:tbl>
    <w:p w14:paraId="248FFB5E" w14:textId="77777777" w:rsidR="008E082F" w:rsidRPr="00DF4169" w:rsidRDefault="008E082F" w:rsidP="00D40F55">
      <w:pPr>
        <w:pStyle w:val="ORDERFORML1PraraNo"/>
        <w:numPr>
          <w:ilvl w:val="0"/>
          <w:numId w:val="0"/>
        </w:numPr>
        <w:spacing w:before="120" w:after="120"/>
        <w:ind w:left="426"/>
        <w:rPr>
          <w:rFonts w:ascii="Arial" w:hAnsi="Arial" w:cs="Arial"/>
        </w:rPr>
      </w:pPr>
    </w:p>
    <w:p w14:paraId="42AB1D30" w14:textId="6411F7F3" w:rsidR="008E082F" w:rsidRDefault="008E082F" w:rsidP="00D40F55">
      <w:pPr>
        <w:spacing w:before="120" w:after="120" w:line="240" w:lineRule="auto"/>
        <w:rPr>
          <w:rFonts w:cs="Arial"/>
          <w:szCs w:val="22"/>
        </w:rPr>
      </w:pPr>
    </w:p>
    <w:p w14:paraId="206209FC" w14:textId="0A1BE1CB" w:rsidR="003E1E6B" w:rsidRDefault="003E1E6B" w:rsidP="00D40F55">
      <w:pPr>
        <w:spacing w:before="120" w:after="120" w:line="240" w:lineRule="auto"/>
        <w:rPr>
          <w:rFonts w:cs="Arial"/>
          <w:szCs w:val="22"/>
        </w:rPr>
      </w:pPr>
    </w:p>
    <w:p w14:paraId="6AB1EA28" w14:textId="343EDB05" w:rsidR="00D67F83" w:rsidRDefault="00D67F83" w:rsidP="00D40F55">
      <w:pPr>
        <w:spacing w:before="120" w:after="120" w:line="240" w:lineRule="auto"/>
        <w:rPr>
          <w:rFonts w:cs="Arial"/>
          <w:szCs w:val="22"/>
        </w:rPr>
      </w:pPr>
    </w:p>
    <w:p w14:paraId="6A651120" w14:textId="13D77F2E" w:rsidR="00D67F83" w:rsidRDefault="00D67F83" w:rsidP="00D40F55">
      <w:pPr>
        <w:spacing w:before="120" w:after="120" w:line="240" w:lineRule="auto"/>
        <w:rPr>
          <w:rFonts w:cs="Arial"/>
          <w:szCs w:val="22"/>
        </w:rPr>
      </w:pPr>
    </w:p>
    <w:p w14:paraId="4D36BA70" w14:textId="7394AA47" w:rsidR="00D67F83" w:rsidRDefault="00D67F83" w:rsidP="00D40F55">
      <w:pPr>
        <w:spacing w:before="120" w:after="120" w:line="240" w:lineRule="auto"/>
        <w:rPr>
          <w:rFonts w:cs="Arial"/>
          <w:szCs w:val="22"/>
        </w:rPr>
      </w:pPr>
    </w:p>
    <w:p w14:paraId="295560E7" w14:textId="21B7CC08" w:rsidR="00D67F83" w:rsidRDefault="00D67F83" w:rsidP="00D40F55">
      <w:pPr>
        <w:spacing w:before="120" w:after="120" w:line="240" w:lineRule="auto"/>
        <w:rPr>
          <w:rFonts w:cs="Arial"/>
          <w:szCs w:val="22"/>
        </w:rPr>
      </w:pPr>
    </w:p>
    <w:p w14:paraId="231B2620" w14:textId="5E19C721" w:rsidR="00D67F83" w:rsidRDefault="00D67F83" w:rsidP="00D40F55">
      <w:pPr>
        <w:spacing w:before="120" w:after="120" w:line="240" w:lineRule="auto"/>
        <w:rPr>
          <w:rFonts w:cs="Arial"/>
          <w:szCs w:val="22"/>
        </w:rPr>
      </w:pPr>
    </w:p>
    <w:p w14:paraId="1DF91F60" w14:textId="63F5644B" w:rsidR="00D67F83" w:rsidRDefault="00D67F83" w:rsidP="00D40F55">
      <w:pPr>
        <w:spacing w:before="120" w:after="120" w:line="240" w:lineRule="auto"/>
        <w:rPr>
          <w:rFonts w:cs="Arial"/>
          <w:szCs w:val="22"/>
        </w:rPr>
      </w:pPr>
    </w:p>
    <w:p w14:paraId="58158C81" w14:textId="0FAE4E4E" w:rsidR="00D67F83" w:rsidRDefault="00D67F83" w:rsidP="00D40F55">
      <w:pPr>
        <w:spacing w:before="120" w:after="120" w:line="240" w:lineRule="auto"/>
        <w:rPr>
          <w:rFonts w:cs="Arial"/>
          <w:szCs w:val="22"/>
        </w:rPr>
      </w:pPr>
    </w:p>
    <w:p w14:paraId="2CFEBF48" w14:textId="06C69C13" w:rsidR="00D67F83" w:rsidRDefault="00D67F83" w:rsidP="00D40F55">
      <w:pPr>
        <w:spacing w:before="120" w:after="120" w:line="240" w:lineRule="auto"/>
        <w:rPr>
          <w:rFonts w:cs="Arial"/>
          <w:szCs w:val="22"/>
        </w:rPr>
      </w:pPr>
    </w:p>
    <w:p w14:paraId="0C5E451F" w14:textId="45C31DEB" w:rsidR="00D67F83" w:rsidRDefault="00D67F83" w:rsidP="00D40F55">
      <w:pPr>
        <w:spacing w:before="120" w:after="120" w:line="240" w:lineRule="auto"/>
        <w:rPr>
          <w:rFonts w:cs="Arial"/>
          <w:szCs w:val="22"/>
        </w:rPr>
      </w:pPr>
    </w:p>
    <w:p w14:paraId="695F9ACF" w14:textId="0CFCAC7D" w:rsidR="00D67F83" w:rsidRDefault="00D67F83" w:rsidP="00D40F55">
      <w:pPr>
        <w:spacing w:before="120" w:after="120" w:line="240" w:lineRule="auto"/>
        <w:rPr>
          <w:rFonts w:cs="Arial"/>
          <w:szCs w:val="22"/>
        </w:rPr>
      </w:pPr>
    </w:p>
    <w:p w14:paraId="5471E02C" w14:textId="4D78944F" w:rsidR="00D67F83" w:rsidRDefault="00D67F83" w:rsidP="00D40F55">
      <w:pPr>
        <w:spacing w:before="120" w:after="120" w:line="240" w:lineRule="auto"/>
        <w:rPr>
          <w:rFonts w:cs="Arial"/>
          <w:szCs w:val="22"/>
        </w:rPr>
      </w:pPr>
    </w:p>
    <w:p w14:paraId="25DE8B65" w14:textId="6253A34A" w:rsidR="00D67F83" w:rsidRDefault="00D67F83" w:rsidP="00D40F55">
      <w:pPr>
        <w:spacing w:before="120" w:after="120" w:line="240" w:lineRule="auto"/>
        <w:rPr>
          <w:rFonts w:cs="Arial"/>
          <w:szCs w:val="22"/>
        </w:rPr>
      </w:pPr>
    </w:p>
    <w:p w14:paraId="69B301FA" w14:textId="51D06FC1" w:rsidR="003E1E6B" w:rsidRDefault="003E1E6B" w:rsidP="00D40F55">
      <w:pPr>
        <w:spacing w:before="120" w:after="120" w:line="240" w:lineRule="auto"/>
        <w:rPr>
          <w:rFonts w:cs="Arial"/>
          <w:szCs w:val="22"/>
        </w:rPr>
      </w:pPr>
    </w:p>
    <w:p w14:paraId="445C0FA9" w14:textId="77777777" w:rsidR="008025E0" w:rsidRPr="00DF4169" w:rsidRDefault="008025E0" w:rsidP="00D40F55">
      <w:pPr>
        <w:spacing w:before="120" w:after="120" w:line="240" w:lineRule="auto"/>
        <w:rPr>
          <w:rFonts w:cs="Arial"/>
          <w:szCs w:val="22"/>
        </w:rPr>
      </w:pPr>
    </w:p>
    <w:p w14:paraId="398BA4B0" w14:textId="1E0ABB9B" w:rsidR="008E082F" w:rsidRDefault="008E082F" w:rsidP="003E1E6B">
      <w:pPr>
        <w:overflowPunct/>
        <w:autoSpaceDE/>
        <w:autoSpaceDN/>
        <w:adjustRightInd/>
        <w:spacing w:before="120" w:after="120" w:line="240" w:lineRule="auto"/>
        <w:ind w:right="936"/>
        <w:jc w:val="center"/>
        <w:textAlignment w:val="auto"/>
        <w:rPr>
          <w:rFonts w:eastAsia="Calibri" w:cs="Arial"/>
          <w:b/>
          <w:szCs w:val="22"/>
        </w:rPr>
      </w:pPr>
      <w:r w:rsidRPr="00DF4169">
        <w:rPr>
          <w:rFonts w:eastAsia="Calibri" w:cs="Arial"/>
          <w:b/>
          <w:szCs w:val="22"/>
        </w:rPr>
        <w:t>SECTION C</w:t>
      </w:r>
    </w:p>
    <w:p w14:paraId="1CCBF4D7" w14:textId="05544CB4" w:rsidR="003E1E6B" w:rsidRDefault="003E1E6B" w:rsidP="003E1E6B">
      <w:pPr>
        <w:overflowPunct/>
        <w:autoSpaceDE/>
        <w:autoSpaceDN/>
        <w:adjustRightInd/>
        <w:spacing w:before="120" w:after="120" w:line="240" w:lineRule="auto"/>
        <w:ind w:right="936"/>
        <w:jc w:val="center"/>
        <w:textAlignment w:val="auto"/>
        <w:rPr>
          <w:rFonts w:eastAsia="Calibri" w:cs="Arial"/>
          <w:b/>
          <w:szCs w:val="22"/>
        </w:rPr>
      </w:pPr>
    </w:p>
    <w:p w14:paraId="6B19F9AC" w14:textId="762776B9" w:rsidR="00E560CC" w:rsidRDefault="003E1E6B" w:rsidP="00D67F83">
      <w:pPr>
        <w:overflowPunct/>
        <w:autoSpaceDE/>
        <w:autoSpaceDN/>
        <w:adjustRightInd/>
        <w:spacing w:before="120" w:after="120" w:line="240" w:lineRule="auto"/>
        <w:ind w:right="936"/>
        <w:jc w:val="center"/>
        <w:textAlignment w:val="auto"/>
        <w:rPr>
          <w:rFonts w:eastAsia="Calibri" w:cs="Arial"/>
          <w:b/>
          <w:szCs w:val="22"/>
        </w:rPr>
      </w:pPr>
      <w:r>
        <w:rPr>
          <w:rFonts w:eastAsia="Calibri" w:cs="Arial"/>
          <w:b/>
          <w:szCs w:val="22"/>
        </w:rPr>
        <w:t>Statement of Req</w:t>
      </w:r>
      <w:r w:rsidR="00D67F83">
        <w:rPr>
          <w:rFonts w:eastAsia="Calibri" w:cs="Arial"/>
          <w:b/>
          <w:szCs w:val="22"/>
        </w:rPr>
        <w:t>uirements</w:t>
      </w:r>
    </w:p>
    <w:p w14:paraId="6302965C" w14:textId="77777777" w:rsidR="00D67F83" w:rsidRPr="00D67F83" w:rsidRDefault="00D67F83" w:rsidP="00D67F83">
      <w:pPr>
        <w:overflowPunct/>
        <w:autoSpaceDE/>
        <w:autoSpaceDN/>
        <w:adjustRightInd/>
        <w:spacing w:before="120" w:after="120" w:line="240" w:lineRule="auto"/>
        <w:ind w:right="936"/>
        <w:jc w:val="center"/>
        <w:textAlignment w:val="auto"/>
        <w:rPr>
          <w:rFonts w:eastAsia="Calibri" w:cs="Arial"/>
          <w:b/>
          <w:szCs w:val="22"/>
        </w:rPr>
      </w:pPr>
    </w:p>
    <w:p w14:paraId="464DE698" w14:textId="77777777" w:rsidR="00D67F83" w:rsidRPr="00944BBB" w:rsidRDefault="00D67F83" w:rsidP="0089289C">
      <w:pPr>
        <w:pStyle w:val="Heading1"/>
        <w:keepNext/>
        <w:numPr>
          <w:ilvl w:val="0"/>
          <w:numId w:val="42"/>
        </w:numPr>
        <w:tabs>
          <w:tab w:val="clear" w:pos="720"/>
        </w:tabs>
        <w:overflowPunct w:val="0"/>
        <w:autoSpaceDE w:val="0"/>
        <w:autoSpaceDN w:val="0"/>
        <w:spacing w:after="120"/>
        <w:textAlignment w:val="baseline"/>
        <w:rPr>
          <w:sz w:val="28"/>
          <w:szCs w:val="32"/>
        </w:rPr>
      </w:pPr>
      <w:bookmarkStart w:id="1" w:name="_Toc368573027"/>
      <w:bookmarkStart w:id="2" w:name="_Toc10456773"/>
      <w:r w:rsidRPr="00944BBB">
        <w:rPr>
          <w:caps/>
          <w:sz w:val="28"/>
          <w:szCs w:val="32"/>
        </w:rPr>
        <w:lastRenderedPageBreak/>
        <w:t>PURPOSE</w:t>
      </w:r>
      <w:bookmarkEnd w:id="1"/>
      <w:bookmarkEnd w:id="2"/>
    </w:p>
    <w:p w14:paraId="359437AD" w14:textId="77777777" w:rsidR="00D67F83" w:rsidRPr="00B2109E" w:rsidRDefault="00D67F83" w:rsidP="0089289C">
      <w:pPr>
        <w:pStyle w:val="Heading2"/>
        <w:numPr>
          <w:ilvl w:val="1"/>
          <w:numId w:val="41"/>
        </w:numPr>
        <w:spacing w:after="0"/>
        <w:rPr>
          <w:sz w:val="24"/>
          <w:szCs w:val="22"/>
        </w:rPr>
      </w:pPr>
      <w:bookmarkStart w:id="3" w:name="_Toc368573028"/>
      <w:bookmarkStart w:id="4" w:name="_Toc297554773"/>
      <w:bookmarkStart w:id="5" w:name="_Toc296415805"/>
      <w:bookmarkStart w:id="6" w:name="_Toc296415793"/>
      <w:r w:rsidRPr="00B2109E">
        <w:rPr>
          <w:sz w:val="24"/>
          <w:szCs w:val="22"/>
        </w:rPr>
        <w:t>The Statement of Requirement defines the requirements for legal advisors to provide advice to the Authority from 1st July 2019 to 30</w:t>
      </w:r>
      <w:r w:rsidRPr="00B2109E">
        <w:rPr>
          <w:sz w:val="24"/>
          <w:szCs w:val="22"/>
          <w:vertAlign w:val="superscript"/>
        </w:rPr>
        <w:t>th</w:t>
      </w:r>
      <w:r w:rsidRPr="00B2109E">
        <w:rPr>
          <w:sz w:val="24"/>
          <w:szCs w:val="22"/>
        </w:rPr>
        <w:t xml:space="preserve"> July 2020 in respect of the Thameslink rolling stock contracts. Any contract or contracts awarded shall be subject to the Call-Off Terms for the Government Procurement legal services panel Agreement, ID RM3756 – Rail Legal Services.</w:t>
      </w:r>
    </w:p>
    <w:p w14:paraId="3EBE2414" w14:textId="55011AFD" w:rsidR="00D67F83" w:rsidRPr="00944BBB" w:rsidRDefault="00D67F83" w:rsidP="00944BBB">
      <w:pPr>
        <w:pStyle w:val="Heading2"/>
        <w:numPr>
          <w:ilvl w:val="0"/>
          <w:numId w:val="0"/>
        </w:numPr>
        <w:spacing w:after="0"/>
        <w:ind w:left="720"/>
        <w:rPr>
          <w:sz w:val="24"/>
          <w:szCs w:val="24"/>
        </w:rPr>
      </w:pPr>
      <w:r w:rsidRPr="00872938">
        <w:rPr>
          <w:sz w:val="24"/>
          <w:szCs w:val="24"/>
        </w:rPr>
        <w:t xml:space="preserve"> </w:t>
      </w:r>
    </w:p>
    <w:p w14:paraId="1F7AE637" w14:textId="77777777" w:rsidR="00D67F83" w:rsidRPr="00944BBB" w:rsidRDefault="00D67F83" w:rsidP="0089289C">
      <w:pPr>
        <w:pStyle w:val="Heading1"/>
        <w:keepNext/>
        <w:numPr>
          <w:ilvl w:val="0"/>
          <w:numId w:val="42"/>
        </w:numPr>
        <w:tabs>
          <w:tab w:val="clear" w:pos="720"/>
        </w:tabs>
        <w:overflowPunct w:val="0"/>
        <w:autoSpaceDE w:val="0"/>
        <w:autoSpaceDN w:val="0"/>
        <w:spacing w:after="120"/>
        <w:textAlignment w:val="baseline"/>
        <w:rPr>
          <w:caps/>
          <w:sz w:val="28"/>
          <w:szCs w:val="32"/>
        </w:rPr>
      </w:pPr>
      <w:bookmarkStart w:id="7" w:name="_Toc10456774"/>
      <w:r w:rsidRPr="00944BBB">
        <w:rPr>
          <w:caps/>
          <w:sz w:val="28"/>
          <w:szCs w:val="32"/>
        </w:rPr>
        <w:t>BACKGROUND TO THE CONTRACTING aUTHORITY</w:t>
      </w:r>
      <w:bookmarkEnd w:id="3"/>
      <w:bookmarkEnd w:id="7"/>
    </w:p>
    <w:p w14:paraId="48DE8261" w14:textId="77777777" w:rsidR="00D67F83" w:rsidRPr="00B2109E" w:rsidRDefault="00D67F83" w:rsidP="0089289C">
      <w:pPr>
        <w:pStyle w:val="Heading2"/>
        <w:numPr>
          <w:ilvl w:val="1"/>
          <w:numId w:val="41"/>
        </w:numPr>
        <w:rPr>
          <w:sz w:val="24"/>
          <w:szCs w:val="24"/>
        </w:rPr>
      </w:pPr>
      <w:r w:rsidRPr="00B2109E">
        <w:rPr>
          <w:sz w:val="24"/>
          <w:szCs w:val="24"/>
        </w:rPr>
        <w:t xml:space="preserve">The Thameslink Programme is a government Top 40 project involving investment of circa £7 billion, which will deliver additional capacity on rail routes into and across London including Bedfordshire, Hertfordshire, Cambridgeshire, and Kent. </w:t>
      </w:r>
    </w:p>
    <w:p w14:paraId="1B3C9822" w14:textId="77777777" w:rsidR="00D67F83" w:rsidRDefault="00D67F83" w:rsidP="0089289C">
      <w:pPr>
        <w:pStyle w:val="Heading2"/>
        <w:numPr>
          <w:ilvl w:val="1"/>
          <w:numId w:val="41"/>
        </w:numPr>
        <w:ind w:left="709"/>
        <w:rPr>
          <w:sz w:val="24"/>
          <w:szCs w:val="24"/>
        </w:rPr>
      </w:pPr>
      <w:r w:rsidRPr="00B2109E">
        <w:rPr>
          <w:sz w:val="24"/>
          <w:szCs w:val="24"/>
        </w:rPr>
        <w:t>The programme commenced in 2008 and is scheduled to complete in 2020/2021 and consists of:</w:t>
      </w:r>
    </w:p>
    <w:p w14:paraId="7EA52278" w14:textId="77777777" w:rsidR="00D67F83" w:rsidRDefault="00D67F83" w:rsidP="0089289C">
      <w:pPr>
        <w:pStyle w:val="Heading3"/>
        <w:numPr>
          <w:ilvl w:val="2"/>
          <w:numId w:val="41"/>
        </w:numPr>
      </w:pPr>
      <w:r>
        <w:t>New rail infrastructure delivered by Network Rail (platform lengthening, new signalling and track and new stations and Blackfriars and London Bridge) with a value c. £5bn</w:t>
      </w:r>
    </w:p>
    <w:p w14:paraId="202858CC" w14:textId="77777777" w:rsidR="00D67F83" w:rsidRDefault="00D67F83" w:rsidP="0089289C">
      <w:pPr>
        <w:pStyle w:val="Heading3"/>
        <w:numPr>
          <w:ilvl w:val="2"/>
          <w:numId w:val="41"/>
        </w:numPr>
      </w:pPr>
      <w:r>
        <w:t xml:space="preserve">New rolling stock and depots (115 trains, now built and being maintained by Siemens at two new depots also built by Siemens) with a value c. £2bn </w:t>
      </w:r>
    </w:p>
    <w:p w14:paraId="46E33FAF" w14:textId="77777777" w:rsidR="00D67F83" w:rsidRPr="006F058E" w:rsidRDefault="00D67F83" w:rsidP="0089289C">
      <w:pPr>
        <w:pStyle w:val="Heading3"/>
        <w:numPr>
          <w:ilvl w:val="2"/>
          <w:numId w:val="41"/>
        </w:numPr>
      </w:pPr>
      <w:r>
        <w:t xml:space="preserve">Introduction and operation of several high capacity timetables by the Thameslink rail operator (Govia Thameslink Railway Ltd) </w:t>
      </w:r>
    </w:p>
    <w:p w14:paraId="170EF18C" w14:textId="17D325C9" w:rsidR="00D67F83" w:rsidRPr="00B2109E" w:rsidRDefault="00D67F83" w:rsidP="0089289C">
      <w:pPr>
        <w:pStyle w:val="Heading2"/>
        <w:numPr>
          <w:ilvl w:val="1"/>
          <w:numId w:val="41"/>
        </w:numPr>
        <w:spacing w:after="0"/>
        <w:ind w:left="709" w:hanging="709"/>
        <w:rPr>
          <w:sz w:val="24"/>
          <w:szCs w:val="24"/>
        </w:rPr>
      </w:pPr>
      <w:r w:rsidRPr="00B2109E">
        <w:rPr>
          <w:sz w:val="24"/>
          <w:szCs w:val="24"/>
        </w:rPr>
        <w:t xml:space="preserve">The Department for Transport (DfT) awarded the contracts for the new rolling stock and depots for the Thameslink Programme to </w:t>
      </w:r>
      <w:r w:rsidR="0091293D">
        <w:rPr>
          <w:sz w:val="24"/>
          <w:szCs w:val="24"/>
        </w:rPr>
        <w:t xml:space="preserve">REDACTED </w:t>
      </w:r>
      <w:r w:rsidRPr="00B2109E">
        <w:rPr>
          <w:rFonts w:cs="Arial"/>
          <w:sz w:val="24"/>
          <w:szCs w:val="24"/>
        </w:rPr>
        <w:t>Under the contracts the DfT has an approval role of all significant contract variations, dispute processes and termination. The contracts involve delivery of a complex set of responsibilities involving the four parties</w:t>
      </w:r>
      <w:r w:rsidR="0091293D">
        <w:rPr>
          <w:rFonts w:cs="Arial"/>
          <w:sz w:val="24"/>
          <w:szCs w:val="24"/>
        </w:rPr>
        <w:t>: REDACTED</w:t>
      </w:r>
      <w:r w:rsidRPr="00B2109E">
        <w:rPr>
          <w:rFonts w:cs="Arial"/>
          <w:sz w:val="24"/>
          <w:szCs w:val="24"/>
        </w:rPr>
        <w:t xml:space="preserve"> The contracts provide for:</w:t>
      </w:r>
    </w:p>
    <w:p w14:paraId="33553A96" w14:textId="77777777" w:rsidR="00D67F83" w:rsidRPr="00B2109E" w:rsidRDefault="00D67F83" w:rsidP="00D67F83">
      <w:pPr>
        <w:pStyle w:val="Heading2"/>
        <w:numPr>
          <w:ilvl w:val="0"/>
          <w:numId w:val="0"/>
        </w:numPr>
        <w:spacing w:after="0"/>
        <w:rPr>
          <w:sz w:val="24"/>
          <w:szCs w:val="24"/>
        </w:rPr>
      </w:pPr>
    </w:p>
    <w:p w14:paraId="67B56535" w14:textId="77777777" w:rsidR="00D67F83" w:rsidRDefault="00D67F83" w:rsidP="0089289C">
      <w:pPr>
        <w:pStyle w:val="Heading3"/>
        <w:numPr>
          <w:ilvl w:val="2"/>
          <w:numId w:val="41"/>
        </w:numPr>
      </w:pPr>
      <w:r w:rsidRPr="0067623B">
        <w:t>Construction of 115 trains against a complicated “next generation” train specification, including detailed train acceptance criteria</w:t>
      </w:r>
    </w:p>
    <w:p w14:paraId="34F87E7E" w14:textId="77777777" w:rsidR="00D67F83" w:rsidRDefault="00D67F83" w:rsidP="0089289C">
      <w:pPr>
        <w:pStyle w:val="Heading3"/>
        <w:numPr>
          <w:ilvl w:val="2"/>
          <w:numId w:val="41"/>
        </w:numPr>
      </w:pPr>
      <w:r>
        <w:t xml:space="preserve">Maintenance arrangements for the train fleet for 20 years </w:t>
      </w:r>
    </w:p>
    <w:p w14:paraId="3C197241" w14:textId="77777777" w:rsidR="00D67F83" w:rsidRDefault="00D67F83" w:rsidP="0089289C">
      <w:pPr>
        <w:pStyle w:val="Heading3"/>
        <w:numPr>
          <w:ilvl w:val="2"/>
          <w:numId w:val="41"/>
        </w:numPr>
      </w:pPr>
      <w:r>
        <w:t xml:space="preserve">Alternative interim leasing arrangements if a future operator chooses to maintain the trains itself </w:t>
      </w:r>
    </w:p>
    <w:p w14:paraId="3740F038" w14:textId="77777777" w:rsidR="00D67F83" w:rsidRDefault="00D67F83" w:rsidP="0089289C">
      <w:pPr>
        <w:pStyle w:val="Heading3"/>
        <w:numPr>
          <w:ilvl w:val="2"/>
          <w:numId w:val="41"/>
        </w:numPr>
      </w:pPr>
      <w:r>
        <w:t xml:space="preserve">Lease arrangements for the train fleet </w:t>
      </w:r>
    </w:p>
    <w:p w14:paraId="514C6E8F" w14:textId="77777777" w:rsidR="00D67F83" w:rsidRPr="006F058E" w:rsidRDefault="00D67F83" w:rsidP="0089289C">
      <w:pPr>
        <w:pStyle w:val="Heading3"/>
        <w:numPr>
          <w:ilvl w:val="2"/>
          <w:numId w:val="41"/>
        </w:numPr>
      </w:pPr>
      <w:r>
        <w:t xml:space="preserve">Construction and leasing arrangements for two new Thameslink maintenance depots </w:t>
      </w:r>
    </w:p>
    <w:p w14:paraId="7C3A3219" w14:textId="77777777" w:rsidR="00D67F83" w:rsidRPr="00B2109E" w:rsidRDefault="00D67F83" w:rsidP="0089289C">
      <w:pPr>
        <w:pStyle w:val="Heading2"/>
        <w:numPr>
          <w:ilvl w:val="1"/>
          <w:numId w:val="41"/>
        </w:numPr>
        <w:rPr>
          <w:sz w:val="24"/>
          <w:szCs w:val="24"/>
        </w:rPr>
      </w:pPr>
      <w:r w:rsidRPr="00B2109E">
        <w:rPr>
          <w:sz w:val="24"/>
          <w:szCs w:val="24"/>
        </w:rPr>
        <w:t xml:space="preserve">Management of the rolling stock contracts is essential for the Thameslink Programme which, will almost double the capacity of Thameslink’s core central London section in the peak periods. It is a major part of the Government’s commitment to introduce an additional 2,100 carriages on to the rail network by </w:t>
      </w:r>
      <w:r w:rsidRPr="00B2109E">
        <w:rPr>
          <w:sz w:val="24"/>
          <w:szCs w:val="24"/>
        </w:rPr>
        <w:lastRenderedPageBreak/>
        <w:t xml:space="preserve">2019, as announced in November 2010. 1,140 of these have been delivered by the Thameslink Programme. The capital value of the rolling stock procurement (and the associated two new depots) is in the region of £1.6bn and both the trains and the commercial structure underpinning the project are highly complex with significant technical and commercial risks to the DfT. </w:t>
      </w:r>
    </w:p>
    <w:p w14:paraId="5FA0D43A" w14:textId="77777777" w:rsidR="00D67F83" w:rsidRPr="0067623B" w:rsidRDefault="00D67F83" w:rsidP="0089289C">
      <w:pPr>
        <w:pStyle w:val="Heading2"/>
        <w:numPr>
          <w:ilvl w:val="1"/>
          <w:numId w:val="41"/>
        </w:numPr>
        <w:rPr>
          <w:sz w:val="24"/>
          <w:szCs w:val="24"/>
        </w:rPr>
      </w:pPr>
      <w:r w:rsidRPr="00B2109E">
        <w:rPr>
          <w:rFonts w:cs="Arial"/>
          <w:sz w:val="24"/>
          <w:szCs w:val="24"/>
        </w:rPr>
        <w:t>The Thameslink rolling stock and depot contracts consist of over 100 separate contracts of which the six key contracts amount to 3000 pages.  Since contract award in June 2013 advice from commercial legal advisors has been provided on:</w:t>
      </w:r>
    </w:p>
    <w:p w14:paraId="37FAABAF" w14:textId="77777777" w:rsidR="00D67F83" w:rsidRPr="0067623B" w:rsidRDefault="00D67F83" w:rsidP="0089289C">
      <w:pPr>
        <w:pStyle w:val="Heading3"/>
        <w:numPr>
          <w:ilvl w:val="2"/>
          <w:numId w:val="41"/>
        </w:numPr>
        <w:spacing w:after="0"/>
        <w:rPr>
          <w:sz w:val="24"/>
          <w:szCs w:val="24"/>
        </w:rPr>
      </w:pPr>
      <w:r w:rsidRPr="0067623B">
        <w:rPr>
          <w:sz w:val="24"/>
          <w:szCs w:val="24"/>
        </w:rPr>
        <w:t>Contract disputes</w:t>
      </w:r>
    </w:p>
    <w:p w14:paraId="269920A8" w14:textId="77777777" w:rsidR="00D67F83" w:rsidRPr="0067623B" w:rsidRDefault="00D67F83" w:rsidP="0089289C">
      <w:pPr>
        <w:pStyle w:val="Heading3"/>
        <w:numPr>
          <w:ilvl w:val="2"/>
          <w:numId w:val="41"/>
        </w:numPr>
        <w:spacing w:after="0"/>
        <w:rPr>
          <w:sz w:val="24"/>
          <w:szCs w:val="24"/>
        </w:rPr>
      </w:pPr>
      <w:r w:rsidRPr="0067623B">
        <w:rPr>
          <w:sz w:val="24"/>
          <w:szCs w:val="24"/>
        </w:rPr>
        <w:t>Contractual agreements to settle disputes</w:t>
      </w:r>
    </w:p>
    <w:p w14:paraId="5B869CD4" w14:textId="77777777" w:rsidR="00D67F83" w:rsidRPr="0067623B" w:rsidRDefault="00D67F83" w:rsidP="0089289C">
      <w:pPr>
        <w:pStyle w:val="Heading3"/>
        <w:numPr>
          <w:ilvl w:val="2"/>
          <w:numId w:val="41"/>
        </w:numPr>
        <w:spacing w:after="0"/>
        <w:rPr>
          <w:sz w:val="24"/>
          <w:szCs w:val="24"/>
        </w:rPr>
      </w:pPr>
      <w:r w:rsidRPr="0067623B">
        <w:rPr>
          <w:sz w:val="24"/>
          <w:szCs w:val="24"/>
        </w:rPr>
        <w:t xml:space="preserve">Interpretation of the Thameslink rolling stock and depot documents </w:t>
      </w:r>
    </w:p>
    <w:p w14:paraId="563B5C03" w14:textId="77777777" w:rsidR="00D67F83" w:rsidRPr="0067623B" w:rsidRDefault="00D67F83" w:rsidP="0089289C">
      <w:pPr>
        <w:pStyle w:val="Heading3"/>
        <w:numPr>
          <w:ilvl w:val="2"/>
          <w:numId w:val="41"/>
        </w:numPr>
        <w:spacing w:after="0"/>
        <w:rPr>
          <w:sz w:val="24"/>
          <w:szCs w:val="24"/>
        </w:rPr>
      </w:pPr>
      <w:r w:rsidRPr="0067623B">
        <w:rPr>
          <w:sz w:val="24"/>
          <w:szCs w:val="24"/>
        </w:rPr>
        <w:t>Contract variations proposed by the DfT and other parties</w:t>
      </w:r>
    </w:p>
    <w:p w14:paraId="3E45C79E" w14:textId="77777777" w:rsidR="00D67F83" w:rsidRPr="0067623B" w:rsidRDefault="00D67F83" w:rsidP="0089289C">
      <w:pPr>
        <w:pStyle w:val="Heading3"/>
        <w:numPr>
          <w:ilvl w:val="2"/>
          <w:numId w:val="41"/>
        </w:numPr>
        <w:spacing w:after="0"/>
        <w:rPr>
          <w:sz w:val="24"/>
          <w:szCs w:val="24"/>
        </w:rPr>
      </w:pPr>
      <w:r w:rsidRPr="0067623B">
        <w:rPr>
          <w:sz w:val="24"/>
          <w:szCs w:val="24"/>
        </w:rPr>
        <w:t>A refinancing of the deal which saved over £100m</w:t>
      </w:r>
    </w:p>
    <w:p w14:paraId="1607BACA" w14:textId="77777777" w:rsidR="00D67F83" w:rsidRPr="006470C5" w:rsidRDefault="00D67F83" w:rsidP="00D67F83"/>
    <w:p w14:paraId="41958850" w14:textId="77777777" w:rsidR="00D67F83" w:rsidRPr="00944BBB" w:rsidRDefault="00D67F83" w:rsidP="0089289C">
      <w:pPr>
        <w:pStyle w:val="Heading1"/>
        <w:keepNext/>
        <w:numPr>
          <w:ilvl w:val="0"/>
          <w:numId w:val="42"/>
        </w:numPr>
        <w:tabs>
          <w:tab w:val="clear" w:pos="720"/>
        </w:tabs>
        <w:overflowPunct w:val="0"/>
        <w:autoSpaceDE w:val="0"/>
        <w:autoSpaceDN w:val="0"/>
        <w:spacing w:after="120"/>
        <w:textAlignment w:val="baseline"/>
        <w:rPr>
          <w:caps/>
          <w:sz w:val="28"/>
          <w:szCs w:val="32"/>
        </w:rPr>
      </w:pPr>
      <w:bookmarkStart w:id="8" w:name="_Toc368573029"/>
      <w:bookmarkStart w:id="9" w:name="_Toc10456775"/>
      <w:r w:rsidRPr="00944BBB">
        <w:rPr>
          <w:caps/>
          <w:sz w:val="28"/>
          <w:szCs w:val="32"/>
        </w:rPr>
        <w:t>Background to requirement/OVERVIEW</w:t>
      </w:r>
      <w:bookmarkEnd w:id="4"/>
      <w:r w:rsidRPr="00944BBB">
        <w:rPr>
          <w:caps/>
          <w:sz w:val="28"/>
          <w:szCs w:val="32"/>
        </w:rPr>
        <w:t xml:space="preserve"> of requirement</w:t>
      </w:r>
      <w:bookmarkEnd w:id="8"/>
      <w:bookmarkEnd w:id="9"/>
    </w:p>
    <w:p w14:paraId="209B2FFE" w14:textId="77777777" w:rsidR="00D67F83" w:rsidRPr="00B2109E" w:rsidRDefault="00D67F83" w:rsidP="0089289C">
      <w:pPr>
        <w:pStyle w:val="Heading2"/>
        <w:numPr>
          <w:ilvl w:val="1"/>
          <w:numId w:val="41"/>
        </w:numPr>
        <w:spacing w:after="0"/>
        <w:rPr>
          <w:sz w:val="24"/>
          <w:szCs w:val="24"/>
        </w:rPr>
      </w:pPr>
      <w:bookmarkStart w:id="10" w:name="_Toc297554774"/>
      <w:bookmarkEnd w:id="5"/>
      <w:r w:rsidRPr="00B2109E">
        <w:rPr>
          <w:sz w:val="24"/>
          <w:szCs w:val="24"/>
        </w:rPr>
        <w:t>The Thameslink Programme aims to relieve congestion on some of the UK’s most crowded commuter routes into and through London and provide capacity for future growth in demand. It will deliver significant benefits and make travelling across London and the south east of England faster, easier and more reliable. It is comprehensive modernisation programme that includes very significant improvements to rail infrastructure, major upgrades to central London stations, new passenger franchises and the provision of new rolling stock and depots. Taken together, this investment will double capacity of the existing Thameslink routes, relieving congestion on commuter routes as well as on some key London Underground routes.</w:t>
      </w:r>
    </w:p>
    <w:p w14:paraId="7C8CEF53" w14:textId="77777777" w:rsidR="00D67F83" w:rsidRPr="00B2109E" w:rsidRDefault="00D67F83" w:rsidP="00D67F83">
      <w:pPr>
        <w:pStyle w:val="Heading2"/>
        <w:numPr>
          <w:ilvl w:val="0"/>
          <w:numId w:val="0"/>
        </w:numPr>
        <w:spacing w:after="0"/>
        <w:ind w:left="720"/>
        <w:rPr>
          <w:sz w:val="24"/>
          <w:szCs w:val="24"/>
        </w:rPr>
      </w:pPr>
    </w:p>
    <w:p w14:paraId="45C62B01" w14:textId="77777777" w:rsidR="00D67F83" w:rsidRPr="00B2109E" w:rsidRDefault="00D67F83" w:rsidP="0089289C">
      <w:pPr>
        <w:pStyle w:val="Heading2"/>
        <w:numPr>
          <w:ilvl w:val="1"/>
          <w:numId w:val="41"/>
        </w:numPr>
        <w:rPr>
          <w:sz w:val="24"/>
          <w:szCs w:val="24"/>
        </w:rPr>
      </w:pPr>
      <w:r w:rsidRPr="00B2109E">
        <w:rPr>
          <w:sz w:val="24"/>
          <w:szCs w:val="24"/>
        </w:rPr>
        <w:t xml:space="preserve">The Thameslink Programme has introduced a new generation of electric commuter trains, operating with metro-style frequency of 2 to 3 trains per minute, through the central network during the morning and evening peaks. The train specification has been developed with industry and passenger input to ensure that the trains achieve unprecedented levels of reliability, minimise impact on rail infrastructure, manage high passenger volumes, achieve short dwell times in stations, and provide a high quality environment accessible to all passengers. The new rolling stock will be supported by two new maintenance depots at Hornsey (North London) and Three Bridges (south of Gatwick Airport). The fleet has been delivered and introduced into service by the operator of the Thameslink franchise over a two and a half year period.  In turn existing Thameslink trains displaced by the new fleet will become available for use on other parts of the UK rail network, supporting the Government’s wider electrification programme. </w:t>
      </w:r>
    </w:p>
    <w:p w14:paraId="5E6C95E9" w14:textId="77777777" w:rsidR="00D67F83" w:rsidRPr="00B2109E" w:rsidRDefault="00D67F83" w:rsidP="0089289C">
      <w:pPr>
        <w:pStyle w:val="Heading2"/>
        <w:numPr>
          <w:ilvl w:val="1"/>
          <w:numId w:val="41"/>
        </w:numPr>
        <w:rPr>
          <w:sz w:val="24"/>
          <w:szCs w:val="24"/>
        </w:rPr>
      </w:pPr>
      <w:r w:rsidRPr="00B2109E">
        <w:rPr>
          <w:sz w:val="24"/>
          <w:szCs w:val="24"/>
          <w:u w:val="single"/>
        </w:rPr>
        <w:t xml:space="preserve">Thameslink commercial structure </w:t>
      </w:r>
    </w:p>
    <w:p w14:paraId="06BFEF9A" w14:textId="77777777" w:rsidR="00D67F83" w:rsidRPr="00B2109E" w:rsidRDefault="00D67F83" w:rsidP="0089289C">
      <w:pPr>
        <w:pStyle w:val="Heading3"/>
        <w:numPr>
          <w:ilvl w:val="2"/>
          <w:numId w:val="41"/>
        </w:numPr>
        <w:rPr>
          <w:sz w:val="24"/>
          <w:szCs w:val="24"/>
        </w:rPr>
      </w:pPr>
      <w:r w:rsidRPr="00B2109E">
        <w:rPr>
          <w:sz w:val="24"/>
          <w:szCs w:val="24"/>
        </w:rPr>
        <w:t>In summary, the core commercial structure provides for:</w:t>
      </w:r>
    </w:p>
    <w:p w14:paraId="0C57A643" w14:textId="77777777" w:rsidR="00D67F83" w:rsidRPr="00B2109E" w:rsidRDefault="00D67F83" w:rsidP="0089289C">
      <w:pPr>
        <w:pStyle w:val="Heading4"/>
        <w:numPr>
          <w:ilvl w:val="3"/>
          <w:numId w:val="41"/>
        </w:numPr>
        <w:rPr>
          <w:sz w:val="24"/>
          <w:szCs w:val="24"/>
        </w:rPr>
      </w:pPr>
      <w:r w:rsidRPr="00B2109E">
        <w:rPr>
          <w:sz w:val="24"/>
          <w:szCs w:val="24"/>
        </w:rPr>
        <w:lastRenderedPageBreak/>
        <w:t xml:space="preserve">the manufacture and entry into service of 1140 new carriages; </w:t>
      </w:r>
    </w:p>
    <w:p w14:paraId="19921E7A" w14:textId="77777777" w:rsidR="00D67F83" w:rsidRPr="00B2109E" w:rsidRDefault="00D67F83" w:rsidP="0089289C">
      <w:pPr>
        <w:pStyle w:val="Heading4"/>
        <w:numPr>
          <w:ilvl w:val="3"/>
          <w:numId w:val="41"/>
        </w:numPr>
        <w:rPr>
          <w:sz w:val="24"/>
          <w:szCs w:val="24"/>
        </w:rPr>
      </w:pPr>
      <w:r w:rsidRPr="00B2109E">
        <w:rPr>
          <w:sz w:val="24"/>
          <w:szCs w:val="24"/>
        </w:rPr>
        <w:t xml:space="preserve">the construction of two new train maintenance depots and associated facilities; </w:t>
      </w:r>
    </w:p>
    <w:p w14:paraId="15A7E266" w14:textId="77777777" w:rsidR="00D67F83" w:rsidRPr="00B2109E" w:rsidRDefault="00D67F83" w:rsidP="0089289C">
      <w:pPr>
        <w:pStyle w:val="Heading4"/>
        <w:numPr>
          <w:ilvl w:val="3"/>
          <w:numId w:val="41"/>
        </w:numPr>
        <w:rPr>
          <w:sz w:val="24"/>
          <w:szCs w:val="24"/>
        </w:rPr>
      </w:pPr>
      <w:r w:rsidRPr="00B2109E">
        <w:rPr>
          <w:sz w:val="24"/>
          <w:szCs w:val="24"/>
        </w:rPr>
        <w:t>sufficient debt and equity to finance the transaction;</w:t>
      </w:r>
    </w:p>
    <w:p w14:paraId="64A51FBF" w14:textId="77777777" w:rsidR="00D67F83" w:rsidRPr="00B2109E" w:rsidRDefault="00D67F83" w:rsidP="0089289C">
      <w:pPr>
        <w:pStyle w:val="Heading4"/>
        <w:numPr>
          <w:ilvl w:val="3"/>
          <w:numId w:val="41"/>
        </w:numPr>
        <w:rPr>
          <w:sz w:val="24"/>
          <w:szCs w:val="24"/>
        </w:rPr>
      </w:pPr>
      <w:r w:rsidRPr="00B2109E">
        <w:rPr>
          <w:sz w:val="24"/>
          <w:szCs w:val="24"/>
        </w:rPr>
        <w:t>a maintenance contract lasting up to 30 years with options to break at year 10 and every franchise hereafter; and</w:t>
      </w:r>
    </w:p>
    <w:p w14:paraId="2DBFC12C" w14:textId="77777777" w:rsidR="00D67F83" w:rsidRPr="00B2109E" w:rsidRDefault="00D67F83" w:rsidP="0089289C">
      <w:pPr>
        <w:pStyle w:val="Heading4"/>
        <w:numPr>
          <w:ilvl w:val="3"/>
          <w:numId w:val="41"/>
        </w:numPr>
        <w:rPr>
          <w:sz w:val="24"/>
          <w:szCs w:val="24"/>
        </w:rPr>
      </w:pPr>
      <w:r w:rsidRPr="00B2109E">
        <w:rPr>
          <w:sz w:val="24"/>
          <w:szCs w:val="24"/>
        </w:rPr>
        <w:t>incentives on the manufacturer and owner to ensure that the trains achieve and maintain high levels of reliability and availability to meet the Thameslink objectives.</w:t>
      </w:r>
    </w:p>
    <w:p w14:paraId="30628635" w14:textId="77777777" w:rsidR="00D67F83" w:rsidRPr="00B2109E" w:rsidRDefault="00D67F83" w:rsidP="00D67F83">
      <w:pPr>
        <w:rPr>
          <w:sz w:val="24"/>
        </w:rPr>
      </w:pPr>
    </w:p>
    <w:p w14:paraId="4EC37532" w14:textId="77777777" w:rsidR="00D67F83" w:rsidRPr="00B2109E" w:rsidRDefault="00D67F83" w:rsidP="0089289C">
      <w:pPr>
        <w:pStyle w:val="Heading2"/>
        <w:numPr>
          <w:ilvl w:val="1"/>
          <w:numId w:val="41"/>
        </w:numPr>
        <w:rPr>
          <w:sz w:val="24"/>
          <w:szCs w:val="24"/>
        </w:rPr>
      </w:pPr>
      <w:r w:rsidRPr="00B2109E">
        <w:rPr>
          <w:sz w:val="24"/>
          <w:szCs w:val="24"/>
          <w:u w:val="single"/>
        </w:rPr>
        <w:t>Thameslink Rolling Stock Procurement Document Structure</w:t>
      </w:r>
    </w:p>
    <w:p w14:paraId="3B73E61E" w14:textId="77777777" w:rsidR="00D67F83" w:rsidRPr="00B2109E" w:rsidRDefault="00D67F83" w:rsidP="0089289C">
      <w:pPr>
        <w:pStyle w:val="Heading3"/>
        <w:numPr>
          <w:ilvl w:val="2"/>
          <w:numId w:val="41"/>
        </w:numPr>
        <w:rPr>
          <w:sz w:val="24"/>
          <w:szCs w:val="24"/>
        </w:rPr>
      </w:pPr>
      <w:r w:rsidRPr="00B2109E">
        <w:rPr>
          <w:sz w:val="24"/>
          <w:szCs w:val="24"/>
        </w:rPr>
        <w:t xml:space="preserve">The core suite of agreements includes the Manufacturing and Supply Agreement, rolling stock Lease and Train Services Agreement (for maintenance) which the train operator is a party to. These contracts deal with the main obligations associated with accepting and leasing the trains and arrangements for ongoing maintenance. They provide for the Train Manufacturer and Maintainer (TMM) to build the trains, which will then be purchased by the Owner. The Owner will then lease those trains to the train Operator.  The TMM will provide ongoing maintenance services to the Operator for those trains. </w:t>
      </w:r>
    </w:p>
    <w:p w14:paraId="684FD667" w14:textId="4CD588CC" w:rsidR="00D67F83" w:rsidRPr="00B2109E" w:rsidRDefault="00D67F83" w:rsidP="0089289C">
      <w:pPr>
        <w:pStyle w:val="Heading3"/>
        <w:numPr>
          <w:ilvl w:val="2"/>
          <w:numId w:val="41"/>
        </w:numPr>
        <w:rPr>
          <w:sz w:val="24"/>
          <w:szCs w:val="24"/>
        </w:rPr>
      </w:pPr>
      <w:r w:rsidRPr="00B2109E">
        <w:rPr>
          <w:sz w:val="24"/>
          <w:szCs w:val="24"/>
        </w:rPr>
        <w:t xml:space="preserve">In addition, there is an Umbrella Agreement, entered into by the </w:t>
      </w:r>
      <w:r w:rsidR="0091293D">
        <w:rPr>
          <w:sz w:val="24"/>
          <w:szCs w:val="24"/>
        </w:rPr>
        <w:t>REDACTED</w:t>
      </w:r>
      <w:r w:rsidRPr="00B2109E">
        <w:rPr>
          <w:sz w:val="24"/>
          <w:szCs w:val="24"/>
        </w:rPr>
        <w:t xml:space="preserve"> The Umbrella Agreement deals with variations and termination events. It also contains a commitment that for a specified period (20 years in the case of the rolling stock Lease), the Secretary of State will procure a successor operator to enter into the core suite of agreements at the end of each rail franchise. This commitment is given under statutory powers contained in section 54 of the Railways Act 1993 and gives the train manufacturer and the owner comfort that the trains will be leased for a fixed period, during which time they will receive revenue (“the section 54 undertakings”). </w:t>
      </w:r>
    </w:p>
    <w:p w14:paraId="59E10E86" w14:textId="77777777" w:rsidR="00D67F83" w:rsidRPr="00B2109E" w:rsidRDefault="00D67F83" w:rsidP="0089289C">
      <w:pPr>
        <w:pStyle w:val="Heading3"/>
        <w:numPr>
          <w:ilvl w:val="2"/>
          <w:numId w:val="41"/>
        </w:numPr>
        <w:rPr>
          <w:sz w:val="24"/>
          <w:szCs w:val="24"/>
        </w:rPr>
      </w:pPr>
      <w:r w:rsidRPr="00B2109E">
        <w:rPr>
          <w:sz w:val="24"/>
          <w:szCs w:val="24"/>
        </w:rPr>
        <w:t xml:space="preserve">The depot agreements for lease and depot undertakings provide for the construction of two new depots by Siemens as the Depot SPC (a special purpose company).  These are now in use and the agreements for lease are superseded by depot leases. The Depot SPC leases the depots to the Operator for a guaranteed period. The TMM will have access to these depots in order to carry out the ongoing train maintenance. </w:t>
      </w:r>
    </w:p>
    <w:p w14:paraId="29F7141B" w14:textId="77777777" w:rsidR="00D67F83" w:rsidRPr="00B2109E" w:rsidRDefault="00D67F83" w:rsidP="0089289C">
      <w:pPr>
        <w:pStyle w:val="Heading3"/>
        <w:numPr>
          <w:ilvl w:val="2"/>
          <w:numId w:val="41"/>
        </w:numPr>
        <w:rPr>
          <w:sz w:val="24"/>
          <w:szCs w:val="24"/>
        </w:rPr>
      </w:pPr>
      <w:r w:rsidRPr="00B2109E">
        <w:rPr>
          <w:sz w:val="24"/>
          <w:szCs w:val="24"/>
        </w:rPr>
        <w:lastRenderedPageBreak/>
        <w:t>Redacted forms of the core documentation have been published in line with the Transparency Agenda and can be found online at:</w:t>
      </w:r>
    </w:p>
    <w:p w14:paraId="388E538F" w14:textId="6C9D9274" w:rsidR="00D67F83" w:rsidRPr="00944BBB" w:rsidRDefault="006B1368" w:rsidP="00944BBB">
      <w:pPr>
        <w:pStyle w:val="Heading2"/>
        <w:numPr>
          <w:ilvl w:val="0"/>
          <w:numId w:val="0"/>
        </w:numPr>
        <w:ind w:left="720"/>
        <w:rPr>
          <w:color w:val="0000FF"/>
          <w:sz w:val="24"/>
          <w:szCs w:val="24"/>
          <w:u w:val="single"/>
        </w:rPr>
      </w:pPr>
      <w:hyperlink r:id="rId9" w:history="1">
        <w:r w:rsidR="00D67F83" w:rsidRPr="00872938">
          <w:rPr>
            <w:rStyle w:val="Hyperlink"/>
            <w:sz w:val="24"/>
            <w:szCs w:val="24"/>
          </w:rPr>
          <w:t>https://www.gov.uk/government/publications/thameslink-rolling-stock-and-depot-agreements</w:t>
        </w:r>
      </w:hyperlink>
    </w:p>
    <w:p w14:paraId="47286460" w14:textId="77777777" w:rsidR="00D67F83" w:rsidRPr="00944BBB" w:rsidRDefault="00D67F83" w:rsidP="0089289C">
      <w:pPr>
        <w:pStyle w:val="Heading1"/>
        <w:keepNext/>
        <w:numPr>
          <w:ilvl w:val="0"/>
          <w:numId w:val="42"/>
        </w:numPr>
        <w:tabs>
          <w:tab w:val="clear" w:pos="720"/>
        </w:tabs>
        <w:overflowPunct w:val="0"/>
        <w:autoSpaceDE w:val="0"/>
        <w:autoSpaceDN w:val="0"/>
        <w:spacing w:after="120"/>
        <w:textAlignment w:val="baseline"/>
        <w:rPr>
          <w:caps/>
          <w:sz w:val="28"/>
          <w:szCs w:val="32"/>
        </w:rPr>
      </w:pPr>
      <w:bookmarkStart w:id="11" w:name="_Toc10456776"/>
      <w:bookmarkStart w:id="12" w:name="_Toc368573030"/>
      <w:r w:rsidRPr="00944BBB">
        <w:rPr>
          <w:caps/>
          <w:sz w:val="28"/>
          <w:szCs w:val="32"/>
        </w:rPr>
        <w:t>definitions</w:t>
      </w:r>
      <w:bookmarkEnd w:id="11"/>
      <w:r w:rsidRPr="00944BBB">
        <w:rPr>
          <w:caps/>
          <w:sz w:val="28"/>
          <w:szCs w:val="32"/>
        </w:rPr>
        <w:t xml:space="preserve"> </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7"/>
        <w:gridCol w:w="6442"/>
      </w:tblGrid>
      <w:tr w:rsidR="00D67F83" w:rsidRPr="006470C5" w14:paraId="4E93A983" w14:textId="77777777" w:rsidTr="00DB7D75">
        <w:tc>
          <w:tcPr>
            <w:tcW w:w="1857" w:type="dxa"/>
            <w:shd w:val="clear" w:color="auto" w:fill="C6D9F1"/>
          </w:tcPr>
          <w:p w14:paraId="739F7F07" w14:textId="77777777" w:rsidR="00D67F83" w:rsidRPr="00872938" w:rsidRDefault="00D67F83" w:rsidP="00DB7D75">
            <w:pPr>
              <w:pStyle w:val="Heading2"/>
              <w:numPr>
                <w:ilvl w:val="0"/>
                <w:numId w:val="0"/>
              </w:numPr>
              <w:overflowPunct w:val="0"/>
              <w:autoSpaceDE w:val="0"/>
              <w:autoSpaceDN w:val="0"/>
              <w:spacing w:after="120"/>
              <w:ind w:left="18" w:hanging="18"/>
              <w:jc w:val="left"/>
              <w:textAlignment w:val="baseline"/>
              <w:rPr>
                <w:b/>
                <w:sz w:val="24"/>
                <w:szCs w:val="24"/>
              </w:rPr>
            </w:pPr>
            <w:r w:rsidRPr="00872938">
              <w:rPr>
                <w:b/>
                <w:sz w:val="24"/>
                <w:szCs w:val="24"/>
              </w:rPr>
              <w:t>Expression or Acronym</w:t>
            </w:r>
          </w:p>
        </w:tc>
        <w:tc>
          <w:tcPr>
            <w:tcW w:w="6442" w:type="dxa"/>
            <w:shd w:val="clear" w:color="auto" w:fill="C6D9F1"/>
          </w:tcPr>
          <w:p w14:paraId="48D92CAC"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b/>
                <w:sz w:val="24"/>
                <w:szCs w:val="24"/>
              </w:rPr>
            </w:pPr>
            <w:r w:rsidRPr="00872938">
              <w:rPr>
                <w:b/>
                <w:sz w:val="24"/>
                <w:szCs w:val="24"/>
              </w:rPr>
              <w:t>Definition</w:t>
            </w:r>
          </w:p>
        </w:tc>
      </w:tr>
      <w:tr w:rsidR="00D67F83" w:rsidRPr="006470C5" w14:paraId="321044E9" w14:textId="77777777" w:rsidTr="00DB7D75">
        <w:tc>
          <w:tcPr>
            <w:tcW w:w="1857" w:type="dxa"/>
            <w:shd w:val="clear" w:color="auto" w:fill="auto"/>
          </w:tcPr>
          <w:p w14:paraId="11DAD711"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sidRPr="00872938">
              <w:rPr>
                <w:sz w:val="24"/>
                <w:szCs w:val="24"/>
              </w:rPr>
              <w:t>Depot SPC</w:t>
            </w:r>
          </w:p>
        </w:tc>
        <w:tc>
          <w:tcPr>
            <w:tcW w:w="6442" w:type="dxa"/>
            <w:shd w:val="clear" w:color="auto" w:fill="auto"/>
          </w:tcPr>
          <w:p w14:paraId="13795DCD" w14:textId="77777777" w:rsidR="00D67F83" w:rsidRPr="00872938" w:rsidRDefault="00D67F83" w:rsidP="00DB7D75">
            <w:pPr>
              <w:pStyle w:val="Heading2"/>
              <w:numPr>
                <w:ilvl w:val="0"/>
                <w:numId w:val="0"/>
              </w:numPr>
              <w:overflowPunct w:val="0"/>
              <w:autoSpaceDE w:val="0"/>
              <w:autoSpaceDN w:val="0"/>
              <w:spacing w:after="120"/>
              <w:textAlignment w:val="baseline"/>
              <w:rPr>
                <w:sz w:val="24"/>
                <w:szCs w:val="24"/>
              </w:rPr>
            </w:pPr>
            <w:r w:rsidRPr="00872938">
              <w:rPr>
                <w:sz w:val="24"/>
                <w:szCs w:val="24"/>
              </w:rPr>
              <w:t>Special Purpose Company</w:t>
            </w:r>
          </w:p>
        </w:tc>
      </w:tr>
      <w:tr w:rsidR="00D67F83" w:rsidRPr="006470C5" w14:paraId="40A3D789" w14:textId="77777777" w:rsidTr="00DB7D75">
        <w:tc>
          <w:tcPr>
            <w:tcW w:w="1857" w:type="dxa"/>
            <w:shd w:val="clear" w:color="auto" w:fill="auto"/>
          </w:tcPr>
          <w:p w14:paraId="35306467"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sidRPr="00872938">
              <w:rPr>
                <w:sz w:val="24"/>
                <w:szCs w:val="24"/>
              </w:rPr>
              <w:t>DfT</w:t>
            </w:r>
          </w:p>
        </w:tc>
        <w:tc>
          <w:tcPr>
            <w:tcW w:w="6442" w:type="dxa"/>
            <w:shd w:val="clear" w:color="auto" w:fill="auto"/>
          </w:tcPr>
          <w:p w14:paraId="1C88A161" w14:textId="77777777" w:rsidR="00D67F83" w:rsidRPr="00872938" w:rsidRDefault="00D67F83" w:rsidP="00DB7D75">
            <w:pPr>
              <w:pStyle w:val="Heading2"/>
              <w:numPr>
                <w:ilvl w:val="0"/>
                <w:numId w:val="0"/>
              </w:numPr>
              <w:overflowPunct w:val="0"/>
              <w:autoSpaceDE w:val="0"/>
              <w:autoSpaceDN w:val="0"/>
              <w:spacing w:after="120"/>
              <w:textAlignment w:val="baseline"/>
              <w:rPr>
                <w:sz w:val="24"/>
                <w:szCs w:val="24"/>
              </w:rPr>
            </w:pPr>
            <w:r w:rsidRPr="00872938">
              <w:rPr>
                <w:sz w:val="24"/>
                <w:szCs w:val="24"/>
              </w:rPr>
              <w:t xml:space="preserve">Department for Transport </w:t>
            </w:r>
          </w:p>
        </w:tc>
      </w:tr>
      <w:tr w:rsidR="00D67F83" w:rsidRPr="006470C5" w14:paraId="48F084E0" w14:textId="77777777" w:rsidTr="00DB7D75">
        <w:tc>
          <w:tcPr>
            <w:tcW w:w="1857" w:type="dxa"/>
            <w:shd w:val="clear" w:color="auto" w:fill="auto"/>
          </w:tcPr>
          <w:p w14:paraId="68907FAE"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Pr>
                <w:sz w:val="24"/>
                <w:szCs w:val="24"/>
              </w:rPr>
              <w:t>GRN</w:t>
            </w:r>
          </w:p>
        </w:tc>
        <w:tc>
          <w:tcPr>
            <w:tcW w:w="6442" w:type="dxa"/>
            <w:shd w:val="clear" w:color="auto" w:fill="auto"/>
          </w:tcPr>
          <w:p w14:paraId="0A7F190C"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Pr>
                <w:sz w:val="24"/>
                <w:szCs w:val="24"/>
              </w:rPr>
              <w:t>Goods Receipt Note</w:t>
            </w:r>
          </w:p>
        </w:tc>
      </w:tr>
      <w:tr w:rsidR="00D67F83" w:rsidRPr="006470C5" w14:paraId="2D0A9898" w14:textId="77777777" w:rsidTr="00DB7D75">
        <w:tc>
          <w:tcPr>
            <w:tcW w:w="1857" w:type="dxa"/>
            <w:shd w:val="clear" w:color="auto" w:fill="auto"/>
          </w:tcPr>
          <w:p w14:paraId="4E2662F6"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sidRPr="00872938">
              <w:rPr>
                <w:sz w:val="24"/>
                <w:szCs w:val="24"/>
              </w:rPr>
              <w:t>GTR</w:t>
            </w:r>
          </w:p>
        </w:tc>
        <w:tc>
          <w:tcPr>
            <w:tcW w:w="6442" w:type="dxa"/>
            <w:shd w:val="clear" w:color="auto" w:fill="auto"/>
          </w:tcPr>
          <w:p w14:paraId="31AF4C30"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sidRPr="00872938">
              <w:rPr>
                <w:sz w:val="24"/>
                <w:szCs w:val="24"/>
              </w:rPr>
              <w:t>Govia Thameslink Railway</w:t>
            </w:r>
          </w:p>
        </w:tc>
      </w:tr>
      <w:tr w:rsidR="00D67F83" w:rsidRPr="006470C5" w14:paraId="3729903F" w14:textId="77777777" w:rsidTr="00DB7D75">
        <w:tc>
          <w:tcPr>
            <w:tcW w:w="1857" w:type="dxa"/>
            <w:shd w:val="clear" w:color="auto" w:fill="auto"/>
          </w:tcPr>
          <w:p w14:paraId="0A8CB9D1"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sidRPr="00872938">
              <w:rPr>
                <w:sz w:val="24"/>
                <w:szCs w:val="24"/>
              </w:rPr>
              <w:t>TMM</w:t>
            </w:r>
          </w:p>
        </w:tc>
        <w:tc>
          <w:tcPr>
            <w:tcW w:w="6442" w:type="dxa"/>
            <w:shd w:val="clear" w:color="auto" w:fill="auto"/>
          </w:tcPr>
          <w:p w14:paraId="53C13C0D"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sidRPr="00872938">
              <w:rPr>
                <w:sz w:val="24"/>
                <w:szCs w:val="24"/>
              </w:rPr>
              <w:t>Train Manufacturer and Maintainer</w:t>
            </w:r>
          </w:p>
        </w:tc>
      </w:tr>
      <w:tr w:rsidR="00D67F83" w:rsidRPr="006470C5" w14:paraId="79C6EFE7" w14:textId="77777777" w:rsidTr="00DB7D75">
        <w:tc>
          <w:tcPr>
            <w:tcW w:w="1857" w:type="dxa"/>
            <w:shd w:val="clear" w:color="auto" w:fill="auto"/>
          </w:tcPr>
          <w:p w14:paraId="508F8C57"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sidRPr="00872938">
              <w:rPr>
                <w:sz w:val="24"/>
                <w:szCs w:val="24"/>
              </w:rPr>
              <w:t xml:space="preserve">TRSP </w:t>
            </w:r>
          </w:p>
        </w:tc>
        <w:tc>
          <w:tcPr>
            <w:tcW w:w="6442" w:type="dxa"/>
            <w:shd w:val="clear" w:color="auto" w:fill="auto"/>
          </w:tcPr>
          <w:p w14:paraId="2E07BC13"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sidRPr="00872938">
              <w:rPr>
                <w:sz w:val="24"/>
                <w:szCs w:val="24"/>
              </w:rPr>
              <w:t xml:space="preserve">Thameslink Rolling Stock Project </w:t>
            </w:r>
          </w:p>
        </w:tc>
      </w:tr>
      <w:tr w:rsidR="00D67F83" w:rsidRPr="006470C5" w14:paraId="7FA89D29" w14:textId="77777777" w:rsidTr="00DB7D75">
        <w:tc>
          <w:tcPr>
            <w:tcW w:w="1857" w:type="dxa"/>
            <w:shd w:val="clear" w:color="auto" w:fill="auto"/>
          </w:tcPr>
          <w:p w14:paraId="5FEE6A4D"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sidRPr="00872938">
              <w:rPr>
                <w:sz w:val="24"/>
                <w:szCs w:val="24"/>
              </w:rPr>
              <w:t>TSGN FA</w:t>
            </w:r>
          </w:p>
        </w:tc>
        <w:tc>
          <w:tcPr>
            <w:tcW w:w="6442" w:type="dxa"/>
            <w:shd w:val="clear" w:color="auto" w:fill="auto"/>
          </w:tcPr>
          <w:p w14:paraId="5870EFB3" w14:textId="77777777" w:rsidR="00D67F83" w:rsidRPr="00872938" w:rsidRDefault="00D67F83" w:rsidP="00DB7D75">
            <w:pPr>
              <w:pStyle w:val="Heading2"/>
              <w:numPr>
                <w:ilvl w:val="0"/>
                <w:numId w:val="0"/>
              </w:numPr>
              <w:overflowPunct w:val="0"/>
              <w:autoSpaceDE w:val="0"/>
              <w:autoSpaceDN w:val="0"/>
              <w:spacing w:after="120"/>
              <w:textAlignment w:val="baseline"/>
              <w:rPr>
                <w:sz w:val="24"/>
                <w:szCs w:val="24"/>
              </w:rPr>
            </w:pPr>
            <w:r w:rsidRPr="00872938">
              <w:rPr>
                <w:sz w:val="24"/>
                <w:szCs w:val="24"/>
              </w:rPr>
              <w:t>Thameslink, Southern and Great Northern Franchise Agreement</w:t>
            </w:r>
          </w:p>
        </w:tc>
      </w:tr>
      <w:tr w:rsidR="00D67F83" w:rsidRPr="006470C5" w14:paraId="4DE88A17" w14:textId="77777777" w:rsidTr="00DB7D75">
        <w:tc>
          <w:tcPr>
            <w:tcW w:w="1857" w:type="dxa"/>
            <w:shd w:val="clear" w:color="auto" w:fill="auto"/>
          </w:tcPr>
          <w:p w14:paraId="02A226C2" w14:textId="77777777" w:rsidR="00D67F83" w:rsidRPr="00872938" w:rsidRDefault="00D67F83" w:rsidP="00DB7D75">
            <w:pPr>
              <w:pStyle w:val="Heading2"/>
              <w:numPr>
                <w:ilvl w:val="0"/>
                <w:numId w:val="0"/>
              </w:numPr>
              <w:overflowPunct w:val="0"/>
              <w:autoSpaceDE w:val="0"/>
              <w:autoSpaceDN w:val="0"/>
              <w:spacing w:after="120"/>
              <w:ind w:left="720" w:hanging="720"/>
              <w:textAlignment w:val="baseline"/>
              <w:rPr>
                <w:sz w:val="24"/>
                <w:szCs w:val="24"/>
              </w:rPr>
            </w:pPr>
            <w:r w:rsidRPr="00872938">
              <w:rPr>
                <w:sz w:val="24"/>
                <w:szCs w:val="24"/>
              </w:rPr>
              <w:t xml:space="preserve">XLT </w:t>
            </w:r>
          </w:p>
        </w:tc>
        <w:tc>
          <w:tcPr>
            <w:tcW w:w="6442" w:type="dxa"/>
            <w:shd w:val="clear" w:color="auto" w:fill="auto"/>
          </w:tcPr>
          <w:p w14:paraId="21B59381" w14:textId="77777777" w:rsidR="00D67F83" w:rsidRPr="00872938" w:rsidRDefault="00D67F83" w:rsidP="00DB7D75">
            <w:pPr>
              <w:pStyle w:val="Heading2"/>
              <w:numPr>
                <w:ilvl w:val="0"/>
                <w:numId w:val="0"/>
              </w:numPr>
              <w:overflowPunct w:val="0"/>
              <w:autoSpaceDE w:val="0"/>
              <w:autoSpaceDN w:val="0"/>
              <w:spacing w:after="120"/>
              <w:textAlignment w:val="baseline"/>
              <w:rPr>
                <w:sz w:val="24"/>
                <w:szCs w:val="24"/>
              </w:rPr>
            </w:pPr>
            <w:r w:rsidRPr="00872938">
              <w:rPr>
                <w:sz w:val="24"/>
                <w:szCs w:val="24"/>
              </w:rPr>
              <w:t>Cross London Trains</w:t>
            </w:r>
          </w:p>
        </w:tc>
      </w:tr>
    </w:tbl>
    <w:p w14:paraId="6D06771C" w14:textId="77777777" w:rsidR="00D67F83" w:rsidRDefault="00D67F83" w:rsidP="00D67F83"/>
    <w:p w14:paraId="2C145673" w14:textId="77777777" w:rsidR="00D67F83" w:rsidRPr="00D67F83" w:rsidRDefault="00D67F83" w:rsidP="0089289C">
      <w:pPr>
        <w:pStyle w:val="Heading1"/>
        <w:keepNext/>
        <w:numPr>
          <w:ilvl w:val="0"/>
          <w:numId w:val="42"/>
        </w:numPr>
        <w:tabs>
          <w:tab w:val="clear" w:pos="720"/>
        </w:tabs>
        <w:overflowPunct w:val="0"/>
        <w:autoSpaceDE w:val="0"/>
        <w:autoSpaceDN w:val="0"/>
        <w:spacing w:after="120"/>
        <w:textAlignment w:val="baseline"/>
        <w:rPr>
          <w:caps/>
          <w:sz w:val="32"/>
          <w:szCs w:val="32"/>
        </w:rPr>
      </w:pPr>
      <w:bookmarkStart w:id="13" w:name="_Toc10456777"/>
      <w:r w:rsidRPr="00944BBB">
        <w:rPr>
          <w:caps/>
          <w:sz w:val="28"/>
          <w:szCs w:val="32"/>
        </w:rPr>
        <w:t>scope of requirement</w:t>
      </w:r>
      <w:bookmarkEnd w:id="10"/>
      <w:bookmarkEnd w:id="12"/>
      <w:bookmarkEnd w:id="13"/>
      <w:r w:rsidRPr="00944BBB">
        <w:rPr>
          <w:caps/>
          <w:sz w:val="28"/>
          <w:szCs w:val="32"/>
        </w:rPr>
        <w:t xml:space="preserve"> </w:t>
      </w:r>
    </w:p>
    <w:bookmarkEnd w:id="6"/>
    <w:p w14:paraId="23453533" w14:textId="77777777" w:rsidR="00D67F83" w:rsidRPr="00872938" w:rsidRDefault="00D67F83" w:rsidP="0089289C">
      <w:pPr>
        <w:pStyle w:val="Heading2"/>
        <w:numPr>
          <w:ilvl w:val="1"/>
          <w:numId w:val="41"/>
        </w:numPr>
        <w:rPr>
          <w:sz w:val="24"/>
          <w:szCs w:val="24"/>
        </w:rPr>
      </w:pPr>
      <w:r w:rsidRPr="00872938">
        <w:rPr>
          <w:sz w:val="24"/>
          <w:szCs w:val="24"/>
        </w:rPr>
        <w:t>This appointment is expected to commence on 1</w:t>
      </w:r>
      <w:r w:rsidRPr="00872938">
        <w:rPr>
          <w:sz w:val="24"/>
          <w:szCs w:val="24"/>
          <w:vertAlign w:val="superscript"/>
        </w:rPr>
        <w:t>st</w:t>
      </w:r>
      <w:r w:rsidRPr="00872938">
        <w:rPr>
          <w:sz w:val="24"/>
          <w:szCs w:val="24"/>
        </w:rPr>
        <w:t xml:space="preserve"> July 2019 and run for 12 months. The appointed Supplier will be expected to work with the DfT’s departmental lawyers and lawyers appointed on other matters, for instance those advising the DfT on the Thameslink, Southern and Great Northern Franchise Agreement (“TSGN FA”).  The contract will be on a call-off basis and due to the nature of the project no guarantee is or will be given as to the value or volume of this work. The DfT is seeking to secure excellent value for money and the appointed Provider will be required to provide a solution that offers cost reduction, efficiency and improvement opportunities throughout the contract term. This will include making full use of available internal resources of the DfT legal team, providing knowledge transfer through meetings, workshops and reports, or outsourcing non-legal services where it is appropriate and cost effective to do so. </w:t>
      </w:r>
    </w:p>
    <w:p w14:paraId="31169A94" w14:textId="77777777" w:rsidR="00D67F83" w:rsidRPr="00872938" w:rsidRDefault="00D67F83" w:rsidP="0089289C">
      <w:pPr>
        <w:pStyle w:val="Heading2"/>
        <w:numPr>
          <w:ilvl w:val="1"/>
          <w:numId w:val="41"/>
        </w:numPr>
        <w:rPr>
          <w:sz w:val="24"/>
          <w:szCs w:val="24"/>
        </w:rPr>
      </w:pPr>
      <w:r w:rsidRPr="00872938">
        <w:rPr>
          <w:sz w:val="24"/>
          <w:szCs w:val="24"/>
        </w:rPr>
        <w:t>The DfT requires external legal advice in relation to the Thameslink Rolling Stock Project (TRSP) contracts and the work will include:</w:t>
      </w:r>
    </w:p>
    <w:p w14:paraId="4B34EA52" w14:textId="77777777" w:rsidR="00D67F83" w:rsidRPr="00872938" w:rsidRDefault="00D67F83" w:rsidP="00D67F83">
      <w:pPr>
        <w:pStyle w:val="Heading2"/>
        <w:numPr>
          <w:ilvl w:val="0"/>
          <w:numId w:val="0"/>
        </w:numPr>
        <w:overflowPunct w:val="0"/>
        <w:autoSpaceDE w:val="0"/>
        <w:autoSpaceDN w:val="0"/>
        <w:spacing w:after="0"/>
        <w:ind w:left="709"/>
        <w:textAlignment w:val="baseline"/>
        <w:rPr>
          <w:sz w:val="24"/>
          <w:szCs w:val="24"/>
        </w:rPr>
      </w:pPr>
    </w:p>
    <w:p w14:paraId="480E1B5D" w14:textId="77777777" w:rsidR="00D67F83" w:rsidRPr="0067623B" w:rsidRDefault="00D67F83" w:rsidP="0089289C">
      <w:pPr>
        <w:pStyle w:val="Heading3"/>
        <w:numPr>
          <w:ilvl w:val="2"/>
          <w:numId w:val="41"/>
        </w:numPr>
        <w:spacing w:after="0"/>
        <w:rPr>
          <w:sz w:val="24"/>
        </w:rPr>
      </w:pPr>
      <w:r w:rsidRPr="0067623B">
        <w:rPr>
          <w:sz w:val="24"/>
        </w:rPr>
        <w:t>Advising on interpretation of the TRSP contracts and their interaction with the TSGN FA;</w:t>
      </w:r>
    </w:p>
    <w:p w14:paraId="603C94E0" w14:textId="77777777" w:rsidR="00D67F83" w:rsidRPr="0067623B" w:rsidRDefault="00D67F83" w:rsidP="0089289C">
      <w:pPr>
        <w:pStyle w:val="Heading3"/>
        <w:numPr>
          <w:ilvl w:val="2"/>
          <w:numId w:val="41"/>
        </w:numPr>
        <w:spacing w:after="0"/>
        <w:rPr>
          <w:sz w:val="24"/>
        </w:rPr>
      </w:pPr>
      <w:r w:rsidRPr="0067623B">
        <w:rPr>
          <w:sz w:val="24"/>
        </w:rPr>
        <w:t xml:space="preserve">Advising on any variations to the contracts; </w:t>
      </w:r>
    </w:p>
    <w:p w14:paraId="0F284A44" w14:textId="7FCE2D97" w:rsidR="00D67F83" w:rsidRPr="0067623B" w:rsidRDefault="00D67F83" w:rsidP="0089289C">
      <w:pPr>
        <w:pStyle w:val="Heading3"/>
        <w:numPr>
          <w:ilvl w:val="2"/>
          <w:numId w:val="41"/>
        </w:numPr>
        <w:spacing w:after="0"/>
        <w:rPr>
          <w:sz w:val="24"/>
        </w:rPr>
      </w:pPr>
      <w:r w:rsidRPr="0067623B">
        <w:rPr>
          <w:sz w:val="24"/>
        </w:rPr>
        <w:t xml:space="preserve">Advising on any contractual disputes </w:t>
      </w:r>
      <w:r w:rsidR="0091293D">
        <w:rPr>
          <w:sz w:val="24"/>
        </w:rPr>
        <w:t>REDACTED</w:t>
      </w:r>
    </w:p>
    <w:p w14:paraId="17B5D3F8" w14:textId="77777777" w:rsidR="00D67F83" w:rsidRPr="0067623B" w:rsidRDefault="00D67F83" w:rsidP="0089289C">
      <w:pPr>
        <w:pStyle w:val="Heading3"/>
        <w:numPr>
          <w:ilvl w:val="2"/>
          <w:numId w:val="41"/>
        </w:numPr>
        <w:spacing w:after="0"/>
        <w:rPr>
          <w:sz w:val="24"/>
        </w:rPr>
      </w:pPr>
      <w:r w:rsidRPr="0067623B">
        <w:rPr>
          <w:sz w:val="24"/>
        </w:rPr>
        <w:lastRenderedPageBreak/>
        <w:t>Handover and knowledge transfer to the Department and/ or external advisors at the end of the appointment.</w:t>
      </w:r>
    </w:p>
    <w:p w14:paraId="35918C96" w14:textId="77777777" w:rsidR="00D67F83" w:rsidRPr="00872938" w:rsidRDefault="00D67F83" w:rsidP="00D67F83">
      <w:pPr>
        <w:pStyle w:val="Heading2"/>
        <w:numPr>
          <w:ilvl w:val="0"/>
          <w:numId w:val="0"/>
        </w:numPr>
        <w:spacing w:after="0"/>
        <w:ind w:left="1440"/>
        <w:rPr>
          <w:sz w:val="24"/>
          <w:szCs w:val="24"/>
        </w:rPr>
      </w:pPr>
    </w:p>
    <w:p w14:paraId="2BCB38E0" w14:textId="77777777" w:rsidR="00D67F83" w:rsidRPr="00872938" w:rsidRDefault="00D67F83" w:rsidP="0089289C">
      <w:pPr>
        <w:pStyle w:val="Heading2"/>
        <w:numPr>
          <w:ilvl w:val="1"/>
          <w:numId w:val="41"/>
        </w:numPr>
        <w:rPr>
          <w:sz w:val="24"/>
          <w:szCs w:val="24"/>
        </w:rPr>
      </w:pPr>
      <w:r w:rsidRPr="00872938">
        <w:rPr>
          <w:b/>
          <w:sz w:val="24"/>
          <w:szCs w:val="24"/>
        </w:rPr>
        <w:t>Scope Specific</w:t>
      </w:r>
    </w:p>
    <w:p w14:paraId="2E51AFCF" w14:textId="77777777" w:rsidR="00D67F83" w:rsidRPr="00872938" w:rsidRDefault="00D67F83" w:rsidP="0089289C">
      <w:pPr>
        <w:pStyle w:val="Heading3"/>
        <w:numPr>
          <w:ilvl w:val="2"/>
          <w:numId w:val="41"/>
        </w:numPr>
        <w:rPr>
          <w:sz w:val="24"/>
          <w:szCs w:val="24"/>
        </w:rPr>
      </w:pPr>
      <w:r w:rsidRPr="00872938">
        <w:rPr>
          <w:sz w:val="24"/>
          <w:szCs w:val="24"/>
        </w:rPr>
        <w:t>The scope of the work will include the following tasks, although the Supplier will be expected to provide advice and assistance on any related issues that arise during the period of the appointment.</w:t>
      </w:r>
    </w:p>
    <w:p w14:paraId="0ED26827" w14:textId="77777777" w:rsidR="00D67F83" w:rsidRPr="00872938" w:rsidRDefault="00D67F83" w:rsidP="0089289C">
      <w:pPr>
        <w:pStyle w:val="Heading4"/>
        <w:numPr>
          <w:ilvl w:val="3"/>
          <w:numId w:val="41"/>
        </w:numPr>
        <w:rPr>
          <w:sz w:val="24"/>
          <w:szCs w:val="24"/>
        </w:rPr>
      </w:pPr>
      <w:r w:rsidRPr="00872938">
        <w:rPr>
          <w:sz w:val="24"/>
          <w:szCs w:val="24"/>
        </w:rPr>
        <w:t>Advising on any changes to the TRSP contracts that may be required as a result of variations which are proposed or required due to a Change in Law;</w:t>
      </w:r>
    </w:p>
    <w:p w14:paraId="38F24C60" w14:textId="77777777" w:rsidR="00D67F83" w:rsidRPr="00872938" w:rsidRDefault="00D67F83" w:rsidP="0089289C">
      <w:pPr>
        <w:pStyle w:val="Heading4"/>
        <w:numPr>
          <w:ilvl w:val="3"/>
          <w:numId w:val="41"/>
        </w:numPr>
        <w:rPr>
          <w:sz w:val="24"/>
          <w:szCs w:val="24"/>
        </w:rPr>
      </w:pPr>
      <w:r w:rsidRPr="00872938">
        <w:rPr>
          <w:sz w:val="24"/>
          <w:szCs w:val="24"/>
        </w:rPr>
        <w:t>Managing change control process as required;</w:t>
      </w:r>
    </w:p>
    <w:p w14:paraId="4268DF28" w14:textId="77777777" w:rsidR="00D67F83" w:rsidRPr="00872938" w:rsidRDefault="00D67F83" w:rsidP="0089289C">
      <w:pPr>
        <w:pStyle w:val="Heading4"/>
        <w:numPr>
          <w:ilvl w:val="3"/>
          <w:numId w:val="41"/>
        </w:numPr>
        <w:rPr>
          <w:sz w:val="24"/>
          <w:szCs w:val="24"/>
        </w:rPr>
      </w:pPr>
      <w:r w:rsidRPr="00872938">
        <w:rPr>
          <w:sz w:val="24"/>
          <w:szCs w:val="24"/>
        </w:rPr>
        <w:t>Advising on any separate Funding Agreements and/or Side Letters in place between the Department, Network Rail and relevant train operating companies in place to support essential enhancements at train depots on the Thameslink route network;</w:t>
      </w:r>
    </w:p>
    <w:p w14:paraId="4C45EB08" w14:textId="77777777" w:rsidR="00D67F83" w:rsidRPr="00872938" w:rsidRDefault="00D67F83" w:rsidP="0089289C">
      <w:pPr>
        <w:pStyle w:val="Heading4"/>
        <w:numPr>
          <w:ilvl w:val="3"/>
          <w:numId w:val="41"/>
        </w:numPr>
        <w:rPr>
          <w:sz w:val="24"/>
          <w:szCs w:val="24"/>
        </w:rPr>
      </w:pPr>
      <w:r w:rsidRPr="00872938">
        <w:rPr>
          <w:sz w:val="24"/>
          <w:szCs w:val="24"/>
        </w:rPr>
        <w:t>Advising on any issues arising out of DfT’s ongoing contractual obligations under the TRSP agreements;</w:t>
      </w:r>
    </w:p>
    <w:p w14:paraId="31566228" w14:textId="77777777" w:rsidR="00D67F83" w:rsidRPr="00872938" w:rsidRDefault="00D67F83" w:rsidP="0089289C">
      <w:pPr>
        <w:pStyle w:val="Heading4"/>
        <w:numPr>
          <w:ilvl w:val="3"/>
          <w:numId w:val="41"/>
        </w:numPr>
        <w:rPr>
          <w:sz w:val="24"/>
          <w:szCs w:val="24"/>
        </w:rPr>
      </w:pPr>
      <w:r w:rsidRPr="00872938">
        <w:rPr>
          <w:sz w:val="24"/>
          <w:szCs w:val="24"/>
        </w:rPr>
        <w:t>Advising on any contractual dispute between the parties to the extent that they affect the DfT; and</w:t>
      </w:r>
    </w:p>
    <w:p w14:paraId="5A00609C" w14:textId="422DAE54" w:rsidR="00D67F83" w:rsidRPr="0091293D" w:rsidRDefault="0091293D" w:rsidP="0089289C">
      <w:pPr>
        <w:pStyle w:val="Heading4"/>
        <w:numPr>
          <w:ilvl w:val="3"/>
          <w:numId w:val="41"/>
        </w:numPr>
        <w:rPr>
          <w:sz w:val="24"/>
          <w:szCs w:val="24"/>
        </w:rPr>
      </w:pPr>
      <w:r w:rsidRPr="0091293D">
        <w:rPr>
          <w:sz w:val="24"/>
          <w:szCs w:val="24"/>
        </w:rPr>
        <w:t xml:space="preserve">RECATED </w:t>
      </w:r>
    </w:p>
    <w:p w14:paraId="5B8736D5" w14:textId="77777777" w:rsidR="00D67F83" w:rsidRPr="00872938" w:rsidRDefault="00D67F83" w:rsidP="00D67F83"/>
    <w:p w14:paraId="6D4F7460" w14:textId="77777777" w:rsidR="00D67F83" w:rsidRPr="00944BBB" w:rsidRDefault="00D67F83" w:rsidP="0089289C">
      <w:pPr>
        <w:pStyle w:val="Heading1"/>
        <w:keepNext/>
        <w:numPr>
          <w:ilvl w:val="0"/>
          <w:numId w:val="41"/>
        </w:numPr>
        <w:spacing w:after="120"/>
        <w:rPr>
          <w:sz w:val="28"/>
          <w:szCs w:val="32"/>
        </w:rPr>
      </w:pPr>
      <w:bookmarkStart w:id="14" w:name="_Toc368573031"/>
      <w:bookmarkStart w:id="15" w:name="_Toc10456778"/>
      <w:r w:rsidRPr="00944BBB">
        <w:rPr>
          <w:sz w:val="28"/>
          <w:szCs w:val="32"/>
        </w:rPr>
        <w:t>T</w:t>
      </w:r>
      <w:r w:rsidRPr="00944BBB">
        <w:rPr>
          <w:caps/>
          <w:sz w:val="28"/>
          <w:szCs w:val="32"/>
        </w:rPr>
        <w:t>he requirement</w:t>
      </w:r>
      <w:bookmarkEnd w:id="14"/>
      <w:bookmarkEnd w:id="15"/>
    </w:p>
    <w:p w14:paraId="1C306F67" w14:textId="77777777" w:rsidR="00D67F83" w:rsidRPr="006470C5" w:rsidRDefault="00D67F83" w:rsidP="00D67F83">
      <w:pPr>
        <w:pStyle w:val="Heading2"/>
        <w:numPr>
          <w:ilvl w:val="0"/>
          <w:numId w:val="0"/>
        </w:numPr>
        <w:spacing w:after="0"/>
        <w:ind w:left="720" w:hanging="720"/>
        <w:rPr>
          <w:szCs w:val="22"/>
        </w:rPr>
      </w:pPr>
    </w:p>
    <w:p w14:paraId="092E84E2" w14:textId="77777777" w:rsidR="00D67F83" w:rsidRPr="00872938" w:rsidRDefault="00D67F83" w:rsidP="0089289C">
      <w:pPr>
        <w:pStyle w:val="Heading2"/>
        <w:numPr>
          <w:ilvl w:val="1"/>
          <w:numId w:val="41"/>
        </w:numPr>
        <w:spacing w:after="0"/>
        <w:rPr>
          <w:sz w:val="24"/>
          <w:szCs w:val="24"/>
        </w:rPr>
      </w:pPr>
      <w:r w:rsidRPr="00872938">
        <w:rPr>
          <w:sz w:val="24"/>
          <w:szCs w:val="24"/>
        </w:rPr>
        <w:t>The programme team envisage that the advisors will be required to provide legal advice for the following tasks:</w:t>
      </w:r>
    </w:p>
    <w:p w14:paraId="58AC89FF" w14:textId="77777777" w:rsidR="00D67F83" w:rsidRPr="006F058E" w:rsidRDefault="00D67F83" w:rsidP="00D67F83">
      <w:pPr>
        <w:pStyle w:val="Heading2"/>
        <w:numPr>
          <w:ilvl w:val="0"/>
          <w:numId w:val="0"/>
        </w:numPr>
        <w:spacing w:after="0"/>
        <w:ind w:left="720"/>
        <w:rPr>
          <w:sz w:val="24"/>
          <w:szCs w:val="24"/>
        </w:rPr>
      </w:pPr>
    </w:p>
    <w:p w14:paraId="6E36E8CE" w14:textId="53ED99BF" w:rsidR="00D67F83" w:rsidRPr="006F058E" w:rsidRDefault="00D67F83" w:rsidP="0089289C">
      <w:pPr>
        <w:pStyle w:val="Heading3"/>
        <w:numPr>
          <w:ilvl w:val="2"/>
          <w:numId w:val="41"/>
        </w:numPr>
        <w:rPr>
          <w:sz w:val="24"/>
          <w:szCs w:val="24"/>
        </w:rPr>
      </w:pPr>
      <w:r w:rsidRPr="006F058E">
        <w:rPr>
          <w:sz w:val="24"/>
          <w:szCs w:val="24"/>
        </w:rPr>
        <w:t xml:space="preserve">Finalising contractual arrangements for train modifications required by Ministers currently being taken forward. </w:t>
      </w:r>
      <w:r w:rsidR="0091293D">
        <w:rPr>
          <w:sz w:val="24"/>
          <w:szCs w:val="24"/>
        </w:rPr>
        <w:t>REDACTED</w:t>
      </w:r>
    </w:p>
    <w:p w14:paraId="4B8E19A0" w14:textId="77F2D175" w:rsidR="00D67F83" w:rsidRPr="006F058E" w:rsidRDefault="0091293D" w:rsidP="0089289C">
      <w:pPr>
        <w:pStyle w:val="Heading3"/>
        <w:numPr>
          <w:ilvl w:val="2"/>
          <w:numId w:val="41"/>
        </w:numPr>
        <w:rPr>
          <w:sz w:val="24"/>
          <w:szCs w:val="24"/>
        </w:rPr>
      </w:pPr>
      <w:r w:rsidRPr="0091293D">
        <w:rPr>
          <w:sz w:val="24"/>
          <w:szCs w:val="24"/>
        </w:rPr>
        <w:t>REDACTED</w:t>
      </w:r>
      <w:r w:rsidR="00D67F83" w:rsidRPr="0091293D">
        <w:rPr>
          <w:sz w:val="24"/>
          <w:szCs w:val="24"/>
        </w:rPr>
        <w:t xml:space="preserve"> t</w:t>
      </w:r>
      <w:r w:rsidR="00D67F83" w:rsidRPr="006F058E">
        <w:rPr>
          <w:sz w:val="24"/>
          <w:szCs w:val="24"/>
        </w:rPr>
        <w:t xml:space="preserve">o ensure the effective operation of high capacity rail services. </w:t>
      </w:r>
    </w:p>
    <w:p w14:paraId="2579F375" w14:textId="01F2D45A" w:rsidR="00D67F83" w:rsidRPr="0091293D" w:rsidRDefault="00D67F83" w:rsidP="0089289C">
      <w:pPr>
        <w:pStyle w:val="Heading3"/>
        <w:numPr>
          <w:ilvl w:val="2"/>
          <w:numId w:val="41"/>
        </w:numPr>
        <w:rPr>
          <w:sz w:val="24"/>
          <w:szCs w:val="24"/>
        </w:rPr>
      </w:pPr>
      <w:r w:rsidRPr="00D71CC4">
        <w:rPr>
          <w:sz w:val="24"/>
          <w:szCs w:val="24"/>
        </w:rPr>
        <w:t xml:space="preserve">Provide ongoing advice on the interpretation of the contracts and </w:t>
      </w:r>
      <w:r w:rsidRPr="00110E4C">
        <w:rPr>
          <w:sz w:val="24"/>
          <w:szCs w:val="24"/>
        </w:rPr>
        <w:t xml:space="preserve">advice on matters associated with the Thameslink rolling stock </w:t>
      </w:r>
      <w:r w:rsidRPr="0091293D">
        <w:rPr>
          <w:sz w:val="24"/>
          <w:szCs w:val="24"/>
        </w:rPr>
        <w:t xml:space="preserve">contracts. </w:t>
      </w:r>
      <w:r w:rsidR="0091293D" w:rsidRPr="0091293D">
        <w:rPr>
          <w:sz w:val="24"/>
          <w:szCs w:val="24"/>
        </w:rPr>
        <w:t>REDCATED</w:t>
      </w:r>
    </w:p>
    <w:p w14:paraId="527D8B4C" w14:textId="7D1A1D23" w:rsidR="00D67F83" w:rsidRPr="0091293D" w:rsidRDefault="0091293D" w:rsidP="0089289C">
      <w:pPr>
        <w:pStyle w:val="Heading3"/>
        <w:numPr>
          <w:ilvl w:val="2"/>
          <w:numId w:val="41"/>
        </w:numPr>
        <w:rPr>
          <w:sz w:val="24"/>
          <w:szCs w:val="24"/>
        </w:rPr>
      </w:pPr>
      <w:r w:rsidRPr="0091293D">
        <w:rPr>
          <w:sz w:val="24"/>
          <w:szCs w:val="24"/>
        </w:rPr>
        <w:t xml:space="preserve">REDACTED </w:t>
      </w:r>
    </w:p>
    <w:p w14:paraId="3555BA80" w14:textId="26E595B3" w:rsidR="00D67F83" w:rsidRPr="00944BBB" w:rsidRDefault="00D67F83" w:rsidP="0089289C">
      <w:pPr>
        <w:pStyle w:val="Heading1"/>
        <w:keepNext/>
        <w:numPr>
          <w:ilvl w:val="0"/>
          <w:numId w:val="41"/>
        </w:numPr>
        <w:spacing w:after="120"/>
        <w:rPr>
          <w:sz w:val="28"/>
          <w:szCs w:val="32"/>
        </w:rPr>
      </w:pPr>
      <w:bookmarkStart w:id="16" w:name="_Toc368573032"/>
      <w:bookmarkStart w:id="17" w:name="_Toc522714840"/>
      <w:bookmarkStart w:id="18" w:name="_Toc10456779"/>
      <w:bookmarkStart w:id="19" w:name="_Toc368573033"/>
      <w:bookmarkStart w:id="20" w:name="_Toc302637211"/>
      <w:r w:rsidRPr="00944BBB">
        <w:rPr>
          <w:sz w:val="28"/>
          <w:szCs w:val="32"/>
        </w:rPr>
        <w:lastRenderedPageBreak/>
        <w:t>KEY MILESTONES AND DELIVERABLES</w:t>
      </w:r>
      <w:bookmarkEnd w:id="16"/>
      <w:bookmarkEnd w:id="17"/>
      <w:bookmarkEnd w:id="18"/>
    </w:p>
    <w:p w14:paraId="34E09CD0" w14:textId="77777777" w:rsidR="00D67F83" w:rsidRPr="001A45DF" w:rsidRDefault="00D67F83" w:rsidP="0089289C">
      <w:pPr>
        <w:pStyle w:val="Heading2"/>
        <w:numPr>
          <w:ilvl w:val="1"/>
          <w:numId w:val="41"/>
        </w:numPr>
        <w:tabs>
          <w:tab w:val="clear" w:pos="720"/>
          <w:tab w:val="num" w:pos="132"/>
          <w:tab w:val="num" w:pos="862"/>
        </w:tabs>
        <w:overflowPunct w:val="0"/>
        <w:autoSpaceDE w:val="0"/>
        <w:autoSpaceDN w:val="0"/>
        <w:spacing w:after="120"/>
        <w:ind w:left="709" w:hanging="709"/>
        <w:textAlignment w:val="baseline"/>
        <w:rPr>
          <w:rFonts w:cs="Arial"/>
          <w:sz w:val="24"/>
          <w:szCs w:val="24"/>
        </w:rPr>
      </w:pPr>
      <w:r w:rsidRPr="001A45DF">
        <w:rPr>
          <w:rFonts w:cs="Arial"/>
          <w:sz w:val="24"/>
          <w:szCs w:val="24"/>
        </w:rPr>
        <w:t>The following Contract milestones/deliverables shall apply:</w:t>
      </w:r>
    </w:p>
    <w:tbl>
      <w:tblPr>
        <w:tblW w:w="4523"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3491"/>
        <w:gridCol w:w="1430"/>
      </w:tblGrid>
      <w:tr w:rsidR="00D67F83" w:rsidRPr="001A45DF" w14:paraId="22E713E7" w14:textId="77777777" w:rsidTr="00DB7D75">
        <w:tc>
          <w:tcPr>
            <w:tcW w:w="1526" w:type="pct"/>
            <w:shd w:val="clear" w:color="auto" w:fill="BDD6EE"/>
            <w:vAlign w:val="center"/>
          </w:tcPr>
          <w:p w14:paraId="27ECA903" w14:textId="77777777" w:rsidR="00D67F83" w:rsidRPr="0008002E" w:rsidRDefault="00D67F83" w:rsidP="00DB7D75">
            <w:pPr>
              <w:pStyle w:val="Heading3"/>
              <w:numPr>
                <w:ilvl w:val="0"/>
                <w:numId w:val="0"/>
              </w:numPr>
              <w:overflowPunct w:val="0"/>
              <w:autoSpaceDE w:val="0"/>
              <w:autoSpaceDN w:val="0"/>
              <w:spacing w:after="120"/>
              <w:ind w:left="567"/>
              <w:jc w:val="center"/>
              <w:textAlignment w:val="baseline"/>
              <w:rPr>
                <w:b/>
                <w:sz w:val="24"/>
                <w:szCs w:val="24"/>
              </w:rPr>
            </w:pPr>
            <w:r w:rsidRPr="0008002E">
              <w:rPr>
                <w:b/>
                <w:sz w:val="24"/>
                <w:szCs w:val="24"/>
              </w:rPr>
              <w:t>Milestone/Deliverable</w:t>
            </w:r>
          </w:p>
        </w:tc>
        <w:tc>
          <w:tcPr>
            <w:tcW w:w="2619" w:type="pct"/>
            <w:shd w:val="clear" w:color="auto" w:fill="BDD6EE"/>
            <w:vAlign w:val="center"/>
          </w:tcPr>
          <w:p w14:paraId="3D1C9C93" w14:textId="77777777" w:rsidR="00D67F83" w:rsidRPr="0008002E" w:rsidRDefault="00D67F83" w:rsidP="00DB7D75">
            <w:pPr>
              <w:pStyle w:val="Heading3"/>
              <w:numPr>
                <w:ilvl w:val="0"/>
                <w:numId w:val="0"/>
              </w:numPr>
              <w:overflowPunct w:val="0"/>
              <w:autoSpaceDE w:val="0"/>
              <w:autoSpaceDN w:val="0"/>
              <w:spacing w:after="120"/>
              <w:jc w:val="center"/>
              <w:textAlignment w:val="baseline"/>
              <w:rPr>
                <w:b/>
                <w:sz w:val="24"/>
                <w:szCs w:val="24"/>
              </w:rPr>
            </w:pPr>
            <w:r w:rsidRPr="0008002E">
              <w:rPr>
                <w:b/>
                <w:sz w:val="24"/>
                <w:szCs w:val="24"/>
              </w:rPr>
              <w:t>Description</w:t>
            </w:r>
          </w:p>
        </w:tc>
        <w:tc>
          <w:tcPr>
            <w:tcW w:w="855" w:type="pct"/>
            <w:shd w:val="clear" w:color="auto" w:fill="BDD6EE"/>
            <w:vAlign w:val="center"/>
          </w:tcPr>
          <w:p w14:paraId="0DAF8DFE" w14:textId="77777777" w:rsidR="00D67F83" w:rsidRPr="0008002E" w:rsidRDefault="00D67F83" w:rsidP="00DB7D75">
            <w:pPr>
              <w:pStyle w:val="Heading3"/>
              <w:numPr>
                <w:ilvl w:val="0"/>
                <w:numId w:val="0"/>
              </w:numPr>
              <w:overflowPunct w:val="0"/>
              <w:autoSpaceDE w:val="0"/>
              <w:autoSpaceDN w:val="0"/>
              <w:spacing w:after="120"/>
              <w:jc w:val="center"/>
              <w:textAlignment w:val="baseline"/>
              <w:rPr>
                <w:b/>
                <w:sz w:val="24"/>
                <w:szCs w:val="24"/>
              </w:rPr>
            </w:pPr>
            <w:r w:rsidRPr="0008002E">
              <w:rPr>
                <w:b/>
                <w:sz w:val="24"/>
                <w:szCs w:val="24"/>
              </w:rPr>
              <w:t>Timeframe or  Delivery Date</w:t>
            </w:r>
          </w:p>
        </w:tc>
      </w:tr>
      <w:tr w:rsidR="00D67F83" w:rsidRPr="00B872D1" w14:paraId="06BDDC79" w14:textId="77777777" w:rsidTr="00DB7D75">
        <w:tc>
          <w:tcPr>
            <w:tcW w:w="1526" w:type="pct"/>
            <w:shd w:val="clear" w:color="auto" w:fill="auto"/>
            <w:vAlign w:val="center"/>
          </w:tcPr>
          <w:p w14:paraId="15F35B77" w14:textId="77777777" w:rsidR="00D67F83" w:rsidRPr="00B872D1" w:rsidRDefault="00D67F83" w:rsidP="00DB7D75">
            <w:pPr>
              <w:pStyle w:val="Heading3"/>
              <w:numPr>
                <w:ilvl w:val="0"/>
                <w:numId w:val="0"/>
              </w:numPr>
              <w:overflowPunct w:val="0"/>
              <w:autoSpaceDE w:val="0"/>
              <w:autoSpaceDN w:val="0"/>
              <w:spacing w:after="120"/>
              <w:jc w:val="center"/>
              <w:textAlignment w:val="baseline"/>
              <w:rPr>
                <w:sz w:val="24"/>
                <w:szCs w:val="24"/>
              </w:rPr>
            </w:pPr>
            <w:r w:rsidRPr="00B872D1">
              <w:rPr>
                <w:sz w:val="24"/>
                <w:szCs w:val="24"/>
              </w:rPr>
              <w:t>1</w:t>
            </w:r>
          </w:p>
        </w:tc>
        <w:tc>
          <w:tcPr>
            <w:tcW w:w="2619" w:type="pct"/>
            <w:shd w:val="clear" w:color="auto" w:fill="auto"/>
            <w:vAlign w:val="center"/>
          </w:tcPr>
          <w:p w14:paraId="34088FD7" w14:textId="77777777" w:rsidR="00D67F83" w:rsidRPr="00B872D1" w:rsidRDefault="00D67F83" w:rsidP="00DB7D75">
            <w:pPr>
              <w:pStyle w:val="Heading3"/>
              <w:numPr>
                <w:ilvl w:val="0"/>
                <w:numId w:val="0"/>
              </w:numPr>
              <w:overflowPunct w:val="0"/>
              <w:autoSpaceDE w:val="0"/>
              <w:autoSpaceDN w:val="0"/>
              <w:spacing w:after="120"/>
              <w:jc w:val="left"/>
              <w:textAlignment w:val="baseline"/>
              <w:rPr>
                <w:sz w:val="24"/>
                <w:szCs w:val="24"/>
              </w:rPr>
            </w:pPr>
            <w:r>
              <w:rPr>
                <w:sz w:val="24"/>
                <w:szCs w:val="24"/>
              </w:rPr>
              <w:t>Potential Provider</w:t>
            </w:r>
            <w:r w:rsidRPr="00B872D1">
              <w:rPr>
                <w:sz w:val="24"/>
                <w:szCs w:val="24"/>
              </w:rPr>
              <w:t xml:space="preserve"> and Client “Refresher Meeting” whereby Client will provide an update on the Project.</w:t>
            </w:r>
          </w:p>
        </w:tc>
        <w:tc>
          <w:tcPr>
            <w:tcW w:w="855" w:type="pct"/>
            <w:shd w:val="clear" w:color="auto" w:fill="auto"/>
            <w:vAlign w:val="center"/>
          </w:tcPr>
          <w:p w14:paraId="4782FA01" w14:textId="77777777" w:rsidR="00D67F83" w:rsidRPr="00B872D1" w:rsidRDefault="00D67F83" w:rsidP="00DB7D75">
            <w:pPr>
              <w:pStyle w:val="Heading3"/>
              <w:numPr>
                <w:ilvl w:val="0"/>
                <w:numId w:val="0"/>
              </w:numPr>
              <w:overflowPunct w:val="0"/>
              <w:autoSpaceDE w:val="0"/>
              <w:autoSpaceDN w:val="0"/>
              <w:spacing w:after="120"/>
              <w:jc w:val="center"/>
              <w:textAlignment w:val="baseline"/>
              <w:rPr>
                <w:sz w:val="24"/>
                <w:szCs w:val="24"/>
              </w:rPr>
            </w:pPr>
            <w:r w:rsidRPr="00B872D1">
              <w:rPr>
                <w:sz w:val="24"/>
                <w:szCs w:val="24"/>
              </w:rPr>
              <w:t xml:space="preserve">Within 3 weeks of Contract Award </w:t>
            </w:r>
          </w:p>
        </w:tc>
      </w:tr>
      <w:tr w:rsidR="00D67F83" w:rsidRPr="00B872D1" w14:paraId="4D7318B4" w14:textId="77777777" w:rsidTr="00DB7D75">
        <w:tc>
          <w:tcPr>
            <w:tcW w:w="1526" w:type="pct"/>
            <w:shd w:val="clear" w:color="auto" w:fill="auto"/>
            <w:vAlign w:val="center"/>
          </w:tcPr>
          <w:p w14:paraId="3CBFB4D8" w14:textId="77777777" w:rsidR="00D67F83" w:rsidRPr="00B872D1" w:rsidRDefault="00D67F83" w:rsidP="00DB7D75">
            <w:pPr>
              <w:pStyle w:val="Heading3"/>
              <w:numPr>
                <w:ilvl w:val="0"/>
                <w:numId w:val="0"/>
              </w:numPr>
              <w:overflowPunct w:val="0"/>
              <w:autoSpaceDE w:val="0"/>
              <w:autoSpaceDN w:val="0"/>
              <w:spacing w:after="120"/>
              <w:jc w:val="center"/>
              <w:textAlignment w:val="baseline"/>
              <w:rPr>
                <w:sz w:val="24"/>
                <w:szCs w:val="24"/>
              </w:rPr>
            </w:pPr>
            <w:r w:rsidRPr="00B872D1">
              <w:rPr>
                <w:sz w:val="24"/>
                <w:szCs w:val="24"/>
              </w:rPr>
              <w:t>2</w:t>
            </w:r>
          </w:p>
        </w:tc>
        <w:tc>
          <w:tcPr>
            <w:tcW w:w="2619" w:type="pct"/>
            <w:shd w:val="clear" w:color="auto" w:fill="auto"/>
            <w:vAlign w:val="center"/>
          </w:tcPr>
          <w:p w14:paraId="2189A6BA" w14:textId="77777777" w:rsidR="00D67F83" w:rsidRPr="00B872D1" w:rsidRDefault="00D67F83" w:rsidP="00DB7D75">
            <w:pPr>
              <w:pStyle w:val="Heading3"/>
              <w:numPr>
                <w:ilvl w:val="0"/>
                <w:numId w:val="0"/>
              </w:numPr>
              <w:overflowPunct w:val="0"/>
              <w:autoSpaceDE w:val="0"/>
              <w:autoSpaceDN w:val="0"/>
              <w:spacing w:after="120"/>
              <w:jc w:val="left"/>
              <w:textAlignment w:val="baseline"/>
              <w:rPr>
                <w:sz w:val="24"/>
                <w:szCs w:val="24"/>
              </w:rPr>
            </w:pPr>
            <w:r w:rsidRPr="00B872D1">
              <w:rPr>
                <w:sz w:val="24"/>
                <w:szCs w:val="24"/>
              </w:rPr>
              <w:t xml:space="preserve">Regular monthly catch-ups by phone between </w:t>
            </w:r>
            <w:r>
              <w:rPr>
                <w:sz w:val="24"/>
                <w:szCs w:val="24"/>
              </w:rPr>
              <w:t>the Potential Provider</w:t>
            </w:r>
            <w:r w:rsidRPr="00B872D1">
              <w:rPr>
                <w:sz w:val="24"/>
                <w:szCs w:val="24"/>
              </w:rPr>
              <w:t xml:space="preserve"> and Client</w:t>
            </w:r>
            <w:r>
              <w:rPr>
                <w:sz w:val="24"/>
                <w:szCs w:val="24"/>
              </w:rPr>
              <w:t>.</w:t>
            </w:r>
          </w:p>
        </w:tc>
        <w:tc>
          <w:tcPr>
            <w:tcW w:w="855" w:type="pct"/>
            <w:shd w:val="clear" w:color="auto" w:fill="auto"/>
            <w:vAlign w:val="center"/>
          </w:tcPr>
          <w:p w14:paraId="38CDE265" w14:textId="77777777" w:rsidR="00D67F83" w:rsidRPr="00B872D1" w:rsidRDefault="00D67F83" w:rsidP="00DB7D75">
            <w:pPr>
              <w:pStyle w:val="Heading3"/>
              <w:numPr>
                <w:ilvl w:val="0"/>
                <w:numId w:val="0"/>
              </w:numPr>
              <w:overflowPunct w:val="0"/>
              <w:autoSpaceDE w:val="0"/>
              <w:autoSpaceDN w:val="0"/>
              <w:spacing w:after="120"/>
              <w:jc w:val="center"/>
              <w:textAlignment w:val="baseline"/>
              <w:rPr>
                <w:sz w:val="24"/>
                <w:szCs w:val="24"/>
              </w:rPr>
            </w:pPr>
            <w:r w:rsidRPr="00B872D1">
              <w:rPr>
                <w:sz w:val="24"/>
                <w:szCs w:val="24"/>
              </w:rPr>
              <w:t>Each month</w:t>
            </w:r>
          </w:p>
        </w:tc>
      </w:tr>
    </w:tbl>
    <w:p w14:paraId="53878D54" w14:textId="77777777" w:rsidR="00D67F83" w:rsidRDefault="00D67F83" w:rsidP="00D67F83">
      <w:pPr>
        <w:pStyle w:val="Heading1"/>
        <w:numPr>
          <w:ilvl w:val="0"/>
          <w:numId w:val="0"/>
        </w:numPr>
        <w:overflowPunct w:val="0"/>
        <w:autoSpaceDE w:val="0"/>
        <w:autoSpaceDN w:val="0"/>
        <w:spacing w:after="120"/>
        <w:ind w:left="720" w:hanging="720"/>
        <w:textAlignment w:val="baseline"/>
        <w:rPr>
          <w:rFonts w:cs="Arial"/>
          <w:sz w:val="32"/>
          <w:szCs w:val="32"/>
        </w:rPr>
      </w:pPr>
    </w:p>
    <w:p w14:paraId="1245A47D" w14:textId="73944B7A" w:rsidR="00D67F83" w:rsidRPr="00944BBB" w:rsidRDefault="00D67F83" w:rsidP="0089289C">
      <w:pPr>
        <w:pStyle w:val="Heading1"/>
        <w:keepNext/>
        <w:numPr>
          <w:ilvl w:val="0"/>
          <w:numId w:val="41"/>
        </w:numPr>
        <w:spacing w:after="120"/>
        <w:rPr>
          <w:sz w:val="28"/>
          <w:szCs w:val="32"/>
        </w:rPr>
      </w:pPr>
      <w:bookmarkStart w:id="21" w:name="_Toc10456780"/>
      <w:r w:rsidRPr="00944BBB">
        <w:rPr>
          <w:sz w:val="28"/>
          <w:szCs w:val="32"/>
        </w:rPr>
        <w:t>MANAGEMENT INFORMATION/</w:t>
      </w:r>
      <w:bookmarkEnd w:id="19"/>
      <w:bookmarkEnd w:id="21"/>
      <w:r w:rsidRPr="00944BBB">
        <w:rPr>
          <w:sz w:val="28"/>
          <w:szCs w:val="32"/>
        </w:rPr>
        <w:t>REPORTING</w:t>
      </w:r>
    </w:p>
    <w:p w14:paraId="14C40224" w14:textId="77777777" w:rsidR="00D67F83" w:rsidRPr="00872938" w:rsidRDefault="00D67F83" w:rsidP="0089289C">
      <w:pPr>
        <w:pStyle w:val="Heading2"/>
        <w:numPr>
          <w:ilvl w:val="1"/>
          <w:numId w:val="41"/>
        </w:numPr>
        <w:rPr>
          <w:sz w:val="24"/>
          <w:szCs w:val="24"/>
        </w:rPr>
      </w:pPr>
      <w:bookmarkStart w:id="22" w:name="_Ref219635672"/>
      <w:r w:rsidRPr="00872938">
        <w:rPr>
          <w:sz w:val="24"/>
          <w:szCs w:val="24"/>
        </w:rPr>
        <w:t>The Potential Provider will require the capacity to adapt to changes in the volume of work over time, and in particular to respond to peaks of workflow at key times</w:t>
      </w:r>
      <w:r>
        <w:rPr>
          <w:sz w:val="24"/>
          <w:szCs w:val="24"/>
        </w:rPr>
        <w:t>.</w:t>
      </w:r>
    </w:p>
    <w:p w14:paraId="21794533" w14:textId="229BEFB2" w:rsidR="00D67F83" w:rsidRPr="00944BBB" w:rsidRDefault="00D67F83" w:rsidP="00D67F83">
      <w:pPr>
        <w:pStyle w:val="Heading2"/>
        <w:numPr>
          <w:ilvl w:val="1"/>
          <w:numId w:val="41"/>
        </w:numPr>
        <w:rPr>
          <w:sz w:val="24"/>
          <w:szCs w:val="24"/>
        </w:rPr>
      </w:pPr>
      <w:r w:rsidRPr="00872938">
        <w:rPr>
          <w:sz w:val="24"/>
          <w:szCs w:val="24"/>
        </w:rPr>
        <w:t>This contract will be managed by the DfT. The nominated contract manager is the TRSP Contract Manager</w:t>
      </w:r>
      <w:bookmarkEnd w:id="22"/>
      <w:r w:rsidR="00944BBB">
        <w:rPr>
          <w:sz w:val="24"/>
          <w:szCs w:val="24"/>
        </w:rPr>
        <w:t>.</w:t>
      </w:r>
    </w:p>
    <w:p w14:paraId="44608002" w14:textId="7DAB3A83" w:rsidR="00D67F83" w:rsidRPr="00944BBB" w:rsidRDefault="00D67F83" w:rsidP="0089289C">
      <w:pPr>
        <w:pStyle w:val="Heading1"/>
        <w:keepNext/>
        <w:numPr>
          <w:ilvl w:val="0"/>
          <w:numId w:val="41"/>
        </w:numPr>
        <w:rPr>
          <w:rFonts w:cs="Arial"/>
          <w:sz w:val="28"/>
          <w:szCs w:val="32"/>
        </w:rPr>
      </w:pPr>
      <w:r w:rsidRPr="00944BBB">
        <w:rPr>
          <w:rFonts w:cs="Arial"/>
          <w:sz w:val="28"/>
          <w:szCs w:val="32"/>
        </w:rPr>
        <w:t xml:space="preserve">VOLUMES </w:t>
      </w:r>
    </w:p>
    <w:p w14:paraId="4E3CB818" w14:textId="464E27FB" w:rsidR="00D67F83" w:rsidRPr="00944BBB" w:rsidRDefault="00D67F83" w:rsidP="00D67F83">
      <w:pPr>
        <w:pStyle w:val="Heading2"/>
        <w:numPr>
          <w:ilvl w:val="1"/>
          <w:numId w:val="41"/>
        </w:numPr>
        <w:spacing w:after="0"/>
        <w:rPr>
          <w:sz w:val="24"/>
          <w:szCs w:val="24"/>
        </w:rPr>
      </w:pPr>
      <w:r w:rsidRPr="00872938">
        <w:rPr>
          <w:sz w:val="24"/>
          <w:szCs w:val="24"/>
        </w:rPr>
        <w:t xml:space="preserve">The experience to date is that regular legal advice is required by the DfT’s Thameslink Programme team and will be required to the end of the programme in 2020. Therefore, it is essential that the Thameslink Programme team has continued capable, experienced consultancy in place to provide advice on complex issues. </w:t>
      </w:r>
    </w:p>
    <w:p w14:paraId="0A6F3EDF" w14:textId="77777777" w:rsidR="00D67F83" w:rsidRPr="006A3C5A" w:rsidRDefault="00D67F83" w:rsidP="00D67F83">
      <w:pPr>
        <w:pStyle w:val="Heading2"/>
        <w:numPr>
          <w:ilvl w:val="0"/>
          <w:numId w:val="0"/>
        </w:numPr>
        <w:spacing w:after="0"/>
        <w:ind w:left="720"/>
        <w:rPr>
          <w:sz w:val="24"/>
          <w:szCs w:val="24"/>
        </w:rPr>
      </w:pPr>
    </w:p>
    <w:p w14:paraId="68CBB5CB" w14:textId="037632CE" w:rsidR="00D67F83" w:rsidRPr="00944BBB" w:rsidRDefault="00D67F83" w:rsidP="0089289C">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32"/>
        </w:rPr>
      </w:pPr>
      <w:bookmarkStart w:id="23" w:name="_Toc368573035"/>
      <w:bookmarkStart w:id="24" w:name="_Toc10456782"/>
      <w:r w:rsidRPr="00944BBB">
        <w:rPr>
          <w:rFonts w:cs="Arial"/>
          <w:sz w:val="28"/>
          <w:szCs w:val="32"/>
        </w:rPr>
        <w:t>CONTINUOUS IMPROVEMENT</w:t>
      </w:r>
      <w:bookmarkEnd w:id="23"/>
      <w:bookmarkEnd w:id="24"/>
    </w:p>
    <w:p w14:paraId="6A0A2335" w14:textId="77777777" w:rsidR="00D67F83" w:rsidRPr="00872938" w:rsidRDefault="00D67F83" w:rsidP="0089289C">
      <w:pPr>
        <w:pStyle w:val="Heading2"/>
        <w:numPr>
          <w:ilvl w:val="1"/>
          <w:numId w:val="41"/>
        </w:numPr>
        <w:spacing w:after="0"/>
        <w:ind w:left="709" w:hanging="709"/>
        <w:rPr>
          <w:sz w:val="24"/>
          <w:szCs w:val="24"/>
        </w:rPr>
      </w:pPr>
      <w:r w:rsidRPr="00872938">
        <w:rPr>
          <w:sz w:val="24"/>
          <w:szCs w:val="24"/>
        </w:rPr>
        <w:t>The Potential Provider will be expected to continually improve the way in which the required Services are to be delivered throughout the Contract duration.</w:t>
      </w:r>
    </w:p>
    <w:p w14:paraId="21F588C4" w14:textId="77777777" w:rsidR="00D67F83" w:rsidRPr="00872938" w:rsidRDefault="00D67F83" w:rsidP="00D67F83">
      <w:pPr>
        <w:pStyle w:val="Heading2"/>
        <w:numPr>
          <w:ilvl w:val="0"/>
          <w:numId w:val="0"/>
        </w:numPr>
        <w:spacing w:after="0"/>
        <w:ind w:left="709"/>
        <w:rPr>
          <w:sz w:val="24"/>
          <w:szCs w:val="24"/>
        </w:rPr>
      </w:pPr>
    </w:p>
    <w:p w14:paraId="638C78E1" w14:textId="77777777" w:rsidR="00D67F83" w:rsidRPr="00872938" w:rsidRDefault="00D67F83" w:rsidP="0089289C">
      <w:pPr>
        <w:pStyle w:val="Heading2"/>
        <w:numPr>
          <w:ilvl w:val="1"/>
          <w:numId w:val="41"/>
        </w:numPr>
        <w:spacing w:after="0"/>
        <w:ind w:left="709" w:hanging="709"/>
        <w:rPr>
          <w:sz w:val="24"/>
          <w:szCs w:val="24"/>
        </w:rPr>
      </w:pPr>
      <w:r w:rsidRPr="00872938">
        <w:rPr>
          <w:sz w:val="24"/>
          <w:szCs w:val="24"/>
        </w:rPr>
        <w:t xml:space="preserve">The Potential Provider should present new ways of working to the Authority during monthly/quarterly Contract review meetings. </w:t>
      </w:r>
    </w:p>
    <w:p w14:paraId="1F0639FD" w14:textId="77777777" w:rsidR="00D67F83" w:rsidRPr="00872938" w:rsidRDefault="00D67F83" w:rsidP="00D67F83">
      <w:pPr>
        <w:pStyle w:val="Heading2"/>
        <w:numPr>
          <w:ilvl w:val="0"/>
          <w:numId w:val="0"/>
        </w:numPr>
        <w:spacing w:after="0"/>
        <w:ind w:left="709"/>
        <w:rPr>
          <w:sz w:val="24"/>
          <w:szCs w:val="24"/>
        </w:rPr>
      </w:pPr>
    </w:p>
    <w:p w14:paraId="7E060C21" w14:textId="471F60D1" w:rsidR="00D67F83" w:rsidRDefault="00D67F83" w:rsidP="00D67F83">
      <w:pPr>
        <w:pStyle w:val="Heading2"/>
        <w:numPr>
          <w:ilvl w:val="1"/>
          <w:numId w:val="41"/>
        </w:numPr>
        <w:spacing w:after="0"/>
        <w:ind w:left="709" w:hanging="709"/>
        <w:rPr>
          <w:sz w:val="24"/>
          <w:szCs w:val="24"/>
        </w:rPr>
      </w:pPr>
      <w:r w:rsidRPr="00872938">
        <w:rPr>
          <w:sz w:val="24"/>
          <w:szCs w:val="24"/>
        </w:rPr>
        <w:t>Changes to the way in which the Services are to be delivered must be brought to the Authority’s attention and agreed prior to any changes being implemented.</w:t>
      </w:r>
      <w:r>
        <w:rPr>
          <w:sz w:val="24"/>
          <w:szCs w:val="24"/>
        </w:rPr>
        <w:t xml:space="preserve"> </w:t>
      </w:r>
      <w:r w:rsidRPr="0014561B">
        <w:rPr>
          <w:sz w:val="24"/>
          <w:szCs w:val="24"/>
        </w:rPr>
        <w:t xml:space="preserve">The Potential Provider is expected to share any information, skills, knowledge and training throughout the Contract period. </w:t>
      </w:r>
    </w:p>
    <w:p w14:paraId="19D20699" w14:textId="0B84B0CF" w:rsidR="00944BBB" w:rsidRPr="00944BBB" w:rsidRDefault="00944BBB" w:rsidP="00944BBB">
      <w:pPr>
        <w:pStyle w:val="Heading2"/>
        <w:numPr>
          <w:ilvl w:val="0"/>
          <w:numId w:val="0"/>
        </w:numPr>
        <w:spacing w:after="0"/>
        <w:rPr>
          <w:sz w:val="24"/>
          <w:szCs w:val="24"/>
        </w:rPr>
      </w:pPr>
    </w:p>
    <w:p w14:paraId="490C47E5" w14:textId="14337841" w:rsidR="00D67F83" w:rsidRPr="00944BBB" w:rsidRDefault="00D67F83" w:rsidP="0089289C">
      <w:pPr>
        <w:pStyle w:val="Heading1"/>
        <w:keepNext/>
        <w:numPr>
          <w:ilvl w:val="0"/>
          <w:numId w:val="41"/>
        </w:numPr>
        <w:rPr>
          <w:sz w:val="28"/>
          <w:szCs w:val="32"/>
        </w:rPr>
      </w:pPr>
      <w:bookmarkStart w:id="25" w:name="_Toc522714844"/>
      <w:bookmarkStart w:id="26" w:name="_Toc10456783"/>
      <w:bookmarkStart w:id="27" w:name="_Toc368573036"/>
      <w:r w:rsidRPr="00944BBB">
        <w:rPr>
          <w:sz w:val="28"/>
          <w:szCs w:val="32"/>
        </w:rPr>
        <w:t>SUSTAINABILITY</w:t>
      </w:r>
      <w:bookmarkEnd w:id="25"/>
      <w:bookmarkEnd w:id="26"/>
    </w:p>
    <w:p w14:paraId="772F0A68" w14:textId="77777777" w:rsidR="00D67F83" w:rsidRPr="0067623B" w:rsidRDefault="00D67F83" w:rsidP="0089289C">
      <w:pPr>
        <w:pStyle w:val="Heading2"/>
        <w:numPr>
          <w:ilvl w:val="1"/>
          <w:numId w:val="41"/>
        </w:numPr>
        <w:rPr>
          <w:sz w:val="24"/>
          <w:szCs w:val="24"/>
        </w:rPr>
      </w:pPr>
      <w:r w:rsidRPr="00911BB6">
        <w:rPr>
          <w:sz w:val="24"/>
          <w:szCs w:val="24"/>
        </w:rPr>
        <w:t>There are no sustainability considerations for this requirement.</w:t>
      </w:r>
    </w:p>
    <w:bookmarkEnd w:id="27"/>
    <w:p w14:paraId="62AF3F66" w14:textId="3D696067" w:rsidR="00D67F83" w:rsidRPr="00944BBB" w:rsidRDefault="00D67F83" w:rsidP="0089289C">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32"/>
        </w:rPr>
      </w:pPr>
      <w:r w:rsidRPr="00944BBB">
        <w:rPr>
          <w:rFonts w:cs="Arial"/>
          <w:sz w:val="28"/>
          <w:szCs w:val="32"/>
        </w:rPr>
        <w:lastRenderedPageBreak/>
        <w:t xml:space="preserve">QUALITY </w:t>
      </w:r>
    </w:p>
    <w:p w14:paraId="78202390" w14:textId="77777777" w:rsidR="00D67F83" w:rsidRDefault="00D67F83" w:rsidP="0089289C">
      <w:pPr>
        <w:pStyle w:val="Heading2"/>
        <w:numPr>
          <w:ilvl w:val="1"/>
          <w:numId w:val="41"/>
        </w:numPr>
        <w:spacing w:after="120"/>
        <w:ind w:left="709" w:hanging="709"/>
        <w:rPr>
          <w:sz w:val="24"/>
          <w:szCs w:val="24"/>
        </w:rPr>
      </w:pPr>
      <w:r w:rsidRPr="00872938">
        <w:rPr>
          <w:sz w:val="24"/>
          <w:szCs w:val="24"/>
        </w:rPr>
        <w:t>Suppliers’ submissions will be expected to provide full confidence in the Supplier' ability to provide assurance with the quality of their legal advice and experience.</w:t>
      </w:r>
      <w:r>
        <w:rPr>
          <w:sz w:val="24"/>
          <w:szCs w:val="24"/>
        </w:rPr>
        <w:br/>
      </w: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4"/>
        <w:gridCol w:w="1759"/>
        <w:gridCol w:w="3699"/>
        <w:gridCol w:w="1604"/>
      </w:tblGrid>
      <w:tr w:rsidR="00D67F83" w:rsidRPr="00872938" w14:paraId="42C3B55D" w14:textId="77777777" w:rsidTr="00DB7D75">
        <w:tc>
          <w:tcPr>
            <w:tcW w:w="1124" w:type="dxa"/>
            <w:shd w:val="clear" w:color="auto" w:fill="D9E2F3"/>
          </w:tcPr>
          <w:p w14:paraId="040140A7"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sidRPr="00872938">
              <w:rPr>
                <w:rFonts w:cs="Arial"/>
                <w:sz w:val="24"/>
                <w:szCs w:val="24"/>
              </w:rPr>
              <w:t>KPI/SLA</w:t>
            </w:r>
          </w:p>
        </w:tc>
        <w:tc>
          <w:tcPr>
            <w:tcW w:w="1771" w:type="dxa"/>
            <w:shd w:val="clear" w:color="auto" w:fill="D9E2F3"/>
          </w:tcPr>
          <w:p w14:paraId="3F1A0B87"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sidRPr="00872938">
              <w:rPr>
                <w:rFonts w:cs="Arial"/>
                <w:sz w:val="24"/>
                <w:szCs w:val="24"/>
              </w:rPr>
              <w:t>Service Area</w:t>
            </w:r>
          </w:p>
        </w:tc>
        <w:tc>
          <w:tcPr>
            <w:tcW w:w="3827" w:type="dxa"/>
            <w:shd w:val="clear" w:color="auto" w:fill="D9E2F3"/>
          </w:tcPr>
          <w:p w14:paraId="6539111C"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sidRPr="00872938">
              <w:rPr>
                <w:rFonts w:cs="Arial"/>
                <w:sz w:val="24"/>
                <w:szCs w:val="24"/>
              </w:rPr>
              <w:t>KPI/SLA description</w:t>
            </w:r>
          </w:p>
        </w:tc>
        <w:tc>
          <w:tcPr>
            <w:tcW w:w="1653" w:type="dxa"/>
            <w:shd w:val="clear" w:color="auto" w:fill="D9E2F3"/>
          </w:tcPr>
          <w:p w14:paraId="59523B8F" w14:textId="77777777" w:rsidR="00D67F83" w:rsidRPr="00872938" w:rsidRDefault="00D67F83" w:rsidP="00DB7D75">
            <w:pPr>
              <w:pStyle w:val="Heading2"/>
              <w:numPr>
                <w:ilvl w:val="0"/>
                <w:numId w:val="0"/>
              </w:numPr>
              <w:overflowPunct w:val="0"/>
              <w:autoSpaceDE w:val="0"/>
              <w:autoSpaceDN w:val="0"/>
              <w:jc w:val="center"/>
              <w:textAlignment w:val="baseline"/>
              <w:rPr>
                <w:sz w:val="24"/>
                <w:szCs w:val="24"/>
              </w:rPr>
            </w:pPr>
            <w:r w:rsidRPr="00872938">
              <w:rPr>
                <w:sz w:val="24"/>
                <w:szCs w:val="24"/>
              </w:rPr>
              <w:t>Target</w:t>
            </w:r>
          </w:p>
        </w:tc>
      </w:tr>
      <w:tr w:rsidR="00D67F83" w:rsidRPr="00872938" w14:paraId="01DBBF0B" w14:textId="77777777" w:rsidTr="00DB7D75">
        <w:tc>
          <w:tcPr>
            <w:tcW w:w="1124" w:type="dxa"/>
            <w:shd w:val="clear" w:color="auto" w:fill="auto"/>
          </w:tcPr>
          <w:p w14:paraId="69119782"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sidRPr="00872938">
              <w:rPr>
                <w:rFonts w:cs="Arial"/>
                <w:sz w:val="24"/>
                <w:szCs w:val="24"/>
              </w:rPr>
              <w:t>1</w:t>
            </w:r>
          </w:p>
        </w:tc>
        <w:tc>
          <w:tcPr>
            <w:tcW w:w="1771" w:type="dxa"/>
            <w:shd w:val="clear" w:color="auto" w:fill="auto"/>
          </w:tcPr>
          <w:p w14:paraId="62EE578D" w14:textId="77777777" w:rsidR="00D67F83" w:rsidRPr="00872938" w:rsidRDefault="00D67F83" w:rsidP="00DB7D75">
            <w:pPr>
              <w:pStyle w:val="Heading2"/>
              <w:numPr>
                <w:ilvl w:val="0"/>
                <w:numId w:val="0"/>
              </w:numPr>
              <w:overflowPunct w:val="0"/>
              <w:autoSpaceDE w:val="0"/>
              <w:autoSpaceDN w:val="0"/>
              <w:jc w:val="left"/>
              <w:textAlignment w:val="baseline"/>
              <w:rPr>
                <w:rFonts w:cs="Arial"/>
                <w:sz w:val="24"/>
                <w:szCs w:val="24"/>
              </w:rPr>
            </w:pPr>
            <w:r w:rsidRPr="00872938">
              <w:rPr>
                <w:rFonts w:cs="Arial"/>
                <w:sz w:val="24"/>
                <w:szCs w:val="24"/>
              </w:rPr>
              <w:t xml:space="preserve">The Requirement </w:t>
            </w:r>
          </w:p>
        </w:tc>
        <w:tc>
          <w:tcPr>
            <w:tcW w:w="3827" w:type="dxa"/>
            <w:shd w:val="clear" w:color="auto" w:fill="auto"/>
          </w:tcPr>
          <w:p w14:paraId="6CA1A9B1" w14:textId="77777777" w:rsidR="00D67F83" w:rsidRPr="00872938" w:rsidRDefault="00D67F83" w:rsidP="00DB7D75">
            <w:pPr>
              <w:pStyle w:val="Heading2"/>
              <w:numPr>
                <w:ilvl w:val="0"/>
                <w:numId w:val="0"/>
              </w:numPr>
              <w:overflowPunct w:val="0"/>
              <w:autoSpaceDE w:val="0"/>
              <w:autoSpaceDN w:val="0"/>
              <w:jc w:val="left"/>
              <w:textAlignment w:val="baseline"/>
              <w:rPr>
                <w:rFonts w:cs="Arial"/>
                <w:sz w:val="24"/>
                <w:szCs w:val="24"/>
                <w:lang w:eastAsia="en-GB"/>
              </w:rPr>
            </w:pPr>
            <w:r w:rsidRPr="00872938">
              <w:rPr>
                <w:rFonts w:cs="Arial"/>
                <w:sz w:val="24"/>
                <w:szCs w:val="24"/>
                <w:lang w:eastAsia="en-GB"/>
              </w:rPr>
              <w:t xml:space="preserve">The supplier did have the necessary </w:t>
            </w:r>
            <w:r w:rsidRPr="00872938">
              <w:rPr>
                <w:rFonts w:cs="Arial"/>
                <w:b/>
                <w:bCs/>
                <w:sz w:val="24"/>
                <w:szCs w:val="24"/>
                <w:lang w:eastAsia="en-GB"/>
              </w:rPr>
              <w:t>understanding and expertise</w:t>
            </w:r>
            <w:r w:rsidRPr="00872938">
              <w:rPr>
                <w:rFonts w:cs="Arial"/>
                <w:sz w:val="24"/>
                <w:szCs w:val="24"/>
                <w:lang w:eastAsia="en-GB"/>
              </w:rPr>
              <w:t xml:space="preserve"> to meet Client expectations.</w:t>
            </w:r>
          </w:p>
          <w:p w14:paraId="10F7D39B" w14:textId="77777777" w:rsidR="00D67F83" w:rsidRPr="00872938" w:rsidRDefault="00D67F83" w:rsidP="00DB7D75">
            <w:pPr>
              <w:pStyle w:val="Heading2"/>
              <w:numPr>
                <w:ilvl w:val="0"/>
                <w:numId w:val="0"/>
              </w:numPr>
              <w:overflowPunct w:val="0"/>
              <w:autoSpaceDE w:val="0"/>
              <w:autoSpaceDN w:val="0"/>
              <w:jc w:val="left"/>
              <w:textAlignment w:val="baseline"/>
              <w:rPr>
                <w:rFonts w:cs="Arial"/>
                <w:sz w:val="24"/>
                <w:szCs w:val="24"/>
              </w:rPr>
            </w:pPr>
            <w:r w:rsidRPr="00872938">
              <w:rPr>
                <w:rFonts w:cs="Arial"/>
                <w:sz w:val="24"/>
                <w:szCs w:val="24"/>
                <w:lang w:eastAsia="en-GB"/>
              </w:rPr>
              <w:t>The supplier must have a good knowledge of the subject and the environment in which the client operates - client expectations of the suppliers expertise are met.</w:t>
            </w:r>
          </w:p>
        </w:tc>
        <w:tc>
          <w:tcPr>
            <w:tcW w:w="1653" w:type="dxa"/>
            <w:shd w:val="clear" w:color="auto" w:fill="auto"/>
          </w:tcPr>
          <w:p w14:paraId="0E7D8ECB" w14:textId="77777777" w:rsidR="00D67F83" w:rsidRPr="00872938" w:rsidRDefault="00D67F83" w:rsidP="00DB7D75">
            <w:pPr>
              <w:pStyle w:val="Heading2"/>
              <w:numPr>
                <w:ilvl w:val="0"/>
                <w:numId w:val="0"/>
              </w:numPr>
              <w:overflowPunct w:val="0"/>
              <w:autoSpaceDE w:val="0"/>
              <w:autoSpaceDN w:val="0"/>
              <w:textAlignment w:val="baseline"/>
              <w:rPr>
                <w:sz w:val="24"/>
                <w:szCs w:val="24"/>
              </w:rPr>
            </w:pPr>
            <w:r w:rsidRPr="00872938">
              <w:rPr>
                <w:sz w:val="24"/>
                <w:szCs w:val="24"/>
              </w:rPr>
              <w:t>99%</w:t>
            </w:r>
          </w:p>
        </w:tc>
      </w:tr>
      <w:tr w:rsidR="00D67F83" w:rsidRPr="00872938" w14:paraId="5F5BCFF3" w14:textId="77777777" w:rsidTr="00DB7D75">
        <w:tc>
          <w:tcPr>
            <w:tcW w:w="1124" w:type="dxa"/>
            <w:shd w:val="clear" w:color="auto" w:fill="auto"/>
          </w:tcPr>
          <w:p w14:paraId="663CAC6F"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Pr>
                <w:rFonts w:cs="Arial"/>
                <w:sz w:val="24"/>
                <w:szCs w:val="24"/>
              </w:rPr>
              <w:t>2</w:t>
            </w:r>
          </w:p>
        </w:tc>
        <w:tc>
          <w:tcPr>
            <w:tcW w:w="1771" w:type="dxa"/>
            <w:shd w:val="clear" w:color="auto" w:fill="auto"/>
          </w:tcPr>
          <w:p w14:paraId="40B01B4F" w14:textId="77777777" w:rsidR="00D67F83" w:rsidRPr="00872938" w:rsidRDefault="00D67F83" w:rsidP="00DB7D75">
            <w:pPr>
              <w:pStyle w:val="Heading2"/>
              <w:numPr>
                <w:ilvl w:val="0"/>
                <w:numId w:val="0"/>
              </w:numPr>
              <w:overflowPunct w:val="0"/>
              <w:autoSpaceDE w:val="0"/>
              <w:autoSpaceDN w:val="0"/>
              <w:jc w:val="left"/>
              <w:textAlignment w:val="baseline"/>
              <w:rPr>
                <w:rFonts w:cs="Arial"/>
                <w:sz w:val="24"/>
                <w:szCs w:val="24"/>
              </w:rPr>
            </w:pPr>
            <w:r w:rsidRPr="00872938">
              <w:rPr>
                <w:rFonts w:cs="Arial"/>
                <w:sz w:val="24"/>
                <w:szCs w:val="24"/>
              </w:rPr>
              <w:t>Exit Strategy</w:t>
            </w:r>
          </w:p>
        </w:tc>
        <w:tc>
          <w:tcPr>
            <w:tcW w:w="3827" w:type="dxa"/>
            <w:shd w:val="clear" w:color="auto" w:fill="auto"/>
          </w:tcPr>
          <w:p w14:paraId="3F146F47" w14:textId="77777777" w:rsidR="00D67F83" w:rsidRPr="00872938" w:rsidRDefault="00D67F83" w:rsidP="00DB7D75">
            <w:pPr>
              <w:pStyle w:val="Heading2"/>
              <w:numPr>
                <w:ilvl w:val="0"/>
                <w:numId w:val="0"/>
              </w:numPr>
              <w:overflowPunct w:val="0"/>
              <w:autoSpaceDE w:val="0"/>
              <w:autoSpaceDN w:val="0"/>
              <w:jc w:val="left"/>
              <w:textAlignment w:val="baseline"/>
              <w:rPr>
                <w:rFonts w:cs="Arial"/>
                <w:sz w:val="24"/>
                <w:szCs w:val="24"/>
                <w:lang w:eastAsia="en-GB"/>
              </w:rPr>
            </w:pPr>
            <w:r w:rsidRPr="00872938">
              <w:rPr>
                <w:rFonts w:cs="Arial"/>
                <w:sz w:val="24"/>
                <w:szCs w:val="24"/>
                <w:lang w:eastAsia="en-GB"/>
              </w:rPr>
              <w:t xml:space="preserve">It is expected that the supplier will imbed an exit strategy leading up to contract close to ensure that any skills or information is passed onto the programme team for future use, therefore, enabling the project to be closed off with no outstanding dependencies. </w:t>
            </w:r>
          </w:p>
        </w:tc>
        <w:tc>
          <w:tcPr>
            <w:tcW w:w="1653" w:type="dxa"/>
            <w:shd w:val="clear" w:color="auto" w:fill="auto"/>
          </w:tcPr>
          <w:p w14:paraId="0DFDDEDF" w14:textId="77777777" w:rsidR="00D67F83" w:rsidRPr="00872938" w:rsidRDefault="00D67F83" w:rsidP="00DB7D75">
            <w:pPr>
              <w:pStyle w:val="Heading2"/>
              <w:numPr>
                <w:ilvl w:val="0"/>
                <w:numId w:val="0"/>
              </w:numPr>
              <w:overflowPunct w:val="0"/>
              <w:autoSpaceDE w:val="0"/>
              <w:autoSpaceDN w:val="0"/>
              <w:textAlignment w:val="baseline"/>
              <w:rPr>
                <w:sz w:val="24"/>
                <w:szCs w:val="24"/>
              </w:rPr>
            </w:pPr>
            <w:r w:rsidRPr="00872938">
              <w:rPr>
                <w:sz w:val="24"/>
                <w:szCs w:val="24"/>
              </w:rPr>
              <w:t>70%</w:t>
            </w:r>
          </w:p>
        </w:tc>
      </w:tr>
      <w:tr w:rsidR="00D67F83" w:rsidRPr="00872938" w14:paraId="4BC6A016" w14:textId="77777777" w:rsidTr="00DB7D75">
        <w:tc>
          <w:tcPr>
            <w:tcW w:w="1124" w:type="dxa"/>
            <w:shd w:val="clear" w:color="auto" w:fill="auto"/>
          </w:tcPr>
          <w:p w14:paraId="60458D4B" w14:textId="77777777" w:rsidR="00D67F83" w:rsidRDefault="00D67F83" w:rsidP="00DB7D75">
            <w:pPr>
              <w:pStyle w:val="Heading2"/>
              <w:numPr>
                <w:ilvl w:val="0"/>
                <w:numId w:val="0"/>
              </w:numPr>
              <w:overflowPunct w:val="0"/>
              <w:autoSpaceDE w:val="0"/>
              <w:autoSpaceDN w:val="0"/>
              <w:jc w:val="center"/>
              <w:textAlignment w:val="baseline"/>
              <w:rPr>
                <w:rFonts w:cs="Arial"/>
                <w:sz w:val="24"/>
                <w:szCs w:val="24"/>
              </w:rPr>
            </w:pPr>
            <w:r w:rsidRPr="00872938">
              <w:rPr>
                <w:rFonts w:cs="Arial"/>
                <w:sz w:val="24"/>
                <w:szCs w:val="24"/>
              </w:rPr>
              <w:t>3</w:t>
            </w:r>
          </w:p>
        </w:tc>
        <w:tc>
          <w:tcPr>
            <w:tcW w:w="1771" w:type="dxa"/>
            <w:shd w:val="clear" w:color="auto" w:fill="auto"/>
          </w:tcPr>
          <w:p w14:paraId="674A654A" w14:textId="77777777" w:rsidR="00D67F83" w:rsidRPr="00872938" w:rsidRDefault="00D67F83" w:rsidP="00DB7D75">
            <w:pPr>
              <w:pStyle w:val="Heading2"/>
              <w:numPr>
                <w:ilvl w:val="0"/>
                <w:numId w:val="0"/>
              </w:numPr>
              <w:overflowPunct w:val="0"/>
              <w:autoSpaceDE w:val="0"/>
              <w:autoSpaceDN w:val="0"/>
              <w:jc w:val="left"/>
              <w:textAlignment w:val="baseline"/>
              <w:rPr>
                <w:rFonts w:cs="Arial"/>
                <w:sz w:val="24"/>
                <w:szCs w:val="24"/>
              </w:rPr>
            </w:pPr>
            <w:r w:rsidRPr="00872938">
              <w:rPr>
                <w:rFonts w:cs="Arial"/>
                <w:sz w:val="24"/>
                <w:szCs w:val="24"/>
              </w:rPr>
              <w:t xml:space="preserve">Imbedding Knowledge Transfer </w:t>
            </w:r>
          </w:p>
        </w:tc>
        <w:tc>
          <w:tcPr>
            <w:tcW w:w="3827" w:type="dxa"/>
            <w:shd w:val="clear" w:color="auto" w:fill="auto"/>
          </w:tcPr>
          <w:p w14:paraId="2C1CA911" w14:textId="77777777" w:rsidR="00D67F83" w:rsidRPr="00872938" w:rsidRDefault="00D67F83" w:rsidP="00DB7D75">
            <w:pPr>
              <w:pStyle w:val="Heading2"/>
              <w:numPr>
                <w:ilvl w:val="0"/>
                <w:numId w:val="0"/>
              </w:numPr>
              <w:overflowPunct w:val="0"/>
              <w:autoSpaceDE w:val="0"/>
              <w:autoSpaceDN w:val="0"/>
              <w:textAlignment w:val="baseline"/>
              <w:rPr>
                <w:rFonts w:cs="Arial"/>
                <w:b/>
                <w:bCs/>
                <w:sz w:val="24"/>
                <w:szCs w:val="24"/>
                <w:lang w:eastAsia="en-GB"/>
              </w:rPr>
            </w:pPr>
            <w:r w:rsidRPr="00872938">
              <w:rPr>
                <w:rFonts w:cs="Arial"/>
                <w:sz w:val="24"/>
                <w:szCs w:val="24"/>
                <w:lang w:eastAsia="en-GB"/>
              </w:rPr>
              <w:t xml:space="preserve">Supplier is proactive in identifying and </w:t>
            </w:r>
            <w:r w:rsidRPr="00872938">
              <w:rPr>
                <w:rFonts w:cs="Arial"/>
                <w:b/>
                <w:bCs/>
                <w:sz w:val="24"/>
                <w:szCs w:val="24"/>
                <w:lang w:eastAsia="en-GB"/>
              </w:rPr>
              <w:t>managing risks</w:t>
            </w:r>
          </w:p>
          <w:p w14:paraId="628EBB34" w14:textId="77777777" w:rsidR="00D67F83" w:rsidRPr="00872938" w:rsidRDefault="00D67F83" w:rsidP="00DB7D75">
            <w:pPr>
              <w:pStyle w:val="Heading2"/>
              <w:numPr>
                <w:ilvl w:val="0"/>
                <w:numId w:val="0"/>
              </w:numPr>
              <w:overflowPunct w:val="0"/>
              <w:autoSpaceDE w:val="0"/>
              <w:autoSpaceDN w:val="0"/>
              <w:jc w:val="left"/>
              <w:textAlignment w:val="baseline"/>
              <w:rPr>
                <w:rFonts w:cs="Arial"/>
                <w:sz w:val="24"/>
                <w:szCs w:val="24"/>
                <w:lang w:eastAsia="en-GB"/>
              </w:rPr>
            </w:pPr>
            <w:r w:rsidRPr="00872938">
              <w:rPr>
                <w:rFonts w:cs="Arial"/>
                <w:sz w:val="24"/>
                <w:szCs w:val="24"/>
                <w:lang w:eastAsia="en-GB"/>
              </w:rPr>
              <w:t>Supplier is proactive in identifying and allocating risk ownership - Supplier supports client in assigning and managing risks - supplier is proactive in assessing impact of risks in the course of performing the contract and raising issues as appropriate</w:t>
            </w:r>
            <w:r w:rsidRPr="00872938">
              <w:rPr>
                <w:rFonts w:cs="Arial"/>
                <w:b/>
                <w:bCs/>
                <w:sz w:val="24"/>
                <w:szCs w:val="24"/>
                <w:lang w:eastAsia="en-GB"/>
              </w:rPr>
              <w:t>.</w:t>
            </w:r>
          </w:p>
        </w:tc>
        <w:tc>
          <w:tcPr>
            <w:tcW w:w="1653" w:type="dxa"/>
            <w:shd w:val="clear" w:color="auto" w:fill="auto"/>
          </w:tcPr>
          <w:p w14:paraId="18B0A56A" w14:textId="77777777" w:rsidR="00D67F83" w:rsidRPr="00872938" w:rsidRDefault="00D67F83" w:rsidP="00DB7D75">
            <w:pPr>
              <w:pStyle w:val="Heading2"/>
              <w:numPr>
                <w:ilvl w:val="0"/>
                <w:numId w:val="0"/>
              </w:numPr>
              <w:overflowPunct w:val="0"/>
              <w:autoSpaceDE w:val="0"/>
              <w:autoSpaceDN w:val="0"/>
              <w:textAlignment w:val="baseline"/>
              <w:rPr>
                <w:sz w:val="24"/>
                <w:szCs w:val="24"/>
              </w:rPr>
            </w:pPr>
            <w:r w:rsidRPr="00872938">
              <w:rPr>
                <w:sz w:val="24"/>
                <w:szCs w:val="24"/>
              </w:rPr>
              <w:t>98%</w:t>
            </w:r>
          </w:p>
        </w:tc>
      </w:tr>
    </w:tbl>
    <w:p w14:paraId="5685261B" w14:textId="07274E1D" w:rsidR="00D67F83" w:rsidRPr="00872938" w:rsidRDefault="00D67F83" w:rsidP="00D67F83"/>
    <w:p w14:paraId="4D13B273" w14:textId="77777777" w:rsidR="00D67F83" w:rsidRPr="00944BBB" w:rsidRDefault="00D67F83" w:rsidP="0089289C">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32"/>
        </w:rPr>
      </w:pPr>
      <w:bookmarkStart w:id="28" w:name="_Toc368573037"/>
      <w:bookmarkStart w:id="29" w:name="_Toc10456785"/>
      <w:r w:rsidRPr="00944BBB">
        <w:rPr>
          <w:rFonts w:cs="Arial"/>
          <w:sz w:val="28"/>
          <w:szCs w:val="32"/>
        </w:rPr>
        <w:t>PRICE</w:t>
      </w:r>
      <w:bookmarkEnd w:id="28"/>
      <w:bookmarkEnd w:id="29"/>
    </w:p>
    <w:p w14:paraId="07B1BB0D" w14:textId="77777777" w:rsidR="00D67F83" w:rsidRPr="00872938" w:rsidRDefault="00D67F83" w:rsidP="0089289C">
      <w:pPr>
        <w:pStyle w:val="Heading2"/>
        <w:numPr>
          <w:ilvl w:val="1"/>
          <w:numId w:val="41"/>
        </w:numPr>
        <w:rPr>
          <w:sz w:val="24"/>
          <w:szCs w:val="24"/>
        </w:rPr>
      </w:pPr>
      <w:r w:rsidRPr="00872938">
        <w:rPr>
          <w:sz w:val="24"/>
          <w:szCs w:val="24"/>
        </w:rPr>
        <w:t>Prices must be submitted inclusive of any expenses but should exclude VAT. The Potential Provider is required to provide a transparent breakdown of their pricing outlining all expenses and extras as an attachment to the bid field.</w:t>
      </w:r>
    </w:p>
    <w:p w14:paraId="486189F5" w14:textId="77777777" w:rsidR="00D67F83" w:rsidRDefault="00D67F83" w:rsidP="0089289C">
      <w:pPr>
        <w:pStyle w:val="Heading2"/>
        <w:numPr>
          <w:ilvl w:val="1"/>
          <w:numId w:val="41"/>
        </w:numPr>
        <w:spacing w:after="0"/>
        <w:ind w:left="709" w:hanging="709"/>
        <w:rPr>
          <w:sz w:val="24"/>
          <w:szCs w:val="24"/>
        </w:rPr>
      </w:pPr>
      <w:r w:rsidRPr="00872938">
        <w:rPr>
          <w:sz w:val="24"/>
          <w:szCs w:val="24"/>
        </w:rPr>
        <w:lastRenderedPageBreak/>
        <w:t xml:space="preserve">Prices are to be submitted via </w:t>
      </w:r>
      <w:r>
        <w:rPr>
          <w:sz w:val="24"/>
          <w:szCs w:val="24"/>
        </w:rPr>
        <w:t>the e-Sourcing Suite (Attachment 4</w:t>
      </w:r>
      <w:r w:rsidRPr="00872938">
        <w:rPr>
          <w:sz w:val="24"/>
          <w:szCs w:val="24"/>
        </w:rPr>
        <w:t>) excluding VAT as an attachment at question level.</w:t>
      </w:r>
    </w:p>
    <w:p w14:paraId="60F66A99" w14:textId="77777777" w:rsidR="00D67F83" w:rsidRDefault="00D67F83" w:rsidP="00D67F83">
      <w:pPr>
        <w:pStyle w:val="Heading2"/>
        <w:numPr>
          <w:ilvl w:val="0"/>
          <w:numId w:val="0"/>
        </w:numPr>
        <w:spacing w:after="0"/>
        <w:ind w:left="709"/>
        <w:rPr>
          <w:sz w:val="24"/>
          <w:szCs w:val="24"/>
        </w:rPr>
      </w:pP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47"/>
        <w:gridCol w:w="3703"/>
        <w:gridCol w:w="1611"/>
      </w:tblGrid>
      <w:tr w:rsidR="00D67F83" w:rsidRPr="00872938" w14:paraId="0FED52EE" w14:textId="77777777" w:rsidTr="00DB7D75">
        <w:tc>
          <w:tcPr>
            <w:tcW w:w="1124" w:type="dxa"/>
            <w:shd w:val="clear" w:color="auto" w:fill="D9E2F3"/>
          </w:tcPr>
          <w:p w14:paraId="68644D51"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sidRPr="00872938">
              <w:rPr>
                <w:rFonts w:cs="Arial"/>
                <w:sz w:val="24"/>
                <w:szCs w:val="24"/>
              </w:rPr>
              <w:t>KPI/SLA</w:t>
            </w:r>
          </w:p>
        </w:tc>
        <w:tc>
          <w:tcPr>
            <w:tcW w:w="1771" w:type="dxa"/>
            <w:shd w:val="clear" w:color="auto" w:fill="D9E2F3"/>
          </w:tcPr>
          <w:p w14:paraId="6AF6FF2E"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sidRPr="00872938">
              <w:rPr>
                <w:rFonts w:cs="Arial"/>
                <w:sz w:val="24"/>
                <w:szCs w:val="24"/>
              </w:rPr>
              <w:t>Service Area</w:t>
            </w:r>
          </w:p>
        </w:tc>
        <w:tc>
          <w:tcPr>
            <w:tcW w:w="3827" w:type="dxa"/>
            <w:shd w:val="clear" w:color="auto" w:fill="D9E2F3"/>
          </w:tcPr>
          <w:p w14:paraId="20A870FD"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sidRPr="00872938">
              <w:rPr>
                <w:rFonts w:cs="Arial"/>
                <w:sz w:val="24"/>
                <w:szCs w:val="24"/>
              </w:rPr>
              <w:t>KPI/SLA description</w:t>
            </w:r>
          </w:p>
        </w:tc>
        <w:tc>
          <w:tcPr>
            <w:tcW w:w="1653" w:type="dxa"/>
            <w:shd w:val="clear" w:color="auto" w:fill="D9E2F3"/>
          </w:tcPr>
          <w:p w14:paraId="79035553" w14:textId="77777777" w:rsidR="00D67F83" w:rsidRPr="00872938" w:rsidRDefault="00D67F83" w:rsidP="00DB7D75">
            <w:pPr>
              <w:pStyle w:val="Heading2"/>
              <w:numPr>
                <w:ilvl w:val="0"/>
                <w:numId w:val="0"/>
              </w:numPr>
              <w:overflowPunct w:val="0"/>
              <w:autoSpaceDE w:val="0"/>
              <w:autoSpaceDN w:val="0"/>
              <w:jc w:val="center"/>
              <w:textAlignment w:val="baseline"/>
              <w:rPr>
                <w:sz w:val="24"/>
                <w:szCs w:val="24"/>
              </w:rPr>
            </w:pPr>
            <w:r w:rsidRPr="00872938">
              <w:rPr>
                <w:sz w:val="24"/>
                <w:szCs w:val="24"/>
              </w:rPr>
              <w:t>Target</w:t>
            </w:r>
          </w:p>
        </w:tc>
      </w:tr>
      <w:tr w:rsidR="00D67F83" w:rsidRPr="00872938" w14:paraId="6D14AD60" w14:textId="77777777" w:rsidTr="00DB7D75">
        <w:tc>
          <w:tcPr>
            <w:tcW w:w="1124" w:type="dxa"/>
            <w:shd w:val="clear" w:color="auto" w:fill="auto"/>
          </w:tcPr>
          <w:p w14:paraId="1E933F04"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Pr>
                <w:rFonts w:cs="Arial"/>
                <w:sz w:val="24"/>
                <w:szCs w:val="24"/>
              </w:rPr>
              <w:t>4</w:t>
            </w:r>
          </w:p>
        </w:tc>
        <w:tc>
          <w:tcPr>
            <w:tcW w:w="1771" w:type="dxa"/>
            <w:shd w:val="clear" w:color="auto" w:fill="auto"/>
          </w:tcPr>
          <w:p w14:paraId="11E54C08"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rPr>
            </w:pPr>
            <w:r w:rsidRPr="00872938">
              <w:rPr>
                <w:rFonts w:cs="Arial"/>
                <w:sz w:val="24"/>
                <w:szCs w:val="24"/>
              </w:rPr>
              <w:t>Optimising Costs</w:t>
            </w:r>
          </w:p>
        </w:tc>
        <w:tc>
          <w:tcPr>
            <w:tcW w:w="3827" w:type="dxa"/>
            <w:shd w:val="clear" w:color="auto" w:fill="auto"/>
          </w:tcPr>
          <w:p w14:paraId="24A27EA3" w14:textId="77777777" w:rsidR="00D67F83" w:rsidRPr="00872938" w:rsidRDefault="00D67F83" w:rsidP="00DB7D75">
            <w:pPr>
              <w:pStyle w:val="Heading2"/>
              <w:numPr>
                <w:ilvl w:val="0"/>
                <w:numId w:val="0"/>
              </w:numPr>
              <w:overflowPunct w:val="0"/>
              <w:autoSpaceDE w:val="0"/>
              <w:autoSpaceDN w:val="0"/>
              <w:textAlignment w:val="baseline"/>
              <w:rPr>
                <w:rFonts w:cs="Arial"/>
                <w:b/>
                <w:bCs/>
                <w:sz w:val="24"/>
                <w:szCs w:val="24"/>
                <w:lang w:eastAsia="en-GB"/>
              </w:rPr>
            </w:pPr>
            <w:r w:rsidRPr="00872938">
              <w:rPr>
                <w:rFonts w:cs="Arial"/>
                <w:sz w:val="24"/>
                <w:szCs w:val="24"/>
                <w:lang w:eastAsia="en-GB"/>
              </w:rPr>
              <w:t xml:space="preserve">Supplier is open and proactive in </w:t>
            </w:r>
            <w:r w:rsidRPr="00872938">
              <w:rPr>
                <w:rFonts w:cs="Arial"/>
                <w:b/>
                <w:bCs/>
                <w:sz w:val="24"/>
                <w:szCs w:val="24"/>
                <w:lang w:eastAsia="en-GB"/>
              </w:rPr>
              <w:t>optimising costs</w:t>
            </w:r>
          </w:p>
          <w:p w14:paraId="08E101BE"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rPr>
            </w:pPr>
            <w:r w:rsidRPr="00872938">
              <w:rPr>
                <w:rFonts w:cs="Arial"/>
                <w:sz w:val="24"/>
                <w:szCs w:val="24"/>
                <w:lang w:eastAsia="en-GB"/>
              </w:rPr>
              <w:t>Efforts made to minimise expenses - prices are in line with market expectations - supplier is open in explaining price breakdown an</w:t>
            </w:r>
            <w:bookmarkStart w:id="30" w:name="_GoBack"/>
            <w:bookmarkEnd w:id="30"/>
            <w:r w:rsidRPr="00872938">
              <w:rPr>
                <w:rFonts w:cs="Arial"/>
                <w:sz w:val="24"/>
                <w:szCs w:val="24"/>
                <w:lang w:eastAsia="en-GB"/>
              </w:rPr>
              <w:t>d working with the client to identify opportunities to reduce cost – accurate and timely billing of client and invoices provided in line with client requirements</w:t>
            </w:r>
          </w:p>
        </w:tc>
        <w:tc>
          <w:tcPr>
            <w:tcW w:w="1653" w:type="dxa"/>
            <w:shd w:val="clear" w:color="auto" w:fill="auto"/>
          </w:tcPr>
          <w:p w14:paraId="3B0C9749" w14:textId="77777777" w:rsidR="00D67F83" w:rsidRPr="00872938" w:rsidRDefault="00D67F83" w:rsidP="00DB7D75">
            <w:pPr>
              <w:pStyle w:val="Heading2"/>
              <w:numPr>
                <w:ilvl w:val="0"/>
                <w:numId w:val="0"/>
              </w:numPr>
              <w:overflowPunct w:val="0"/>
              <w:autoSpaceDE w:val="0"/>
              <w:autoSpaceDN w:val="0"/>
              <w:textAlignment w:val="baseline"/>
              <w:rPr>
                <w:sz w:val="24"/>
                <w:szCs w:val="24"/>
              </w:rPr>
            </w:pPr>
            <w:r w:rsidRPr="00872938">
              <w:rPr>
                <w:sz w:val="24"/>
                <w:szCs w:val="24"/>
              </w:rPr>
              <w:t>98%</w:t>
            </w:r>
          </w:p>
        </w:tc>
      </w:tr>
    </w:tbl>
    <w:p w14:paraId="7C31907B" w14:textId="0FF33F45" w:rsidR="00D67F83" w:rsidRPr="006470C5" w:rsidRDefault="00D67F83" w:rsidP="00D67F83">
      <w:pPr>
        <w:pStyle w:val="Heading2"/>
        <w:numPr>
          <w:ilvl w:val="0"/>
          <w:numId w:val="0"/>
        </w:numPr>
        <w:spacing w:after="120"/>
        <w:rPr>
          <w:sz w:val="24"/>
          <w:szCs w:val="24"/>
        </w:rPr>
      </w:pPr>
    </w:p>
    <w:p w14:paraId="1480BBF7" w14:textId="77777777" w:rsidR="00D67F83" w:rsidRPr="00944BBB" w:rsidRDefault="00D67F83" w:rsidP="0089289C">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32"/>
        </w:rPr>
      </w:pPr>
      <w:bookmarkStart w:id="31" w:name="_Toc368573038"/>
      <w:bookmarkStart w:id="32" w:name="_Toc10456786"/>
      <w:r w:rsidRPr="00944BBB">
        <w:rPr>
          <w:rFonts w:cs="Arial"/>
          <w:sz w:val="28"/>
          <w:szCs w:val="32"/>
        </w:rPr>
        <w:t>STAFF AND CUSTOMER SERVICE</w:t>
      </w:r>
      <w:bookmarkEnd w:id="31"/>
      <w:bookmarkEnd w:id="32"/>
    </w:p>
    <w:p w14:paraId="29B7C12F" w14:textId="77777777" w:rsidR="00D67F83" w:rsidRPr="00872938" w:rsidRDefault="00D67F83" w:rsidP="0089289C">
      <w:pPr>
        <w:pStyle w:val="Heading2"/>
        <w:numPr>
          <w:ilvl w:val="1"/>
          <w:numId w:val="41"/>
        </w:numPr>
        <w:spacing w:after="120"/>
        <w:ind w:left="709" w:hanging="709"/>
        <w:rPr>
          <w:sz w:val="24"/>
          <w:szCs w:val="24"/>
        </w:rPr>
      </w:pPr>
      <w:r w:rsidRPr="00872938">
        <w:rPr>
          <w:sz w:val="24"/>
          <w:szCs w:val="24"/>
        </w:rPr>
        <w:t>The Supplier shall provide a sufficient level of resource throughout the duration of the Contract in order to consistently deliver a quality service.</w:t>
      </w:r>
    </w:p>
    <w:p w14:paraId="097AE25F" w14:textId="77777777" w:rsidR="00D67F83" w:rsidRPr="00872938" w:rsidRDefault="00D67F83" w:rsidP="0089289C">
      <w:pPr>
        <w:pStyle w:val="Heading2"/>
        <w:numPr>
          <w:ilvl w:val="1"/>
          <w:numId w:val="41"/>
        </w:numPr>
        <w:spacing w:after="120"/>
        <w:ind w:left="709" w:hanging="709"/>
        <w:rPr>
          <w:sz w:val="24"/>
          <w:szCs w:val="24"/>
        </w:rPr>
      </w:pPr>
      <w:r w:rsidRPr="00872938">
        <w:rPr>
          <w:sz w:val="24"/>
          <w:szCs w:val="24"/>
        </w:rPr>
        <w:t xml:space="preserve">The Supplier’s staff assigned to the Contract shall have the relevant qualifications and experience to deliver the Contract to the required standard. </w:t>
      </w:r>
    </w:p>
    <w:p w14:paraId="4A4B1620" w14:textId="77777777" w:rsidR="00D67F83" w:rsidRPr="00872938" w:rsidRDefault="00D67F83" w:rsidP="0089289C">
      <w:pPr>
        <w:pStyle w:val="Heading2"/>
        <w:numPr>
          <w:ilvl w:val="1"/>
          <w:numId w:val="41"/>
        </w:numPr>
        <w:spacing w:after="120"/>
        <w:ind w:left="709" w:hanging="709"/>
        <w:rPr>
          <w:sz w:val="24"/>
          <w:szCs w:val="24"/>
        </w:rPr>
      </w:pPr>
      <w:r w:rsidRPr="00872938">
        <w:rPr>
          <w:sz w:val="24"/>
          <w:szCs w:val="24"/>
        </w:rPr>
        <w:t xml:space="preserve">The Supplier shall ensure that staff understand the Authority’s vision and objectives and will provide excellent customer service to the Authority throughout the duration of the Contract.  </w:t>
      </w:r>
    </w:p>
    <w:p w14:paraId="3D9CABA2" w14:textId="77777777" w:rsidR="00D67F83" w:rsidRPr="00872938" w:rsidRDefault="00D67F83" w:rsidP="0089289C">
      <w:pPr>
        <w:pStyle w:val="Heading2"/>
        <w:numPr>
          <w:ilvl w:val="1"/>
          <w:numId w:val="41"/>
        </w:numPr>
        <w:spacing w:after="120"/>
        <w:ind w:left="709" w:hanging="709"/>
        <w:rPr>
          <w:sz w:val="24"/>
          <w:szCs w:val="24"/>
        </w:rPr>
      </w:pPr>
      <w:r w:rsidRPr="00872938">
        <w:rPr>
          <w:sz w:val="24"/>
          <w:szCs w:val="24"/>
        </w:rPr>
        <w:t>The Authority requires the Supplier to provide a sufficient level of resource throughout the duration of the Thameslink Legal Advisor Contract in order to consistently deliver a quality service.</w:t>
      </w:r>
    </w:p>
    <w:p w14:paraId="3E712FCE" w14:textId="77777777" w:rsidR="00D67F83" w:rsidRPr="00872938" w:rsidRDefault="00D67F83" w:rsidP="0089289C">
      <w:pPr>
        <w:pStyle w:val="Heading2"/>
        <w:numPr>
          <w:ilvl w:val="1"/>
          <w:numId w:val="41"/>
        </w:numPr>
        <w:spacing w:after="120"/>
        <w:ind w:left="709" w:hanging="709"/>
        <w:rPr>
          <w:sz w:val="24"/>
          <w:szCs w:val="24"/>
        </w:rPr>
      </w:pPr>
      <w:r w:rsidRPr="00872938">
        <w:rPr>
          <w:sz w:val="24"/>
          <w:szCs w:val="24"/>
        </w:rPr>
        <w:t>Ideally the split of resources should be no more than:</w:t>
      </w:r>
    </w:p>
    <w:p w14:paraId="1743D664" w14:textId="77777777" w:rsidR="00D67F83" w:rsidRPr="00872938" w:rsidRDefault="00D67F83" w:rsidP="0089289C">
      <w:pPr>
        <w:pStyle w:val="Heading2"/>
        <w:numPr>
          <w:ilvl w:val="0"/>
          <w:numId w:val="43"/>
        </w:numPr>
        <w:spacing w:after="120"/>
        <w:rPr>
          <w:sz w:val="24"/>
          <w:szCs w:val="24"/>
        </w:rPr>
      </w:pPr>
      <w:r w:rsidRPr="00872938">
        <w:rPr>
          <w:sz w:val="24"/>
          <w:szCs w:val="24"/>
        </w:rPr>
        <w:t>1 Partner 10%</w:t>
      </w:r>
    </w:p>
    <w:p w14:paraId="20848B07" w14:textId="77777777" w:rsidR="00D67F83" w:rsidRPr="00872938" w:rsidRDefault="00D67F83" w:rsidP="0089289C">
      <w:pPr>
        <w:pStyle w:val="Heading2"/>
        <w:numPr>
          <w:ilvl w:val="0"/>
          <w:numId w:val="43"/>
        </w:numPr>
        <w:spacing w:after="120"/>
        <w:rPr>
          <w:sz w:val="24"/>
          <w:szCs w:val="24"/>
        </w:rPr>
      </w:pPr>
      <w:r w:rsidRPr="00872938">
        <w:rPr>
          <w:sz w:val="24"/>
          <w:szCs w:val="24"/>
        </w:rPr>
        <w:t>1 Legal Director or Senior Associate 60%</w:t>
      </w:r>
    </w:p>
    <w:p w14:paraId="17D65713" w14:textId="77777777" w:rsidR="00D67F83" w:rsidRPr="00872938" w:rsidRDefault="00D67F83" w:rsidP="0089289C">
      <w:pPr>
        <w:pStyle w:val="Heading2"/>
        <w:numPr>
          <w:ilvl w:val="0"/>
          <w:numId w:val="43"/>
        </w:numPr>
        <w:spacing w:after="120"/>
        <w:rPr>
          <w:sz w:val="24"/>
          <w:szCs w:val="24"/>
        </w:rPr>
      </w:pPr>
      <w:r w:rsidRPr="00872938">
        <w:rPr>
          <w:sz w:val="24"/>
          <w:szCs w:val="24"/>
        </w:rPr>
        <w:t>1 Associate 30%</w:t>
      </w:r>
    </w:p>
    <w:p w14:paraId="14D72AFA" w14:textId="77777777" w:rsidR="00D67F83" w:rsidRPr="00872938" w:rsidRDefault="00D67F83" w:rsidP="00D67F83">
      <w:pPr>
        <w:pStyle w:val="Heading2"/>
        <w:numPr>
          <w:ilvl w:val="0"/>
          <w:numId w:val="0"/>
        </w:numPr>
        <w:spacing w:after="0"/>
        <w:ind w:left="709"/>
        <w:rPr>
          <w:sz w:val="24"/>
          <w:szCs w:val="24"/>
        </w:rPr>
      </w:pPr>
    </w:p>
    <w:p w14:paraId="1D987FB4" w14:textId="77777777" w:rsidR="00D67F83" w:rsidRDefault="00D67F83" w:rsidP="0089289C">
      <w:pPr>
        <w:pStyle w:val="Heading2"/>
        <w:numPr>
          <w:ilvl w:val="1"/>
          <w:numId w:val="41"/>
        </w:numPr>
        <w:spacing w:after="120"/>
        <w:ind w:left="709" w:hanging="709"/>
        <w:rPr>
          <w:sz w:val="24"/>
          <w:szCs w:val="24"/>
        </w:rPr>
      </w:pPr>
      <w:r w:rsidRPr="00872938">
        <w:rPr>
          <w:sz w:val="24"/>
          <w:szCs w:val="24"/>
        </w:rPr>
        <w:t>The Supplier’s staff assigned to the Thameslink Legal Advisor Contract shall have the following relevant qualifications and experience to deliver the Contract:</w:t>
      </w:r>
    </w:p>
    <w:p w14:paraId="7E67EFC8" w14:textId="77777777" w:rsidR="00D67F83" w:rsidRDefault="00D67F83" w:rsidP="00D67F83">
      <w:pPr>
        <w:pStyle w:val="Heading2"/>
        <w:numPr>
          <w:ilvl w:val="0"/>
          <w:numId w:val="0"/>
        </w:numPr>
        <w:spacing w:after="120"/>
        <w:ind w:left="709"/>
        <w:rPr>
          <w:sz w:val="24"/>
          <w:szCs w:val="24"/>
        </w:rPr>
      </w:pPr>
    </w:p>
    <w:p w14:paraId="7466D239" w14:textId="77777777" w:rsidR="00D67F83" w:rsidRPr="0067623B" w:rsidRDefault="00D67F83" w:rsidP="0089289C">
      <w:pPr>
        <w:pStyle w:val="Heading2"/>
        <w:numPr>
          <w:ilvl w:val="1"/>
          <w:numId w:val="41"/>
        </w:numPr>
        <w:rPr>
          <w:sz w:val="24"/>
        </w:rPr>
      </w:pPr>
      <w:r w:rsidRPr="0067623B">
        <w:rPr>
          <w:sz w:val="24"/>
        </w:rPr>
        <w:t>Mandatory</w:t>
      </w:r>
    </w:p>
    <w:p w14:paraId="279BDD9A" w14:textId="77777777" w:rsidR="00D67F83" w:rsidRPr="0067623B" w:rsidRDefault="00D67F83" w:rsidP="0089289C">
      <w:pPr>
        <w:pStyle w:val="Heading3"/>
        <w:numPr>
          <w:ilvl w:val="2"/>
          <w:numId w:val="41"/>
        </w:numPr>
        <w:rPr>
          <w:sz w:val="24"/>
        </w:rPr>
      </w:pPr>
      <w:r w:rsidRPr="0067623B">
        <w:rPr>
          <w:sz w:val="24"/>
        </w:rPr>
        <w:t>An understanding of the Thameslink Programme.</w:t>
      </w:r>
    </w:p>
    <w:p w14:paraId="21913164" w14:textId="77777777" w:rsidR="00D67F83" w:rsidRPr="0067623B" w:rsidRDefault="00D67F83" w:rsidP="0089289C">
      <w:pPr>
        <w:pStyle w:val="Heading3"/>
        <w:numPr>
          <w:ilvl w:val="2"/>
          <w:numId w:val="41"/>
        </w:numPr>
        <w:rPr>
          <w:sz w:val="24"/>
        </w:rPr>
      </w:pPr>
      <w:r w:rsidRPr="0067623B">
        <w:rPr>
          <w:sz w:val="24"/>
        </w:rPr>
        <w:lastRenderedPageBreak/>
        <w:t>A track record of working on very large scale and complex PFI-style transactions demonstrating the skills and capability to deliver the key Programme requirements.</w:t>
      </w:r>
    </w:p>
    <w:p w14:paraId="5A209800" w14:textId="77777777" w:rsidR="00D67F83" w:rsidRPr="0067623B" w:rsidRDefault="00D67F83" w:rsidP="0089289C">
      <w:pPr>
        <w:pStyle w:val="Heading3"/>
        <w:numPr>
          <w:ilvl w:val="2"/>
          <w:numId w:val="41"/>
        </w:numPr>
        <w:rPr>
          <w:sz w:val="24"/>
        </w:rPr>
      </w:pPr>
      <w:r w:rsidRPr="0067623B">
        <w:rPr>
          <w:sz w:val="24"/>
        </w:rPr>
        <w:t xml:space="preserve">A proven track record in successfully negotiating with commercially minded organisations. </w:t>
      </w:r>
    </w:p>
    <w:p w14:paraId="2F742D90" w14:textId="77777777" w:rsidR="00D67F83" w:rsidRPr="0067623B" w:rsidRDefault="00D67F83" w:rsidP="0089289C">
      <w:pPr>
        <w:pStyle w:val="Heading3"/>
        <w:numPr>
          <w:ilvl w:val="2"/>
          <w:numId w:val="41"/>
        </w:numPr>
        <w:rPr>
          <w:sz w:val="24"/>
        </w:rPr>
      </w:pPr>
      <w:r w:rsidRPr="0067623B">
        <w:rPr>
          <w:sz w:val="24"/>
        </w:rPr>
        <w:t>Demonstrable ability to work efficiently to tight timescales in pressurised circumstances and to deliver quality outputs, and work collaboratively with the DfT lawyers as well as policy makers.</w:t>
      </w:r>
    </w:p>
    <w:p w14:paraId="1704C6EE" w14:textId="77777777" w:rsidR="00D67F83" w:rsidRPr="0067623B" w:rsidRDefault="00D67F83" w:rsidP="0089289C">
      <w:pPr>
        <w:pStyle w:val="Heading3"/>
        <w:numPr>
          <w:ilvl w:val="2"/>
          <w:numId w:val="41"/>
        </w:numPr>
        <w:rPr>
          <w:sz w:val="24"/>
        </w:rPr>
      </w:pPr>
      <w:r w:rsidRPr="0067623B">
        <w:rPr>
          <w:sz w:val="24"/>
        </w:rPr>
        <w:t>Strong business and commercial management experience including the ability to build and maintain a correctly balanced team, taking into account skills, expertise and delivery (at the appropriate level), and managing out any conflicts of interest.</w:t>
      </w:r>
    </w:p>
    <w:p w14:paraId="2D50553B" w14:textId="77777777" w:rsidR="00D67F83" w:rsidRPr="0067623B" w:rsidRDefault="00D67F83" w:rsidP="0089289C">
      <w:pPr>
        <w:pStyle w:val="Heading3"/>
        <w:numPr>
          <w:ilvl w:val="2"/>
          <w:numId w:val="41"/>
        </w:numPr>
        <w:rPr>
          <w:sz w:val="24"/>
        </w:rPr>
      </w:pPr>
      <w:r w:rsidRPr="0067623B">
        <w:rPr>
          <w:sz w:val="24"/>
        </w:rPr>
        <w:t>An ability to work on a high profile project with a high degree of confidentiality.</w:t>
      </w:r>
    </w:p>
    <w:p w14:paraId="7DE277D2" w14:textId="77777777" w:rsidR="00D67F83" w:rsidRPr="0067623B" w:rsidRDefault="00D67F83" w:rsidP="0089289C">
      <w:pPr>
        <w:pStyle w:val="Heading3"/>
        <w:numPr>
          <w:ilvl w:val="2"/>
          <w:numId w:val="41"/>
        </w:numPr>
        <w:rPr>
          <w:sz w:val="24"/>
        </w:rPr>
      </w:pPr>
      <w:r w:rsidRPr="0067623B">
        <w:rPr>
          <w:sz w:val="24"/>
        </w:rPr>
        <w:t xml:space="preserve">Robust team structure, matching the right individuals with the appropriate skills needed and including a process to ensure resilience of the team.   </w:t>
      </w:r>
    </w:p>
    <w:p w14:paraId="63D91081" w14:textId="553A2A9A" w:rsidR="00D67F83" w:rsidRPr="00944BBB" w:rsidRDefault="00D67F83" w:rsidP="00944BBB">
      <w:pPr>
        <w:pStyle w:val="Heading3"/>
        <w:numPr>
          <w:ilvl w:val="2"/>
          <w:numId w:val="41"/>
        </w:numPr>
        <w:rPr>
          <w:b/>
          <w:sz w:val="24"/>
          <w:u w:val="single"/>
        </w:rPr>
      </w:pPr>
      <w:r w:rsidRPr="0067623B">
        <w:rPr>
          <w:sz w:val="24"/>
        </w:rPr>
        <w:t>The ability to communicate succinctly both verbally and in writing at all levels right up to board level, within the DfT and industry stakeholders.</w:t>
      </w:r>
    </w:p>
    <w:p w14:paraId="195B0F57" w14:textId="77777777" w:rsidR="00D67F83" w:rsidRPr="00872938" w:rsidRDefault="00D67F83" w:rsidP="0089289C">
      <w:pPr>
        <w:pStyle w:val="Heading2"/>
        <w:numPr>
          <w:ilvl w:val="1"/>
          <w:numId w:val="41"/>
        </w:numPr>
        <w:spacing w:after="120"/>
        <w:ind w:left="709" w:hanging="709"/>
        <w:rPr>
          <w:rFonts w:cs="Arial"/>
          <w:sz w:val="24"/>
          <w:szCs w:val="24"/>
          <w:u w:val="single"/>
        </w:rPr>
      </w:pPr>
      <w:r w:rsidRPr="00872938">
        <w:rPr>
          <w:rFonts w:cs="Arial"/>
          <w:sz w:val="24"/>
          <w:szCs w:val="24"/>
          <w:u w:val="single"/>
        </w:rPr>
        <w:t>Desirable</w:t>
      </w:r>
    </w:p>
    <w:p w14:paraId="19AD3FEF" w14:textId="16E2509A" w:rsidR="00D67F83" w:rsidRPr="00944BBB" w:rsidRDefault="00D67F83" w:rsidP="00944BBB">
      <w:pPr>
        <w:pStyle w:val="Heading3"/>
        <w:numPr>
          <w:ilvl w:val="2"/>
          <w:numId w:val="41"/>
        </w:numPr>
        <w:rPr>
          <w:b/>
          <w:sz w:val="24"/>
        </w:rPr>
      </w:pPr>
      <w:r w:rsidRPr="0067623B">
        <w:rPr>
          <w:sz w:val="24"/>
        </w:rPr>
        <w:t>Demonstration of other commissions working for Government, National Rail and Train Operating Companies.</w:t>
      </w:r>
    </w:p>
    <w:p w14:paraId="40136F91" w14:textId="74D74758" w:rsidR="00D67F83" w:rsidRPr="00944BBB" w:rsidRDefault="00D67F83" w:rsidP="00944BBB">
      <w:pPr>
        <w:pStyle w:val="Heading2"/>
        <w:numPr>
          <w:ilvl w:val="1"/>
          <w:numId w:val="41"/>
        </w:numPr>
        <w:spacing w:after="120"/>
        <w:ind w:left="709" w:hanging="709"/>
        <w:rPr>
          <w:sz w:val="24"/>
          <w:szCs w:val="24"/>
        </w:rPr>
      </w:pPr>
      <w:r w:rsidRPr="00872938">
        <w:rPr>
          <w:sz w:val="24"/>
          <w:szCs w:val="24"/>
        </w:rPr>
        <w:t xml:space="preserve">The Supplier shall ensure that staff understand the Authority’s vision and objectives and will provide excellent customer service to the Authority throughout the duration of the Contract.  </w:t>
      </w:r>
    </w:p>
    <w:p w14:paraId="44ABF6E0" w14:textId="6F472D0E" w:rsidR="00D67F83" w:rsidRDefault="00D67F83" w:rsidP="0089289C">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32"/>
          <w:szCs w:val="32"/>
        </w:rPr>
      </w:pPr>
      <w:bookmarkStart w:id="33" w:name="_Toc368573039"/>
      <w:bookmarkStart w:id="34" w:name="_Toc10456787"/>
      <w:r w:rsidRPr="00944BBB">
        <w:rPr>
          <w:rFonts w:cs="Arial"/>
          <w:sz w:val="28"/>
          <w:szCs w:val="32"/>
        </w:rPr>
        <w:t>SERVICE LEVELS AND PERFORMANCE</w:t>
      </w:r>
      <w:bookmarkEnd w:id="33"/>
      <w:bookmarkEnd w:id="34"/>
    </w:p>
    <w:p w14:paraId="142ACA1E" w14:textId="77777777" w:rsidR="00D67F83" w:rsidRPr="00BB37AD" w:rsidRDefault="00D67F83" w:rsidP="0089289C">
      <w:pPr>
        <w:pStyle w:val="Heading2"/>
        <w:numPr>
          <w:ilvl w:val="1"/>
          <w:numId w:val="41"/>
        </w:numPr>
        <w:tabs>
          <w:tab w:val="num" w:pos="862"/>
        </w:tabs>
      </w:pPr>
      <w:r w:rsidRPr="00BB37AD">
        <w:rPr>
          <w:sz w:val="24"/>
          <w:szCs w:val="24"/>
        </w:rPr>
        <w:t>The objectives of the Service Levels are to ensure that the Contract Services are of a consistently high quality and meet the requirements of the Client.</w:t>
      </w:r>
    </w:p>
    <w:p w14:paraId="4898931A" w14:textId="77777777" w:rsidR="00D67F83" w:rsidRPr="00872938" w:rsidRDefault="00D67F83" w:rsidP="0089289C">
      <w:pPr>
        <w:pStyle w:val="Heading2"/>
        <w:numPr>
          <w:ilvl w:val="1"/>
          <w:numId w:val="41"/>
        </w:numPr>
        <w:tabs>
          <w:tab w:val="clear" w:pos="720"/>
          <w:tab w:val="num" w:pos="132"/>
          <w:tab w:val="num" w:pos="862"/>
        </w:tabs>
        <w:overflowPunct w:val="0"/>
        <w:autoSpaceDE w:val="0"/>
        <w:autoSpaceDN w:val="0"/>
        <w:spacing w:after="120"/>
        <w:ind w:left="709" w:hanging="709"/>
        <w:textAlignment w:val="baseline"/>
        <w:rPr>
          <w:sz w:val="24"/>
          <w:szCs w:val="24"/>
        </w:rPr>
      </w:pPr>
      <w:r w:rsidRPr="00872938">
        <w:rPr>
          <w:sz w:val="24"/>
          <w:szCs w:val="24"/>
        </w:rPr>
        <w:t>The Authority will measure the quality of the Supplier’s delivery by:</w:t>
      </w:r>
    </w:p>
    <w:p w14:paraId="20501ABF" w14:textId="77777777" w:rsidR="00D67F83" w:rsidRPr="00872938" w:rsidRDefault="00D67F83" w:rsidP="0089289C">
      <w:pPr>
        <w:pStyle w:val="Heading3"/>
        <w:numPr>
          <w:ilvl w:val="2"/>
          <w:numId w:val="41"/>
        </w:numPr>
        <w:tabs>
          <w:tab w:val="num" w:pos="1418"/>
        </w:tabs>
        <w:spacing w:after="120"/>
        <w:ind w:left="1418" w:hanging="698"/>
        <w:rPr>
          <w:sz w:val="24"/>
          <w:szCs w:val="24"/>
        </w:rPr>
      </w:pPr>
    </w:p>
    <w:p w14:paraId="3C1EE41C" w14:textId="77777777" w:rsidR="00D67F83" w:rsidRPr="00872938" w:rsidRDefault="00D67F83" w:rsidP="00D67F83">
      <w:pPr>
        <w:rPr>
          <w:vanish/>
          <w:sz w:val="24"/>
        </w:rPr>
      </w:pPr>
    </w:p>
    <w:tbl>
      <w:tblPr>
        <w:tblW w:w="0" w:type="auto"/>
        <w:tblInd w:w="8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1761"/>
        <w:gridCol w:w="3694"/>
        <w:gridCol w:w="1606"/>
      </w:tblGrid>
      <w:tr w:rsidR="00D67F83" w:rsidRPr="00872938" w14:paraId="78337D96" w14:textId="77777777" w:rsidTr="00DB7D75">
        <w:tc>
          <w:tcPr>
            <w:tcW w:w="1124" w:type="dxa"/>
            <w:shd w:val="clear" w:color="auto" w:fill="D9E2F3"/>
          </w:tcPr>
          <w:p w14:paraId="0821CE08"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sidRPr="00872938">
              <w:rPr>
                <w:rFonts w:cs="Arial"/>
                <w:sz w:val="24"/>
                <w:szCs w:val="24"/>
              </w:rPr>
              <w:t>KPI/SLA</w:t>
            </w:r>
          </w:p>
        </w:tc>
        <w:tc>
          <w:tcPr>
            <w:tcW w:w="1771" w:type="dxa"/>
            <w:shd w:val="clear" w:color="auto" w:fill="D9E2F3"/>
          </w:tcPr>
          <w:p w14:paraId="13E9C3CE"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sidRPr="00872938">
              <w:rPr>
                <w:rFonts w:cs="Arial"/>
                <w:sz w:val="24"/>
                <w:szCs w:val="24"/>
              </w:rPr>
              <w:t>Service Area</w:t>
            </w:r>
          </w:p>
        </w:tc>
        <w:tc>
          <w:tcPr>
            <w:tcW w:w="3827" w:type="dxa"/>
            <w:shd w:val="clear" w:color="auto" w:fill="D9E2F3"/>
          </w:tcPr>
          <w:p w14:paraId="0A096079"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sidRPr="00872938">
              <w:rPr>
                <w:rFonts w:cs="Arial"/>
                <w:sz w:val="24"/>
                <w:szCs w:val="24"/>
              </w:rPr>
              <w:t>KPI/SLA description</w:t>
            </w:r>
          </w:p>
        </w:tc>
        <w:tc>
          <w:tcPr>
            <w:tcW w:w="1653" w:type="dxa"/>
            <w:shd w:val="clear" w:color="auto" w:fill="D9E2F3"/>
          </w:tcPr>
          <w:p w14:paraId="24C6C2FF" w14:textId="77777777" w:rsidR="00D67F83" w:rsidRPr="00872938" w:rsidRDefault="00D67F83" w:rsidP="00DB7D75">
            <w:pPr>
              <w:pStyle w:val="Heading2"/>
              <w:numPr>
                <w:ilvl w:val="0"/>
                <w:numId w:val="0"/>
              </w:numPr>
              <w:overflowPunct w:val="0"/>
              <w:autoSpaceDE w:val="0"/>
              <w:autoSpaceDN w:val="0"/>
              <w:jc w:val="center"/>
              <w:textAlignment w:val="baseline"/>
              <w:rPr>
                <w:sz w:val="24"/>
                <w:szCs w:val="24"/>
              </w:rPr>
            </w:pPr>
            <w:r w:rsidRPr="00872938">
              <w:rPr>
                <w:sz w:val="24"/>
                <w:szCs w:val="24"/>
              </w:rPr>
              <w:t>Target</w:t>
            </w:r>
          </w:p>
        </w:tc>
      </w:tr>
      <w:tr w:rsidR="00D67F83" w:rsidRPr="00872938" w14:paraId="79946C72" w14:textId="77777777" w:rsidTr="00DB7D75">
        <w:tc>
          <w:tcPr>
            <w:tcW w:w="1124" w:type="dxa"/>
            <w:shd w:val="clear" w:color="auto" w:fill="auto"/>
          </w:tcPr>
          <w:p w14:paraId="6A65D23C"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Pr>
                <w:rFonts w:cs="Arial"/>
                <w:sz w:val="24"/>
                <w:szCs w:val="24"/>
              </w:rPr>
              <w:t>5</w:t>
            </w:r>
          </w:p>
        </w:tc>
        <w:tc>
          <w:tcPr>
            <w:tcW w:w="1771" w:type="dxa"/>
            <w:shd w:val="clear" w:color="auto" w:fill="auto"/>
          </w:tcPr>
          <w:p w14:paraId="5F3F339E"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rPr>
            </w:pPr>
            <w:r w:rsidRPr="00872938">
              <w:rPr>
                <w:rFonts w:cs="Arial"/>
                <w:sz w:val="24"/>
                <w:szCs w:val="24"/>
              </w:rPr>
              <w:t>Delivery timescales</w:t>
            </w:r>
          </w:p>
        </w:tc>
        <w:tc>
          <w:tcPr>
            <w:tcW w:w="3827" w:type="dxa"/>
            <w:shd w:val="clear" w:color="auto" w:fill="auto"/>
          </w:tcPr>
          <w:p w14:paraId="16AC1CDA" w14:textId="77777777" w:rsidR="00D67F83" w:rsidRPr="00872938" w:rsidRDefault="00D67F83" w:rsidP="00DB7D75">
            <w:pPr>
              <w:pStyle w:val="Heading2"/>
              <w:numPr>
                <w:ilvl w:val="0"/>
                <w:numId w:val="0"/>
              </w:numPr>
              <w:overflowPunct w:val="0"/>
              <w:autoSpaceDE w:val="0"/>
              <w:autoSpaceDN w:val="0"/>
              <w:jc w:val="left"/>
              <w:textAlignment w:val="baseline"/>
              <w:rPr>
                <w:rFonts w:cs="Arial"/>
                <w:sz w:val="24"/>
                <w:szCs w:val="24"/>
                <w:lang w:eastAsia="en-GB"/>
              </w:rPr>
            </w:pPr>
            <w:r w:rsidRPr="00872938">
              <w:rPr>
                <w:rFonts w:cs="Arial"/>
                <w:sz w:val="24"/>
                <w:szCs w:val="24"/>
                <w:lang w:eastAsia="en-US"/>
              </w:rPr>
              <w:t xml:space="preserve">The supplier will provide rapid advice as and when required. Advice is to be provided within the determined reasonable deadlines agreed and set between the supplier and the </w:t>
            </w:r>
            <w:r w:rsidRPr="00872938">
              <w:rPr>
                <w:rFonts w:cs="Arial"/>
                <w:sz w:val="24"/>
                <w:szCs w:val="24"/>
                <w:lang w:eastAsia="en-US"/>
              </w:rPr>
              <w:lastRenderedPageBreak/>
              <w:t>DfT Thameslink Programme team.  These will vary between tasks so that a very urgent task will require a response the next day whilst a routine piece of advice would only require a response in 3-5 working days</w:t>
            </w:r>
            <w:r>
              <w:rPr>
                <w:rFonts w:cs="Arial"/>
                <w:sz w:val="24"/>
                <w:szCs w:val="24"/>
                <w:lang w:eastAsia="en-US"/>
              </w:rPr>
              <w:t>.</w:t>
            </w:r>
          </w:p>
        </w:tc>
        <w:tc>
          <w:tcPr>
            <w:tcW w:w="1653" w:type="dxa"/>
            <w:shd w:val="clear" w:color="auto" w:fill="auto"/>
          </w:tcPr>
          <w:p w14:paraId="63DB929D" w14:textId="77777777" w:rsidR="00D67F83" w:rsidRPr="00872938" w:rsidRDefault="00D67F83" w:rsidP="00DB7D75">
            <w:pPr>
              <w:pStyle w:val="Heading2"/>
              <w:numPr>
                <w:ilvl w:val="0"/>
                <w:numId w:val="0"/>
              </w:numPr>
              <w:overflowPunct w:val="0"/>
              <w:autoSpaceDE w:val="0"/>
              <w:autoSpaceDN w:val="0"/>
              <w:textAlignment w:val="baseline"/>
              <w:rPr>
                <w:sz w:val="24"/>
                <w:szCs w:val="24"/>
              </w:rPr>
            </w:pPr>
            <w:r w:rsidRPr="00872938">
              <w:rPr>
                <w:sz w:val="24"/>
                <w:szCs w:val="24"/>
              </w:rPr>
              <w:lastRenderedPageBreak/>
              <w:t>98%</w:t>
            </w:r>
          </w:p>
        </w:tc>
      </w:tr>
      <w:tr w:rsidR="00D67F83" w:rsidRPr="00872938" w14:paraId="47DC12BC" w14:textId="77777777" w:rsidTr="00DB7D75">
        <w:tc>
          <w:tcPr>
            <w:tcW w:w="1124" w:type="dxa"/>
            <w:shd w:val="clear" w:color="auto" w:fill="auto"/>
          </w:tcPr>
          <w:p w14:paraId="4E114255"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Pr>
                <w:rFonts w:cs="Arial"/>
                <w:sz w:val="24"/>
                <w:szCs w:val="24"/>
              </w:rPr>
              <w:t>6</w:t>
            </w:r>
          </w:p>
        </w:tc>
        <w:tc>
          <w:tcPr>
            <w:tcW w:w="1771" w:type="dxa"/>
            <w:shd w:val="clear" w:color="auto" w:fill="auto"/>
          </w:tcPr>
          <w:p w14:paraId="072A8688"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rPr>
            </w:pPr>
            <w:r w:rsidRPr="00872938">
              <w:rPr>
                <w:rFonts w:cs="Arial"/>
                <w:sz w:val="24"/>
                <w:szCs w:val="24"/>
              </w:rPr>
              <w:t xml:space="preserve">Quality of Service </w:t>
            </w:r>
          </w:p>
        </w:tc>
        <w:tc>
          <w:tcPr>
            <w:tcW w:w="3827" w:type="dxa"/>
            <w:shd w:val="clear" w:color="auto" w:fill="auto"/>
          </w:tcPr>
          <w:p w14:paraId="0577C61C"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rPr>
            </w:pPr>
            <w:r w:rsidRPr="00872938">
              <w:rPr>
                <w:rFonts w:cs="Arial"/>
                <w:sz w:val="24"/>
                <w:szCs w:val="24"/>
              </w:rPr>
              <w:t xml:space="preserve">The Supplier provides </w:t>
            </w:r>
            <w:r w:rsidRPr="00872938">
              <w:rPr>
                <w:rFonts w:cs="Arial"/>
                <w:b/>
                <w:sz w:val="24"/>
                <w:szCs w:val="24"/>
              </w:rPr>
              <w:t xml:space="preserve">good advice </w:t>
            </w:r>
            <w:r w:rsidRPr="00872938">
              <w:rPr>
                <w:rFonts w:cs="Arial"/>
                <w:sz w:val="24"/>
                <w:szCs w:val="24"/>
              </w:rPr>
              <w:t xml:space="preserve">provided </w:t>
            </w:r>
            <w:r w:rsidRPr="00872938">
              <w:rPr>
                <w:rFonts w:cs="Arial"/>
                <w:b/>
                <w:sz w:val="24"/>
                <w:szCs w:val="24"/>
              </w:rPr>
              <w:t>within timescale</w:t>
            </w:r>
            <w:r w:rsidRPr="00872938">
              <w:rPr>
                <w:rFonts w:cs="Arial"/>
                <w:sz w:val="24"/>
                <w:szCs w:val="24"/>
              </w:rPr>
              <w:t xml:space="preserve"> and </w:t>
            </w:r>
            <w:r w:rsidRPr="00872938">
              <w:rPr>
                <w:rFonts w:cs="Arial"/>
                <w:b/>
                <w:sz w:val="24"/>
                <w:szCs w:val="24"/>
              </w:rPr>
              <w:t>covers all issues</w:t>
            </w:r>
            <w:r w:rsidRPr="00872938">
              <w:rPr>
                <w:rFonts w:cs="Arial"/>
                <w:sz w:val="24"/>
                <w:szCs w:val="24"/>
              </w:rPr>
              <w:t xml:space="preserve"> requested appropriately.</w:t>
            </w:r>
          </w:p>
          <w:p w14:paraId="5EF7C436"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lang w:eastAsia="en-GB"/>
              </w:rPr>
            </w:pPr>
            <w:r w:rsidRPr="00872938">
              <w:rPr>
                <w:rFonts w:cs="Arial"/>
                <w:sz w:val="24"/>
                <w:szCs w:val="24"/>
                <w:lang w:eastAsia="en-GB"/>
              </w:rPr>
              <w:t>Advice is technically sound and clearly expressed – The supplier adheres to timelines and shows right focus and strikes appropriate balance between covering issues thoroughly and providing unnecessary detail.</w:t>
            </w:r>
          </w:p>
        </w:tc>
        <w:tc>
          <w:tcPr>
            <w:tcW w:w="1653" w:type="dxa"/>
            <w:shd w:val="clear" w:color="auto" w:fill="auto"/>
          </w:tcPr>
          <w:p w14:paraId="622F339E" w14:textId="77777777" w:rsidR="00D67F83" w:rsidRPr="00872938" w:rsidRDefault="00D67F83" w:rsidP="00DB7D75">
            <w:pPr>
              <w:pStyle w:val="Heading2"/>
              <w:numPr>
                <w:ilvl w:val="0"/>
                <w:numId w:val="0"/>
              </w:numPr>
              <w:overflowPunct w:val="0"/>
              <w:autoSpaceDE w:val="0"/>
              <w:autoSpaceDN w:val="0"/>
              <w:textAlignment w:val="baseline"/>
              <w:rPr>
                <w:sz w:val="24"/>
                <w:szCs w:val="24"/>
              </w:rPr>
            </w:pPr>
            <w:r w:rsidRPr="00872938">
              <w:rPr>
                <w:sz w:val="24"/>
                <w:szCs w:val="24"/>
              </w:rPr>
              <w:t>98%</w:t>
            </w:r>
          </w:p>
        </w:tc>
      </w:tr>
      <w:tr w:rsidR="00D67F83" w:rsidRPr="00872938" w14:paraId="20F79DDE" w14:textId="77777777" w:rsidTr="00DB7D75">
        <w:tc>
          <w:tcPr>
            <w:tcW w:w="1124" w:type="dxa"/>
            <w:shd w:val="clear" w:color="auto" w:fill="auto"/>
          </w:tcPr>
          <w:p w14:paraId="60C78412"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Pr>
                <w:rFonts w:cs="Arial"/>
                <w:sz w:val="24"/>
                <w:szCs w:val="24"/>
              </w:rPr>
              <w:t>7</w:t>
            </w:r>
          </w:p>
        </w:tc>
        <w:tc>
          <w:tcPr>
            <w:tcW w:w="1771" w:type="dxa"/>
            <w:shd w:val="clear" w:color="auto" w:fill="auto"/>
          </w:tcPr>
          <w:p w14:paraId="61229535"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rPr>
            </w:pPr>
            <w:r w:rsidRPr="00872938">
              <w:rPr>
                <w:rFonts w:cs="Arial"/>
                <w:sz w:val="24"/>
                <w:szCs w:val="24"/>
              </w:rPr>
              <w:t>Management of the contract</w:t>
            </w:r>
          </w:p>
        </w:tc>
        <w:tc>
          <w:tcPr>
            <w:tcW w:w="3827" w:type="dxa"/>
            <w:shd w:val="clear" w:color="auto" w:fill="auto"/>
          </w:tcPr>
          <w:p w14:paraId="06C2F6F6"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lang w:eastAsia="en-GB"/>
              </w:rPr>
            </w:pPr>
            <w:r w:rsidRPr="00872938">
              <w:rPr>
                <w:rFonts w:cs="Arial"/>
                <w:sz w:val="24"/>
                <w:szCs w:val="24"/>
              </w:rPr>
              <w:t xml:space="preserve">The supplier will put in place, from the start of the contract, a contract management plan and agree with the DfT Thameslink Programme team. This is to provide added assurance of the supplier’s capacity and resources to deliver the requirements within the agreed scope, which should incorporate sound approaches for quality of service and risk management. </w:t>
            </w:r>
          </w:p>
        </w:tc>
        <w:tc>
          <w:tcPr>
            <w:tcW w:w="1653" w:type="dxa"/>
            <w:shd w:val="clear" w:color="auto" w:fill="auto"/>
          </w:tcPr>
          <w:p w14:paraId="0088F3A4" w14:textId="77777777" w:rsidR="00D67F83" w:rsidRPr="00872938" w:rsidRDefault="00D67F83" w:rsidP="00DB7D75">
            <w:pPr>
              <w:pStyle w:val="Heading2"/>
              <w:numPr>
                <w:ilvl w:val="0"/>
                <w:numId w:val="0"/>
              </w:numPr>
              <w:overflowPunct w:val="0"/>
              <w:autoSpaceDE w:val="0"/>
              <w:autoSpaceDN w:val="0"/>
              <w:textAlignment w:val="baseline"/>
              <w:rPr>
                <w:sz w:val="24"/>
                <w:szCs w:val="24"/>
              </w:rPr>
            </w:pPr>
            <w:r w:rsidRPr="00872938">
              <w:rPr>
                <w:sz w:val="24"/>
                <w:szCs w:val="24"/>
              </w:rPr>
              <w:t>98%</w:t>
            </w:r>
          </w:p>
        </w:tc>
      </w:tr>
      <w:tr w:rsidR="00D67F83" w:rsidRPr="00872938" w14:paraId="79C8C767" w14:textId="77777777" w:rsidTr="00DB7D75">
        <w:tc>
          <w:tcPr>
            <w:tcW w:w="1124" w:type="dxa"/>
            <w:shd w:val="clear" w:color="auto" w:fill="auto"/>
          </w:tcPr>
          <w:p w14:paraId="56700578"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Pr>
                <w:rFonts w:cs="Arial"/>
                <w:sz w:val="24"/>
                <w:szCs w:val="24"/>
              </w:rPr>
              <w:t>8</w:t>
            </w:r>
          </w:p>
        </w:tc>
        <w:tc>
          <w:tcPr>
            <w:tcW w:w="1771" w:type="dxa"/>
            <w:shd w:val="clear" w:color="auto" w:fill="auto"/>
          </w:tcPr>
          <w:p w14:paraId="228EBE4D"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rPr>
            </w:pPr>
            <w:r w:rsidRPr="00872938">
              <w:rPr>
                <w:rFonts w:cs="Arial"/>
                <w:sz w:val="24"/>
                <w:szCs w:val="24"/>
              </w:rPr>
              <w:t xml:space="preserve">Value for money </w:t>
            </w:r>
          </w:p>
        </w:tc>
        <w:tc>
          <w:tcPr>
            <w:tcW w:w="3827" w:type="dxa"/>
            <w:shd w:val="clear" w:color="auto" w:fill="auto"/>
          </w:tcPr>
          <w:p w14:paraId="592748C4"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lang w:eastAsia="en-GB"/>
              </w:rPr>
            </w:pPr>
            <w:r w:rsidRPr="00872938">
              <w:rPr>
                <w:rFonts w:cs="Arial"/>
                <w:sz w:val="24"/>
                <w:szCs w:val="24"/>
              </w:rPr>
              <w:t xml:space="preserve">Delivery of the advice to the agreed time, budget and incorporating value for money, </w:t>
            </w:r>
            <w:r w:rsidRPr="00872938">
              <w:rPr>
                <w:rFonts w:cs="Arial"/>
                <w:sz w:val="24"/>
                <w:szCs w:val="24"/>
                <w:lang w:eastAsia="en-GB"/>
              </w:rPr>
              <w:t>which will be measured on the extent to which the benefits - as outlined in the scope of requirement – were delivered.</w:t>
            </w:r>
          </w:p>
        </w:tc>
        <w:tc>
          <w:tcPr>
            <w:tcW w:w="1653" w:type="dxa"/>
            <w:shd w:val="clear" w:color="auto" w:fill="auto"/>
          </w:tcPr>
          <w:p w14:paraId="531F7B44" w14:textId="77777777" w:rsidR="00D67F83" w:rsidRPr="00872938" w:rsidRDefault="00D67F83" w:rsidP="00DB7D75">
            <w:pPr>
              <w:pStyle w:val="Heading2"/>
              <w:numPr>
                <w:ilvl w:val="0"/>
                <w:numId w:val="0"/>
              </w:numPr>
              <w:overflowPunct w:val="0"/>
              <w:autoSpaceDE w:val="0"/>
              <w:autoSpaceDN w:val="0"/>
              <w:textAlignment w:val="baseline"/>
              <w:rPr>
                <w:sz w:val="24"/>
                <w:szCs w:val="24"/>
              </w:rPr>
            </w:pPr>
            <w:r w:rsidRPr="00872938">
              <w:rPr>
                <w:sz w:val="24"/>
                <w:szCs w:val="24"/>
              </w:rPr>
              <w:t>98%</w:t>
            </w:r>
          </w:p>
        </w:tc>
      </w:tr>
      <w:tr w:rsidR="00D67F83" w:rsidRPr="00872938" w14:paraId="41243853" w14:textId="77777777" w:rsidTr="00DB7D75">
        <w:tc>
          <w:tcPr>
            <w:tcW w:w="1124" w:type="dxa"/>
            <w:shd w:val="clear" w:color="auto" w:fill="auto"/>
          </w:tcPr>
          <w:p w14:paraId="2696A33F" w14:textId="77777777" w:rsidR="00D67F83" w:rsidRPr="00872938" w:rsidRDefault="00D67F83" w:rsidP="00DB7D75">
            <w:pPr>
              <w:pStyle w:val="Heading2"/>
              <w:numPr>
                <w:ilvl w:val="0"/>
                <w:numId w:val="0"/>
              </w:numPr>
              <w:overflowPunct w:val="0"/>
              <w:autoSpaceDE w:val="0"/>
              <w:autoSpaceDN w:val="0"/>
              <w:jc w:val="center"/>
              <w:textAlignment w:val="baseline"/>
              <w:rPr>
                <w:rFonts w:cs="Arial"/>
                <w:sz w:val="24"/>
                <w:szCs w:val="24"/>
              </w:rPr>
            </w:pPr>
            <w:r>
              <w:rPr>
                <w:rFonts w:cs="Arial"/>
                <w:sz w:val="24"/>
                <w:szCs w:val="24"/>
              </w:rPr>
              <w:t>9</w:t>
            </w:r>
          </w:p>
        </w:tc>
        <w:tc>
          <w:tcPr>
            <w:tcW w:w="1771" w:type="dxa"/>
            <w:shd w:val="clear" w:color="auto" w:fill="auto"/>
          </w:tcPr>
          <w:p w14:paraId="7C015FDB"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rPr>
            </w:pPr>
            <w:r w:rsidRPr="00872938">
              <w:rPr>
                <w:rFonts w:cs="Arial"/>
                <w:sz w:val="24"/>
                <w:szCs w:val="24"/>
              </w:rPr>
              <w:t xml:space="preserve">Imbedding Knowledge Transfer </w:t>
            </w:r>
          </w:p>
        </w:tc>
        <w:tc>
          <w:tcPr>
            <w:tcW w:w="3827" w:type="dxa"/>
            <w:shd w:val="clear" w:color="auto" w:fill="auto"/>
          </w:tcPr>
          <w:p w14:paraId="5BC748B2" w14:textId="77777777" w:rsidR="00D67F83" w:rsidRPr="00872938" w:rsidRDefault="00D67F83" w:rsidP="00DB7D75">
            <w:pPr>
              <w:pStyle w:val="Heading2"/>
              <w:numPr>
                <w:ilvl w:val="0"/>
                <w:numId w:val="0"/>
              </w:numPr>
              <w:overflowPunct w:val="0"/>
              <w:autoSpaceDE w:val="0"/>
              <w:autoSpaceDN w:val="0"/>
              <w:textAlignment w:val="baseline"/>
              <w:rPr>
                <w:rFonts w:cs="Arial"/>
                <w:sz w:val="24"/>
                <w:szCs w:val="24"/>
              </w:rPr>
            </w:pPr>
            <w:r w:rsidRPr="00872938">
              <w:rPr>
                <w:rFonts w:cs="Arial"/>
                <w:sz w:val="24"/>
                <w:szCs w:val="24"/>
              </w:rPr>
              <w:t xml:space="preserve">It is expected that the supplier will attend knowledge sharing meetings with the DfT Thameslink Programme team, DfT Legal team and or meetings with other similar project leads such as Crossrail, to share their findings and best practices which </w:t>
            </w:r>
            <w:r w:rsidRPr="00872938">
              <w:rPr>
                <w:rFonts w:cs="Arial"/>
                <w:sz w:val="24"/>
                <w:szCs w:val="24"/>
              </w:rPr>
              <w:lastRenderedPageBreak/>
              <w:t>may be useful to the DfT. Meetings will be agreed and arranged with the programme lead approximately every two months or as and when required.</w:t>
            </w:r>
          </w:p>
        </w:tc>
        <w:tc>
          <w:tcPr>
            <w:tcW w:w="1653" w:type="dxa"/>
            <w:shd w:val="clear" w:color="auto" w:fill="auto"/>
          </w:tcPr>
          <w:p w14:paraId="073CC37D" w14:textId="77777777" w:rsidR="00D67F83" w:rsidRPr="00872938" w:rsidRDefault="00D67F83" w:rsidP="00DB7D75">
            <w:pPr>
              <w:pStyle w:val="Heading2"/>
              <w:numPr>
                <w:ilvl w:val="0"/>
                <w:numId w:val="0"/>
              </w:numPr>
              <w:overflowPunct w:val="0"/>
              <w:autoSpaceDE w:val="0"/>
              <w:autoSpaceDN w:val="0"/>
              <w:textAlignment w:val="baseline"/>
              <w:rPr>
                <w:sz w:val="24"/>
                <w:szCs w:val="24"/>
              </w:rPr>
            </w:pPr>
            <w:r w:rsidRPr="00872938">
              <w:rPr>
                <w:sz w:val="24"/>
                <w:szCs w:val="24"/>
              </w:rPr>
              <w:lastRenderedPageBreak/>
              <w:t>70%</w:t>
            </w:r>
          </w:p>
        </w:tc>
      </w:tr>
    </w:tbl>
    <w:p w14:paraId="25919E8C" w14:textId="77777777" w:rsidR="00D67F83" w:rsidRPr="006470C5" w:rsidRDefault="00D67F83" w:rsidP="00D67F83">
      <w:pPr>
        <w:pStyle w:val="Heading2"/>
        <w:numPr>
          <w:ilvl w:val="0"/>
          <w:numId w:val="0"/>
        </w:numPr>
        <w:rPr>
          <w:sz w:val="24"/>
          <w:szCs w:val="24"/>
        </w:rPr>
      </w:pPr>
      <w:bookmarkStart w:id="35" w:name="_Toc368573040"/>
    </w:p>
    <w:p w14:paraId="5E7C24E5" w14:textId="08B3888C" w:rsidR="00D67F83" w:rsidRPr="006470C5" w:rsidRDefault="00D67F83" w:rsidP="0089289C">
      <w:pPr>
        <w:pStyle w:val="Heading1"/>
        <w:keepNext/>
        <w:numPr>
          <w:ilvl w:val="0"/>
          <w:numId w:val="41"/>
        </w:numPr>
        <w:spacing w:after="120"/>
        <w:rPr>
          <w:sz w:val="32"/>
          <w:szCs w:val="32"/>
        </w:rPr>
      </w:pPr>
      <w:bookmarkStart w:id="36" w:name="_Toc10456788"/>
      <w:r w:rsidRPr="00944BBB">
        <w:rPr>
          <w:sz w:val="28"/>
          <w:szCs w:val="32"/>
        </w:rPr>
        <w:t>SECURITY AND CONFIDENTIALITY REQUIREMENTS</w:t>
      </w:r>
      <w:bookmarkEnd w:id="35"/>
      <w:bookmarkEnd w:id="36"/>
    </w:p>
    <w:p w14:paraId="5BA03C55" w14:textId="77777777" w:rsidR="00D67F83" w:rsidRPr="00872938" w:rsidRDefault="00D67F83" w:rsidP="0089289C">
      <w:pPr>
        <w:pStyle w:val="Heading2"/>
        <w:numPr>
          <w:ilvl w:val="1"/>
          <w:numId w:val="41"/>
        </w:numPr>
        <w:spacing w:after="0"/>
        <w:ind w:left="709" w:hanging="709"/>
        <w:rPr>
          <w:sz w:val="24"/>
          <w:szCs w:val="24"/>
        </w:rPr>
      </w:pPr>
      <w:r w:rsidRPr="00872938">
        <w:rPr>
          <w:sz w:val="24"/>
          <w:szCs w:val="24"/>
        </w:rPr>
        <w:t xml:space="preserve">In line with the DfT’s security procedures all staff that form part of the proposed team and will have regular access to or will be based at the DfT’s premises must have complied with the DfT’s Baseline Personnel Security Standard (BPSS) which can be found in the link at: </w:t>
      </w:r>
    </w:p>
    <w:p w14:paraId="2D376C3C" w14:textId="77777777" w:rsidR="00D67F83" w:rsidRPr="00872938" w:rsidRDefault="006B1368" w:rsidP="00D67F83">
      <w:pPr>
        <w:pStyle w:val="Heading2"/>
        <w:numPr>
          <w:ilvl w:val="0"/>
          <w:numId w:val="0"/>
        </w:numPr>
        <w:spacing w:after="0"/>
        <w:ind w:left="709"/>
        <w:rPr>
          <w:sz w:val="24"/>
          <w:szCs w:val="24"/>
        </w:rPr>
      </w:pPr>
      <w:hyperlink r:id="rId10" w:history="1">
        <w:r w:rsidR="00D67F83" w:rsidRPr="00872938">
          <w:rPr>
            <w:rStyle w:val="Hyperlink"/>
            <w:sz w:val="24"/>
            <w:szCs w:val="24"/>
          </w:rPr>
          <w:t>https://www.gov.uk/governemnt/publications/security-policy-framework</w:t>
        </w:r>
      </w:hyperlink>
      <w:r w:rsidR="00D67F83" w:rsidRPr="00872938">
        <w:rPr>
          <w:sz w:val="24"/>
          <w:szCs w:val="24"/>
        </w:rPr>
        <w:t xml:space="preserve"> </w:t>
      </w:r>
    </w:p>
    <w:p w14:paraId="42400E17" w14:textId="77777777" w:rsidR="00D67F83" w:rsidRPr="00872938" w:rsidRDefault="00D67F83" w:rsidP="00D67F83">
      <w:pPr>
        <w:pStyle w:val="Heading2"/>
        <w:numPr>
          <w:ilvl w:val="0"/>
          <w:numId w:val="0"/>
        </w:numPr>
        <w:spacing w:after="0"/>
        <w:ind w:left="720" w:hanging="720"/>
        <w:rPr>
          <w:sz w:val="24"/>
          <w:szCs w:val="24"/>
        </w:rPr>
      </w:pPr>
    </w:p>
    <w:p w14:paraId="2E696F75" w14:textId="77777777" w:rsidR="00D67F83" w:rsidRPr="0067623B" w:rsidRDefault="00D67F83" w:rsidP="0089289C">
      <w:pPr>
        <w:pStyle w:val="Heading2"/>
        <w:numPr>
          <w:ilvl w:val="1"/>
          <w:numId w:val="41"/>
        </w:numPr>
        <w:rPr>
          <w:sz w:val="24"/>
          <w:szCs w:val="24"/>
        </w:rPr>
      </w:pPr>
      <w:r w:rsidRPr="00872938">
        <w:t xml:space="preserve">The Potential Provider will be expected to take all appropriate measures to ensure that confidential or sensitive material is not disclosed, in accordance with the provisions of Government Procurement legal services </w:t>
      </w:r>
      <w:r>
        <w:t xml:space="preserve">panel - </w:t>
      </w:r>
      <w:r w:rsidRPr="00872938">
        <w:t>RM3756 – Rail Legal Services.</w:t>
      </w:r>
    </w:p>
    <w:p w14:paraId="1DE5B2F3" w14:textId="64E46C5E" w:rsidR="00D67F83" w:rsidRPr="00944BBB" w:rsidRDefault="00D67F83" w:rsidP="0089289C">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32"/>
        </w:rPr>
      </w:pPr>
      <w:bookmarkStart w:id="37" w:name="_Toc10456789"/>
      <w:bookmarkStart w:id="38" w:name="_Toc368573042"/>
      <w:r w:rsidRPr="00944BBB">
        <w:rPr>
          <w:rFonts w:cs="Arial"/>
          <w:sz w:val="28"/>
          <w:szCs w:val="32"/>
        </w:rPr>
        <w:t>PAYMENT AND INVOICING</w:t>
      </w:r>
      <w:bookmarkEnd w:id="37"/>
      <w:r w:rsidRPr="00944BBB">
        <w:rPr>
          <w:rFonts w:cs="Arial"/>
          <w:sz w:val="28"/>
          <w:szCs w:val="32"/>
        </w:rPr>
        <w:t xml:space="preserve"> </w:t>
      </w:r>
    </w:p>
    <w:p w14:paraId="100EC6C8" w14:textId="77777777" w:rsidR="00D67F83" w:rsidRPr="00872938" w:rsidRDefault="00D67F83" w:rsidP="0089289C">
      <w:pPr>
        <w:pStyle w:val="Heading2"/>
        <w:numPr>
          <w:ilvl w:val="1"/>
          <w:numId w:val="41"/>
        </w:numPr>
        <w:rPr>
          <w:sz w:val="24"/>
          <w:szCs w:val="24"/>
        </w:rPr>
      </w:pPr>
      <w:r w:rsidRPr="00872938">
        <w:rPr>
          <w:rFonts w:cs="Arial"/>
          <w:color w:val="000000"/>
          <w:sz w:val="24"/>
          <w:szCs w:val="24"/>
          <w:shd w:val="clear" w:color="auto" w:fill="FFFFFF"/>
        </w:rPr>
        <w:t xml:space="preserve">Payment can only be made following satisfactory delivery of pre-agreed certified products and deliverables. </w:t>
      </w:r>
    </w:p>
    <w:p w14:paraId="21ECAA78" w14:textId="77777777" w:rsidR="00D67F83" w:rsidRPr="00872938" w:rsidRDefault="00D67F83" w:rsidP="0089289C">
      <w:pPr>
        <w:pStyle w:val="Heading2"/>
        <w:numPr>
          <w:ilvl w:val="1"/>
          <w:numId w:val="41"/>
        </w:numPr>
        <w:rPr>
          <w:sz w:val="24"/>
          <w:szCs w:val="24"/>
        </w:rPr>
      </w:pPr>
      <w:r w:rsidRPr="00872938">
        <w:rPr>
          <w:rFonts w:cs="Arial"/>
          <w:color w:val="000000"/>
          <w:sz w:val="24"/>
          <w:szCs w:val="24"/>
          <w:shd w:val="clear" w:color="auto" w:fill="FFFFFF"/>
        </w:rPr>
        <w:t xml:space="preserve">Before payment can be considered, each invoice must include a detailed elemental breakdown of work completed and the associated costs. </w:t>
      </w:r>
    </w:p>
    <w:p w14:paraId="0F547FD5" w14:textId="77777777" w:rsidR="00D67F83" w:rsidRPr="00872938" w:rsidRDefault="00D67F83" w:rsidP="0089289C">
      <w:pPr>
        <w:pStyle w:val="Heading2"/>
        <w:numPr>
          <w:ilvl w:val="1"/>
          <w:numId w:val="41"/>
        </w:numPr>
        <w:rPr>
          <w:sz w:val="24"/>
          <w:szCs w:val="24"/>
        </w:rPr>
      </w:pPr>
      <w:r w:rsidRPr="00872938">
        <w:rPr>
          <w:sz w:val="24"/>
          <w:szCs w:val="24"/>
        </w:rPr>
        <w:t xml:space="preserve">Please note that the call off budget for this requirement </w:t>
      </w:r>
      <w:r>
        <w:rPr>
          <w:sz w:val="24"/>
          <w:szCs w:val="24"/>
        </w:rPr>
        <w:t>will</w:t>
      </w:r>
      <w:r w:rsidRPr="00872938">
        <w:rPr>
          <w:sz w:val="24"/>
          <w:szCs w:val="24"/>
        </w:rPr>
        <w:t xml:space="preserve"> not to exceed £</w:t>
      </w:r>
      <w:r w:rsidRPr="00872938">
        <w:rPr>
          <w:b/>
          <w:bCs/>
          <w:sz w:val="24"/>
          <w:szCs w:val="24"/>
        </w:rPr>
        <w:t>110,00 (excluding VAT).</w:t>
      </w:r>
    </w:p>
    <w:p w14:paraId="37B8D7BC" w14:textId="77777777" w:rsidR="00D67F83" w:rsidRPr="00872938" w:rsidRDefault="00D67F83" w:rsidP="0089289C">
      <w:pPr>
        <w:pStyle w:val="Heading2"/>
        <w:numPr>
          <w:ilvl w:val="1"/>
          <w:numId w:val="41"/>
        </w:numPr>
        <w:rPr>
          <w:sz w:val="24"/>
          <w:szCs w:val="24"/>
        </w:rPr>
      </w:pPr>
      <w:r w:rsidRPr="00872938">
        <w:rPr>
          <w:sz w:val="24"/>
          <w:szCs w:val="24"/>
        </w:rPr>
        <w:t xml:space="preserve">Approved timesheets should be submitted with draft invoices on a monthly basis to the Thameslink Programme Director and copied to the Programme Management Office. Draft invoices should be accompanied by a timesheet which shows the statutory cost against key individuals and the work streams they have worked on for that period. It is also expected that the Potential Provider will include a comparison of actual costs to date with the estimate and the forecast cost to completion.   Once a DfT ‘Goods Received Notice’ (GRN) has been produced DfT will confirm that the invoice may be submitted for payment. </w:t>
      </w:r>
    </w:p>
    <w:p w14:paraId="49391A78" w14:textId="77777777" w:rsidR="00D67F83" w:rsidRPr="00872938" w:rsidRDefault="00D67F83" w:rsidP="0089289C">
      <w:pPr>
        <w:pStyle w:val="Heading2"/>
        <w:numPr>
          <w:ilvl w:val="1"/>
          <w:numId w:val="41"/>
        </w:numPr>
        <w:jc w:val="left"/>
        <w:rPr>
          <w:sz w:val="24"/>
          <w:szCs w:val="24"/>
        </w:rPr>
      </w:pPr>
      <w:r w:rsidRPr="00872938">
        <w:rPr>
          <w:sz w:val="24"/>
          <w:szCs w:val="24"/>
        </w:rPr>
        <w:t>All approved invoices must be submitted to the DfT Shared Services Centre. Invoices must include the Purchase Order number provided by the DfT at contract start. Invoices should be submitted to:</w:t>
      </w:r>
    </w:p>
    <w:p w14:paraId="2EB938E6" w14:textId="77777777" w:rsidR="00D67F83" w:rsidRPr="00872938" w:rsidRDefault="00D67F83" w:rsidP="00D67F83">
      <w:pPr>
        <w:ind w:left="720"/>
        <w:rPr>
          <w:sz w:val="24"/>
        </w:rPr>
      </w:pPr>
      <w:r w:rsidRPr="00872938">
        <w:rPr>
          <w:sz w:val="24"/>
        </w:rPr>
        <w:t>Shared Service Arvato</w:t>
      </w:r>
    </w:p>
    <w:p w14:paraId="12C89817" w14:textId="77777777" w:rsidR="00D67F83" w:rsidRPr="00872938" w:rsidRDefault="00D67F83" w:rsidP="00D67F83">
      <w:pPr>
        <w:ind w:left="720"/>
        <w:rPr>
          <w:sz w:val="24"/>
        </w:rPr>
      </w:pPr>
      <w:r w:rsidRPr="00872938">
        <w:rPr>
          <w:sz w:val="24"/>
        </w:rPr>
        <w:t>5 Sandringham Park</w:t>
      </w:r>
    </w:p>
    <w:p w14:paraId="347F573D" w14:textId="77777777" w:rsidR="00D67F83" w:rsidRPr="00872938" w:rsidRDefault="00D67F83" w:rsidP="00D67F83">
      <w:pPr>
        <w:ind w:left="720"/>
        <w:rPr>
          <w:sz w:val="24"/>
        </w:rPr>
      </w:pPr>
      <w:r w:rsidRPr="00872938">
        <w:rPr>
          <w:sz w:val="24"/>
        </w:rPr>
        <w:t>Swansea Vale</w:t>
      </w:r>
    </w:p>
    <w:p w14:paraId="58D213BC" w14:textId="20545FBF" w:rsidR="00D67F83" w:rsidRPr="00944BBB" w:rsidRDefault="00D67F83" w:rsidP="00944BBB">
      <w:pPr>
        <w:ind w:left="720"/>
        <w:rPr>
          <w:sz w:val="24"/>
        </w:rPr>
      </w:pPr>
      <w:r w:rsidRPr="00872938">
        <w:rPr>
          <w:sz w:val="24"/>
        </w:rPr>
        <w:lastRenderedPageBreak/>
        <w:t>Swansea SA7 0EA</w:t>
      </w:r>
      <w:bookmarkEnd w:id="38"/>
    </w:p>
    <w:p w14:paraId="0E4BE6EC" w14:textId="77777777" w:rsidR="00D67F83" w:rsidRPr="00944BBB" w:rsidRDefault="00D67F83" w:rsidP="0089289C">
      <w:pPr>
        <w:pStyle w:val="Heading1"/>
        <w:keepNext/>
        <w:numPr>
          <w:ilvl w:val="0"/>
          <w:numId w:val="41"/>
        </w:numPr>
        <w:tabs>
          <w:tab w:val="clear" w:pos="720"/>
          <w:tab w:val="num" w:pos="0"/>
        </w:tabs>
        <w:overflowPunct w:val="0"/>
        <w:autoSpaceDE w:val="0"/>
        <w:autoSpaceDN w:val="0"/>
        <w:spacing w:after="120"/>
        <w:ind w:left="709" w:hanging="709"/>
        <w:textAlignment w:val="baseline"/>
        <w:rPr>
          <w:rFonts w:cs="Arial"/>
          <w:sz w:val="28"/>
          <w:szCs w:val="32"/>
        </w:rPr>
      </w:pPr>
      <w:bookmarkStart w:id="39" w:name="_Toc522714851"/>
      <w:bookmarkStart w:id="40" w:name="_Toc10456790"/>
      <w:bookmarkStart w:id="41" w:name="_Toc368573043"/>
      <w:bookmarkEnd w:id="20"/>
      <w:r w:rsidRPr="00944BBB">
        <w:rPr>
          <w:rFonts w:cs="Arial"/>
          <w:sz w:val="28"/>
          <w:szCs w:val="32"/>
        </w:rPr>
        <w:t>CONTRACT MANAGEMENT</w:t>
      </w:r>
      <w:bookmarkEnd w:id="39"/>
      <w:bookmarkEnd w:id="40"/>
      <w:r w:rsidRPr="00944BBB">
        <w:rPr>
          <w:rFonts w:cs="Arial"/>
          <w:sz w:val="28"/>
          <w:szCs w:val="32"/>
        </w:rPr>
        <w:t xml:space="preserve"> </w:t>
      </w:r>
    </w:p>
    <w:p w14:paraId="78CD3F6D" w14:textId="7A842365" w:rsidR="00D67F83" w:rsidRPr="00944BBB" w:rsidRDefault="00D67F83" w:rsidP="00944BBB">
      <w:pPr>
        <w:pStyle w:val="Heading2"/>
        <w:numPr>
          <w:ilvl w:val="1"/>
          <w:numId w:val="41"/>
        </w:numPr>
        <w:spacing w:after="120"/>
        <w:ind w:left="709" w:hanging="709"/>
        <w:rPr>
          <w:sz w:val="24"/>
          <w:szCs w:val="24"/>
        </w:rPr>
      </w:pPr>
      <w:r w:rsidRPr="009106C8">
        <w:rPr>
          <w:sz w:val="24"/>
          <w:szCs w:val="24"/>
        </w:rPr>
        <w:t>Attendance at Contract Review meetings shall be at the Supplier’s own expense.</w:t>
      </w:r>
    </w:p>
    <w:p w14:paraId="75073474" w14:textId="6710DFE4" w:rsidR="00D67F83" w:rsidRPr="00944BBB" w:rsidRDefault="00D67F83" w:rsidP="0089289C">
      <w:pPr>
        <w:pStyle w:val="Heading1"/>
        <w:keepNext/>
        <w:numPr>
          <w:ilvl w:val="0"/>
          <w:numId w:val="41"/>
        </w:numPr>
        <w:spacing w:after="120"/>
        <w:rPr>
          <w:sz w:val="28"/>
          <w:szCs w:val="32"/>
        </w:rPr>
      </w:pPr>
      <w:bookmarkStart w:id="42" w:name="_Toc10456791"/>
      <w:r w:rsidRPr="00944BBB">
        <w:rPr>
          <w:sz w:val="28"/>
          <w:szCs w:val="32"/>
        </w:rPr>
        <w:t>LOCATION</w:t>
      </w:r>
      <w:bookmarkEnd w:id="41"/>
      <w:bookmarkEnd w:id="42"/>
      <w:r w:rsidRPr="00944BBB">
        <w:rPr>
          <w:sz w:val="28"/>
          <w:szCs w:val="32"/>
        </w:rPr>
        <w:t xml:space="preserve"> </w:t>
      </w:r>
    </w:p>
    <w:p w14:paraId="307429B9" w14:textId="77777777" w:rsidR="00D67F83" w:rsidRPr="00A74FE3" w:rsidRDefault="00D67F83" w:rsidP="0089289C">
      <w:pPr>
        <w:pStyle w:val="Heading2"/>
        <w:numPr>
          <w:ilvl w:val="1"/>
          <w:numId w:val="41"/>
        </w:numPr>
      </w:pPr>
      <w:r w:rsidRPr="00872938">
        <w:t>The Potential Provider will not be required to reside at the DfT’s office location. However, the Potential Provider will be required to attend occasional meetings at DfT offices in London (Great Minster House, 33 Horseferry Road, London, SW1P 4DR) and at other parties (Siemens or XLT) main offices in London.</w:t>
      </w:r>
    </w:p>
    <w:p w14:paraId="31ADEFEE" w14:textId="399B81F5" w:rsidR="004B03D0" w:rsidRDefault="004B03D0" w:rsidP="00D40F55">
      <w:pPr>
        <w:pStyle w:val="MarginText"/>
        <w:spacing w:before="120" w:after="120"/>
        <w:rPr>
          <w:rFonts w:cs="Arial"/>
          <w:b/>
          <w:szCs w:val="22"/>
        </w:rPr>
      </w:pPr>
    </w:p>
    <w:p w14:paraId="45B13B5D" w14:textId="472220D8" w:rsidR="00D67F83" w:rsidRDefault="00D67F83" w:rsidP="00D67F83">
      <w:pPr>
        <w:pStyle w:val="MarginText"/>
        <w:spacing w:before="120" w:after="120"/>
        <w:jc w:val="center"/>
        <w:rPr>
          <w:rFonts w:cs="Arial"/>
          <w:b/>
          <w:szCs w:val="22"/>
        </w:rPr>
      </w:pPr>
    </w:p>
    <w:p w14:paraId="1626699C" w14:textId="5BE8A1B7" w:rsidR="00D67F83" w:rsidRDefault="00D67F83" w:rsidP="00D67F83">
      <w:pPr>
        <w:pStyle w:val="MarginText"/>
        <w:spacing w:before="120" w:after="120"/>
        <w:jc w:val="center"/>
        <w:rPr>
          <w:rFonts w:cs="Arial"/>
          <w:b/>
          <w:szCs w:val="22"/>
        </w:rPr>
      </w:pPr>
      <w:r>
        <w:rPr>
          <w:rFonts w:cs="Arial"/>
          <w:b/>
          <w:szCs w:val="22"/>
        </w:rPr>
        <w:t>SECTION D</w:t>
      </w:r>
    </w:p>
    <w:p w14:paraId="50601B37" w14:textId="079A6D67" w:rsidR="00D67F83" w:rsidRDefault="00D67F83" w:rsidP="00D67F83">
      <w:pPr>
        <w:pStyle w:val="MarginText"/>
        <w:spacing w:before="120" w:after="120"/>
        <w:jc w:val="center"/>
        <w:rPr>
          <w:rFonts w:cs="Arial"/>
          <w:b/>
          <w:szCs w:val="22"/>
        </w:rPr>
      </w:pPr>
    </w:p>
    <w:p w14:paraId="4A63C94E" w14:textId="346A1A42" w:rsidR="00D67F83" w:rsidRDefault="00D67F83" w:rsidP="00D67F83">
      <w:pPr>
        <w:pStyle w:val="MarginText"/>
        <w:spacing w:before="120" w:after="120"/>
        <w:jc w:val="center"/>
        <w:rPr>
          <w:rFonts w:cs="Arial"/>
          <w:b/>
          <w:szCs w:val="22"/>
        </w:rPr>
      </w:pPr>
      <w:r>
        <w:rPr>
          <w:rFonts w:cs="Arial"/>
          <w:b/>
          <w:szCs w:val="22"/>
        </w:rPr>
        <w:t xml:space="preserve">SUPPLIER RESPONSE </w:t>
      </w:r>
    </w:p>
    <w:p w14:paraId="657E1F8E" w14:textId="59D186F9" w:rsidR="00D67F83" w:rsidRDefault="00D67F83" w:rsidP="00D67F83">
      <w:pPr>
        <w:pStyle w:val="MarginText"/>
        <w:spacing w:before="120" w:after="120"/>
        <w:jc w:val="center"/>
        <w:rPr>
          <w:rFonts w:cs="Arial"/>
          <w:b/>
          <w:szCs w:val="22"/>
        </w:rPr>
      </w:pPr>
    </w:p>
    <w:p w14:paraId="5633F691" w14:textId="67257CAA" w:rsidR="00D67F83" w:rsidRDefault="00D67F83" w:rsidP="00D67F83">
      <w:pPr>
        <w:pStyle w:val="MarginText"/>
        <w:spacing w:before="120" w:after="120"/>
        <w:jc w:val="center"/>
        <w:rPr>
          <w:rFonts w:cs="Arial"/>
          <w:b/>
          <w:szCs w:val="22"/>
        </w:rPr>
      </w:pPr>
    </w:p>
    <w:p w14:paraId="45201F0A" w14:textId="2FF0FA04" w:rsidR="00D67F83" w:rsidRDefault="00D67F83" w:rsidP="00D67F83">
      <w:pPr>
        <w:pStyle w:val="MarginText"/>
        <w:spacing w:before="120" w:after="120"/>
        <w:jc w:val="left"/>
        <w:rPr>
          <w:rFonts w:cs="Arial"/>
          <w:b/>
          <w:szCs w:val="22"/>
        </w:rPr>
      </w:pPr>
    </w:p>
    <w:p w14:paraId="4AB44884" w14:textId="72FB4014" w:rsidR="00D67F83" w:rsidRDefault="00D67F83" w:rsidP="00D67F83">
      <w:pPr>
        <w:pStyle w:val="MarginText"/>
        <w:spacing w:before="120" w:after="120"/>
        <w:jc w:val="left"/>
        <w:rPr>
          <w:rFonts w:cs="Arial"/>
          <w:b/>
          <w:szCs w:val="22"/>
        </w:rPr>
      </w:pPr>
    </w:p>
    <w:p w14:paraId="2BD646F6" w14:textId="580FFEBC" w:rsidR="00D67F83" w:rsidRDefault="00D67F83" w:rsidP="00D67F83">
      <w:pPr>
        <w:pStyle w:val="MarginText"/>
        <w:spacing w:before="120" w:after="120"/>
        <w:jc w:val="left"/>
        <w:rPr>
          <w:rFonts w:cs="Arial"/>
          <w:b/>
          <w:szCs w:val="22"/>
        </w:rPr>
      </w:pPr>
    </w:p>
    <w:p w14:paraId="78AC513A" w14:textId="38854B54" w:rsidR="00D67F83" w:rsidRDefault="00D67F83" w:rsidP="00D67F83">
      <w:pPr>
        <w:pStyle w:val="MarginText"/>
        <w:spacing w:before="120" w:after="120"/>
        <w:jc w:val="left"/>
        <w:rPr>
          <w:rFonts w:cs="Arial"/>
          <w:b/>
          <w:szCs w:val="22"/>
        </w:rPr>
      </w:pPr>
    </w:p>
    <w:p w14:paraId="6CA7AD41" w14:textId="761B4D42" w:rsidR="00D67F83" w:rsidRDefault="00D67F83" w:rsidP="00D67F83">
      <w:pPr>
        <w:pStyle w:val="MarginText"/>
        <w:spacing w:before="120" w:after="120"/>
        <w:jc w:val="left"/>
        <w:rPr>
          <w:rFonts w:cs="Arial"/>
          <w:b/>
          <w:szCs w:val="22"/>
        </w:rPr>
      </w:pPr>
    </w:p>
    <w:p w14:paraId="106FE546" w14:textId="3011FC21" w:rsidR="00D67F83" w:rsidRDefault="00D67F83" w:rsidP="00D67F83">
      <w:pPr>
        <w:pStyle w:val="MarginText"/>
        <w:spacing w:before="120" w:after="120"/>
        <w:jc w:val="left"/>
        <w:rPr>
          <w:rFonts w:cs="Arial"/>
          <w:b/>
          <w:szCs w:val="22"/>
        </w:rPr>
      </w:pPr>
    </w:p>
    <w:p w14:paraId="3D025488" w14:textId="36E78BC2" w:rsidR="00D67F83" w:rsidRDefault="00D67F83" w:rsidP="00D67F83">
      <w:pPr>
        <w:pStyle w:val="MarginText"/>
        <w:spacing w:before="120" w:after="120"/>
        <w:jc w:val="left"/>
        <w:rPr>
          <w:rFonts w:cs="Arial"/>
          <w:b/>
          <w:szCs w:val="22"/>
        </w:rPr>
      </w:pPr>
    </w:p>
    <w:p w14:paraId="6BE95AD4" w14:textId="7C62C5AB" w:rsidR="00D67F83" w:rsidRDefault="00D67F83" w:rsidP="00D67F83">
      <w:pPr>
        <w:pStyle w:val="MarginText"/>
        <w:spacing w:before="120" w:after="120"/>
        <w:jc w:val="left"/>
        <w:rPr>
          <w:rFonts w:cs="Arial"/>
          <w:b/>
          <w:szCs w:val="22"/>
        </w:rPr>
      </w:pPr>
    </w:p>
    <w:p w14:paraId="74462362" w14:textId="657E0DAE" w:rsidR="00D67F83" w:rsidRDefault="00D67F83" w:rsidP="00D67F83">
      <w:pPr>
        <w:pStyle w:val="MarginText"/>
        <w:spacing w:before="120" w:after="120"/>
        <w:jc w:val="left"/>
        <w:rPr>
          <w:rFonts w:cs="Arial"/>
          <w:b/>
          <w:szCs w:val="22"/>
        </w:rPr>
      </w:pPr>
    </w:p>
    <w:p w14:paraId="2FDFC60C" w14:textId="192821D9" w:rsidR="00D67F83" w:rsidRDefault="00D67F83" w:rsidP="00D67F83">
      <w:pPr>
        <w:pStyle w:val="MarginText"/>
        <w:spacing w:before="120" w:after="120"/>
        <w:jc w:val="left"/>
        <w:rPr>
          <w:rFonts w:cs="Arial"/>
          <w:b/>
          <w:szCs w:val="22"/>
        </w:rPr>
      </w:pPr>
    </w:p>
    <w:p w14:paraId="33A74891" w14:textId="04CE1B96" w:rsidR="00D67F83" w:rsidRDefault="00D67F83" w:rsidP="00D67F83">
      <w:pPr>
        <w:pStyle w:val="MarginText"/>
        <w:spacing w:before="120" w:after="120"/>
        <w:jc w:val="left"/>
        <w:rPr>
          <w:rFonts w:cs="Arial"/>
          <w:b/>
          <w:szCs w:val="22"/>
        </w:rPr>
      </w:pPr>
    </w:p>
    <w:p w14:paraId="7204F9D1" w14:textId="4435B913" w:rsidR="00D67F83" w:rsidRDefault="00D67F83" w:rsidP="00D67F83">
      <w:pPr>
        <w:pStyle w:val="MarginText"/>
        <w:spacing w:before="120" w:after="120"/>
        <w:jc w:val="left"/>
        <w:rPr>
          <w:rFonts w:cs="Arial"/>
          <w:b/>
          <w:szCs w:val="22"/>
        </w:rPr>
      </w:pPr>
    </w:p>
    <w:p w14:paraId="5C09DD40" w14:textId="482E5209" w:rsidR="00D67F83" w:rsidRDefault="00D67F83" w:rsidP="00D67F83">
      <w:pPr>
        <w:pStyle w:val="MarginText"/>
        <w:spacing w:before="120" w:after="120"/>
        <w:jc w:val="left"/>
        <w:rPr>
          <w:rFonts w:cs="Arial"/>
          <w:b/>
          <w:szCs w:val="22"/>
        </w:rPr>
      </w:pPr>
    </w:p>
    <w:p w14:paraId="340DF1CC" w14:textId="46AB05F5" w:rsidR="00D67F83" w:rsidRDefault="00D67F83" w:rsidP="00D67F83">
      <w:pPr>
        <w:pStyle w:val="MarginText"/>
        <w:spacing w:before="120" w:after="120"/>
        <w:jc w:val="left"/>
        <w:rPr>
          <w:rFonts w:cs="Arial"/>
          <w:b/>
          <w:szCs w:val="22"/>
        </w:rPr>
      </w:pPr>
    </w:p>
    <w:p w14:paraId="2A105A5A" w14:textId="6842BB99" w:rsidR="00D67F83" w:rsidRDefault="00D67F83" w:rsidP="00D67F83">
      <w:pPr>
        <w:pStyle w:val="MarginText"/>
        <w:spacing w:before="120" w:after="120"/>
        <w:jc w:val="left"/>
        <w:rPr>
          <w:rFonts w:cs="Arial"/>
          <w:b/>
          <w:szCs w:val="22"/>
        </w:rPr>
      </w:pPr>
    </w:p>
    <w:p w14:paraId="6323C375" w14:textId="2073D1C8" w:rsidR="00D67F83" w:rsidRDefault="00D67F83" w:rsidP="00D67F83">
      <w:pPr>
        <w:pStyle w:val="MarginText"/>
        <w:spacing w:before="120" w:after="120"/>
        <w:jc w:val="left"/>
        <w:rPr>
          <w:rFonts w:cs="Arial"/>
          <w:b/>
          <w:szCs w:val="22"/>
        </w:rPr>
      </w:pPr>
    </w:p>
    <w:p w14:paraId="1643995C" w14:textId="70AF7BAC" w:rsidR="00D67F83" w:rsidRDefault="00D67F83" w:rsidP="00D67F83">
      <w:pPr>
        <w:pStyle w:val="MarginText"/>
        <w:spacing w:before="120" w:after="120"/>
        <w:jc w:val="left"/>
        <w:rPr>
          <w:rFonts w:cs="Arial"/>
          <w:b/>
          <w:szCs w:val="22"/>
        </w:rPr>
      </w:pPr>
    </w:p>
    <w:p w14:paraId="17286641" w14:textId="1098A43A" w:rsidR="00D67F83" w:rsidRDefault="00D67F83" w:rsidP="00D67F83">
      <w:pPr>
        <w:pStyle w:val="MarginText"/>
        <w:spacing w:before="120" w:after="120"/>
        <w:jc w:val="left"/>
        <w:rPr>
          <w:rFonts w:cs="Arial"/>
          <w:b/>
          <w:szCs w:val="22"/>
        </w:rPr>
      </w:pPr>
    </w:p>
    <w:p w14:paraId="4AE0FDCA" w14:textId="4D7BE65E" w:rsidR="00D67F83" w:rsidRDefault="00D67F83" w:rsidP="00D67F83">
      <w:pPr>
        <w:pStyle w:val="MarginText"/>
        <w:spacing w:before="120" w:after="120"/>
        <w:jc w:val="left"/>
        <w:rPr>
          <w:rFonts w:cs="Arial"/>
          <w:b/>
          <w:szCs w:val="22"/>
        </w:rPr>
      </w:pPr>
    </w:p>
    <w:p w14:paraId="25418449" w14:textId="27C7A33B" w:rsidR="00D67F83" w:rsidRDefault="00D67F83" w:rsidP="00D67F83">
      <w:pPr>
        <w:pStyle w:val="MarginText"/>
        <w:spacing w:before="120" w:after="120"/>
        <w:jc w:val="left"/>
        <w:rPr>
          <w:rFonts w:cs="Arial"/>
          <w:b/>
          <w:szCs w:val="22"/>
        </w:rPr>
      </w:pPr>
    </w:p>
    <w:p w14:paraId="30CDE799" w14:textId="7EF6B5E8" w:rsidR="00D67F83" w:rsidRDefault="00D67F83" w:rsidP="00D67F83">
      <w:pPr>
        <w:pStyle w:val="MarginText"/>
        <w:spacing w:before="120" w:after="120"/>
        <w:jc w:val="left"/>
        <w:rPr>
          <w:rFonts w:cs="Arial"/>
          <w:b/>
          <w:szCs w:val="22"/>
        </w:rPr>
      </w:pPr>
    </w:p>
    <w:p w14:paraId="59AD79F2" w14:textId="249050D1" w:rsidR="00D67F83" w:rsidRDefault="00D67F83" w:rsidP="00D67F83">
      <w:pPr>
        <w:pStyle w:val="MarginText"/>
        <w:spacing w:before="120" w:after="120"/>
        <w:jc w:val="left"/>
        <w:rPr>
          <w:rFonts w:cs="Arial"/>
          <w:b/>
          <w:szCs w:val="22"/>
        </w:rPr>
      </w:pPr>
    </w:p>
    <w:p w14:paraId="4F7926DC" w14:textId="3779E9A5" w:rsidR="00D67F83" w:rsidRDefault="00D67F83" w:rsidP="00D67F83">
      <w:pPr>
        <w:pStyle w:val="MarginText"/>
        <w:spacing w:before="120" w:after="120"/>
        <w:jc w:val="left"/>
        <w:rPr>
          <w:rFonts w:cs="Arial"/>
          <w:b/>
          <w:szCs w:val="22"/>
        </w:rPr>
      </w:pPr>
    </w:p>
    <w:p w14:paraId="5B0542E5" w14:textId="7838E7E8" w:rsidR="00D67F83" w:rsidRDefault="00D67F83" w:rsidP="00D67F83">
      <w:pPr>
        <w:pStyle w:val="MarginText"/>
        <w:spacing w:before="120" w:after="120"/>
        <w:jc w:val="left"/>
        <w:rPr>
          <w:rFonts w:cs="Arial"/>
          <w:b/>
          <w:szCs w:val="22"/>
        </w:rPr>
      </w:pPr>
    </w:p>
    <w:p w14:paraId="3A25A897" w14:textId="1A9EE015" w:rsidR="00D67F83" w:rsidRDefault="00D67F83" w:rsidP="00D67F83">
      <w:pPr>
        <w:pStyle w:val="MarginText"/>
        <w:spacing w:before="120" w:after="120"/>
        <w:jc w:val="left"/>
        <w:rPr>
          <w:rFonts w:cs="Arial"/>
          <w:b/>
          <w:szCs w:val="22"/>
        </w:rPr>
      </w:pPr>
    </w:p>
    <w:p w14:paraId="5C073F53" w14:textId="15F85259" w:rsidR="00D67F83" w:rsidRDefault="00D67F83" w:rsidP="00D67F83">
      <w:pPr>
        <w:pStyle w:val="MarginText"/>
        <w:spacing w:before="120" w:after="120"/>
        <w:jc w:val="left"/>
        <w:rPr>
          <w:rFonts w:cs="Arial"/>
          <w:b/>
          <w:szCs w:val="22"/>
        </w:rPr>
      </w:pPr>
    </w:p>
    <w:p w14:paraId="727BDF6B" w14:textId="3840C4A0" w:rsidR="00D67F83" w:rsidRDefault="00D67F83" w:rsidP="00D67F83">
      <w:pPr>
        <w:pStyle w:val="MarginText"/>
        <w:spacing w:before="120" w:after="120"/>
        <w:jc w:val="left"/>
        <w:rPr>
          <w:rFonts w:cs="Arial"/>
          <w:b/>
          <w:szCs w:val="22"/>
        </w:rPr>
      </w:pPr>
    </w:p>
    <w:p w14:paraId="27C3EF77" w14:textId="4718DA54" w:rsidR="00D67F83" w:rsidRDefault="00D67F83" w:rsidP="00D67F83">
      <w:pPr>
        <w:pStyle w:val="MarginText"/>
        <w:spacing w:before="120" w:after="120"/>
        <w:jc w:val="left"/>
        <w:rPr>
          <w:rFonts w:cs="Arial"/>
          <w:b/>
          <w:szCs w:val="22"/>
        </w:rPr>
      </w:pPr>
    </w:p>
    <w:p w14:paraId="1F7CAC3F" w14:textId="440324EC" w:rsidR="00D67F83" w:rsidRDefault="00D67F83" w:rsidP="00D67F83">
      <w:pPr>
        <w:pStyle w:val="MarginText"/>
        <w:spacing w:before="120" w:after="120"/>
        <w:jc w:val="left"/>
        <w:rPr>
          <w:rFonts w:cs="Arial"/>
          <w:b/>
          <w:szCs w:val="22"/>
        </w:rPr>
      </w:pPr>
    </w:p>
    <w:p w14:paraId="47AC3E9C" w14:textId="58777A44" w:rsidR="00D67F83" w:rsidRDefault="00D67F83" w:rsidP="00D67F83">
      <w:pPr>
        <w:pStyle w:val="MarginText"/>
        <w:spacing w:before="120" w:after="120"/>
        <w:jc w:val="left"/>
        <w:rPr>
          <w:rFonts w:cs="Arial"/>
          <w:b/>
          <w:szCs w:val="22"/>
        </w:rPr>
      </w:pPr>
    </w:p>
    <w:p w14:paraId="7A9A65E8" w14:textId="3737AD1F" w:rsidR="00D67F83" w:rsidRDefault="00D67F83" w:rsidP="00D67F83">
      <w:pPr>
        <w:pStyle w:val="MarginText"/>
        <w:spacing w:before="120" w:after="120"/>
        <w:jc w:val="left"/>
        <w:rPr>
          <w:rFonts w:cs="Arial"/>
          <w:b/>
          <w:szCs w:val="22"/>
        </w:rPr>
      </w:pPr>
    </w:p>
    <w:p w14:paraId="6DF9594C" w14:textId="0239B785" w:rsidR="00D67F83" w:rsidRDefault="00D67F83" w:rsidP="00D67F83">
      <w:pPr>
        <w:pStyle w:val="MarginText"/>
        <w:spacing w:before="120" w:after="120"/>
        <w:jc w:val="left"/>
        <w:rPr>
          <w:rFonts w:cs="Arial"/>
          <w:b/>
          <w:szCs w:val="22"/>
        </w:rPr>
      </w:pPr>
    </w:p>
    <w:p w14:paraId="7B422BB3" w14:textId="3AAE8B9D" w:rsidR="00D67F83" w:rsidRDefault="00D67F83" w:rsidP="00D67F83">
      <w:pPr>
        <w:pStyle w:val="MarginText"/>
        <w:spacing w:before="120" w:after="120"/>
        <w:jc w:val="left"/>
        <w:rPr>
          <w:rFonts w:cs="Arial"/>
          <w:b/>
          <w:szCs w:val="22"/>
        </w:rPr>
      </w:pPr>
    </w:p>
    <w:p w14:paraId="52DD940D" w14:textId="3A0D8178" w:rsidR="00D67F83" w:rsidRDefault="00D67F83" w:rsidP="00D67F83">
      <w:pPr>
        <w:pStyle w:val="MarginText"/>
        <w:spacing w:before="120" w:after="120"/>
        <w:jc w:val="left"/>
        <w:rPr>
          <w:rFonts w:cs="Arial"/>
          <w:b/>
          <w:szCs w:val="22"/>
        </w:rPr>
      </w:pPr>
    </w:p>
    <w:p w14:paraId="332C9A3B" w14:textId="72708EC7" w:rsidR="00D67F83" w:rsidRDefault="00D67F83" w:rsidP="00D67F83">
      <w:pPr>
        <w:pStyle w:val="MarginText"/>
        <w:spacing w:before="120" w:after="120"/>
        <w:jc w:val="left"/>
        <w:rPr>
          <w:rFonts w:cs="Arial"/>
          <w:b/>
          <w:szCs w:val="22"/>
        </w:rPr>
      </w:pPr>
    </w:p>
    <w:p w14:paraId="63226259" w14:textId="0BF35503" w:rsidR="00D67F83" w:rsidRDefault="00D67F83" w:rsidP="00D67F83">
      <w:pPr>
        <w:pStyle w:val="MarginText"/>
        <w:spacing w:before="120" w:after="120"/>
        <w:jc w:val="left"/>
        <w:rPr>
          <w:rFonts w:cs="Arial"/>
          <w:b/>
          <w:szCs w:val="22"/>
        </w:rPr>
      </w:pPr>
    </w:p>
    <w:p w14:paraId="5E8C3564" w14:textId="2DF06A5B" w:rsidR="00F807DC" w:rsidRPr="00C3320D" w:rsidRDefault="0046589E" w:rsidP="00D07AEC">
      <w:pPr>
        <w:pStyle w:val="MarginText"/>
        <w:spacing w:before="120" w:after="120"/>
        <w:rPr>
          <w:rFonts w:cs="Arial"/>
          <w:b/>
          <w:szCs w:val="22"/>
        </w:rPr>
      </w:pPr>
      <w:r w:rsidRPr="00C3320D">
        <w:rPr>
          <w:rFonts w:cs="Arial"/>
          <w:b/>
          <w:szCs w:val="22"/>
        </w:rPr>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14FAF353"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097E24">
          <w:rPr>
            <w:noProof/>
          </w:rPr>
          <w:t>22</w:t>
        </w:r>
        <w:r w:rsidR="00D40F55" w:rsidRPr="00C3320D">
          <w:rPr>
            <w:noProof/>
          </w:rPr>
          <w:fldChar w:fldCharType="end"/>
        </w:r>
      </w:hyperlink>
    </w:p>
    <w:p w14:paraId="39AD6E0A" w14:textId="6A01E804" w:rsidR="00D40F55" w:rsidRPr="00C3320D" w:rsidRDefault="006B1368">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097E24">
          <w:rPr>
            <w:noProof/>
          </w:rPr>
          <w:t>23</w:t>
        </w:r>
        <w:r w:rsidR="00D40F55" w:rsidRPr="00C3320D">
          <w:rPr>
            <w:noProof/>
          </w:rPr>
          <w:fldChar w:fldCharType="end"/>
        </w:r>
      </w:hyperlink>
    </w:p>
    <w:p w14:paraId="4D634C19" w14:textId="2EFB6150" w:rsidR="00D40F55" w:rsidRPr="00C3320D" w:rsidRDefault="006B1368">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097E24">
          <w:rPr>
            <w:noProof/>
          </w:rPr>
          <w:t>23</w:t>
        </w:r>
        <w:r w:rsidR="00D40F55" w:rsidRPr="00C3320D">
          <w:rPr>
            <w:noProof/>
          </w:rPr>
          <w:fldChar w:fldCharType="end"/>
        </w:r>
      </w:hyperlink>
    </w:p>
    <w:p w14:paraId="756B4C72" w14:textId="4FB5D911" w:rsidR="00D40F55" w:rsidRPr="00C3320D" w:rsidRDefault="006B1368">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097E24">
          <w:rPr>
            <w:noProof/>
          </w:rPr>
          <w:t>27</w:t>
        </w:r>
        <w:r w:rsidR="00D40F55" w:rsidRPr="00C3320D">
          <w:rPr>
            <w:noProof/>
          </w:rPr>
          <w:fldChar w:fldCharType="end"/>
        </w:r>
      </w:hyperlink>
    </w:p>
    <w:p w14:paraId="3060AACD" w14:textId="63D0D6F5" w:rsidR="00D40F55" w:rsidRPr="00C3320D" w:rsidRDefault="006B1368">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097E24">
          <w:rPr>
            <w:noProof/>
          </w:rPr>
          <w:t>27</w:t>
        </w:r>
        <w:r w:rsidR="00D40F55" w:rsidRPr="00C3320D">
          <w:rPr>
            <w:noProof/>
          </w:rPr>
          <w:fldChar w:fldCharType="end"/>
        </w:r>
      </w:hyperlink>
    </w:p>
    <w:p w14:paraId="078537D8" w14:textId="007A7105" w:rsidR="00D40F55" w:rsidRPr="00C3320D" w:rsidRDefault="006B1368">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097E24">
          <w:rPr>
            <w:noProof/>
          </w:rPr>
          <w:t>34</w:t>
        </w:r>
        <w:r w:rsidR="00D40F55" w:rsidRPr="00C3320D">
          <w:rPr>
            <w:noProof/>
          </w:rPr>
          <w:fldChar w:fldCharType="end"/>
        </w:r>
      </w:hyperlink>
    </w:p>
    <w:p w14:paraId="1CBC03E1" w14:textId="14100BFC" w:rsidR="00D40F55" w:rsidRPr="00C3320D" w:rsidRDefault="006B1368">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097E24">
          <w:rPr>
            <w:noProof/>
          </w:rPr>
          <w:t>35</w:t>
        </w:r>
        <w:r w:rsidR="00D40F55" w:rsidRPr="00C3320D">
          <w:rPr>
            <w:noProof/>
          </w:rPr>
          <w:fldChar w:fldCharType="end"/>
        </w:r>
      </w:hyperlink>
    </w:p>
    <w:p w14:paraId="73EDA13B" w14:textId="1BB23641" w:rsidR="00D40F55" w:rsidRPr="00C3320D" w:rsidRDefault="006B1368">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097E24">
          <w:rPr>
            <w:noProof/>
          </w:rPr>
          <w:t>38</w:t>
        </w:r>
        <w:r w:rsidR="00D40F55" w:rsidRPr="00C3320D">
          <w:rPr>
            <w:noProof/>
          </w:rPr>
          <w:fldChar w:fldCharType="end"/>
        </w:r>
      </w:hyperlink>
    </w:p>
    <w:p w14:paraId="7E4F541C" w14:textId="5334BA7C" w:rsidR="00D40F55" w:rsidRPr="00C3320D" w:rsidRDefault="006B1368">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097E24">
          <w:rPr>
            <w:noProof/>
          </w:rPr>
          <w:t>38</w:t>
        </w:r>
        <w:r w:rsidR="00D40F55" w:rsidRPr="00C3320D">
          <w:rPr>
            <w:noProof/>
          </w:rPr>
          <w:fldChar w:fldCharType="end"/>
        </w:r>
      </w:hyperlink>
    </w:p>
    <w:p w14:paraId="445AA3CB" w14:textId="11CBB0CE" w:rsidR="00D40F55" w:rsidRPr="00C3320D" w:rsidRDefault="006B1368">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097E24">
          <w:rPr>
            <w:noProof/>
          </w:rPr>
          <w:t>43</w:t>
        </w:r>
        <w:r w:rsidR="00D40F55" w:rsidRPr="00C3320D">
          <w:rPr>
            <w:noProof/>
          </w:rPr>
          <w:fldChar w:fldCharType="end"/>
        </w:r>
      </w:hyperlink>
    </w:p>
    <w:p w14:paraId="644A72B1" w14:textId="74828615" w:rsidR="00D40F55" w:rsidRPr="00C3320D" w:rsidRDefault="006B1368">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097E24">
          <w:rPr>
            <w:noProof/>
          </w:rPr>
          <w:t>45</w:t>
        </w:r>
        <w:r w:rsidR="00D40F55" w:rsidRPr="00C3320D">
          <w:rPr>
            <w:noProof/>
          </w:rPr>
          <w:fldChar w:fldCharType="end"/>
        </w:r>
      </w:hyperlink>
    </w:p>
    <w:p w14:paraId="171EE93D" w14:textId="7ABC4CDF" w:rsidR="00D40F55" w:rsidRPr="00C3320D" w:rsidRDefault="006B1368">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097E24">
          <w:rPr>
            <w:noProof/>
          </w:rPr>
          <w:t>48</w:t>
        </w:r>
        <w:r w:rsidR="00D40F55" w:rsidRPr="00C3320D">
          <w:rPr>
            <w:noProof/>
          </w:rPr>
          <w:fldChar w:fldCharType="end"/>
        </w:r>
      </w:hyperlink>
    </w:p>
    <w:p w14:paraId="17E68315" w14:textId="5FBA756D" w:rsidR="00D40F55" w:rsidRPr="00C3320D" w:rsidRDefault="006B1368">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097E24">
          <w:rPr>
            <w:noProof/>
          </w:rPr>
          <w:t>49</w:t>
        </w:r>
        <w:r w:rsidR="00D40F55" w:rsidRPr="00C3320D">
          <w:rPr>
            <w:noProof/>
          </w:rPr>
          <w:fldChar w:fldCharType="end"/>
        </w:r>
      </w:hyperlink>
    </w:p>
    <w:p w14:paraId="013F7FC5" w14:textId="40FC5511" w:rsidR="00D40F55" w:rsidRPr="00C3320D" w:rsidRDefault="006B1368">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097E24">
          <w:rPr>
            <w:noProof/>
          </w:rPr>
          <w:t>50</w:t>
        </w:r>
        <w:r w:rsidR="00D40F55" w:rsidRPr="00C3320D">
          <w:rPr>
            <w:noProof/>
          </w:rPr>
          <w:fldChar w:fldCharType="end"/>
        </w:r>
      </w:hyperlink>
    </w:p>
    <w:p w14:paraId="7C155273" w14:textId="6F222F38" w:rsidR="00D40F55" w:rsidRPr="00C3320D" w:rsidRDefault="006B1368">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097E24">
          <w:rPr>
            <w:noProof/>
          </w:rPr>
          <w:t>51</w:t>
        </w:r>
        <w:r w:rsidR="00D40F55" w:rsidRPr="00C3320D">
          <w:rPr>
            <w:noProof/>
          </w:rPr>
          <w:fldChar w:fldCharType="end"/>
        </w:r>
      </w:hyperlink>
    </w:p>
    <w:p w14:paraId="5908F439" w14:textId="74B03166" w:rsidR="00D40F55" w:rsidRPr="00C3320D" w:rsidRDefault="006B1368">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097E24">
          <w:rPr>
            <w:noProof/>
          </w:rPr>
          <w:t>52</w:t>
        </w:r>
        <w:r w:rsidR="00D40F55" w:rsidRPr="00C3320D">
          <w:rPr>
            <w:noProof/>
          </w:rPr>
          <w:fldChar w:fldCharType="end"/>
        </w:r>
      </w:hyperlink>
    </w:p>
    <w:p w14:paraId="478E0A0B" w14:textId="7B8A9E46" w:rsidR="00D40F55" w:rsidRPr="00C3320D" w:rsidRDefault="006B1368">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097E24">
          <w:rPr>
            <w:noProof/>
          </w:rPr>
          <w:t>53</w:t>
        </w:r>
        <w:r w:rsidR="00D40F55" w:rsidRPr="00C3320D">
          <w:rPr>
            <w:noProof/>
          </w:rPr>
          <w:fldChar w:fldCharType="end"/>
        </w:r>
      </w:hyperlink>
    </w:p>
    <w:p w14:paraId="2F2431F2" w14:textId="01266882" w:rsidR="00D40F55" w:rsidRPr="00C3320D" w:rsidRDefault="006B1368">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097E24">
          <w:rPr>
            <w:noProof/>
          </w:rPr>
          <w:t>53</w:t>
        </w:r>
        <w:r w:rsidR="00D40F55" w:rsidRPr="00C3320D">
          <w:rPr>
            <w:noProof/>
          </w:rPr>
          <w:fldChar w:fldCharType="end"/>
        </w:r>
      </w:hyperlink>
    </w:p>
    <w:p w14:paraId="1A9CE49D" w14:textId="279D9871" w:rsidR="00D40F55" w:rsidRPr="00C3320D" w:rsidRDefault="006B1368">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097E24">
          <w:rPr>
            <w:noProof/>
          </w:rPr>
          <w:t>53</w:t>
        </w:r>
        <w:r w:rsidR="00D40F55" w:rsidRPr="00C3320D">
          <w:rPr>
            <w:noProof/>
          </w:rPr>
          <w:fldChar w:fldCharType="end"/>
        </w:r>
      </w:hyperlink>
    </w:p>
    <w:p w14:paraId="0FFB0A65" w14:textId="24C1D072" w:rsidR="00D40F55" w:rsidRPr="00C3320D" w:rsidRDefault="006B1368">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097E24">
          <w:rPr>
            <w:noProof/>
          </w:rPr>
          <w:t>53</w:t>
        </w:r>
        <w:r w:rsidR="00D40F55" w:rsidRPr="00C3320D">
          <w:rPr>
            <w:noProof/>
          </w:rPr>
          <w:fldChar w:fldCharType="end"/>
        </w:r>
      </w:hyperlink>
    </w:p>
    <w:p w14:paraId="2CCA7060" w14:textId="7D3915AB" w:rsidR="00D40F55" w:rsidRPr="00C3320D" w:rsidRDefault="006B1368">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097E24">
          <w:rPr>
            <w:noProof/>
          </w:rPr>
          <w:t>53</w:t>
        </w:r>
        <w:r w:rsidR="00D40F55" w:rsidRPr="00C3320D">
          <w:rPr>
            <w:noProof/>
          </w:rPr>
          <w:fldChar w:fldCharType="end"/>
        </w:r>
      </w:hyperlink>
    </w:p>
    <w:p w14:paraId="6D45E8BE" w14:textId="1E87D1B2" w:rsidR="00D40F55" w:rsidRPr="00C3320D" w:rsidRDefault="006B1368">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097E24">
          <w:rPr>
            <w:noProof/>
          </w:rPr>
          <w:t>54</w:t>
        </w:r>
        <w:r w:rsidR="00D40F55" w:rsidRPr="00C3320D">
          <w:rPr>
            <w:noProof/>
          </w:rPr>
          <w:fldChar w:fldCharType="end"/>
        </w:r>
      </w:hyperlink>
    </w:p>
    <w:p w14:paraId="2DFEA102" w14:textId="0555C008" w:rsidR="00D40F55" w:rsidRPr="00C3320D" w:rsidRDefault="006B1368">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097E24">
          <w:rPr>
            <w:noProof/>
          </w:rPr>
          <w:t>54</w:t>
        </w:r>
        <w:r w:rsidR="00D40F55" w:rsidRPr="00C3320D">
          <w:rPr>
            <w:noProof/>
          </w:rPr>
          <w:fldChar w:fldCharType="end"/>
        </w:r>
      </w:hyperlink>
    </w:p>
    <w:p w14:paraId="1C73976E" w14:textId="10506853" w:rsidR="00D40F55" w:rsidRPr="00C3320D" w:rsidRDefault="006B1368">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097E24">
          <w:rPr>
            <w:noProof/>
          </w:rPr>
          <w:t>55</w:t>
        </w:r>
        <w:r w:rsidR="00D40F55" w:rsidRPr="00C3320D">
          <w:rPr>
            <w:noProof/>
          </w:rPr>
          <w:fldChar w:fldCharType="end"/>
        </w:r>
      </w:hyperlink>
    </w:p>
    <w:p w14:paraId="1985184D" w14:textId="4E20A7E1" w:rsidR="00D40F55" w:rsidRPr="00C3320D" w:rsidRDefault="006B1368">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097E24">
          <w:rPr>
            <w:noProof/>
          </w:rPr>
          <w:t>57</w:t>
        </w:r>
        <w:r w:rsidR="00D40F55" w:rsidRPr="00C3320D">
          <w:rPr>
            <w:noProof/>
          </w:rPr>
          <w:fldChar w:fldCharType="end"/>
        </w:r>
      </w:hyperlink>
    </w:p>
    <w:p w14:paraId="22020470" w14:textId="301D3BC7" w:rsidR="00D40F55" w:rsidRPr="00C3320D" w:rsidRDefault="006B1368">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097E24">
          <w:rPr>
            <w:noProof/>
          </w:rPr>
          <w:t>68</w:t>
        </w:r>
        <w:r w:rsidR="00D40F55" w:rsidRPr="00C3320D">
          <w:rPr>
            <w:noProof/>
          </w:rPr>
          <w:fldChar w:fldCharType="end"/>
        </w:r>
      </w:hyperlink>
    </w:p>
    <w:p w14:paraId="4270F496" w14:textId="662E2ED6" w:rsidR="00D40F55" w:rsidRPr="00C3320D" w:rsidRDefault="006B1368">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097E24">
          <w:rPr>
            <w:noProof/>
          </w:rPr>
          <w:t>79</w:t>
        </w:r>
        <w:r w:rsidR="00D40F55" w:rsidRPr="00C3320D">
          <w:rPr>
            <w:noProof/>
          </w:rPr>
          <w:fldChar w:fldCharType="end"/>
        </w:r>
      </w:hyperlink>
    </w:p>
    <w:p w14:paraId="0263E54E" w14:textId="195D923B" w:rsidR="00D40F55" w:rsidRPr="00C3320D" w:rsidRDefault="006B1368">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097E24">
          <w:rPr>
            <w:noProof/>
          </w:rPr>
          <w:t>112</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1E6135F1"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p>
    <w:p w14:paraId="55CAA855" w14:textId="77777777" w:rsidR="00415BB5" w:rsidRPr="00C3320D" w:rsidRDefault="00415BB5" w:rsidP="00D40F55">
      <w:pPr>
        <w:spacing w:before="120" w:after="120" w:line="240" w:lineRule="auto"/>
        <w:rPr>
          <w:rFonts w:cs="Arial"/>
          <w:b/>
          <w:szCs w:val="22"/>
        </w:rPr>
      </w:pPr>
      <w:bookmarkStart w:id="43" w:name="TOCField"/>
      <w:bookmarkEnd w:id="43"/>
      <w:r w:rsidRPr="00C3320D">
        <w:rPr>
          <w:rFonts w:cs="Arial"/>
          <w:b/>
          <w:szCs w:val="22"/>
        </w:rPr>
        <w:t>RECITALS</w:t>
      </w:r>
    </w:p>
    <w:p w14:paraId="5AA8AE01" w14:textId="7EC29D4B" w:rsidR="00415BB5" w:rsidRPr="00C3320D" w:rsidRDefault="00415BB5" w:rsidP="0089289C">
      <w:pPr>
        <w:pStyle w:val="GPSSectionHeading"/>
        <w:numPr>
          <w:ilvl w:val="0"/>
          <w:numId w:val="24"/>
        </w:numPr>
        <w:tabs>
          <w:tab w:val="left" w:pos="1134"/>
        </w:tabs>
        <w:spacing w:before="120" w:after="120"/>
        <w:ind w:left="1134" w:hanging="567"/>
        <w:jc w:val="both"/>
        <w:rPr>
          <w:rFonts w:cs="Arial"/>
          <w:b w:val="0"/>
          <w:caps w:val="0"/>
          <w:color w:val="auto"/>
          <w:u w:val="none"/>
        </w:rPr>
      </w:pPr>
      <w:bookmarkStart w:id="44" w:name="_Toc303802817"/>
      <w:bookmarkStart w:id="45" w:name="_Toc430879908"/>
      <w:bookmarkStart w:id="46" w:name="_Toc430880106"/>
      <w:bookmarkStart w:id="47" w:name="_Toc430880392"/>
      <w:bookmarkStart w:id="48" w:name="_Toc430880537"/>
      <w:bookmarkStart w:id="49" w:name="_Toc430880793"/>
      <w:bookmarkStart w:id="50" w:name="_Toc430941297"/>
      <w:bookmarkStart w:id="51" w:name="_Toc431551110"/>
      <w:bookmarkStart w:id="52" w:name="_Toc303802819"/>
      <w:bookmarkStart w:id="53" w:name="_Toc430879910"/>
      <w:bookmarkStart w:id="54" w:name="_Toc430880108"/>
      <w:bookmarkStart w:id="55" w:name="_Toc430880394"/>
      <w:bookmarkStart w:id="56" w:name="_Toc430880539"/>
      <w:bookmarkStart w:id="57" w:name="_Toc430880795"/>
      <w:bookmarkStart w:id="58" w:name="_Toc430941299"/>
      <w:bookmarkStart w:id="59" w:name="_Toc431551112"/>
      <w:r w:rsidRPr="00C3320D">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44"/>
      <w:bookmarkEnd w:id="45"/>
      <w:bookmarkEnd w:id="46"/>
      <w:bookmarkEnd w:id="47"/>
      <w:bookmarkEnd w:id="48"/>
      <w:bookmarkEnd w:id="49"/>
      <w:bookmarkEnd w:id="50"/>
      <w:bookmarkEnd w:id="51"/>
    </w:p>
    <w:bookmarkEnd w:id="52"/>
    <w:bookmarkEnd w:id="53"/>
    <w:bookmarkEnd w:id="54"/>
    <w:bookmarkEnd w:id="55"/>
    <w:bookmarkEnd w:id="56"/>
    <w:bookmarkEnd w:id="57"/>
    <w:bookmarkEnd w:id="58"/>
    <w:bookmarkEnd w:id="59"/>
    <w:p w14:paraId="316127BA" w14:textId="77777777" w:rsidR="00415BB5" w:rsidRPr="00C3320D" w:rsidRDefault="00415BB5" w:rsidP="00D40F55">
      <w:pPr>
        <w:pStyle w:val="Heading1"/>
        <w:numPr>
          <w:ilvl w:val="0"/>
          <w:numId w:val="0"/>
        </w:numPr>
        <w:spacing w:before="120" w:after="120"/>
        <w:ind w:left="720"/>
        <w:rPr>
          <w:rFonts w:cs="Arial"/>
          <w:szCs w:val="22"/>
        </w:rPr>
      </w:pPr>
    </w:p>
    <w:p w14:paraId="773DC6CF" w14:textId="77777777" w:rsidR="00F807DC" w:rsidRPr="00C3320D" w:rsidRDefault="005C28AA" w:rsidP="00D40F55">
      <w:pPr>
        <w:pStyle w:val="Heading1"/>
        <w:spacing w:before="120" w:after="120"/>
        <w:rPr>
          <w:rFonts w:cs="Arial"/>
          <w:szCs w:val="22"/>
        </w:rPr>
      </w:pPr>
      <w:bookmarkStart w:id="60" w:name="_Toc461702390"/>
      <w:r w:rsidRPr="00C3320D">
        <w:rPr>
          <w:rFonts w:cs="Arial"/>
          <w:szCs w:val="22"/>
        </w:rPr>
        <w:t>DEFINITIONS AND INTERPRETATION</w:t>
      </w:r>
      <w:bookmarkEnd w:id="60"/>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lastRenderedPageBreak/>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61"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61"/>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62" w:name="_Toc461702391"/>
      <w:r w:rsidRPr="00C3320D">
        <w:rPr>
          <w:rFonts w:cs="Arial"/>
          <w:szCs w:val="22"/>
        </w:rPr>
        <w:t>The Ordered Panel Services</w:t>
      </w:r>
      <w:bookmarkEnd w:id="62"/>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63" w:name="_Toc461702392"/>
      <w:r w:rsidRPr="00C3320D">
        <w:rPr>
          <w:rFonts w:cs="Arial"/>
          <w:szCs w:val="22"/>
        </w:rPr>
        <w:t xml:space="preserve">Delivery and management of </w:t>
      </w:r>
      <w:r w:rsidR="00F60EC1" w:rsidRPr="00C3320D">
        <w:rPr>
          <w:rFonts w:cs="Arial"/>
          <w:szCs w:val="22"/>
        </w:rPr>
        <w:t>the Ordered Panel Services</w:t>
      </w:r>
      <w:bookmarkEnd w:id="63"/>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w:t>
      </w:r>
      <w:r w:rsidRPr="00C3320D">
        <w:rPr>
          <w:rFonts w:cs="Arial"/>
          <w:szCs w:val="22"/>
        </w:rPr>
        <w:lastRenderedPageBreak/>
        <w:t>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w:t>
      </w:r>
      <w:r w:rsidR="00FB269A" w:rsidRPr="00C3320D">
        <w:rPr>
          <w:rFonts w:cs="Arial"/>
          <w:szCs w:val="22"/>
        </w:rPr>
        <w:lastRenderedPageBreak/>
        <w:t xml:space="preserve">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lastRenderedPageBreak/>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64"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64"/>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65" w:name="_Toc139080152"/>
      <w:r w:rsidRPr="00C3320D">
        <w:rPr>
          <w:rFonts w:cs="Arial"/>
          <w:szCs w:val="22"/>
        </w:rPr>
        <w:lastRenderedPageBreak/>
        <w:t>enable the National Audit Office to carry out an examination pursuant to Section 6(1) of the National Audit Act 1983 of the economy, efficiency and effectiveness with which the Customer has used its resources;</w:t>
      </w:r>
      <w:bookmarkEnd w:id="65"/>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66"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66"/>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67"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67"/>
    </w:p>
    <w:p w14:paraId="6F7B83E1" w14:textId="77777777" w:rsidR="00C901FE" w:rsidRPr="00C3320D" w:rsidRDefault="00C901FE" w:rsidP="00D40F55">
      <w:pPr>
        <w:pStyle w:val="Heading1"/>
        <w:spacing w:before="120" w:after="120"/>
        <w:rPr>
          <w:rFonts w:cs="Arial"/>
          <w:szCs w:val="22"/>
        </w:rPr>
      </w:pPr>
      <w:bookmarkStart w:id="68" w:name="_Toc461109632"/>
      <w:bookmarkStart w:id="69" w:name="_Toc461109633"/>
      <w:bookmarkStart w:id="70" w:name="_Toc461702393"/>
      <w:bookmarkEnd w:id="68"/>
      <w:bookmarkEnd w:id="69"/>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70"/>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lastRenderedPageBreak/>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71"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71"/>
    </w:p>
    <w:p w14:paraId="344FC365" w14:textId="77777777" w:rsidR="00F6759D" w:rsidRPr="00C3320D" w:rsidRDefault="00F6759D" w:rsidP="00D40F55">
      <w:pPr>
        <w:pStyle w:val="Heading1"/>
        <w:spacing w:before="120" w:after="120"/>
        <w:rPr>
          <w:rFonts w:cs="Arial"/>
          <w:szCs w:val="22"/>
        </w:rPr>
      </w:pPr>
      <w:bookmarkStart w:id="72" w:name="_Toc461702394"/>
      <w:r w:rsidRPr="00C3320D">
        <w:rPr>
          <w:rFonts w:cs="Arial"/>
          <w:szCs w:val="22"/>
        </w:rPr>
        <w:t>Personnel</w:t>
      </w:r>
      <w:bookmarkEnd w:id="72"/>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w:t>
      </w:r>
      <w:r w:rsidRPr="00C3320D">
        <w:rPr>
          <w:rFonts w:cs="Arial"/>
          <w:szCs w:val="22"/>
        </w:rPr>
        <w:lastRenderedPageBreak/>
        <w:t xml:space="preserve">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73" w:name="_Ref363736216"/>
      <w:r w:rsidRPr="00C3320D">
        <w:rPr>
          <w:rFonts w:cs="Arial"/>
          <w:szCs w:val="22"/>
        </w:rPr>
        <w:t>The Supplier shall:</w:t>
      </w:r>
      <w:bookmarkEnd w:id="73"/>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lastRenderedPageBreak/>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74" w:name="_Ref358297649"/>
      <w:r w:rsidRPr="00C3320D">
        <w:rPr>
          <w:rFonts w:cs="Arial"/>
          <w:szCs w:val="22"/>
        </w:rPr>
        <w:t>The Parties agree that</w:t>
      </w:r>
      <w:r w:rsidR="00FA30C4" w:rsidRPr="00C3320D">
        <w:rPr>
          <w:rFonts w:cs="Arial"/>
          <w:szCs w:val="22"/>
        </w:rPr>
        <w:t>:</w:t>
      </w:r>
      <w:bookmarkEnd w:id="74"/>
    </w:p>
    <w:p w14:paraId="513D7722" w14:textId="14E84AA8" w:rsidR="00FA30C4" w:rsidRPr="00C3320D" w:rsidRDefault="00FA30C4" w:rsidP="00D40F55">
      <w:pPr>
        <w:pStyle w:val="Heading3"/>
        <w:spacing w:before="120" w:after="120"/>
        <w:rPr>
          <w:rFonts w:cs="Arial"/>
          <w:szCs w:val="22"/>
        </w:rPr>
      </w:pPr>
      <w:bookmarkStart w:id="75"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76" w:name="_Ref358300369"/>
      <w:bookmarkEnd w:id="75"/>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76"/>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lastRenderedPageBreak/>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77" w:name="_Ref359425071"/>
      <w:r w:rsidRPr="00C3320D">
        <w:rPr>
          <w:rFonts w:cs="Arial"/>
          <w:szCs w:val="22"/>
        </w:rPr>
        <w:t>Prior to sub-contacting any of its obligations under this Legal Services Contract, the Supplier shall notify the Customer and provide the Customer with:</w:t>
      </w:r>
      <w:bookmarkEnd w:id="77"/>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78"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78"/>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89289C">
      <w:pPr>
        <w:pStyle w:val="GPSL4numberedclause"/>
        <w:numPr>
          <w:ilvl w:val="3"/>
          <w:numId w:val="28"/>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89289C">
      <w:pPr>
        <w:pStyle w:val="GPSL4numberedclause"/>
        <w:numPr>
          <w:ilvl w:val="3"/>
          <w:numId w:val="28"/>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lastRenderedPageBreak/>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89289C">
      <w:pPr>
        <w:pStyle w:val="GPSL4numberedclause"/>
        <w:numPr>
          <w:ilvl w:val="3"/>
          <w:numId w:val="29"/>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89289C">
      <w:pPr>
        <w:pStyle w:val="GPSL4numberedclause"/>
        <w:numPr>
          <w:ilvl w:val="3"/>
          <w:numId w:val="28"/>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89289C">
      <w:pPr>
        <w:pStyle w:val="GPSL4numberedclause"/>
        <w:numPr>
          <w:ilvl w:val="3"/>
          <w:numId w:val="28"/>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89289C">
      <w:pPr>
        <w:pStyle w:val="GPSL4numberedclause"/>
        <w:numPr>
          <w:ilvl w:val="3"/>
          <w:numId w:val="28"/>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89289C">
      <w:pPr>
        <w:pStyle w:val="GPSL4numberedclause"/>
        <w:numPr>
          <w:ilvl w:val="3"/>
          <w:numId w:val="28"/>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 xml:space="preserve">(Staff Transfer) imposes an obligation on the Supplier to provide an indemnity, undertaking or warranty, </w:t>
      </w:r>
      <w:r w:rsidRPr="00C3320D">
        <w:rPr>
          <w:rFonts w:cs="Arial"/>
          <w:szCs w:val="22"/>
        </w:rPr>
        <w:lastRenderedPageBreak/>
        <w:t>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79"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79"/>
    </w:p>
    <w:p w14:paraId="01A870A0" w14:textId="77777777" w:rsidR="00A904F4" w:rsidRPr="00C3320D" w:rsidRDefault="00A904F4" w:rsidP="00D40F55">
      <w:pPr>
        <w:pStyle w:val="Heading3"/>
        <w:spacing w:before="120" w:after="120"/>
        <w:rPr>
          <w:rFonts w:cs="Arial"/>
          <w:szCs w:val="22"/>
        </w:rPr>
      </w:pPr>
      <w:bookmarkStart w:id="80" w:name="_Ref413850134"/>
      <w:r w:rsidRPr="00C3320D">
        <w:rPr>
          <w:rFonts w:cs="Arial"/>
          <w:szCs w:val="22"/>
        </w:rPr>
        <w:t>requiring that any invoices submitted by a Sub-Contractor shall be considered and verified by the Supplier in a timely fashion and that undue delay in doing so shall not be sufficient justification for failing to regard an invoice as valid and undisputed;</w:t>
      </w:r>
      <w:bookmarkEnd w:id="80"/>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81" w:name="_Ref359339111"/>
      <w:r w:rsidRPr="00C3320D">
        <w:rPr>
          <w:rFonts w:cs="Arial"/>
          <w:szCs w:val="22"/>
        </w:rPr>
        <w:t>The Supplier shall</w:t>
      </w:r>
      <w:bookmarkEnd w:id="81"/>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82" w:name="_Ref379548295"/>
      <w:r w:rsidRPr="00C3320D">
        <w:rPr>
          <w:rFonts w:cs="Arial"/>
          <w:szCs w:val="22"/>
        </w:rPr>
        <w:t>The Customer may require the Supplier to terminate:</w:t>
      </w:r>
      <w:bookmarkEnd w:id="82"/>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89289C">
      <w:pPr>
        <w:pStyle w:val="GPSL4numberedclause"/>
        <w:numPr>
          <w:ilvl w:val="3"/>
          <w:numId w:val="30"/>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89289C">
      <w:pPr>
        <w:pStyle w:val="GPSL4numberedclause"/>
        <w:numPr>
          <w:ilvl w:val="3"/>
          <w:numId w:val="29"/>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89289C">
      <w:pPr>
        <w:pStyle w:val="GPSL4numberedclause"/>
        <w:numPr>
          <w:ilvl w:val="3"/>
          <w:numId w:val="31"/>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89289C">
      <w:pPr>
        <w:pStyle w:val="GPSL4numberedclause"/>
        <w:numPr>
          <w:ilvl w:val="3"/>
          <w:numId w:val="29"/>
        </w:numPr>
        <w:rPr>
          <w:rFonts w:ascii="Arial" w:hAnsi="Arial"/>
          <w:szCs w:val="22"/>
        </w:rPr>
      </w:pPr>
      <w:r w:rsidRPr="00C3320D">
        <w:rPr>
          <w:rFonts w:ascii="Arial" w:hAnsi="Arial"/>
          <w:szCs w:val="22"/>
        </w:rPr>
        <w:lastRenderedPageBreak/>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83"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83"/>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84" w:name="_Toc461702395"/>
      <w:r w:rsidRPr="00C3320D">
        <w:rPr>
          <w:rFonts w:cs="Arial"/>
          <w:szCs w:val="22"/>
        </w:rPr>
        <w:t>CHARGES</w:t>
      </w:r>
      <w:r w:rsidR="00A34A70" w:rsidRPr="00C3320D">
        <w:rPr>
          <w:rFonts w:cs="Arial"/>
          <w:szCs w:val="22"/>
        </w:rPr>
        <w:t xml:space="preserve"> AND INVOICING</w:t>
      </w:r>
      <w:bookmarkEnd w:id="84"/>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7F079D16" w:rsidR="00E56DC7" w:rsidRPr="004B03D0" w:rsidRDefault="007562F7" w:rsidP="00D40F55">
      <w:pPr>
        <w:pStyle w:val="Heading3"/>
        <w:spacing w:before="120" w:after="120"/>
        <w:rPr>
          <w:rFonts w:cs="Arial"/>
          <w:szCs w:val="22"/>
        </w:rPr>
      </w:pPr>
      <w:r w:rsidRPr="004B03D0">
        <w:rPr>
          <w:rFonts w:cs="Arial"/>
          <w:szCs w:val="22"/>
        </w:rPr>
        <w:t xml:space="preserve">In consideration of the </w:t>
      </w:r>
      <w:r w:rsidR="00151B56" w:rsidRPr="004B03D0">
        <w:rPr>
          <w:rFonts w:cs="Arial"/>
          <w:szCs w:val="22"/>
        </w:rPr>
        <w:t>Supplier</w:t>
      </w:r>
      <w:r w:rsidRPr="004B03D0">
        <w:rPr>
          <w:rFonts w:cs="Arial"/>
          <w:szCs w:val="22"/>
        </w:rPr>
        <w:t xml:space="preserve">'s performance of its obligations under </w:t>
      </w:r>
      <w:r w:rsidR="002479FD" w:rsidRPr="004B03D0">
        <w:rPr>
          <w:rFonts w:cs="Arial"/>
          <w:szCs w:val="22"/>
        </w:rPr>
        <w:t>this</w:t>
      </w:r>
      <w:r w:rsidR="00A34A70" w:rsidRPr="004B03D0">
        <w:rPr>
          <w:rFonts w:cs="Arial"/>
          <w:szCs w:val="22"/>
        </w:rPr>
        <w:t xml:space="preserve"> </w:t>
      </w:r>
      <w:r w:rsidR="008C689D" w:rsidRPr="004B03D0">
        <w:rPr>
          <w:rFonts w:cs="Arial"/>
          <w:szCs w:val="22"/>
        </w:rPr>
        <w:t>Legal Services Contract</w:t>
      </w:r>
      <w:r w:rsidRPr="004B03D0">
        <w:rPr>
          <w:rFonts w:cs="Arial"/>
          <w:szCs w:val="22"/>
        </w:rPr>
        <w:t xml:space="preserve">, the </w:t>
      </w:r>
      <w:r w:rsidR="00C158E8" w:rsidRPr="004B03D0">
        <w:rPr>
          <w:rFonts w:cs="Arial"/>
          <w:szCs w:val="22"/>
        </w:rPr>
        <w:t>Customer</w:t>
      </w:r>
      <w:r w:rsidRPr="004B03D0">
        <w:rPr>
          <w:rFonts w:cs="Arial"/>
          <w:szCs w:val="22"/>
        </w:rPr>
        <w:t xml:space="preserve"> shall pay the</w:t>
      </w:r>
      <w:r w:rsidR="00A34A70" w:rsidRPr="004B03D0">
        <w:rPr>
          <w:rFonts w:cs="Arial"/>
          <w:szCs w:val="22"/>
        </w:rPr>
        <w:t xml:space="preserve"> undisputed</w:t>
      </w:r>
      <w:r w:rsidRPr="004B03D0">
        <w:rPr>
          <w:rFonts w:cs="Arial"/>
          <w:szCs w:val="22"/>
        </w:rPr>
        <w:t xml:space="preserve"> </w:t>
      </w:r>
      <w:r w:rsidR="00AB51E9" w:rsidRPr="004B03D0">
        <w:rPr>
          <w:rFonts w:cs="Arial"/>
          <w:szCs w:val="22"/>
        </w:rPr>
        <w:t>Charges</w:t>
      </w:r>
      <w:r w:rsidRPr="004B03D0">
        <w:rPr>
          <w:rFonts w:cs="Arial"/>
          <w:szCs w:val="22"/>
        </w:rPr>
        <w:t xml:space="preserve"> in accordance with </w:t>
      </w:r>
      <w:r w:rsidR="00304EEF" w:rsidRPr="004B03D0">
        <w:rPr>
          <w:rFonts w:cs="Arial"/>
          <w:szCs w:val="22"/>
        </w:rPr>
        <w:t xml:space="preserve">this </w:t>
      </w:r>
      <w:r w:rsidR="00E6002D" w:rsidRPr="004B03D0">
        <w:rPr>
          <w:rFonts w:cs="Arial"/>
          <w:szCs w:val="22"/>
        </w:rPr>
        <w:t>Clause </w:t>
      </w:r>
      <w:r w:rsidR="00304EEF" w:rsidRPr="004B03D0">
        <w:rPr>
          <w:rFonts w:cs="Arial"/>
          <w:szCs w:val="22"/>
        </w:rPr>
        <w:t>6</w:t>
      </w:r>
      <w:r w:rsidR="00AC4EAD" w:rsidRPr="004B03D0">
        <w:rPr>
          <w:rFonts w:cs="Arial"/>
          <w:szCs w:val="22"/>
        </w:rPr>
        <w:t xml:space="preserve"> </w:t>
      </w:r>
      <w:r w:rsidRPr="004B03D0">
        <w:rPr>
          <w:rFonts w:cs="Arial"/>
          <w:szCs w:val="22"/>
        </w:rPr>
        <w:t>(</w:t>
      </w:r>
      <w:r w:rsidR="00A34A70" w:rsidRPr="004B03D0">
        <w:rPr>
          <w:rFonts w:cs="Arial"/>
          <w:szCs w:val="22"/>
        </w:rPr>
        <w:t>Charges and Invoicing)</w:t>
      </w:r>
      <w:r w:rsidRPr="004B03D0">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85"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85"/>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lastRenderedPageBreak/>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86"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86"/>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87"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87"/>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70178"/>
      <w:r w:rsidRPr="00C3320D">
        <w:rPr>
          <w:rFonts w:cs="Arial"/>
          <w:b/>
          <w:szCs w:val="22"/>
        </w:rPr>
        <w:lastRenderedPageBreak/>
        <w:t>Recovery of Sums Due</w:t>
      </w:r>
      <w:bookmarkEnd w:id="88"/>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89" w:name="_Toc461702396"/>
      <w:bookmarkStart w:id="90" w:name="_Ref313371594"/>
      <w:r w:rsidRPr="00C3320D">
        <w:rPr>
          <w:rFonts w:cs="Arial"/>
          <w:szCs w:val="22"/>
        </w:rPr>
        <w:t>LIABILITY</w:t>
      </w:r>
      <w:r w:rsidR="003C6C6B" w:rsidRPr="00C3320D">
        <w:rPr>
          <w:rFonts w:cs="Arial"/>
          <w:szCs w:val="22"/>
        </w:rPr>
        <w:t xml:space="preserve"> AND INSURANCE</w:t>
      </w:r>
      <w:bookmarkEnd w:id="89"/>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91" w:name="_Ref311654936"/>
      <w:r w:rsidRPr="00C3320D">
        <w:rPr>
          <w:rFonts w:cs="Arial"/>
          <w:szCs w:val="22"/>
        </w:rPr>
        <w:t>Neither Party excludes or limits its liability for:</w:t>
      </w:r>
      <w:bookmarkEnd w:id="91"/>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128C5160"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CB1F93" w:rsidRPr="00C3320D">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92"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92"/>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lastRenderedPageBreak/>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lastRenderedPageBreak/>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93" w:name="_Ref313366946"/>
      <w:bookmarkStart w:id="94" w:name="_Toc461702397"/>
      <w:bookmarkEnd w:id="90"/>
      <w:r w:rsidRPr="00C3320D">
        <w:rPr>
          <w:rFonts w:cs="Arial"/>
          <w:szCs w:val="22"/>
        </w:rPr>
        <w:t>INTELLECTUAL PROPERTY RIGHTS</w:t>
      </w:r>
      <w:bookmarkEnd w:id="93"/>
      <w:bookmarkEnd w:id="94"/>
    </w:p>
    <w:p w14:paraId="2AEA58D8" w14:textId="340AD279" w:rsidR="00F14CCD" w:rsidRPr="00C3320D" w:rsidRDefault="0025590B" w:rsidP="00D40F55">
      <w:pPr>
        <w:pStyle w:val="Heading2"/>
        <w:tabs>
          <w:tab w:val="num" w:pos="720"/>
        </w:tabs>
        <w:spacing w:before="120" w:after="120"/>
        <w:ind w:left="720"/>
        <w:rPr>
          <w:rFonts w:cs="Arial"/>
          <w:szCs w:val="22"/>
        </w:rPr>
      </w:pPr>
      <w:bookmarkStart w:id="95"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95"/>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96"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96"/>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97" w:name="_Ref313367870"/>
      <w:bookmarkStart w:id="98" w:name="_Toc461702398"/>
      <w:r w:rsidRPr="00C3320D">
        <w:rPr>
          <w:rFonts w:cs="Arial"/>
          <w:szCs w:val="22"/>
        </w:rPr>
        <w:t>PROTECTION OF INFORMATION</w:t>
      </w:r>
      <w:bookmarkEnd w:id="97"/>
      <w:bookmarkEnd w:id="98"/>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99" w:name="_Ref313367297"/>
      <w:r w:rsidRPr="00C3320D">
        <w:rPr>
          <w:rFonts w:cs="Arial"/>
          <w:b/>
          <w:szCs w:val="22"/>
        </w:rPr>
        <w:t>Protection of Personal Data</w:t>
      </w:r>
      <w:bookmarkEnd w:id="99"/>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lastRenderedPageBreak/>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100" w:name="_Ref313367753"/>
      <w:r w:rsidRPr="00C3320D">
        <w:rPr>
          <w:rFonts w:cs="Arial"/>
          <w:b/>
          <w:szCs w:val="22"/>
        </w:rPr>
        <w:t>Confidentiality</w:t>
      </w:r>
      <w:bookmarkEnd w:id="100"/>
    </w:p>
    <w:p w14:paraId="1EED7F04" w14:textId="77777777" w:rsidR="00F807DC" w:rsidRPr="00C3320D" w:rsidRDefault="007562F7" w:rsidP="00D40F55">
      <w:pPr>
        <w:pStyle w:val="Heading3"/>
        <w:keepNext/>
        <w:spacing w:before="120" w:after="120"/>
        <w:rPr>
          <w:rFonts w:cs="Arial"/>
          <w:szCs w:val="22"/>
        </w:rPr>
      </w:pPr>
      <w:bookmarkStart w:id="101"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101"/>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lastRenderedPageBreak/>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102"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102"/>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lastRenderedPageBreak/>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103"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103"/>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104"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104"/>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105" w:name="_Ref313369975"/>
      <w:r w:rsidRPr="00C3320D">
        <w:rPr>
          <w:rFonts w:cs="Arial"/>
          <w:b/>
          <w:szCs w:val="22"/>
        </w:rPr>
        <w:t>Freedom of Information</w:t>
      </w:r>
      <w:bookmarkEnd w:id="105"/>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 xml:space="preserve">’s Confidential Information, is exempt from </w:t>
      </w:r>
      <w:r w:rsidRPr="00C3320D">
        <w:rPr>
          <w:rFonts w:cs="Arial"/>
          <w:szCs w:val="22"/>
        </w:rPr>
        <w:lastRenderedPageBreak/>
        <w:t>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106"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06"/>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1"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107" w:name="_Ref313372170"/>
      <w:bookmarkStart w:id="108" w:name="_Toc461702399"/>
      <w:r w:rsidRPr="00C3320D">
        <w:rPr>
          <w:rFonts w:cs="Arial"/>
          <w:szCs w:val="22"/>
        </w:rPr>
        <w:lastRenderedPageBreak/>
        <w:t>WARRANTIES</w:t>
      </w:r>
      <w:r w:rsidR="00A14D96" w:rsidRPr="00C3320D">
        <w:rPr>
          <w:rFonts w:cs="Arial"/>
          <w:szCs w:val="22"/>
        </w:rPr>
        <w:t>,</w:t>
      </w:r>
      <w:r w:rsidRPr="00C3320D">
        <w:rPr>
          <w:rFonts w:cs="Arial"/>
          <w:szCs w:val="22"/>
        </w:rPr>
        <w:t xml:space="preserve"> REPRESENTATIONS</w:t>
      </w:r>
      <w:bookmarkEnd w:id="107"/>
      <w:r w:rsidR="00A14D96" w:rsidRPr="00C3320D">
        <w:rPr>
          <w:rFonts w:cs="Arial"/>
          <w:szCs w:val="22"/>
        </w:rPr>
        <w:t xml:space="preserve"> AND UNDERTAKINGS</w:t>
      </w:r>
      <w:bookmarkEnd w:id="108"/>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109"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109"/>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lastRenderedPageBreak/>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110"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110"/>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lastRenderedPageBreak/>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111" w:name="_Ref313373896"/>
      <w:bookmarkStart w:id="112" w:name="_Toc461702400"/>
      <w:r w:rsidRPr="00C3320D">
        <w:rPr>
          <w:rFonts w:cs="Arial"/>
          <w:szCs w:val="22"/>
        </w:rPr>
        <w:t>TERMINATION</w:t>
      </w:r>
      <w:bookmarkEnd w:id="111"/>
      <w:bookmarkEnd w:id="112"/>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113" w:name="_Ref313371016"/>
      <w:r w:rsidRPr="00C3320D">
        <w:rPr>
          <w:rFonts w:cs="Arial"/>
          <w:b/>
          <w:szCs w:val="22"/>
        </w:rPr>
        <w:t>Termination on Insolvency</w:t>
      </w:r>
      <w:bookmarkEnd w:id="113"/>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the Supplier demerges into two or more firms, merges with another form,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114" w:name="_Ref313369326"/>
      <w:r w:rsidRPr="00C3320D">
        <w:rPr>
          <w:rFonts w:cs="Arial"/>
          <w:b/>
          <w:szCs w:val="22"/>
        </w:rPr>
        <w:t xml:space="preserve">Termination on </w:t>
      </w:r>
      <w:bookmarkEnd w:id="114"/>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115"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115"/>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116" w:name="_Ref313371033"/>
      <w:bookmarkStart w:id="117" w:name="_Ref313369604"/>
      <w:r w:rsidRPr="00C3320D">
        <w:rPr>
          <w:rFonts w:cs="Arial"/>
          <w:b/>
          <w:szCs w:val="22"/>
        </w:rPr>
        <w:t>Termination on Change of Control</w:t>
      </w:r>
      <w:bookmarkEnd w:id="116"/>
    </w:p>
    <w:p w14:paraId="383040C0" w14:textId="77777777" w:rsidR="00BB527F" w:rsidRPr="00C3320D" w:rsidRDefault="00BB527F" w:rsidP="00D40F55">
      <w:pPr>
        <w:pStyle w:val="Heading3"/>
        <w:spacing w:before="120" w:after="120"/>
        <w:rPr>
          <w:rFonts w:cs="Arial"/>
          <w:szCs w:val="22"/>
        </w:rPr>
      </w:pPr>
      <w:bookmarkStart w:id="118"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118"/>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lastRenderedPageBreak/>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117"/>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lastRenderedPageBreak/>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119" w:name="_Ref313370007"/>
      <w:bookmarkStart w:id="120" w:name="_Toc461702401"/>
      <w:r w:rsidRPr="00C3320D">
        <w:rPr>
          <w:rFonts w:cs="Arial"/>
          <w:szCs w:val="22"/>
        </w:rPr>
        <w:t>CONSEQUENCES OF EXPIRY OR TERMINATION</w:t>
      </w:r>
      <w:bookmarkEnd w:id="119"/>
      <w:bookmarkEnd w:id="120"/>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121"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121"/>
    </w:p>
    <w:p w14:paraId="14BA16CA"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122"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122"/>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123"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123"/>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lastRenderedPageBreak/>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124" w:name="_Ref313373915"/>
      <w:bookmarkStart w:id="125" w:name="_Toc461702402"/>
      <w:r w:rsidRPr="00C3320D">
        <w:rPr>
          <w:rFonts w:cs="Arial"/>
          <w:szCs w:val="22"/>
        </w:rPr>
        <w:t>PUBLICITY, MEDIA AND OFFICIAL ENQUIRIES</w:t>
      </w:r>
      <w:bookmarkEnd w:id="124"/>
      <w:bookmarkEnd w:id="125"/>
    </w:p>
    <w:p w14:paraId="7B2B5338" w14:textId="77777777" w:rsidR="00F807DC" w:rsidRPr="00C3320D" w:rsidRDefault="007562F7" w:rsidP="00D40F55">
      <w:pPr>
        <w:pStyle w:val="Heading2"/>
        <w:tabs>
          <w:tab w:val="num" w:pos="720"/>
        </w:tabs>
        <w:spacing w:before="120" w:after="120"/>
        <w:ind w:left="720"/>
        <w:rPr>
          <w:rFonts w:cs="Arial"/>
          <w:szCs w:val="22"/>
        </w:rPr>
      </w:pPr>
      <w:bookmarkStart w:id="126"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26"/>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27" w:name="_Ref313370019"/>
      <w:bookmarkStart w:id="128" w:name="_Toc461702403"/>
      <w:r w:rsidRPr="00C3320D">
        <w:rPr>
          <w:rFonts w:cs="Arial"/>
          <w:szCs w:val="22"/>
        </w:rPr>
        <w:t xml:space="preserve">PREVENTION OF </w:t>
      </w:r>
      <w:bookmarkEnd w:id="127"/>
      <w:r w:rsidR="00325324" w:rsidRPr="00C3320D">
        <w:rPr>
          <w:rFonts w:cs="Arial"/>
          <w:szCs w:val="22"/>
        </w:rPr>
        <w:t>FRAUD AND BRIBERY</w:t>
      </w:r>
      <w:bookmarkEnd w:id="128"/>
    </w:p>
    <w:p w14:paraId="1F2281DA" w14:textId="77777777" w:rsidR="00DC5B63" w:rsidRPr="00C3320D" w:rsidRDefault="00DC5B63" w:rsidP="00D40F55">
      <w:pPr>
        <w:pStyle w:val="Heading2"/>
        <w:tabs>
          <w:tab w:val="num" w:pos="720"/>
        </w:tabs>
        <w:spacing w:before="120" w:after="120"/>
        <w:ind w:left="720"/>
        <w:rPr>
          <w:rFonts w:cs="Arial"/>
          <w:szCs w:val="22"/>
        </w:rPr>
      </w:pPr>
      <w:bookmarkStart w:id="129" w:name="_Ref360700144"/>
      <w:r w:rsidRPr="00C3320D">
        <w:rPr>
          <w:rFonts w:cs="Arial"/>
          <w:szCs w:val="22"/>
        </w:rPr>
        <w:t>The Supplier represents and warrants that neither it, nor to the best of its knowledge any Supplier Personnel, have at any time prior to the Commencement Date:</w:t>
      </w:r>
      <w:bookmarkEnd w:id="129"/>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30"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30"/>
    </w:p>
    <w:p w14:paraId="42343349" w14:textId="77777777" w:rsidR="00DC5B63" w:rsidRPr="00C3320D" w:rsidRDefault="00DC5B63" w:rsidP="00D40F55">
      <w:pPr>
        <w:pStyle w:val="Heading3"/>
        <w:spacing w:before="120" w:after="120"/>
        <w:rPr>
          <w:rFonts w:cs="Arial"/>
          <w:szCs w:val="22"/>
        </w:rPr>
      </w:pPr>
      <w:bookmarkStart w:id="131" w:name="_Ref360700061"/>
      <w:r w:rsidRPr="00C3320D">
        <w:rPr>
          <w:rFonts w:cs="Arial"/>
          <w:szCs w:val="22"/>
        </w:rPr>
        <w:t xml:space="preserve">establish, maintain and enforce, and require that its Sub-Contractors establish, maintain and enforce, policies and procedures which are adequate to ensure </w:t>
      </w:r>
      <w:r w:rsidRPr="00C3320D">
        <w:rPr>
          <w:rFonts w:cs="Arial"/>
          <w:szCs w:val="22"/>
        </w:rPr>
        <w:lastRenderedPageBreak/>
        <w:t>compliance with the Relevant Requirements and prevent the occurrence of a Prohibited Act;</w:t>
      </w:r>
      <w:bookmarkEnd w:id="131"/>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32"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32"/>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33"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33"/>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34" w:name="_Toc461702404"/>
      <w:r w:rsidRPr="00C3320D">
        <w:rPr>
          <w:rFonts w:cs="Arial"/>
          <w:szCs w:val="22"/>
        </w:rPr>
        <w:t>NON-DISCRIMINATION</w:t>
      </w:r>
      <w:bookmarkEnd w:id="134"/>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35"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lastRenderedPageBreak/>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36" w:name="_Toc461102337"/>
      <w:bookmarkStart w:id="137" w:name="_Toc461102400"/>
      <w:bookmarkStart w:id="138" w:name="_Toc461102479"/>
      <w:bookmarkStart w:id="139" w:name="_Toc461109646"/>
      <w:bookmarkStart w:id="140" w:name="_Toc461102338"/>
      <w:bookmarkStart w:id="141" w:name="_Toc461102401"/>
      <w:bookmarkStart w:id="142" w:name="_Toc461102480"/>
      <w:bookmarkStart w:id="143" w:name="_Toc461109647"/>
      <w:bookmarkStart w:id="144" w:name="_Toc461102339"/>
      <w:bookmarkStart w:id="145" w:name="_Toc461102402"/>
      <w:bookmarkStart w:id="146" w:name="_Toc461102481"/>
      <w:bookmarkStart w:id="147" w:name="_Toc461109648"/>
      <w:bookmarkStart w:id="148" w:name="_Toc461102340"/>
      <w:bookmarkStart w:id="149" w:name="_Toc461102403"/>
      <w:bookmarkStart w:id="150" w:name="_Toc461102482"/>
      <w:bookmarkStart w:id="151" w:name="_Toc461109649"/>
      <w:bookmarkStart w:id="152" w:name="_Toc461102341"/>
      <w:bookmarkStart w:id="153" w:name="_Toc461102404"/>
      <w:bookmarkStart w:id="154" w:name="_Toc461102483"/>
      <w:bookmarkStart w:id="155" w:name="_Toc461109650"/>
      <w:bookmarkStart w:id="156" w:name="_Toc461102342"/>
      <w:bookmarkStart w:id="157" w:name="_Toc461102405"/>
      <w:bookmarkStart w:id="158" w:name="_Toc461102484"/>
      <w:bookmarkStart w:id="159" w:name="_Toc461109651"/>
      <w:bookmarkStart w:id="160" w:name="_Toc461102343"/>
      <w:bookmarkStart w:id="161" w:name="_Toc461102406"/>
      <w:bookmarkStart w:id="162" w:name="_Toc461102485"/>
      <w:bookmarkStart w:id="163" w:name="_Toc461109652"/>
      <w:bookmarkStart w:id="164" w:name="_Toc461102344"/>
      <w:bookmarkStart w:id="165" w:name="_Toc461102407"/>
      <w:bookmarkStart w:id="166" w:name="_Toc461102486"/>
      <w:bookmarkStart w:id="167" w:name="_Toc461109653"/>
      <w:bookmarkStart w:id="168" w:name="_Toc461102345"/>
      <w:bookmarkStart w:id="169" w:name="_Toc461102408"/>
      <w:bookmarkStart w:id="170" w:name="_Toc461102487"/>
      <w:bookmarkStart w:id="171" w:name="_Toc461109654"/>
      <w:bookmarkStart w:id="172" w:name="_Toc461102346"/>
      <w:bookmarkStart w:id="173" w:name="_Toc461102409"/>
      <w:bookmarkStart w:id="174" w:name="_Toc461102488"/>
      <w:bookmarkStart w:id="175" w:name="_Toc461109655"/>
      <w:bookmarkStart w:id="176" w:name="_Toc461102347"/>
      <w:bookmarkStart w:id="177" w:name="_Toc461102410"/>
      <w:bookmarkStart w:id="178" w:name="_Toc461102489"/>
      <w:bookmarkStart w:id="179" w:name="_Toc461109656"/>
      <w:bookmarkStart w:id="180" w:name="_Toc461102348"/>
      <w:bookmarkStart w:id="181" w:name="_Toc461102411"/>
      <w:bookmarkStart w:id="182" w:name="_Toc461102490"/>
      <w:bookmarkStart w:id="183" w:name="_Toc461109657"/>
      <w:bookmarkStart w:id="184" w:name="_Toc461102349"/>
      <w:bookmarkStart w:id="185" w:name="_Toc461102412"/>
      <w:bookmarkStart w:id="186" w:name="_Toc461102491"/>
      <w:bookmarkStart w:id="187" w:name="_Toc461109658"/>
      <w:bookmarkStart w:id="188" w:name="_Toc461702405"/>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r w:rsidRPr="00C3320D">
        <w:rPr>
          <w:rFonts w:cs="Arial"/>
          <w:szCs w:val="22"/>
        </w:rPr>
        <w:t>ASSIGNMENT AND NOVATION</w:t>
      </w:r>
      <w:bookmarkEnd w:id="188"/>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89"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89"/>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90"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90"/>
    </w:p>
    <w:p w14:paraId="0AA5A8A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91" w:name="_Toc461702406"/>
      <w:r w:rsidRPr="00C3320D">
        <w:rPr>
          <w:rFonts w:cs="Arial"/>
          <w:szCs w:val="22"/>
        </w:rPr>
        <w:t>WAIVER</w:t>
      </w:r>
      <w:r w:rsidR="00312EB4" w:rsidRPr="00C3320D">
        <w:rPr>
          <w:rFonts w:cs="Arial"/>
          <w:szCs w:val="22"/>
        </w:rPr>
        <w:t xml:space="preserve"> AND CUMULATIVE REMEDIES</w:t>
      </w:r>
      <w:bookmarkEnd w:id="191"/>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92" w:name="_Toc461102352"/>
      <w:bookmarkStart w:id="193" w:name="_Toc461102415"/>
      <w:bookmarkStart w:id="194" w:name="_Toc461102494"/>
      <w:bookmarkStart w:id="195" w:name="_Toc461109661"/>
      <w:bookmarkStart w:id="196" w:name="_Toc461102353"/>
      <w:bookmarkStart w:id="197" w:name="_Toc461102416"/>
      <w:bookmarkStart w:id="198" w:name="_Toc461102495"/>
      <w:bookmarkStart w:id="199" w:name="_Toc461109662"/>
      <w:bookmarkStart w:id="200" w:name="_Toc461102354"/>
      <w:bookmarkStart w:id="201" w:name="_Toc461102417"/>
      <w:bookmarkStart w:id="202" w:name="_Toc461102496"/>
      <w:bookmarkStart w:id="203" w:name="_Toc461109663"/>
      <w:bookmarkStart w:id="204" w:name="_Toc461102355"/>
      <w:bookmarkStart w:id="205" w:name="_Toc461102418"/>
      <w:bookmarkStart w:id="206" w:name="_Toc461102497"/>
      <w:bookmarkStart w:id="207" w:name="_Toc461109664"/>
      <w:bookmarkStart w:id="208" w:name="_Toc461102356"/>
      <w:bookmarkStart w:id="209" w:name="_Toc461102419"/>
      <w:bookmarkStart w:id="210" w:name="_Toc461102498"/>
      <w:bookmarkStart w:id="211" w:name="_Toc461109665"/>
      <w:bookmarkStart w:id="212" w:name="_Toc461702407"/>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r w:rsidRPr="00C3320D">
        <w:rPr>
          <w:rFonts w:cs="Arial"/>
          <w:szCs w:val="22"/>
        </w:rPr>
        <w:t>FURTHER ASSURANCES</w:t>
      </w:r>
      <w:bookmarkEnd w:id="212"/>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213" w:name="_Toc461702408"/>
      <w:r w:rsidRPr="00C3320D">
        <w:rPr>
          <w:rFonts w:cs="Arial"/>
          <w:szCs w:val="22"/>
        </w:rPr>
        <w:t>SEVERABILITY</w:t>
      </w:r>
      <w:bookmarkEnd w:id="213"/>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214" w:name="_Toc461702409"/>
      <w:r w:rsidRPr="00C3320D">
        <w:rPr>
          <w:rFonts w:cs="Arial"/>
          <w:szCs w:val="22"/>
        </w:rPr>
        <w:t>RELATIONSHIP OF THE PARTIES</w:t>
      </w:r>
      <w:bookmarkEnd w:id="214"/>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215" w:name="_Toc461702410"/>
      <w:r w:rsidRPr="00C3320D">
        <w:rPr>
          <w:rFonts w:cs="Arial"/>
          <w:szCs w:val="22"/>
        </w:rPr>
        <w:t>ENTIRE AGREEMENT</w:t>
      </w:r>
      <w:bookmarkEnd w:id="215"/>
    </w:p>
    <w:p w14:paraId="1B57DF5A" w14:textId="77777777" w:rsidR="00F807DC" w:rsidRPr="00C3320D" w:rsidRDefault="00837B0E" w:rsidP="00D40F55">
      <w:pPr>
        <w:pStyle w:val="Heading2"/>
        <w:spacing w:before="120" w:after="120"/>
        <w:rPr>
          <w:rFonts w:cs="Arial"/>
          <w:szCs w:val="22"/>
        </w:rPr>
      </w:pPr>
      <w:bookmarkStart w:id="216"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216"/>
    </w:p>
    <w:p w14:paraId="15204E5F" w14:textId="77777777" w:rsidR="00F807DC" w:rsidRPr="00C3320D" w:rsidRDefault="007562F7" w:rsidP="00D40F55">
      <w:pPr>
        <w:pStyle w:val="Heading2"/>
        <w:spacing w:before="120" w:after="120"/>
        <w:rPr>
          <w:rFonts w:cs="Arial"/>
          <w:szCs w:val="22"/>
        </w:rPr>
      </w:pPr>
      <w:bookmarkStart w:id="217"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217"/>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218" w:name="_Toc461102361"/>
      <w:bookmarkStart w:id="219" w:name="_Toc461102424"/>
      <w:bookmarkStart w:id="220" w:name="_Toc461102503"/>
      <w:bookmarkStart w:id="221" w:name="_Toc461109670"/>
      <w:bookmarkStart w:id="222" w:name="_Toc461102362"/>
      <w:bookmarkStart w:id="223" w:name="_Toc461102425"/>
      <w:bookmarkStart w:id="224" w:name="_Toc461102504"/>
      <w:bookmarkStart w:id="225" w:name="_Toc461109671"/>
      <w:bookmarkStart w:id="226" w:name="_Ref313370095"/>
      <w:bookmarkStart w:id="227" w:name="_Toc461702411"/>
      <w:bookmarkEnd w:id="218"/>
      <w:bookmarkEnd w:id="219"/>
      <w:bookmarkEnd w:id="220"/>
      <w:bookmarkEnd w:id="221"/>
      <w:bookmarkEnd w:id="222"/>
      <w:bookmarkEnd w:id="223"/>
      <w:bookmarkEnd w:id="224"/>
      <w:bookmarkEnd w:id="225"/>
      <w:r w:rsidRPr="00C3320D">
        <w:rPr>
          <w:rFonts w:cs="Arial"/>
          <w:szCs w:val="22"/>
        </w:rPr>
        <w:t>CONTRACTS (RIGHTS OF THIRD PARTIES) ACT</w:t>
      </w:r>
      <w:bookmarkEnd w:id="226"/>
      <w:bookmarkEnd w:id="227"/>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28"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29" w:name="_Toc461702412"/>
      <w:r w:rsidRPr="00C3320D">
        <w:rPr>
          <w:rFonts w:cs="Arial"/>
          <w:szCs w:val="22"/>
        </w:rPr>
        <w:t>NOTICES</w:t>
      </w:r>
      <w:bookmarkEnd w:id="228"/>
      <w:bookmarkEnd w:id="229"/>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30"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lastRenderedPageBreak/>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30"/>
    </w:p>
    <w:p w14:paraId="28A053EE" w14:textId="77777777" w:rsidR="00F807DC" w:rsidRPr="00C3320D" w:rsidRDefault="007562F7" w:rsidP="00D40F55">
      <w:pPr>
        <w:pStyle w:val="Heading2"/>
        <w:spacing w:before="120" w:after="120"/>
        <w:rPr>
          <w:rFonts w:cs="Arial"/>
          <w:szCs w:val="22"/>
        </w:rPr>
      </w:pPr>
      <w:bookmarkStart w:id="231"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31"/>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32" w:name="_Toc461102365"/>
      <w:bookmarkStart w:id="233" w:name="_Toc461102428"/>
      <w:bookmarkStart w:id="234" w:name="_Toc461102507"/>
      <w:bookmarkStart w:id="235" w:name="_Toc461109674"/>
      <w:bookmarkStart w:id="236" w:name="_Toc314810842"/>
      <w:bookmarkStart w:id="237" w:name="_Toc461702413"/>
      <w:bookmarkEnd w:id="232"/>
      <w:bookmarkEnd w:id="233"/>
      <w:bookmarkEnd w:id="234"/>
      <w:bookmarkEnd w:id="235"/>
      <w:r w:rsidRPr="00C3320D">
        <w:rPr>
          <w:rFonts w:cs="Arial"/>
          <w:szCs w:val="22"/>
        </w:rPr>
        <w:t>DISPUTES AND LAW</w:t>
      </w:r>
      <w:bookmarkEnd w:id="236"/>
      <w:bookmarkEnd w:id="237"/>
    </w:p>
    <w:p w14:paraId="5958DD30" w14:textId="77777777" w:rsidR="00185555" w:rsidRPr="00C3320D" w:rsidRDefault="00185555" w:rsidP="00D40F55">
      <w:pPr>
        <w:pStyle w:val="Heading2"/>
        <w:keepNext/>
        <w:spacing w:before="120" w:after="120"/>
        <w:rPr>
          <w:rFonts w:cs="Arial"/>
          <w:szCs w:val="22"/>
        </w:rPr>
      </w:pPr>
      <w:bookmarkStart w:id="238" w:name="_Ref313370109"/>
      <w:r w:rsidRPr="00C3320D">
        <w:rPr>
          <w:rFonts w:cs="Arial"/>
          <w:szCs w:val="22"/>
        </w:rPr>
        <w:t>Governing Law and Jurisdiction</w:t>
      </w:r>
      <w:bookmarkEnd w:id="238"/>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39" w:name="_Ref313372098"/>
      <w:r w:rsidRPr="00C3320D">
        <w:rPr>
          <w:rFonts w:cs="Arial"/>
          <w:szCs w:val="22"/>
        </w:rPr>
        <w:t>Dispute Resolution</w:t>
      </w:r>
      <w:bookmarkEnd w:id="239"/>
    </w:p>
    <w:p w14:paraId="2F12A5E2" w14:textId="77777777" w:rsidR="00185555" w:rsidRPr="00C3320D" w:rsidRDefault="00185555" w:rsidP="00D40F55">
      <w:pPr>
        <w:pStyle w:val="Heading3"/>
        <w:spacing w:before="120" w:after="120"/>
        <w:rPr>
          <w:rFonts w:cs="Arial"/>
          <w:szCs w:val="22"/>
        </w:rPr>
      </w:pPr>
      <w:bookmarkStart w:id="240"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40"/>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41" w:name="_Ref313371432"/>
      <w:r w:rsidRPr="00C3320D">
        <w:rPr>
          <w:rFonts w:cs="Arial"/>
          <w:szCs w:val="22"/>
        </w:rPr>
        <w:lastRenderedPageBreak/>
        <w:t>The procedure for mediation is as follows:</w:t>
      </w:r>
      <w:bookmarkEnd w:id="241"/>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42"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42"/>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43" w:name="_Toc127759065"/>
      <w:bookmarkStart w:id="244" w:name="_Toc139080105"/>
      <w:bookmarkStart w:id="245" w:name="_Toc296514644"/>
      <w:bookmarkStart w:id="246" w:name="_Toc297577110"/>
      <w:bookmarkStart w:id="247" w:name="_Toc297577509"/>
      <w:bookmarkStart w:id="248" w:name="_Toc297624436"/>
    </w:p>
    <w:bookmarkEnd w:id="243"/>
    <w:bookmarkEnd w:id="244"/>
    <w:bookmarkEnd w:id="245"/>
    <w:bookmarkEnd w:id="246"/>
    <w:bookmarkEnd w:id="247"/>
    <w:bookmarkEnd w:id="248"/>
    <w:p w14:paraId="5DB68827" w14:textId="77777777" w:rsidR="00F807DC" w:rsidRPr="00C3320D" w:rsidRDefault="00F807DC" w:rsidP="00D40F55">
      <w:pPr>
        <w:pStyle w:val="Heading4"/>
        <w:spacing w:before="120" w:after="120"/>
        <w:rPr>
          <w:rFonts w:cs="Arial"/>
          <w:szCs w:val="22"/>
        </w:rPr>
        <w:sectPr w:rsidR="00F807DC" w:rsidRPr="00C3320D" w:rsidSect="00764633">
          <w:headerReference w:type="even" r:id="rId12"/>
          <w:headerReference w:type="default" r:id="rId13"/>
          <w:footerReference w:type="even" r:id="rId14"/>
          <w:footerReference w:type="default" r:id="rId15"/>
          <w:headerReference w:type="first" r:id="rId16"/>
          <w:footerReference w:type="first" r:id="rId17"/>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49" w:name="_Toc431551184"/>
      <w:bookmarkStart w:id="250" w:name="_Toc461702414"/>
      <w:bookmarkStart w:id="251" w:name="bmCompoundReference"/>
      <w:r w:rsidRPr="00C3320D">
        <w:rPr>
          <w:rFonts w:cs="Arial"/>
          <w:szCs w:val="22"/>
        </w:rPr>
        <w:lastRenderedPageBreak/>
        <w:t xml:space="preserve">CONTRACT </w:t>
      </w:r>
      <w:r w:rsidR="00D02ECD" w:rsidRPr="00C3320D">
        <w:rPr>
          <w:rFonts w:cs="Arial"/>
          <w:szCs w:val="22"/>
        </w:rPr>
        <w:t>SCHEDULE 1: DEFINITIONS</w:t>
      </w:r>
      <w:bookmarkEnd w:id="249"/>
      <w:bookmarkEnd w:id="250"/>
    </w:p>
    <w:p w14:paraId="0A0481F9" w14:textId="77777777" w:rsidR="005C28AA" w:rsidRPr="00C3320D" w:rsidRDefault="00D02ECD" w:rsidP="0089289C">
      <w:pPr>
        <w:pStyle w:val="ScheduleL1"/>
        <w:numPr>
          <w:ilvl w:val="0"/>
          <w:numId w:val="25"/>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89289C">
            <w:pPr>
              <w:pStyle w:val="BodyTextIndent"/>
              <w:numPr>
                <w:ilvl w:val="0"/>
                <w:numId w:val="17"/>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89289C">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8928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8928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8928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8928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8928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89289C">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89289C">
            <w:pPr>
              <w:pStyle w:val="BodyTextIndent"/>
              <w:numPr>
                <w:ilvl w:val="0"/>
                <w:numId w:val="17"/>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69ACDDCC" w:rsidR="00A72942" w:rsidRPr="004B03D0" w:rsidRDefault="00A72942" w:rsidP="004B03D0">
            <w:pPr>
              <w:pStyle w:val="BodyTextIndent"/>
              <w:tabs>
                <w:tab w:val="clear" w:pos="720"/>
              </w:tabs>
              <w:overflowPunct w:val="0"/>
              <w:autoSpaceDE w:val="0"/>
              <w:autoSpaceDN w:val="0"/>
              <w:spacing w:before="120" w:after="120"/>
              <w:ind w:left="0" w:hanging="33"/>
              <w:textAlignment w:val="baseline"/>
              <w:rPr>
                <w:rFonts w:cs="Arial"/>
                <w:szCs w:val="22"/>
              </w:rPr>
            </w:pPr>
            <w:r w:rsidRPr="004B03D0">
              <w:rPr>
                <w:rFonts w:cs="Arial"/>
                <w:szCs w:val="22"/>
              </w:rPr>
              <w:t xml:space="preserve">means the panel agreement between the Authority and the Supplier dated </w:t>
            </w:r>
            <w:r w:rsidR="004B03D0" w:rsidRPr="004B03D0">
              <w:rPr>
                <w:rFonts w:cs="Arial"/>
                <w:szCs w:val="22"/>
              </w:rPr>
              <w:t xml:space="preserve">Rail 31/05/2017 </w:t>
            </w:r>
            <w:r w:rsidRPr="004B03D0">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4B03D0"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4B03D0">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89289C">
            <w:pPr>
              <w:pStyle w:val="GPsDefinition"/>
              <w:numPr>
                <w:ilvl w:val="0"/>
                <w:numId w:val="35"/>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89289C">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89289C">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89289C">
            <w:pPr>
              <w:pStyle w:val="GPSDefinitionL2"/>
              <w:numPr>
                <w:ilvl w:val="1"/>
                <w:numId w:val="35"/>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8"/>
          <w:headerReference w:type="default" r:id="rId19"/>
          <w:footerReference w:type="even" r:id="rId20"/>
          <w:headerReference w:type="first" r:id="rId21"/>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52" w:name="_Ref313382840"/>
      <w:bookmarkStart w:id="253" w:name="_Toc314810852"/>
      <w:bookmarkStart w:id="254" w:name="_Ref349134118"/>
      <w:bookmarkStart w:id="255" w:name="_Toc350503094"/>
      <w:bookmarkStart w:id="256" w:name="_Toc350504084"/>
      <w:bookmarkStart w:id="257" w:name="_Toc351710926"/>
      <w:bookmarkStart w:id="258" w:name="_Toc358671836"/>
      <w:bookmarkStart w:id="259" w:name="_Toc431551203"/>
      <w:bookmarkStart w:id="260" w:name="_Toc461702415"/>
      <w:bookmarkEnd w:id="251"/>
      <w:r w:rsidRPr="00C3320D">
        <w:rPr>
          <w:rFonts w:cs="Arial"/>
          <w:szCs w:val="22"/>
        </w:rPr>
        <w:t xml:space="preserve">CONTRACT </w:t>
      </w:r>
      <w:r w:rsidR="00EE4546" w:rsidRPr="00C3320D">
        <w:rPr>
          <w:rFonts w:cs="Arial"/>
          <w:szCs w:val="22"/>
        </w:rPr>
        <w:t>SCHEDULE 2: EXIT MANAGEMENT</w:t>
      </w:r>
      <w:bookmarkEnd w:id="252"/>
      <w:bookmarkEnd w:id="253"/>
      <w:bookmarkEnd w:id="254"/>
      <w:bookmarkEnd w:id="255"/>
      <w:bookmarkEnd w:id="256"/>
      <w:bookmarkEnd w:id="257"/>
      <w:bookmarkEnd w:id="258"/>
      <w:bookmarkEnd w:id="259"/>
      <w:bookmarkEnd w:id="260"/>
    </w:p>
    <w:p w14:paraId="21C64077" w14:textId="77777777" w:rsidR="00EE4546" w:rsidRPr="00C3320D" w:rsidRDefault="00EE4546" w:rsidP="0089289C">
      <w:pPr>
        <w:pStyle w:val="GPSL1CLAUSEHEADING"/>
        <w:numPr>
          <w:ilvl w:val="0"/>
          <w:numId w:val="32"/>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89289C">
      <w:pPr>
        <w:pStyle w:val="GPSL1SCHEDULEHeading"/>
        <w:numPr>
          <w:ilvl w:val="0"/>
          <w:numId w:val="18"/>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89289C">
      <w:pPr>
        <w:pStyle w:val="GPSL1SCHEDULEHeading"/>
        <w:numPr>
          <w:ilvl w:val="0"/>
          <w:numId w:val="18"/>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61" w:name="_Ref364241015"/>
      <w:r w:rsidRPr="00C3320D">
        <w:rPr>
          <w:rFonts w:ascii="Arial" w:hAnsi="Arial"/>
        </w:rPr>
        <w:t>create and maintain a Register of all:</w:t>
      </w:r>
      <w:bookmarkEnd w:id="261"/>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62"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62"/>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63"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63"/>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64"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64"/>
    </w:p>
    <w:p w14:paraId="54A9E6BF" w14:textId="77777777" w:rsidR="00EE4546" w:rsidRPr="00C3320D" w:rsidRDefault="00EE4546" w:rsidP="0089289C">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65"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65"/>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66"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66"/>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89289C">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67"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68" w:name="_Ref364270026"/>
      <w:r w:rsidRPr="00C3320D">
        <w:rPr>
          <w:rFonts w:ascii="Arial" w:hAnsi="Arial"/>
        </w:rPr>
        <w:t>Unless otherwise specified by the Customer or Approved, the Exit Plan shall set out, as a minimum:</w:t>
      </w:r>
      <w:bookmarkEnd w:id="268"/>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67"/>
    <w:p w14:paraId="0A7104E2" w14:textId="77777777" w:rsidR="00EE4546" w:rsidRPr="00C3320D" w:rsidRDefault="00EE4546" w:rsidP="0089289C">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69"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69"/>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70"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70"/>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89289C">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71"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71"/>
    </w:p>
    <w:p w14:paraId="6D3D33C3" w14:textId="77777777" w:rsidR="00EE4546" w:rsidRPr="00C3320D" w:rsidRDefault="00EE4546" w:rsidP="00D40F55">
      <w:pPr>
        <w:pStyle w:val="GPSL3numberedclause"/>
        <w:rPr>
          <w:rFonts w:ascii="Arial" w:hAnsi="Arial"/>
        </w:rPr>
      </w:pPr>
      <w:bookmarkStart w:id="272"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72"/>
    </w:p>
    <w:p w14:paraId="3A36C9B8" w14:textId="77777777" w:rsidR="00EE4546" w:rsidRPr="00C3320D" w:rsidRDefault="00EE4546" w:rsidP="00D40F55">
      <w:pPr>
        <w:pStyle w:val="GPSL3numberedclause"/>
        <w:rPr>
          <w:rFonts w:ascii="Arial" w:hAnsi="Arial"/>
        </w:rPr>
      </w:pPr>
      <w:bookmarkStart w:id="273" w:name="_Ref27372751"/>
      <w:bookmarkStart w:id="274" w:name="_Ref127426020"/>
      <w:r w:rsidRPr="00C3320D">
        <w:rPr>
          <w:rFonts w:ascii="Arial" w:hAnsi="Arial"/>
        </w:rPr>
        <w:t>at the Customer's request and on reasonable notice, deliver up-to-date Registers to the</w:t>
      </w:r>
      <w:bookmarkEnd w:id="273"/>
      <w:r w:rsidRPr="00C3320D">
        <w:rPr>
          <w:rFonts w:ascii="Arial" w:hAnsi="Arial"/>
        </w:rPr>
        <w:t xml:space="preserve"> Customer.</w:t>
      </w:r>
      <w:bookmarkEnd w:id="274"/>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89289C">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75" w:name="_Ref127352385"/>
      <w:r w:rsidRPr="00C3320D">
        <w:rPr>
          <w:rFonts w:ascii="Arial" w:hAnsi="Arial"/>
        </w:rPr>
        <w:t>The Supplier shall comply with all of its obligations contained in the Exit Plan.</w:t>
      </w:r>
      <w:bookmarkEnd w:id="275"/>
    </w:p>
    <w:p w14:paraId="06A3AE66" w14:textId="77777777" w:rsidR="00EE4546" w:rsidRPr="00C3320D" w:rsidRDefault="00EE4546" w:rsidP="00D40F55">
      <w:pPr>
        <w:pStyle w:val="GPSL2numberedclause"/>
        <w:rPr>
          <w:rFonts w:ascii="Arial" w:hAnsi="Arial"/>
        </w:rPr>
      </w:pPr>
      <w:bookmarkStart w:id="276"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76"/>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77" w:name="_DV_M565"/>
      <w:bookmarkEnd w:id="277"/>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78"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78"/>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79"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79"/>
    </w:p>
    <w:p w14:paraId="0B2342CC" w14:textId="77777777" w:rsidR="00EE4546" w:rsidRPr="00C3320D" w:rsidRDefault="00EE4546" w:rsidP="0089289C">
      <w:pPr>
        <w:pStyle w:val="GPSL1SCHEDULEHeading"/>
        <w:numPr>
          <w:ilvl w:val="0"/>
          <w:numId w:val="18"/>
        </w:numPr>
        <w:spacing w:before="120" w:after="120"/>
        <w:rPr>
          <w:rFonts w:ascii="Arial" w:hAnsi="Arial"/>
        </w:rPr>
      </w:pPr>
      <w:bookmarkStart w:id="280" w:name="_Ref127425445"/>
      <w:r w:rsidRPr="00C3320D">
        <w:rPr>
          <w:rFonts w:ascii="Arial" w:hAnsi="Arial"/>
        </w:rPr>
        <w:t xml:space="preserve">ASSETS and SUB-CONTRACTS </w:t>
      </w:r>
      <w:bookmarkEnd w:id="280"/>
    </w:p>
    <w:p w14:paraId="62C6516B" w14:textId="77777777" w:rsidR="00EE4546" w:rsidRPr="00C3320D" w:rsidRDefault="00EE4546" w:rsidP="00D40F55">
      <w:pPr>
        <w:pStyle w:val="GPSL2numberedclause"/>
        <w:rPr>
          <w:rFonts w:ascii="Arial" w:hAnsi="Arial"/>
        </w:rPr>
      </w:pPr>
      <w:bookmarkStart w:id="281" w:name="_Ref127425768"/>
      <w:r w:rsidRPr="00C3320D">
        <w:rPr>
          <w:rFonts w:ascii="Arial" w:hAnsi="Arial"/>
        </w:rPr>
        <w:t>Following notice of termination of this Contract  and during the Termination Assistance Period, the Supplier shall not, without the Customer's prior written consent:</w:t>
      </w:r>
      <w:bookmarkEnd w:id="281"/>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82"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82"/>
    </w:p>
    <w:p w14:paraId="70E3987E" w14:textId="77777777" w:rsidR="00EE4546" w:rsidRPr="00C3320D" w:rsidRDefault="00EE4546" w:rsidP="00D40F55">
      <w:pPr>
        <w:pStyle w:val="GPSL3numberedclause"/>
        <w:rPr>
          <w:rFonts w:ascii="Arial" w:hAnsi="Arial"/>
        </w:rPr>
      </w:pPr>
      <w:bookmarkStart w:id="283" w:name="_Ref364352534"/>
      <w:bookmarkStart w:id="284"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83"/>
      <w:r w:rsidRPr="00C3320D">
        <w:rPr>
          <w:rFonts w:ascii="Arial" w:hAnsi="Arial"/>
        </w:rPr>
        <w:t xml:space="preserve"> </w:t>
      </w:r>
      <w:bookmarkEnd w:id="284"/>
    </w:p>
    <w:p w14:paraId="665E12EE" w14:textId="77777777" w:rsidR="00EE4546" w:rsidRPr="00C3320D" w:rsidRDefault="00EE4546" w:rsidP="00D40F55">
      <w:pPr>
        <w:pStyle w:val="GPSL3numberedclause"/>
        <w:rPr>
          <w:rFonts w:ascii="Arial" w:hAnsi="Arial"/>
        </w:rPr>
      </w:pPr>
      <w:bookmarkStart w:id="285" w:name="a301038"/>
      <w:bookmarkStart w:id="286" w:name="_Ref364350801"/>
      <w:bookmarkStart w:id="287" w:name="_Ref127958943"/>
      <w:bookmarkEnd w:id="285"/>
      <w:r w:rsidRPr="00C3320D">
        <w:rPr>
          <w:rFonts w:ascii="Arial" w:hAnsi="Arial"/>
        </w:rPr>
        <w:t>which, if any, of:</w:t>
      </w:r>
      <w:bookmarkEnd w:id="286"/>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88"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87"/>
      <w:bookmarkEnd w:id="288"/>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89"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89"/>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90"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91" w:name="_Ref127426673"/>
      <w:bookmarkEnd w:id="290"/>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91"/>
    </w:p>
    <w:p w14:paraId="22A18A65" w14:textId="77777777" w:rsidR="00EE4546" w:rsidRPr="00C3320D" w:rsidRDefault="00EE4546" w:rsidP="00D40F55">
      <w:pPr>
        <w:pStyle w:val="GPSL2numberedclause"/>
        <w:rPr>
          <w:rFonts w:ascii="Arial" w:hAnsi="Arial"/>
        </w:rPr>
      </w:pPr>
      <w:bookmarkStart w:id="292"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92"/>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93"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93"/>
    </w:p>
    <w:p w14:paraId="74833E86" w14:textId="77777777" w:rsidR="00EE4546" w:rsidRPr="00C3320D" w:rsidRDefault="00EE4546" w:rsidP="0089289C">
      <w:pPr>
        <w:pStyle w:val="GPSL1SCHEDULEHeading"/>
        <w:numPr>
          <w:ilvl w:val="0"/>
          <w:numId w:val="18"/>
        </w:numPr>
        <w:spacing w:before="120" w:after="120"/>
        <w:rPr>
          <w:rFonts w:ascii="Arial" w:hAnsi="Arial"/>
        </w:rPr>
      </w:pPr>
      <w:bookmarkStart w:id="294" w:name="_DV_M564"/>
      <w:bookmarkStart w:id="295" w:name="_DV_M566"/>
      <w:bookmarkStart w:id="296" w:name="_DV_M567"/>
      <w:bookmarkEnd w:id="294"/>
      <w:bookmarkEnd w:id="295"/>
      <w:bookmarkEnd w:id="296"/>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89289C">
      <w:pPr>
        <w:pStyle w:val="GPSL1SCHEDULEHeading"/>
        <w:numPr>
          <w:ilvl w:val="0"/>
          <w:numId w:val="18"/>
        </w:numPr>
        <w:spacing w:before="120" w:after="120"/>
        <w:rPr>
          <w:rFonts w:ascii="Arial" w:hAnsi="Arial"/>
        </w:rPr>
      </w:pPr>
      <w:bookmarkStart w:id="297" w:name="_Ref127425458"/>
      <w:r w:rsidRPr="00C3320D">
        <w:rPr>
          <w:rFonts w:ascii="Arial" w:hAnsi="Arial"/>
        </w:rPr>
        <w:t xml:space="preserve">CHARGES </w:t>
      </w:r>
      <w:bookmarkEnd w:id="297"/>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89289C">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98"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99" w:name="_Ref127426852"/>
      <w:r w:rsidRPr="00C3320D">
        <w:rPr>
          <w:rFonts w:ascii="Arial" w:hAnsi="Arial"/>
        </w:rPr>
        <w:t>) as follows:</w:t>
      </w:r>
      <w:bookmarkEnd w:id="298"/>
      <w:bookmarkEnd w:id="299"/>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300" w:name="_Toc431551204"/>
      <w:bookmarkStart w:id="301" w:name="_Toc461702416"/>
      <w:r w:rsidRPr="00C3320D">
        <w:rPr>
          <w:rFonts w:cs="Arial"/>
          <w:szCs w:val="22"/>
        </w:rPr>
        <w:lastRenderedPageBreak/>
        <w:t>CONTRACT SCHEDULE 3: STAFF TRANSFER</w:t>
      </w:r>
      <w:bookmarkEnd w:id="300"/>
      <w:bookmarkEnd w:id="301"/>
    </w:p>
    <w:p w14:paraId="30C43DC8" w14:textId="77777777" w:rsidR="00FA30C4" w:rsidRPr="00C3320D" w:rsidRDefault="00FA30C4" w:rsidP="0089289C">
      <w:pPr>
        <w:pStyle w:val="GPSL1CLAUSEHEADING"/>
        <w:numPr>
          <w:ilvl w:val="0"/>
          <w:numId w:val="33"/>
        </w:numPr>
        <w:spacing w:before="120" w:after="120"/>
        <w:rPr>
          <w:rFonts w:ascii="Arial" w:hAnsi="Arial"/>
        </w:rPr>
      </w:pPr>
      <w:bookmarkStart w:id="302" w:name="_Ref384036770"/>
      <w:r w:rsidRPr="00C3320D">
        <w:rPr>
          <w:rFonts w:ascii="Arial" w:hAnsi="Arial"/>
        </w:rPr>
        <w:t>DEFINITIONS</w:t>
      </w:r>
      <w:bookmarkEnd w:id="302"/>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8928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8928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8928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8928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89289C">
            <w:pPr>
              <w:pStyle w:val="Guidancenoteparagraphtext"/>
              <w:numPr>
                <w:ilvl w:val="0"/>
                <w:numId w:val="27"/>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8928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8928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8928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8928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89289C">
            <w:pPr>
              <w:pStyle w:val="Guidancenoteparagraphtext"/>
              <w:numPr>
                <w:ilvl w:val="0"/>
                <w:numId w:val="27"/>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303"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303"/>
    </w:p>
    <w:p w14:paraId="6E6E0EFF" w14:textId="77777777" w:rsidR="00FA30C4" w:rsidRPr="00C3320D" w:rsidRDefault="00FA30C4" w:rsidP="00D40F55">
      <w:pPr>
        <w:pStyle w:val="GPSL2numberedclause"/>
        <w:rPr>
          <w:rFonts w:ascii="Arial" w:hAnsi="Arial"/>
        </w:rPr>
      </w:pPr>
      <w:bookmarkStart w:id="304"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304"/>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05" w:name="_Toc431551205"/>
      <w:r w:rsidRPr="00C3320D">
        <w:rPr>
          <w:rFonts w:ascii="Arial" w:hAnsi="Arial" w:cs="Arial"/>
        </w:rPr>
        <w:lastRenderedPageBreak/>
        <w:t>ANNEX TO PART A: PENSIONS</w:t>
      </w:r>
      <w:bookmarkEnd w:id="305"/>
    </w:p>
    <w:p w14:paraId="7F1EC1C8" w14:textId="77777777" w:rsidR="00FA30C4" w:rsidRPr="00884ACC" w:rsidRDefault="00FA30C4" w:rsidP="0089289C">
      <w:pPr>
        <w:pStyle w:val="GPSL1CLAUSEHEADING"/>
        <w:numPr>
          <w:ilvl w:val="0"/>
          <w:numId w:val="36"/>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306"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06"/>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89289C">
      <w:pPr>
        <w:pStyle w:val="GPSL1CLAUSEHEADING"/>
        <w:numPr>
          <w:ilvl w:val="0"/>
          <w:numId w:val="37"/>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307" w:name="_Toc431551206"/>
      <w:r w:rsidRPr="00C3320D">
        <w:rPr>
          <w:rFonts w:ascii="Arial" w:hAnsi="Arial" w:cs="Arial"/>
        </w:rPr>
        <w:lastRenderedPageBreak/>
        <w:t>ANNEX TO PART B: Pensions</w:t>
      </w:r>
      <w:bookmarkEnd w:id="307"/>
    </w:p>
    <w:p w14:paraId="5EE2FF19" w14:textId="77777777" w:rsidR="00FA30C4" w:rsidRPr="00DB297D" w:rsidRDefault="00FA30C4" w:rsidP="0089289C">
      <w:pPr>
        <w:pStyle w:val="GPSL1CLAUSEHEADING"/>
        <w:numPr>
          <w:ilvl w:val="0"/>
          <w:numId w:val="38"/>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308"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308"/>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89289C">
      <w:pPr>
        <w:pStyle w:val="GPSL1CLAUSEHEADING"/>
        <w:numPr>
          <w:ilvl w:val="0"/>
          <w:numId w:val="39"/>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89289C">
      <w:pPr>
        <w:pStyle w:val="GPSL1CLAUSEHEADING"/>
        <w:numPr>
          <w:ilvl w:val="0"/>
          <w:numId w:val="40"/>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89289C">
      <w:pPr>
        <w:pStyle w:val="GPSL1SCHEDULEHeading"/>
        <w:numPr>
          <w:ilvl w:val="0"/>
          <w:numId w:val="18"/>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DD8DB38" w:rsidR="00FA30C4"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309"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309"/>
    </w:p>
    <w:p w14:paraId="035EFF3D" w14:textId="77777777" w:rsidR="004B03D0" w:rsidRPr="00C3320D" w:rsidRDefault="004B03D0" w:rsidP="004B03D0">
      <w:pPr>
        <w:pStyle w:val="GPSSchAnnexname"/>
        <w:spacing w:before="120" w:after="120"/>
        <w:rPr>
          <w:rFonts w:ascii="Arial" w:hAnsi="Arial" w:cs="Arial"/>
        </w:rPr>
      </w:pPr>
    </w:p>
    <w:p w14:paraId="6D9CBF12" w14:textId="3CEB41FC" w:rsidR="007F2EC5" w:rsidRDefault="004B03D0" w:rsidP="004B03D0">
      <w:pPr>
        <w:overflowPunct/>
        <w:autoSpaceDE/>
        <w:autoSpaceDN/>
        <w:adjustRightInd/>
        <w:spacing w:before="120" w:after="120" w:line="240" w:lineRule="auto"/>
        <w:jc w:val="center"/>
        <w:textAlignment w:val="auto"/>
        <w:rPr>
          <w:rFonts w:cs="Arial"/>
          <w:b/>
          <w:szCs w:val="22"/>
        </w:rPr>
      </w:pPr>
      <w:r>
        <w:rPr>
          <w:rFonts w:cs="Arial"/>
          <w:b/>
          <w:szCs w:val="22"/>
        </w:rPr>
        <w:t>Not Applicable</w:t>
      </w:r>
    </w:p>
    <w:p w14:paraId="030403EA" w14:textId="13896109" w:rsidR="004B03D0" w:rsidRDefault="004B03D0" w:rsidP="00D40F55">
      <w:pPr>
        <w:overflowPunct/>
        <w:autoSpaceDE/>
        <w:autoSpaceDN/>
        <w:adjustRightInd/>
        <w:spacing w:before="120" w:after="120" w:line="240" w:lineRule="auto"/>
        <w:jc w:val="left"/>
        <w:textAlignment w:val="auto"/>
        <w:rPr>
          <w:rFonts w:cs="Arial"/>
          <w:b/>
          <w:szCs w:val="22"/>
        </w:rPr>
      </w:pPr>
    </w:p>
    <w:p w14:paraId="185C4387" w14:textId="68AE4AD8" w:rsidR="004B03D0" w:rsidRDefault="004B03D0" w:rsidP="00D40F55">
      <w:pPr>
        <w:overflowPunct/>
        <w:autoSpaceDE/>
        <w:autoSpaceDN/>
        <w:adjustRightInd/>
        <w:spacing w:before="120" w:after="120" w:line="240" w:lineRule="auto"/>
        <w:jc w:val="left"/>
        <w:textAlignment w:val="auto"/>
        <w:rPr>
          <w:rFonts w:cs="Arial"/>
          <w:b/>
          <w:szCs w:val="22"/>
        </w:rPr>
      </w:pPr>
    </w:p>
    <w:p w14:paraId="017A2314" w14:textId="4C9675B4" w:rsidR="004B03D0" w:rsidRDefault="004B03D0" w:rsidP="00D40F55">
      <w:pPr>
        <w:overflowPunct/>
        <w:autoSpaceDE/>
        <w:autoSpaceDN/>
        <w:adjustRightInd/>
        <w:spacing w:before="120" w:after="120" w:line="240" w:lineRule="auto"/>
        <w:jc w:val="left"/>
        <w:textAlignment w:val="auto"/>
        <w:rPr>
          <w:rFonts w:cs="Arial"/>
          <w:b/>
          <w:szCs w:val="22"/>
        </w:rPr>
      </w:pPr>
    </w:p>
    <w:p w14:paraId="432E5E6C" w14:textId="0E8D9F08" w:rsidR="004B03D0" w:rsidRDefault="004B03D0" w:rsidP="00D40F55">
      <w:pPr>
        <w:overflowPunct/>
        <w:autoSpaceDE/>
        <w:autoSpaceDN/>
        <w:adjustRightInd/>
        <w:spacing w:before="120" w:after="120" w:line="240" w:lineRule="auto"/>
        <w:jc w:val="left"/>
        <w:textAlignment w:val="auto"/>
        <w:rPr>
          <w:rFonts w:cs="Arial"/>
          <w:b/>
          <w:szCs w:val="22"/>
        </w:rPr>
      </w:pPr>
    </w:p>
    <w:p w14:paraId="6A1AA8B5" w14:textId="4BB98DAA" w:rsidR="004B03D0" w:rsidRDefault="004B03D0" w:rsidP="00D40F55">
      <w:pPr>
        <w:overflowPunct/>
        <w:autoSpaceDE/>
        <w:autoSpaceDN/>
        <w:adjustRightInd/>
        <w:spacing w:before="120" w:after="120" w:line="240" w:lineRule="auto"/>
        <w:jc w:val="left"/>
        <w:textAlignment w:val="auto"/>
        <w:rPr>
          <w:rFonts w:cs="Arial"/>
          <w:b/>
          <w:szCs w:val="22"/>
        </w:rPr>
      </w:pPr>
    </w:p>
    <w:p w14:paraId="287C9B22" w14:textId="775003C7" w:rsidR="004B03D0" w:rsidRDefault="004B03D0" w:rsidP="00D40F55">
      <w:pPr>
        <w:overflowPunct/>
        <w:autoSpaceDE/>
        <w:autoSpaceDN/>
        <w:adjustRightInd/>
        <w:spacing w:before="120" w:after="120" w:line="240" w:lineRule="auto"/>
        <w:jc w:val="left"/>
        <w:textAlignment w:val="auto"/>
        <w:rPr>
          <w:rFonts w:cs="Arial"/>
          <w:b/>
          <w:szCs w:val="22"/>
        </w:rPr>
      </w:pPr>
    </w:p>
    <w:p w14:paraId="53ADDA95" w14:textId="68FF985E" w:rsidR="004B03D0" w:rsidRDefault="004B03D0" w:rsidP="00D40F55">
      <w:pPr>
        <w:overflowPunct/>
        <w:autoSpaceDE/>
        <w:autoSpaceDN/>
        <w:adjustRightInd/>
        <w:spacing w:before="120" w:after="120" w:line="240" w:lineRule="auto"/>
        <w:jc w:val="left"/>
        <w:textAlignment w:val="auto"/>
        <w:rPr>
          <w:rFonts w:cs="Arial"/>
          <w:b/>
          <w:szCs w:val="22"/>
        </w:rPr>
      </w:pPr>
    </w:p>
    <w:p w14:paraId="30853434" w14:textId="0AB44806" w:rsidR="004B03D0" w:rsidRDefault="004B03D0" w:rsidP="00D40F55">
      <w:pPr>
        <w:overflowPunct/>
        <w:autoSpaceDE/>
        <w:autoSpaceDN/>
        <w:adjustRightInd/>
        <w:spacing w:before="120" w:after="120" w:line="240" w:lineRule="auto"/>
        <w:jc w:val="left"/>
        <w:textAlignment w:val="auto"/>
        <w:rPr>
          <w:rFonts w:cs="Arial"/>
          <w:b/>
          <w:szCs w:val="22"/>
        </w:rPr>
      </w:pPr>
    </w:p>
    <w:p w14:paraId="413BB55E" w14:textId="06767B4B" w:rsidR="004B03D0" w:rsidRDefault="004B03D0" w:rsidP="00D40F55">
      <w:pPr>
        <w:overflowPunct/>
        <w:autoSpaceDE/>
        <w:autoSpaceDN/>
        <w:adjustRightInd/>
        <w:spacing w:before="120" w:after="120" w:line="240" w:lineRule="auto"/>
        <w:jc w:val="left"/>
        <w:textAlignment w:val="auto"/>
        <w:rPr>
          <w:rFonts w:cs="Arial"/>
          <w:b/>
          <w:szCs w:val="22"/>
        </w:rPr>
      </w:pPr>
    </w:p>
    <w:p w14:paraId="0A64A7AB" w14:textId="4C8A0E14" w:rsidR="004B03D0" w:rsidRDefault="004B03D0" w:rsidP="00D40F55">
      <w:pPr>
        <w:overflowPunct/>
        <w:autoSpaceDE/>
        <w:autoSpaceDN/>
        <w:adjustRightInd/>
        <w:spacing w:before="120" w:after="120" w:line="240" w:lineRule="auto"/>
        <w:jc w:val="left"/>
        <w:textAlignment w:val="auto"/>
        <w:rPr>
          <w:rFonts w:cs="Arial"/>
          <w:b/>
          <w:szCs w:val="22"/>
        </w:rPr>
      </w:pPr>
    </w:p>
    <w:p w14:paraId="674B01AF" w14:textId="5647CEEA" w:rsidR="004B03D0" w:rsidRDefault="004B03D0" w:rsidP="00D40F55">
      <w:pPr>
        <w:overflowPunct/>
        <w:autoSpaceDE/>
        <w:autoSpaceDN/>
        <w:adjustRightInd/>
        <w:spacing w:before="120" w:after="120" w:line="240" w:lineRule="auto"/>
        <w:jc w:val="left"/>
        <w:textAlignment w:val="auto"/>
        <w:rPr>
          <w:rFonts w:cs="Arial"/>
          <w:b/>
          <w:szCs w:val="22"/>
        </w:rPr>
      </w:pPr>
    </w:p>
    <w:p w14:paraId="1BD9BA2E" w14:textId="119AC9FE" w:rsidR="004B03D0" w:rsidRDefault="004B03D0" w:rsidP="00D40F55">
      <w:pPr>
        <w:overflowPunct/>
        <w:autoSpaceDE/>
        <w:autoSpaceDN/>
        <w:adjustRightInd/>
        <w:spacing w:before="120" w:after="120" w:line="240" w:lineRule="auto"/>
        <w:jc w:val="left"/>
        <w:textAlignment w:val="auto"/>
        <w:rPr>
          <w:rFonts w:cs="Arial"/>
          <w:b/>
          <w:szCs w:val="22"/>
        </w:rPr>
      </w:pPr>
    </w:p>
    <w:p w14:paraId="7A43DABB" w14:textId="4A51A32B" w:rsidR="004B03D0" w:rsidRDefault="004B03D0" w:rsidP="00D40F55">
      <w:pPr>
        <w:overflowPunct/>
        <w:autoSpaceDE/>
        <w:autoSpaceDN/>
        <w:adjustRightInd/>
        <w:spacing w:before="120" w:after="120" w:line="240" w:lineRule="auto"/>
        <w:jc w:val="left"/>
        <w:textAlignment w:val="auto"/>
        <w:rPr>
          <w:rFonts w:cs="Arial"/>
          <w:b/>
          <w:szCs w:val="22"/>
        </w:rPr>
      </w:pPr>
    </w:p>
    <w:p w14:paraId="38ED9412" w14:textId="00715C41" w:rsidR="004B03D0" w:rsidRDefault="004B03D0" w:rsidP="00D40F55">
      <w:pPr>
        <w:overflowPunct/>
        <w:autoSpaceDE/>
        <w:autoSpaceDN/>
        <w:adjustRightInd/>
        <w:spacing w:before="120" w:after="120" w:line="240" w:lineRule="auto"/>
        <w:jc w:val="left"/>
        <w:textAlignment w:val="auto"/>
        <w:rPr>
          <w:rFonts w:cs="Arial"/>
          <w:b/>
          <w:szCs w:val="22"/>
        </w:rPr>
      </w:pPr>
    </w:p>
    <w:p w14:paraId="17ECD8E5" w14:textId="0989E1C7" w:rsidR="004B03D0" w:rsidRDefault="004B03D0" w:rsidP="00D40F55">
      <w:pPr>
        <w:overflowPunct/>
        <w:autoSpaceDE/>
        <w:autoSpaceDN/>
        <w:adjustRightInd/>
        <w:spacing w:before="120" w:after="120" w:line="240" w:lineRule="auto"/>
        <w:jc w:val="left"/>
        <w:textAlignment w:val="auto"/>
        <w:rPr>
          <w:rFonts w:cs="Arial"/>
          <w:b/>
          <w:szCs w:val="22"/>
        </w:rPr>
      </w:pPr>
    </w:p>
    <w:p w14:paraId="09A737E8" w14:textId="27C9E9C8" w:rsidR="004B03D0" w:rsidRDefault="004B03D0" w:rsidP="00D40F55">
      <w:pPr>
        <w:overflowPunct/>
        <w:autoSpaceDE/>
        <w:autoSpaceDN/>
        <w:adjustRightInd/>
        <w:spacing w:before="120" w:after="120" w:line="240" w:lineRule="auto"/>
        <w:jc w:val="left"/>
        <w:textAlignment w:val="auto"/>
        <w:rPr>
          <w:rFonts w:cs="Arial"/>
          <w:b/>
          <w:szCs w:val="22"/>
        </w:rPr>
      </w:pPr>
    </w:p>
    <w:p w14:paraId="081A6C2F" w14:textId="3E72FAF7" w:rsidR="004B03D0" w:rsidRDefault="004B03D0" w:rsidP="00D40F55">
      <w:pPr>
        <w:overflowPunct/>
        <w:autoSpaceDE/>
        <w:autoSpaceDN/>
        <w:adjustRightInd/>
        <w:spacing w:before="120" w:after="120" w:line="240" w:lineRule="auto"/>
        <w:jc w:val="left"/>
        <w:textAlignment w:val="auto"/>
        <w:rPr>
          <w:rFonts w:cs="Arial"/>
          <w:b/>
          <w:szCs w:val="22"/>
        </w:rPr>
      </w:pPr>
    </w:p>
    <w:p w14:paraId="5C12B710" w14:textId="20743326" w:rsidR="004B03D0" w:rsidRDefault="004B03D0" w:rsidP="00D40F55">
      <w:pPr>
        <w:overflowPunct/>
        <w:autoSpaceDE/>
        <w:autoSpaceDN/>
        <w:adjustRightInd/>
        <w:spacing w:before="120" w:after="120" w:line="240" w:lineRule="auto"/>
        <w:jc w:val="left"/>
        <w:textAlignment w:val="auto"/>
        <w:rPr>
          <w:rFonts w:cs="Arial"/>
          <w:b/>
          <w:szCs w:val="22"/>
        </w:rPr>
      </w:pPr>
    </w:p>
    <w:p w14:paraId="24DB0755" w14:textId="2BFAC8C6" w:rsidR="004B03D0" w:rsidRDefault="004B03D0" w:rsidP="00D40F55">
      <w:pPr>
        <w:overflowPunct/>
        <w:autoSpaceDE/>
        <w:autoSpaceDN/>
        <w:adjustRightInd/>
        <w:spacing w:before="120" w:after="120" w:line="240" w:lineRule="auto"/>
        <w:jc w:val="left"/>
        <w:textAlignment w:val="auto"/>
        <w:rPr>
          <w:rFonts w:cs="Arial"/>
          <w:b/>
          <w:szCs w:val="22"/>
        </w:rPr>
      </w:pPr>
    </w:p>
    <w:p w14:paraId="4EF51065" w14:textId="1E73362B" w:rsidR="004B03D0" w:rsidRDefault="004B03D0" w:rsidP="00D40F55">
      <w:pPr>
        <w:overflowPunct/>
        <w:autoSpaceDE/>
        <w:autoSpaceDN/>
        <w:adjustRightInd/>
        <w:spacing w:before="120" w:after="120" w:line="240" w:lineRule="auto"/>
        <w:jc w:val="left"/>
        <w:textAlignment w:val="auto"/>
        <w:rPr>
          <w:rFonts w:cs="Arial"/>
          <w:b/>
          <w:szCs w:val="22"/>
        </w:rPr>
      </w:pPr>
    </w:p>
    <w:p w14:paraId="44F1CAF7" w14:textId="37DD5D4C" w:rsidR="004B03D0" w:rsidRDefault="004B03D0" w:rsidP="00D40F55">
      <w:pPr>
        <w:overflowPunct/>
        <w:autoSpaceDE/>
        <w:autoSpaceDN/>
        <w:adjustRightInd/>
        <w:spacing w:before="120" w:after="120" w:line="240" w:lineRule="auto"/>
        <w:jc w:val="left"/>
        <w:textAlignment w:val="auto"/>
        <w:rPr>
          <w:rFonts w:cs="Arial"/>
          <w:b/>
          <w:szCs w:val="22"/>
        </w:rPr>
      </w:pPr>
    </w:p>
    <w:p w14:paraId="4250F2BE" w14:textId="5BD4B726" w:rsidR="004B03D0" w:rsidRDefault="004B03D0" w:rsidP="00D40F55">
      <w:pPr>
        <w:overflowPunct/>
        <w:autoSpaceDE/>
        <w:autoSpaceDN/>
        <w:adjustRightInd/>
        <w:spacing w:before="120" w:after="120" w:line="240" w:lineRule="auto"/>
        <w:jc w:val="left"/>
        <w:textAlignment w:val="auto"/>
        <w:rPr>
          <w:rFonts w:cs="Arial"/>
          <w:b/>
          <w:szCs w:val="22"/>
        </w:rPr>
      </w:pPr>
    </w:p>
    <w:p w14:paraId="0A8323A5" w14:textId="602682A5" w:rsidR="004B03D0" w:rsidRDefault="004B03D0" w:rsidP="00D40F55">
      <w:pPr>
        <w:overflowPunct/>
        <w:autoSpaceDE/>
        <w:autoSpaceDN/>
        <w:adjustRightInd/>
        <w:spacing w:before="120" w:after="120" w:line="240" w:lineRule="auto"/>
        <w:jc w:val="left"/>
        <w:textAlignment w:val="auto"/>
        <w:rPr>
          <w:rFonts w:cs="Arial"/>
          <w:b/>
          <w:szCs w:val="22"/>
        </w:rPr>
      </w:pPr>
    </w:p>
    <w:p w14:paraId="406EEC47" w14:textId="1488729C" w:rsidR="004B03D0" w:rsidRDefault="004B03D0" w:rsidP="00D40F55">
      <w:pPr>
        <w:overflowPunct/>
        <w:autoSpaceDE/>
        <w:autoSpaceDN/>
        <w:adjustRightInd/>
        <w:spacing w:before="120" w:after="120" w:line="240" w:lineRule="auto"/>
        <w:jc w:val="left"/>
        <w:textAlignment w:val="auto"/>
        <w:rPr>
          <w:rFonts w:cs="Arial"/>
          <w:b/>
          <w:szCs w:val="22"/>
        </w:rPr>
      </w:pPr>
    </w:p>
    <w:p w14:paraId="51A19380" w14:textId="6CC105BE" w:rsidR="004B03D0" w:rsidRDefault="004B03D0" w:rsidP="00D40F55">
      <w:pPr>
        <w:overflowPunct/>
        <w:autoSpaceDE/>
        <w:autoSpaceDN/>
        <w:adjustRightInd/>
        <w:spacing w:before="120" w:after="120" w:line="240" w:lineRule="auto"/>
        <w:jc w:val="left"/>
        <w:textAlignment w:val="auto"/>
        <w:rPr>
          <w:rFonts w:cs="Arial"/>
          <w:b/>
          <w:szCs w:val="22"/>
        </w:rPr>
      </w:pPr>
    </w:p>
    <w:p w14:paraId="44062B48" w14:textId="537D816A" w:rsidR="004B03D0" w:rsidRDefault="004B03D0" w:rsidP="00D40F55">
      <w:pPr>
        <w:overflowPunct/>
        <w:autoSpaceDE/>
        <w:autoSpaceDN/>
        <w:adjustRightInd/>
        <w:spacing w:before="120" w:after="120" w:line="240" w:lineRule="auto"/>
        <w:jc w:val="left"/>
        <w:textAlignment w:val="auto"/>
        <w:rPr>
          <w:rFonts w:cs="Arial"/>
          <w:b/>
          <w:szCs w:val="22"/>
        </w:rPr>
      </w:pPr>
    </w:p>
    <w:p w14:paraId="10DAA1BE" w14:textId="7254781B" w:rsidR="004B03D0" w:rsidRDefault="004B03D0" w:rsidP="00D40F55">
      <w:pPr>
        <w:overflowPunct/>
        <w:autoSpaceDE/>
        <w:autoSpaceDN/>
        <w:adjustRightInd/>
        <w:spacing w:before="120" w:after="120" w:line="240" w:lineRule="auto"/>
        <w:jc w:val="left"/>
        <w:textAlignment w:val="auto"/>
        <w:rPr>
          <w:rFonts w:cs="Arial"/>
          <w:b/>
          <w:szCs w:val="22"/>
        </w:rPr>
      </w:pPr>
    </w:p>
    <w:p w14:paraId="2D909686" w14:textId="0F3E0B52" w:rsidR="004B03D0" w:rsidRDefault="004B03D0" w:rsidP="00D40F55">
      <w:pPr>
        <w:overflowPunct/>
        <w:autoSpaceDE/>
        <w:autoSpaceDN/>
        <w:adjustRightInd/>
        <w:spacing w:before="120" w:after="120" w:line="240" w:lineRule="auto"/>
        <w:jc w:val="left"/>
        <w:textAlignment w:val="auto"/>
        <w:rPr>
          <w:rFonts w:cs="Arial"/>
          <w:b/>
          <w:szCs w:val="22"/>
        </w:rPr>
      </w:pPr>
    </w:p>
    <w:p w14:paraId="5A44FC90" w14:textId="67CEC965" w:rsidR="004B03D0" w:rsidRDefault="004B03D0" w:rsidP="00D40F55">
      <w:pPr>
        <w:overflowPunct/>
        <w:autoSpaceDE/>
        <w:autoSpaceDN/>
        <w:adjustRightInd/>
        <w:spacing w:before="120" w:after="120" w:line="240" w:lineRule="auto"/>
        <w:jc w:val="left"/>
        <w:textAlignment w:val="auto"/>
        <w:rPr>
          <w:rFonts w:cs="Arial"/>
          <w:b/>
          <w:szCs w:val="22"/>
        </w:rPr>
      </w:pPr>
    </w:p>
    <w:p w14:paraId="03110761" w14:textId="3AA1DC42" w:rsidR="004B03D0" w:rsidRDefault="004B03D0" w:rsidP="00D40F55">
      <w:pPr>
        <w:overflowPunct/>
        <w:autoSpaceDE/>
        <w:autoSpaceDN/>
        <w:adjustRightInd/>
        <w:spacing w:before="120" w:after="120" w:line="240" w:lineRule="auto"/>
        <w:jc w:val="left"/>
        <w:textAlignment w:val="auto"/>
        <w:rPr>
          <w:rFonts w:cs="Arial"/>
          <w:b/>
          <w:szCs w:val="22"/>
        </w:rPr>
      </w:pPr>
    </w:p>
    <w:p w14:paraId="6E8B9EE0" w14:textId="662BC916" w:rsidR="004B03D0" w:rsidRDefault="004B03D0" w:rsidP="00D40F55">
      <w:pPr>
        <w:overflowPunct/>
        <w:autoSpaceDE/>
        <w:autoSpaceDN/>
        <w:adjustRightInd/>
        <w:spacing w:before="120" w:after="120" w:line="240" w:lineRule="auto"/>
        <w:jc w:val="left"/>
        <w:textAlignment w:val="auto"/>
        <w:rPr>
          <w:rFonts w:cs="Arial"/>
          <w:b/>
          <w:szCs w:val="22"/>
        </w:rPr>
      </w:pPr>
    </w:p>
    <w:p w14:paraId="38CE4176" w14:textId="2B501029" w:rsidR="004B03D0" w:rsidRDefault="004B03D0" w:rsidP="00D40F55">
      <w:pPr>
        <w:overflowPunct/>
        <w:autoSpaceDE/>
        <w:autoSpaceDN/>
        <w:adjustRightInd/>
        <w:spacing w:before="120" w:after="120" w:line="240" w:lineRule="auto"/>
        <w:jc w:val="left"/>
        <w:textAlignment w:val="auto"/>
        <w:rPr>
          <w:rFonts w:cs="Arial"/>
          <w:b/>
          <w:szCs w:val="22"/>
        </w:rPr>
      </w:pPr>
    </w:p>
    <w:p w14:paraId="3988D195" w14:textId="4E9CE535" w:rsidR="004B03D0" w:rsidRDefault="004B03D0" w:rsidP="00D40F55">
      <w:pPr>
        <w:overflowPunct/>
        <w:autoSpaceDE/>
        <w:autoSpaceDN/>
        <w:adjustRightInd/>
        <w:spacing w:before="120" w:after="120" w:line="240" w:lineRule="auto"/>
        <w:jc w:val="left"/>
        <w:textAlignment w:val="auto"/>
        <w:rPr>
          <w:rFonts w:cs="Arial"/>
          <w:b/>
          <w:szCs w:val="22"/>
        </w:rPr>
      </w:pPr>
    </w:p>
    <w:p w14:paraId="7411F51F" w14:textId="77777777" w:rsidR="004B03D0" w:rsidRPr="00C3320D" w:rsidRDefault="004B03D0" w:rsidP="00D40F55">
      <w:pPr>
        <w:overflowPunct/>
        <w:autoSpaceDE/>
        <w:autoSpaceDN/>
        <w:adjustRightInd/>
        <w:spacing w:before="120" w:after="120" w:line="240" w:lineRule="auto"/>
        <w:jc w:val="left"/>
        <w:textAlignment w:val="auto"/>
        <w:rPr>
          <w:rFonts w:cs="Arial"/>
          <w:b/>
          <w:szCs w:val="22"/>
          <w:lang w:eastAsia="en-GB"/>
        </w:rPr>
      </w:pP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310" w:name="_Toc431551210"/>
      <w:bookmarkStart w:id="311" w:name="_Toc461702417"/>
      <w:r w:rsidRPr="00C3320D">
        <w:rPr>
          <w:rFonts w:cs="Arial"/>
          <w:szCs w:val="22"/>
        </w:rPr>
        <w:lastRenderedPageBreak/>
        <w:t>CONTRACT SCHEDULE 4: TRANSPARENCY REPORTS</w:t>
      </w:r>
      <w:bookmarkEnd w:id="310"/>
      <w:bookmarkEnd w:id="311"/>
    </w:p>
    <w:p w14:paraId="0C8680FC" w14:textId="77777777" w:rsidR="007F2EC5" w:rsidRPr="00C3320D" w:rsidRDefault="005A3C1B" w:rsidP="0089289C">
      <w:pPr>
        <w:pStyle w:val="GPSL1CLAUSEHEADING"/>
        <w:numPr>
          <w:ilvl w:val="0"/>
          <w:numId w:val="32"/>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312" w:name="_Toc431551211"/>
      <w:r w:rsidRPr="00C3320D">
        <w:rPr>
          <w:rFonts w:ascii="Arial" w:hAnsi="Arial" w:cs="Arial"/>
        </w:rPr>
        <w:lastRenderedPageBreak/>
        <w:t>ANNEX 1: LIST OF TRANSPARENCY REPORTS</w:t>
      </w:r>
      <w:bookmarkEnd w:id="312"/>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4D80E95" w:rsidR="005A3C1B" w:rsidRPr="00C3320D" w:rsidRDefault="004B03D0" w:rsidP="00D40F55">
            <w:pPr>
              <w:tabs>
                <w:tab w:val="left" w:pos="3380"/>
              </w:tabs>
              <w:spacing w:before="120" w:after="120" w:line="240" w:lineRule="auto"/>
              <w:rPr>
                <w:rFonts w:cs="Arial"/>
                <w:szCs w:val="22"/>
                <w:lang w:eastAsia="en-GB"/>
              </w:rPr>
            </w:pPr>
            <w:r>
              <w:rPr>
                <w:rFonts w:cs="Arial"/>
                <w:szCs w:val="22"/>
                <w:lang w:eastAsia="en-GB"/>
              </w:rPr>
              <w:t>Performance</w:t>
            </w:r>
            <w:r w:rsidR="005A3C1B"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38697172"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41B5AD5D"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269A339D" w:rsidR="005A3C1B" w:rsidRPr="00C3320D" w:rsidRDefault="005A3C1B" w:rsidP="00D40F55">
            <w:pPr>
              <w:spacing w:before="120" w:after="120" w:line="240" w:lineRule="auto"/>
              <w:rPr>
                <w:rFonts w:cs="Arial"/>
                <w:szCs w:val="22"/>
                <w:lang w:eastAsia="en-GB"/>
              </w:rPr>
            </w:pP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50DCBDE3" w:rsidR="005A3C1B" w:rsidRPr="00C3320D" w:rsidRDefault="004B03D0" w:rsidP="00D40F55">
            <w:pPr>
              <w:spacing w:before="120" w:after="120" w:line="240" w:lineRule="auto"/>
              <w:rPr>
                <w:rFonts w:cs="Arial"/>
                <w:szCs w:val="22"/>
                <w:lang w:eastAsia="en-GB"/>
              </w:rPr>
            </w:pPr>
            <w:r>
              <w:rPr>
                <w:rFonts w:cs="Arial"/>
                <w:szCs w:val="22"/>
                <w:lang w:eastAsia="en-GB"/>
              </w:rPr>
              <w:t>Charges</w:t>
            </w:r>
            <w:r w:rsidR="005A3C1B" w:rsidRPr="00C3320D">
              <w:rPr>
                <w:rFonts w:cs="Arial"/>
                <w:szCs w:val="22"/>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34E3109"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03859E59"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395CAFA3" w14:textId="34692C97" w:rsidR="005A3C1B" w:rsidRPr="00C3320D" w:rsidRDefault="005A3C1B" w:rsidP="00D40F55">
            <w:pPr>
              <w:spacing w:before="120" w:after="120" w:line="240" w:lineRule="auto"/>
              <w:rPr>
                <w:rFonts w:cs="Arial"/>
                <w:szCs w:val="22"/>
                <w:lang w:eastAsia="en-GB"/>
              </w:rPr>
            </w:pP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1F818E06" w:rsidR="005A3C1B" w:rsidRPr="00C3320D" w:rsidRDefault="004B03D0" w:rsidP="00D40F55">
            <w:pPr>
              <w:spacing w:before="120" w:after="120" w:line="240" w:lineRule="auto"/>
              <w:rPr>
                <w:rFonts w:cs="Arial"/>
                <w:szCs w:val="22"/>
                <w:lang w:eastAsia="en-GB"/>
              </w:rPr>
            </w:pPr>
            <w:r>
              <w:rPr>
                <w:rFonts w:cs="Arial"/>
                <w:szCs w:val="22"/>
                <w:lang w:eastAsia="en-GB"/>
              </w:rPr>
              <w:t>Key Sub-Contractors</w:t>
            </w:r>
            <w:r w:rsidR="005A3C1B" w:rsidRPr="00C3320D">
              <w:rPr>
                <w:rFonts w:cs="Arial"/>
                <w:szCs w:val="22"/>
                <w:lang w:eastAsia="en-GB"/>
              </w:rPr>
              <w:t xml:space="preserve">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0BFB918F"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60066AE0"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5C82DE70" w14:textId="09FE2B8D" w:rsidR="005A3C1B" w:rsidRPr="00C3320D" w:rsidRDefault="005A3C1B" w:rsidP="00D40F55">
            <w:pPr>
              <w:spacing w:before="120" w:after="120" w:line="240" w:lineRule="auto"/>
              <w:rPr>
                <w:rFonts w:cs="Arial"/>
                <w:szCs w:val="22"/>
                <w:lang w:eastAsia="en-GB"/>
              </w:rPr>
            </w:pP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3BFD408D" w:rsidR="005A3C1B" w:rsidRPr="00C3320D" w:rsidRDefault="004B03D0" w:rsidP="00D40F55">
            <w:pPr>
              <w:spacing w:before="120" w:after="120" w:line="240" w:lineRule="auto"/>
              <w:rPr>
                <w:rFonts w:cs="Arial"/>
                <w:szCs w:val="22"/>
                <w:lang w:eastAsia="en-GB"/>
              </w:rPr>
            </w:pPr>
            <w:r>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2896CFAB"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E4C8FE8"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659ABF63" w14:textId="2CF7E0CB" w:rsidR="005A3C1B" w:rsidRPr="00C3320D" w:rsidRDefault="005A3C1B" w:rsidP="00D40F55">
            <w:pPr>
              <w:spacing w:before="120" w:after="120" w:line="240" w:lineRule="auto"/>
              <w:rPr>
                <w:rFonts w:cs="Arial"/>
                <w:szCs w:val="22"/>
                <w:lang w:eastAsia="en-GB"/>
              </w:rPr>
            </w:pP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3076CFA4" w:rsidR="005A3C1B" w:rsidRPr="00C3320D" w:rsidRDefault="004B03D0" w:rsidP="00D40F55">
            <w:pPr>
              <w:spacing w:before="120" w:after="120" w:line="240" w:lineRule="auto"/>
              <w:rPr>
                <w:rFonts w:cs="Arial"/>
                <w:szCs w:val="22"/>
                <w:lang w:eastAsia="en-GB"/>
              </w:rPr>
            </w:pPr>
            <w:r>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525BF08"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012FF4C8" w:rsidR="005A3C1B" w:rsidRPr="00C3320D" w:rsidRDefault="005A3C1B" w:rsidP="00D40F55">
            <w:pPr>
              <w:spacing w:before="120" w:after="120" w:line="240" w:lineRule="auto"/>
              <w:rPr>
                <w:rFonts w:cs="Arial"/>
                <w:szCs w:val="22"/>
                <w:lang w:eastAsia="en-GB"/>
              </w:rPr>
            </w:pP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354990A9" w:rsidR="005A3C1B" w:rsidRPr="00C3320D" w:rsidRDefault="005A3C1B" w:rsidP="00D40F55">
            <w:pPr>
              <w:spacing w:before="120" w:after="120" w:line="240" w:lineRule="auto"/>
              <w:rPr>
                <w:rFonts w:cs="Arial"/>
                <w:szCs w:val="22"/>
                <w:lang w:eastAsia="en-GB"/>
              </w:rPr>
            </w:pP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C7C29F2" w16cid:durableId="20D6D6E7"/>
  <w16cid:commentId w16cid:paraId="72250CB8" w16cid:durableId="20D6D79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6E119" w14:textId="77777777" w:rsidR="006B1368" w:rsidRDefault="006B1368">
      <w:pPr>
        <w:spacing w:after="0" w:line="20" w:lineRule="exact"/>
      </w:pPr>
    </w:p>
  </w:endnote>
  <w:endnote w:type="continuationSeparator" w:id="0">
    <w:p w14:paraId="6E9BE80E" w14:textId="77777777" w:rsidR="006B1368" w:rsidRDefault="006B1368">
      <w:pPr>
        <w:spacing w:after="0" w:line="20" w:lineRule="exact"/>
      </w:pPr>
    </w:p>
  </w:endnote>
  <w:endnote w:type="continuationNotice" w:id="1">
    <w:p w14:paraId="34F31416" w14:textId="77777777" w:rsidR="006B1368" w:rsidRDefault="006B1368">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000"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BD5FFD" w:rsidRPr="003E1E6B" w:rsidRDefault="00BD5FFD" w:rsidP="00FB5BA8">
    <w:pPr>
      <w:pStyle w:val="Footer"/>
      <w:framePr w:wrap="around" w:vAnchor="text" w:hAnchor="margin" w:xAlign="right" w:y="1"/>
      <w:jc w:val="center"/>
      <w:rPr>
        <w:rStyle w:val="PageNumber"/>
      </w:rPr>
    </w:pPr>
    <w:r w:rsidRPr="003E1E6B">
      <w:rPr>
        <w:rStyle w:val="PageNumber"/>
      </w:rPr>
      <w:fldChar w:fldCharType="begin"/>
    </w:r>
    <w:r w:rsidRPr="003E1E6B">
      <w:rPr>
        <w:rStyle w:val="PageNumber"/>
        <w:rFonts w:ascii="Calibri" w:hAnsi="Calibri"/>
        <w:color w:val="000000"/>
      </w:rPr>
      <w:instrText xml:space="preserve"> DOCPROPERTY  bjDocumentSecurityLabel"  \* MERGEFORMAT </w:instrText>
    </w:r>
    <w:r w:rsidRPr="003E1E6B">
      <w:rPr>
        <w:rStyle w:val="PageNumber"/>
      </w:rPr>
      <w:fldChar w:fldCharType="separate"/>
    </w:r>
    <w:r w:rsidRPr="003E1E6B">
      <w:rPr>
        <w:rStyle w:val="PageNumber"/>
        <w:b/>
        <w:bCs/>
        <w:lang w:val="en-US"/>
      </w:rPr>
      <w:t>Error! Unknown document property name.</w:t>
    </w:r>
    <w:r w:rsidRPr="003E1E6B">
      <w:rPr>
        <w:rStyle w:val="PageNumber"/>
      </w:rPr>
      <w:fldChar w:fldCharType="end"/>
    </w:r>
  </w:p>
  <w:p w14:paraId="0C8578E1" w14:textId="77777777" w:rsidR="00BD5FFD" w:rsidRPr="003E1E6B" w:rsidRDefault="00BD5FFD" w:rsidP="00FB5BA8">
    <w:pPr>
      <w:pStyle w:val="Footer"/>
      <w:framePr w:wrap="around" w:vAnchor="text" w:hAnchor="margin" w:xAlign="right" w:y="1"/>
      <w:jc w:val="center"/>
      <w:rPr>
        <w:rStyle w:val="PageNumber"/>
      </w:rPr>
    </w:pPr>
    <w:r w:rsidRPr="003E1E6B">
      <w:rPr>
        <w:rStyle w:val="PageNumber"/>
      </w:rPr>
      <w:fldChar w:fldCharType="begin"/>
    </w:r>
    <w:r w:rsidRPr="003E1E6B">
      <w:rPr>
        <w:rStyle w:val="PageNumber"/>
      </w:rPr>
      <w:instrText xml:space="preserve">PAGE  </w:instrText>
    </w:r>
    <w:r w:rsidRPr="003E1E6B">
      <w:rPr>
        <w:rStyle w:val="PageNumber"/>
      </w:rPr>
      <w:fldChar w:fldCharType="separate"/>
    </w:r>
    <w:r w:rsidRPr="003E1E6B">
      <w:rPr>
        <w:rStyle w:val="PageNumber"/>
        <w:noProof/>
      </w:rPr>
      <w:t>147</w:t>
    </w:r>
    <w:r w:rsidRPr="003E1E6B">
      <w:rPr>
        <w:rStyle w:val="PageNumber"/>
      </w:rPr>
      <w:fldChar w:fldCharType="end"/>
    </w:r>
  </w:p>
  <w:p w14:paraId="777B114C" w14:textId="77777777" w:rsidR="00BD5FFD" w:rsidRPr="003E1E6B" w:rsidRDefault="00BD5FFD"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41712C40" w:rsidR="00BD5FFD" w:rsidRPr="003E1E6B" w:rsidRDefault="00BD5FFD" w:rsidP="00D35C2B">
    <w:pPr>
      <w:pStyle w:val="Footer"/>
      <w:jc w:val="left"/>
      <w:rPr>
        <w:sz w:val="16"/>
        <w:szCs w:val="16"/>
      </w:rPr>
    </w:pPr>
    <w:r w:rsidRPr="003E1E6B">
      <w:rPr>
        <w:sz w:val="16"/>
        <w:szCs w:val="16"/>
      </w:rPr>
      <w:t xml:space="preserve">RM 3756 Panel – Version 1 </w:t>
    </w:r>
  </w:p>
  <w:p w14:paraId="4259A12B" w14:textId="6D24B182" w:rsidR="00BD5FFD" w:rsidRPr="003E1E6B" w:rsidRDefault="00BD5FFD" w:rsidP="00D35C2B">
    <w:pPr>
      <w:pStyle w:val="Footer"/>
      <w:jc w:val="left"/>
      <w:rPr>
        <w:sz w:val="16"/>
        <w:szCs w:val="16"/>
      </w:rPr>
    </w:pPr>
    <w:r w:rsidRPr="003E1E6B">
      <w:rPr>
        <w:sz w:val="16"/>
        <w:szCs w:val="16"/>
      </w:rPr>
      <w:t>Attachment 8 Panel Agreement Schedule 4 – Rail Legal Services Contract and Order Form</w:t>
    </w:r>
  </w:p>
  <w:p w14:paraId="0388C5B1" w14:textId="7A4605C6" w:rsidR="00BD5FFD" w:rsidRPr="003E1E6B" w:rsidRDefault="00BD5FFD" w:rsidP="00D35C2B">
    <w:pPr>
      <w:pStyle w:val="Footer"/>
      <w:jc w:val="left"/>
      <w:rPr>
        <w:sz w:val="16"/>
        <w:szCs w:val="16"/>
      </w:rPr>
    </w:pPr>
    <w:r w:rsidRPr="003E1E6B">
      <w:rPr>
        <w:sz w:val="16"/>
        <w:szCs w:val="16"/>
      </w:rPr>
      <w:t xml:space="preserve">CCLL19A09 The Provision of Legal Services for DfT Thameslink Programme </w:t>
    </w:r>
  </w:p>
  <w:p w14:paraId="70F2FF03" w14:textId="624A7F86" w:rsidR="00BD5FFD" w:rsidRPr="00D35C2B" w:rsidRDefault="00BD5FFD" w:rsidP="00D35C2B">
    <w:pPr>
      <w:pStyle w:val="Footer"/>
      <w:jc w:val="left"/>
      <w:rPr>
        <w:rFonts w:cs="Arial"/>
        <w:sz w:val="16"/>
        <w:szCs w:val="19"/>
        <w:shd w:val="clear" w:color="auto" w:fill="FFFFFF"/>
      </w:rPr>
    </w:pPr>
    <w:r w:rsidRPr="003E1E6B">
      <w:rPr>
        <w:rFonts w:cs="Arial"/>
        <w:sz w:val="16"/>
        <w:szCs w:val="19"/>
        <w:shd w:val="clear" w:color="auto" w:fill="FFFFFF"/>
      </w:rPr>
      <w:t>© Crown copyright 2017</w:t>
    </w:r>
  </w:p>
  <w:p w14:paraId="6B8871A6" w14:textId="0C96A36E" w:rsidR="00BD5FFD" w:rsidRDefault="006B1368" w:rsidP="00D35C2B">
    <w:pPr>
      <w:pStyle w:val="Footer"/>
      <w:jc w:val="center"/>
    </w:pPr>
    <w:sdt>
      <w:sdtPr>
        <w:id w:val="-1144888219"/>
        <w:docPartObj>
          <w:docPartGallery w:val="Page Numbers (Bottom of Page)"/>
          <w:docPartUnique/>
        </w:docPartObj>
      </w:sdtPr>
      <w:sdtEndPr>
        <w:rPr>
          <w:noProof/>
        </w:rPr>
      </w:sdtEndPr>
      <w:sdtContent>
        <w:r w:rsidR="00BD5FFD">
          <w:fldChar w:fldCharType="begin"/>
        </w:r>
        <w:r w:rsidR="00BD5FFD">
          <w:instrText xml:space="preserve"> PAGE   \* MERGEFORMAT </w:instrText>
        </w:r>
        <w:r w:rsidR="00BD5FFD">
          <w:fldChar w:fldCharType="separate"/>
        </w:r>
        <w:r w:rsidR="0091293D">
          <w:rPr>
            <w:noProof/>
          </w:rPr>
          <w:t>1</w:t>
        </w:r>
        <w:r w:rsidR="00BD5FFD">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BD5FFD" w:rsidRPr="00D35C2B" w:rsidRDefault="00BD5FFD"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BD5FFD" w:rsidRPr="00D35C2B" w:rsidRDefault="00BD5FFD"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BD5FFD" w:rsidRPr="00D35C2B" w:rsidRDefault="00BD5FFD"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BD5FFD" w:rsidRPr="00D35C2B" w:rsidRDefault="00BD5FFD"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BD5FFD" w:rsidRDefault="006B1368" w:rsidP="00353A2B">
    <w:pPr>
      <w:pStyle w:val="Footer"/>
      <w:jc w:val="center"/>
    </w:pPr>
    <w:sdt>
      <w:sdtPr>
        <w:id w:val="1363323381"/>
        <w:docPartObj>
          <w:docPartGallery w:val="Page Numbers (Bottom of Page)"/>
          <w:docPartUnique/>
        </w:docPartObj>
      </w:sdtPr>
      <w:sdtEndPr>
        <w:rPr>
          <w:noProof/>
        </w:rPr>
      </w:sdtEndPr>
      <w:sdtContent>
        <w:r w:rsidR="00BD5FFD">
          <w:fldChar w:fldCharType="begin"/>
        </w:r>
        <w:r w:rsidR="00BD5FFD">
          <w:instrText xml:space="preserve"> PAGE   \* MERGEFORMAT </w:instrText>
        </w:r>
        <w:r w:rsidR="00BD5FFD">
          <w:fldChar w:fldCharType="separate"/>
        </w:r>
        <w:r w:rsidR="00BD5FFD">
          <w:rPr>
            <w:noProof/>
          </w:rPr>
          <w:t>48</w:t>
        </w:r>
        <w:r w:rsidR="00BD5FFD">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BD5FFD" w:rsidRDefault="00BD5FFD"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BD5FFD" w:rsidRDefault="00BD5FFD"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BD5FFD" w:rsidRDefault="00BD5FFD"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78A9C3" w14:textId="77777777" w:rsidR="006B1368" w:rsidRDefault="006B1368">
      <w:pPr>
        <w:spacing w:after="0" w:line="240" w:lineRule="auto"/>
      </w:pPr>
      <w:r>
        <w:separator/>
      </w:r>
    </w:p>
  </w:footnote>
  <w:footnote w:type="continuationSeparator" w:id="0">
    <w:p w14:paraId="387E03D6" w14:textId="77777777" w:rsidR="006B1368" w:rsidRDefault="006B1368">
      <w:pPr>
        <w:spacing w:after="0" w:line="240" w:lineRule="auto"/>
      </w:pPr>
      <w:r>
        <w:continuationSeparator/>
      </w:r>
    </w:p>
  </w:footnote>
  <w:footnote w:type="continuationNotice" w:id="1">
    <w:p w14:paraId="44A369A1" w14:textId="77777777" w:rsidR="006B1368" w:rsidRDefault="006B136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BD5FFD" w:rsidRDefault="00BD5FF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BD5FFD" w:rsidRPr="003E1E6B" w:rsidRDefault="00BD5FFD" w:rsidP="00FB5BA8">
    <w:pPr>
      <w:pStyle w:val="Header"/>
      <w:jc w:val="center"/>
    </w:pPr>
    <w:r w:rsidRPr="003E1E6B">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BD5FFD" w:rsidRDefault="00BD5FFD"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BD5FFD" w:rsidRDefault="00BD5FFD"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BD5FFD" w:rsidRDefault="00BD5FFD"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BD5FFD" w:rsidRDefault="00BD5FFD"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1"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2"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3"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1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7" w15:restartNumberingAfterBreak="0">
    <w:nsid w:val="45674D99"/>
    <w:multiLevelType w:val="hybridMultilevel"/>
    <w:tmpl w:val="79EE28D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19"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0"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931"/>
        </w:tabs>
        <w:ind w:left="1931"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1"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2"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23"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19"/>
  </w:num>
  <w:num w:numId="3">
    <w:abstractNumId w:val="14"/>
  </w:num>
  <w:num w:numId="4">
    <w:abstractNumId w:val="11"/>
  </w:num>
  <w:num w:numId="5">
    <w:abstractNumId w:val="5"/>
  </w:num>
  <w:num w:numId="6">
    <w:abstractNumId w:val="24"/>
  </w:num>
  <w:num w:numId="7">
    <w:abstractNumId w:val="16"/>
  </w:num>
  <w:num w:numId="8">
    <w:abstractNumId w:val="6"/>
  </w:num>
  <w:num w:numId="9">
    <w:abstractNumId w:val="4"/>
  </w:num>
  <w:num w:numId="10">
    <w:abstractNumId w:val="3"/>
  </w:num>
  <w:num w:numId="11">
    <w:abstractNumId w:val="2"/>
  </w:num>
  <w:num w:numId="12">
    <w:abstractNumId w:val="1"/>
  </w:num>
  <w:num w:numId="13">
    <w:abstractNumId w:val="0"/>
  </w:num>
  <w:num w:numId="14">
    <w:abstractNumId w:val="22"/>
  </w:num>
  <w:num w:numId="15">
    <w:abstractNumId w:val="7"/>
  </w:num>
  <w:num w:numId="16">
    <w:abstractNumId w:val="10"/>
  </w:num>
  <w:num w:numId="17">
    <w:abstractNumId w:val="21"/>
  </w:num>
  <w:num w:numId="18">
    <w:abstractNumId w:val="27"/>
  </w:num>
  <w:num w:numId="19">
    <w:abstractNumId w:val="13"/>
  </w:num>
  <w:num w:numId="20">
    <w:abstractNumId w:val="26"/>
  </w:num>
  <w:num w:numId="21">
    <w:abstractNumId w:val="29"/>
  </w:num>
  <w:num w:numId="2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28"/>
  </w:num>
  <w:num w:numId="25">
    <w:abstractNumId w:val="25"/>
  </w:num>
  <w:num w:numId="26">
    <w:abstractNumId w:val="8"/>
  </w:num>
  <w:num w:numId="27">
    <w:abstractNumId w:val="18"/>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0"/>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9AE"/>
    <w:rsid w:val="0007028E"/>
    <w:rsid w:val="000707AC"/>
    <w:rsid w:val="00071FC1"/>
    <w:rsid w:val="00073771"/>
    <w:rsid w:val="000809D5"/>
    <w:rsid w:val="000825E9"/>
    <w:rsid w:val="00082CE5"/>
    <w:rsid w:val="00084898"/>
    <w:rsid w:val="000862D6"/>
    <w:rsid w:val="00087903"/>
    <w:rsid w:val="00090F0E"/>
    <w:rsid w:val="00093E12"/>
    <w:rsid w:val="00094BA5"/>
    <w:rsid w:val="00095757"/>
    <w:rsid w:val="00095C33"/>
    <w:rsid w:val="00097E24"/>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6B22"/>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5556"/>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4F57"/>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0382"/>
    <w:rsid w:val="00382505"/>
    <w:rsid w:val="00385CAD"/>
    <w:rsid w:val="00387541"/>
    <w:rsid w:val="00390AF7"/>
    <w:rsid w:val="0039171B"/>
    <w:rsid w:val="00393B2F"/>
    <w:rsid w:val="003957DC"/>
    <w:rsid w:val="0039658B"/>
    <w:rsid w:val="003A283E"/>
    <w:rsid w:val="003A2BA1"/>
    <w:rsid w:val="003A4451"/>
    <w:rsid w:val="003A6F56"/>
    <w:rsid w:val="003A70A5"/>
    <w:rsid w:val="003B17E8"/>
    <w:rsid w:val="003B3AC3"/>
    <w:rsid w:val="003B4483"/>
    <w:rsid w:val="003B4CAC"/>
    <w:rsid w:val="003B4D0A"/>
    <w:rsid w:val="003C09F1"/>
    <w:rsid w:val="003C213D"/>
    <w:rsid w:val="003C2454"/>
    <w:rsid w:val="003C3A8C"/>
    <w:rsid w:val="003C4741"/>
    <w:rsid w:val="003C4CA1"/>
    <w:rsid w:val="003C6C6B"/>
    <w:rsid w:val="003D27A0"/>
    <w:rsid w:val="003D5527"/>
    <w:rsid w:val="003E1E6B"/>
    <w:rsid w:val="003E4598"/>
    <w:rsid w:val="003F1C0C"/>
    <w:rsid w:val="003F2871"/>
    <w:rsid w:val="00401334"/>
    <w:rsid w:val="004027C0"/>
    <w:rsid w:val="00402B25"/>
    <w:rsid w:val="004062A9"/>
    <w:rsid w:val="00413106"/>
    <w:rsid w:val="00415BB5"/>
    <w:rsid w:val="004236C2"/>
    <w:rsid w:val="00424A9C"/>
    <w:rsid w:val="00431312"/>
    <w:rsid w:val="004315A1"/>
    <w:rsid w:val="004327C5"/>
    <w:rsid w:val="00436E14"/>
    <w:rsid w:val="004400E4"/>
    <w:rsid w:val="004406BC"/>
    <w:rsid w:val="004412DD"/>
    <w:rsid w:val="0044170C"/>
    <w:rsid w:val="004500CE"/>
    <w:rsid w:val="00457D7A"/>
    <w:rsid w:val="0046026D"/>
    <w:rsid w:val="00460BA3"/>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B03D0"/>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388B"/>
    <w:rsid w:val="0051470D"/>
    <w:rsid w:val="00520823"/>
    <w:rsid w:val="0052098F"/>
    <w:rsid w:val="005230D5"/>
    <w:rsid w:val="00526308"/>
    <w:rsid w:val="00527E29"/>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67E36"/>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B16"/>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1368"/>
    <w:rsid w:val="006B224F"/>
    <w:rsid w:val="006B3EDC"/>
    <w:rsid w:val="006B5561"/>
    <w:rsid w:val="006C08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2EC3"/>
    <w:rsid w:val="00755818"/>
    <w:rsid w:val="007562F7"/>
    <w:rsid w:val="00764633"/>
    <w:rsid w:val="007657FB"/>
    <w:rsid w:val="0076653A"/>
    <w:rsid w:val="00766A09"/>
    <w:rsid w:val="00767506"/>
    <w:rsid w:val="00773D55"/>
    <w:rsid w:val="00774F34"/>
    <w:rsid w:val="00775C53"/>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E30C9"/>
    <w:rsid w:val="007E4DE1"/>
    <w:rsid w:val="007E723E"/>
    <w:rsid w:val="007F02FE"/>
    <w:rsid w:val="007F2EC5"/>
    <w:rsid w:val="007F3FCC"/>
    <w:rsid w:val="00801750"/>
    <w:rsid w:val="00801972"/>
    <w:rsid w:val="008025E0"/>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89C"/>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2FC6"/>
    <w:rsid w:val="008E4CCA"/>
    <w:rsid w:val="008E5D0C"/>
    <w:rsid w:val="008E7D94"/>
    <w:rsid w:val="008F0B6B"/>
    <w:rsid w:val="008F5E0D"/>
    <w:rsid w:val="008F60E5"/>
    <w:rsid w:val="008F6A46"/>
    <w:rsid w:val="008F6D29"/>
    <w:rsid w:val="00900416"/>
    <w:rsid w:val="0090261A"/>
    <w:rsid w:val="009048BB"/>
    <w:rsid w:val="00905D84"/>
    <w:rsid w:val="00910390"/>
    <w:rsid w:val="0091293D"/>
    <w:rsid w:val="0091295F"/>
    <w:rsid w:val="00913815"/>
    <w:rsid w:val="00913D4A"/>
    <w:rsid w:val="00914D98"/>
    <w:rsid w:val="00915EE7"/>
    <w:rsid w:val="00916B93"/>
    <w:rsid w:val="0092627F"/>
    <w:rsid w:val="009279E2"/>
    <w:rsid w:val="00933FBB"/>
    <w:rsid w:val="0093612E"/>
    <w:rsid w:val="00936B9F"/>
    <w:rsid w:val="009373BA"/>
    <w:rsid w:val="00937CF6"/>
    <w:rsid w:val="00940B89"/>
    <w:rsid w:val="009429CC"/>
    <w:rsid w:val="00944BBB"/>
    <w:rsid w:val="00946BF0"/>
    <w:rsid w:val="00946CF0"/>
    <w:rsid w:val="00951CFF"/>
    <w:rsid w:val="00953506"/>
    <w:rsid w:val="00953F02"/>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08B5"/>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18A4"/>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690E"/>
    <w:rsid w:val="00A778DC"/>
    <w:rsid w:val="00A81C20"/>
    <w:rsid w:val="00A82A8A"/>
    <w:rsid w:val="00A846B7"/>
    <w:rsid w:val="00A85F53"/>
    <w:rsid w:val="00A904F4"/>
    <w:rsid w:val="00A9052C"/>
    <w:rsid w:val="00A9396D"/>
    <w:rsid w:val="00A95554"/>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858A0"/>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4E6C"/>
    <w:rsid w:val="00BD51EE"/>
    <w:rsid w:val="00BD5FFD"/>
    <w:rsid w:val="00BE0F08"/>
    <w:rsid w:val="00BE4E82"/>
    <w:rsid w:val="00BE73C1"/>
    <w:rsid w:val="00BE74B1"/>
    <w:rsid w:val="00BF197D"/>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07AEC"/>
    <w:rsid w:val="00D116DA"/>
    <w:rsid w:val="00D17E9D"/>
    <w:rsid w:val="00D22FEA"/>
    <w:rsid w:val="00D2634C"/>
    <w:rsid w:val="00D35C2B"/>
    <w:rsid w:val="00D40F55"/>
    <w:rsid w:val="00D43DAE"/>
    <w:rsid w:val="00D60F10"/>
    <w:rsid w:val="00D6139B"/>
    <w:rsid w:val="00D619A8"/>
    <w:rsid w:val="00D67E84"/>
    <w:rsid w:val="00D67F83"/>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3EC"/>
    <w:rsid w:val="00DB69B6"/>
    <w:rsid w:val="00DB6AA1"/>
    <w:rsid w:val="00DB7D75"/>
    <w:rsid w:val="00DC0285"/>
    <w:rsid w:val="00DC07AB"/>
    <w:rsid w:val="00DC14FB"/>
    <w:rsid w:val="00DC538C"/>
    <w:rsid w:val="00DC5B63"/>
    <w:rsid w:val="00DD17E4"/>
    <w:rsid w:val="00DE0C34"/>
    <w:rsid w:val="00DE6596"/>
    <w:rsid w:val="00DE7E2F"/>
    <w:rsid w:val="00DF0945"/>
    <w:rsid w:val="00DF4169"/>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32FF"/>
    <w:rsid w:val="00EB19CB"/>
    <w:rsid w:val="00EB4FB2"/>
    <w:rsid w:val="00EB6398"/>
    <w:rsid w:val="00EC0A38"/>
    <w:rsid w:val="00EC1A50"/>
    <w:rsid w:val="00EC206F"/>
    <w:rsid w:val="00EC2891"/>
    <w:rsid w:val="00EC42E8"/>
    <w:rsid w:val="00EC4E57"/>
    <w:rsid w:val="00EC7B94"/>
    <w:rsid w:val="00ED047D"/>
    <w:rsid w:val="00ED2EBC"/>
    <w:rsid w:val="00ED580B"/>
    <w:rsid w:val="00ED6328"/>
    <w:rsid w:val="00ED66DB"/>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69A"/>
    <w:rsid w:val="00FB5BA8"/>
    <w:rsid w:val="00FB7902"/>
    <w:rsid w:val="00FD1DB5"/>
    <w:rsid w:val="00FD2B55"/>
    <w:rsid w:val="00FD4C54"/>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uiPriority w:val="99"/>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uiPriority w:val="99"/>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uiPriority w:val="99"/>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uiPriority w:val="99"/>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uiPriority w:val="99"/>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uiPriority w:val="99"/>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uiPriority w:val="99"/>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uiPriority w:val="99"/>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uiPriority w:val="99"/>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uiPriority w:val="99"/>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uiPriority w:val="9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26"/>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4"/>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header" Target="header6.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458554/Procurement_Policy_Note_13_15.pdf" TargetMode="External"/><Relationship Id="rId24"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s://www.gov.uk/governemnt/publications/security-policy-framework"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s://www.gov.uk/government/publications/thameslink-rolling-stock-and-depot-agreements" TargetMode="External"/><Relationship Id="rId14" Type="http://schemas.openxmlformats.org/officeDocument/2006/relationships/footer" Target="footer1.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abel version="1.0">
  <element uid="id_newpolicy" value=""/>
  <element uid="id_unclassified" value=""/>
</labe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C97BAC-D1B0-4751-AD06-6EA4E99B5A7D}">
  <ds:schemaRefs/>
</ds:datastoreItem>
</file>

<file path=customXml/itemProps2.xml><?xml version="1.0" encoding="utf-8"?>
<ds:datastoreItem xmlns:ds="http://schemas.openxmlformats.org/officeDocument/2006/customXml" ds:itemID="{DE56B9C5-E3A9-468C-A140-FCB3874C0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111</Pages>
  <Words>39586</Words>
  <Characters>225643</Characters>
  <Application>Microsoft Office Word</Application>
  <DocSecurity>0</DocSecurity>
  <Lines>1880</Lines>
  <Paragraphs>529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Tjay Singh</cp:lastModifiedBy>
  <cp:revision>2</cp:revision>
  <cp:lastPrinted>2016-09-15T13:40:00Z</cp:lastPrinted>
  <dcterms:created xsi:type="dcterms:W3CDTF">2019-07-16T08:09:00Z</dcterms:created>
  <dcterms:modified xsi:type="dcterms:W3CDTF">2019-07-16T08:09:00Z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ies>
</file>