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8ED" w:rsidRPr="00334286" w:rsidRDefault="008148ED" w:rsidP="008148ED">
      <w:pPr>
        <w:pStyle w:val="Heading2"/>
      </w:pPr>
      <w:bookmarkStart w:id="0" w:name="_GoBack"/>
      <w:bookmarkEnd w:id="0"/>
      <w:r w:rsidRPr="00334286">
        <w:t>APPENDIX 4 – CERTIFICATE of NON-COLLUSIVE TENDERING</w:t>
      </w:r>
    </w:p>
    <w:p w:rsidR="008148ED" w:rsidRPr="00CC600C" w:rsidRDefault="008148ED" w:rsidP="008148ED">
      <w:pPr>
        <w:rPr>
          <w:rFonts w:ascii="Arial" w:hAnsi="Arial" w:cs="Arial"/>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tblGrid>
      <w:tr w:rsidR="008148ED" w:rsidRPr="00CC600C" w:rsidTr="003D1AFB">
        <w:tc>
          <w:tcPr>
            <w:tcW w:w="8568" w:type="dxa"/>
          </w:tcPr>
          <w:p w:rsidR="008148ED" w:rsidRPr="00CC600C" w:rsidRDefault="008148ED" w:rsidP="003D1AFB">
            <w:pPr>
              <w:ind w:right="-58"/>
              <w:jc w:val="both"/>
              <w:rPr>
                <w:rFonts w:ascii="Arial" w:hAnsi="Arial" w:cs="Arial"/>
                <w:b/>
                <w:color w:val="000000"/>
                <w:sz w:val="20"/>
                <w:szCs w:val="20"/>
              </w:rPr>
            </w:pPr>
            <w:r w:rsidRPr="00CC600C">
              <w:rPr>
                <w:rFonts w:ascii="Arial" w:hAnsi="Arial" w:cs="Arial"/>
                <w:b/>
                <w:color w:val="000000"/>
                <w:sz w:val="20"/>
                <w:szCs w:val="20"/>
              </w:rPr>
              <w:t xml:space="preserve">                                                             </w:t>
            </w:r>
          </w:p>
          <w:p w:rsidR="008148ED" w:rsidRPr="00CC600C" w:rsidRDefault="008148ED" w:rsidP="003D1AFB">
            <w:pPr>
              <w:ind w:right="-58"/>
              <w:jc w:val="center"/>
              <w:rPr>
                <w:rFonts w:ascii="Arial" w:hAnsi="Arial" w:cs="Arial"/>
                <w:b/>
                <w:color w:val="000000"/>
                <w:sz w:val="20"/>
                <w:szCs w:val="20"/>
              </w:rPr>
            </w:pPr>
            <w:r w:rsidRPr="00CC600C">
              <w:rPr>
                <w:rFonts w:ascii="Arial" w:hAnsi="Arial" w:cs="Arial"/>
                <w:b/>
                <w:color w:val="000000"/>
                <w:sz w:val="20"/>
                <w:szCs w:val="20"/>
              </w:rPr>
              <w:t>CERTIFICATE</w:t>
            </w:r>
          </w:p>
          <w:p w:rsidR="008148ED" w:rsidRPr="00CC600C" w:rsidRDefault="008148ED" w:rsidP="003D1AFB">
            <w:pPr>
              <w:ind w:right="-58"/>
              <w:jc w:val="center"/>
              <w:rPr>
                <w:rFonts w:ascii="Arial" w:hAnsi="Arial" w:cs="Arial"/>
                <w:b/>
                <w:color w:val="000000"/>
                <w:sz w:val="20"/>
                <w:szCs w:val="20"/>
              </w:rPr>
            </w:pPr>
            <w:r w:rsidRPr="00CC600C">
              <w:rPr>
                <w:rFonts w:ascii="Arial" w:hAnsi="Arial" w:cs="Arial"/>
                <w:b/>
                <w:color w:val="000000"/>
                <w:sz w:val="20"/>
                <w:szCs w:val="20"/>
              </w:rPr>
              <w:t>NON-COLLUSIVE TENDERING</w:t>
            </w:r>
          </w:p>
          <w:p w:rsidR="008148ED" w:rsidRPr="00CC600C" w:rsidRDefault="008148ED" w:rsidP="003D1AFB">
            <w:pPr>
              <w:ind w:right="-58"/>
              <w:jc w:val="both"/>
              <w:rPr>
                <w:rFonts w:ascii="Arial" w:hAnsi="Arial" w:cs="Arial"/>
                <w:b/>
                <w:color w:val="000000"/>
                <w:sz w:val="20"/>
                <w:szCs w:val="20"/>
              </w:rPr>
            </w:pPr>
          </w:p>
        </w:tc>
      </w:tr>
    </w:tbl>
    <w:p w:rsidR="008148ED" w:rsidRPr="00CC600C" w:rsidRDefault="008148ED" w:rsidP="008148ED">
      <w:pPr>
        <w:numPr>
          <w:ilvl w:val="12"/>
          <w:numId w:val="0"/>
        </w:numPr>
        <w:tabs>
          <w:tab w:val="left" w:pos="709"/>
        </w:tabs>
        <w:ind w:right="-58"/>
        <w:jc w:val="both"/>
        <w:rPr>
          <w:rFonts w:ascii="Arial" w:hAnsi="Arial" w:cs="Arial"/>
          <w:b/>
          <w:color w:val="000000"/>
          <w:sz w:val="20"/>
          <w:szCs w:val="20"/>
        </w:rPr>
      </w:pPr>
    </w:p>
    <w:p w:rsidR="008148ED" w:rsidRPr="00CC600C" w:rsidRDefault="008148ED" w:rsidP="008148ED">
      <w:pPr>
        <w:numPr>
          <w:ilvl w:val="12"/>
          <w:numId w:val="0"/>
        </w:numPr>
        <w:tabs>
          <w:tab w:val="left" w:pos="709"/>
        </w:tabs>
        <w:ind w:right="-58"/>
        <w:jc w:val="both"/>
        <w:rPr>
          <w:rFonts w:ascii="Arial" w:hAnsi="Arial" w:cs="Arial"/>
          <w:b/>
          <w:color w:val="000000"/>
          <w:sz w:val="20"/>
          <w:szCs w:val="20"/>
        </w:rPr>
      </w:pPr>
    </w:p>
    <w:p w:rsidR="008148ED" w:rsidRDefault="008148ED" w:rsidP="008148ED">
      <w:pPr>
        <w:pStyle w:val="Header"/>
        <w:pBdr>
          <w:bottom w:val="single" w:sz="4" w:space="1" w:color="auto"/>
        </w:pBdr>
        <w:spacing w:after="120"/>
        <w:jc w:val="center"/>
        <w:rPr>
          <w:rFonts w:ascii="Arial" w:hAnsi="Arial" w:cs="Arial"/>
          <w:b/>
          <w:color w:val="000000"/>
          <w:sz w:val="20"/>
          <w:szCs w:val="20"/>
        </w:rPr>
      </w:pPr>
      <w:r w:rsidRPr="00CC600C">
        <w:rPr>
          <w:rFonts w:ascii="Arial" w:hAnsi="Arial" w:cs="Arial"/>
          <w:b/>
          <w:color w:val="000000"/>
          <w:sz w:val="20"/>
          <w:szCs w:val="20"/>
        </w:rPr>
        <w:t>Nottingham University Hospitals NHS Trust</w:t>
      </w:r>
    </w:p>
    <w:p w:rsidR="008148ED" w:rsidRPr="00CC600C" w:rsidRDefault="008148ED" w:rsidP="008148ED">
      <w:pPr>
        <w:pStyle w:val="Header"/>
        <w:pBdr>
          <w:bottom w:val="single" w:sz="4" w:space="1" w:color="auto"/>
        </w:pBdr>
        <w:spacing w:after="120"/>
        <w:jc w:val="center"/>
        <w:rPr>
          <w:rFonts w:ascii="Arial" w:hAnsi="Arial" w:cs="Arial"/>
          <w:b/>
          <w:color w:val="000000"/>
          <w:sz w:val="20"/>
          <w:szCs w:val="20"/>
        </w:rPr>
      </w:pPr>
    </w:p>
    <w:p w:rsidR="008148ED" w:rsidRPr="00CC600C" w:rsidRDefault="008148ED" w:rsidP="008148ED">
      <w:pPr>
        <w:numPr>
          <w:ilvl w:val="12"/>
          <w:numId w:val="0"/>
        </w:numPr>
        <w:tabs>
          <w:tab w:val="left" w:pos="709"/>
        </w:tabs>
        <w:ind w:right="-58"/>
        <w:jc w:val="center"/>
        <w:rPr>
          <w:rFonts w:ascii="Arial" w:hAnsi="Arial" w:cs="Arial"/>
          <w:b/>
          <w:i/>
          <w:color w:val="000000"/>
          <w:sz w:val="20"/>
          <w:szCs w:val="20"/>
        </w:rPr>
      </w:pPr>
    </w:p>
    <w:p w:rsidR="008148ED" w:rsidRPr="00CC600C" w:rsidRDefault="008148ED" w:rsidP="008148ED">
      <w:pPr>
        <w:numPr>
          <w:ilvl w:val="12"/>
          <w:numId w:val="0"/>
        </w:numPr>
        <w:tabs>
          <w:tab w:val="left" w:pos="709"/>
        </w:tabs>
        <w:ind w:right="-58"/>
        <w:jc w:val="both"/>
        <w:rPr>
          <w:rFonts w:ascii="Arial" w:hAnsi="Arial" w:cs="Arial"/>
          <w:b/>
          <w:color w:val="000000"/>
          <w:sz w:val="20"/>
          <w:szCs w:val="20"/>
        </w:rPr>
      </w:pPr>
    </w:p>
    <w:p w:rsidR="008148ED" w:rsidRPr="00CC600C" w:rsidRDefault="008148ED" w:rsidP="008148ED">
      <w:pPr>
        <w:widowControl w:val="0"/>
        <w:ind w:right="-58"/>
        <w:jc w:val="both"/>
        <w:rPr>
          <w:rFonts w:ascii="Arial" w:hAnsi="Arial" w:cs="Arial"/>
          <w:color w:val="000000"/>
          <w:sz w:val="20"/>
          <w:szCs w:val="20"/>
        </w:rPr>
      </w:pPr>
    </w:p>
    <w:p w:rsidR="008148ED" w:rsidRPr="00CC600C" w:rsidRDefault="008148ED" w:rsidP="008148ED">
      <w:pPr>
        <w:widowControl w:val="0"/>
        <w:ind w:right="-58"/>
        <w:jc w:val="both"/>
        <w:rPr>
          <w:rFonts w:ascii="Arial" w:hAnsi="Arial" w:cs="Arial"/>
          <w:color w:val="000000"/>
          <w:sz w:val="20"/>
          <w:szCs w:val="20"/>
        </w:rPr>
      </w:pPr>
      <w:r w:rsidRPr="00CC600C">
        <w:rPr>
          <w:rFonts w:ascii="Arial" w:hAnsi="Arial" w:cs="Arial"/>
          <w:color w:val="000000"/>
          <w:sz w:val="20"/>
          <w:szCs w:val="20"/>
        </w:rPr>
        <w:t xml:space="preserve">The essence of the tendering process is that </w:t>
      </w:r>
      <w:r w:rsidRPr="00CC600C">
        <w:rPr>
          <w:rFonts w:ascii="Arial" w:hAnsi="Arial" w:cs="Arial"/>
          <w:color w:val="000000"/>
          <w:spacing w:val="-3"/>
          <w:sz w:val="20"/>
          <w:szCs w:val="20"/>
        </w:rPr>
        <w:t xml:space="preserve">NUH </w:t>
      </w:r>
      <w:r w:rsidRPr="00CC600C">
        <w:rPr>
          <w:rFonts w:ascii="Arial" w:hAnsi="Arial" w:cs="Arial"/>
          <w:color w:val="000000"/>
          <w:sz w:val="20"/>
          <w:szCs w:val="20"/>
        </w:rPr>
        <w:t>shall receive bona fide competitive tenders from all Tenderers.  We, the undersigned, hereby certify that this is a bona fide tender and we have not;</w:t>
      </w:r>
    </w:p>
    <w:p w:rsidR="008148ED" w:rsidRPr="00CC600C" w:rsidRDefault="008148ED" w:rsidP="008148ED">
      <w:pPr>
        <w:widowControl w:val="0"/>
        <w:ind w:right="-58"/>
        <w:jc w:val="both"/>
        <w:rPr>
          <w:rFonts w:ascii="Arial" w:hAnsi="Arial" w:cs="Arial"/>
          <w:color w:val="000000"/>
          <w:sz w:val="20"/>
          <w:szCs w:val="20"/>
        </w:rPr>
      </w:pPr>
    </w:p>
    <w:p w:rsidR="008148ED" w:rsidRPr="00CC600C" w:rsidRDefault="008148ED" w:rsidP="008148ED">
      <w:pPr>
        <w:numPr>
          <w:ilvl w:val="0"/>
          <w:numId w:val="1"/>
        </w:numPr>
        <w:jc w:val="both"/>
        <w:rPr>
          <w:rFonts w:ascii="Arial" w:hAnsi="Arial" w:cs="Arial"/>
          <w:sz w:val="20"/>
          <w:szCs w:val="20"/>
        </w:rPr>
      </w:pPr>
      <w:r w:rsidRPr="00CC600C">
        <w:rPr>
          <w:rFonts w:ascii="Arial" w:hAnsi="Arial" w:cs="Arial"/>
          <w:sz w:val="20"/>
          <w:szCs w:val="20"/>
        </w:rPr>
        <w:t>entered into any agreement with any other person with the aim of preventing tenders being made or as to the fixing or adjusting of the amount of any tender or the conditions on which any tender is made; or</w:t>
      </w:r>
    </w:p>
    <w:p w:rsidR="008148ED" w:rsidRPr="00CC600C" w:rsidRDefault="008148ED" w:rsidP="008148ED">
      <w:pPr>
        <w:ind w:left="360"/>
        <w:jc w:val="both"/>
        <w:rPr>
          <w:rFonts w:ascii="Arial" w:hAnsi="Arial" w:cs="Arial"/>
          <w:sz w:val="20"/>
          <w:szCs w:val="20"/>
        </w:rPr>
      </w:pPr>
    </w:p>
    <w:p w:rsidR="008148ED" w:rsidRPr="00CC600C" w:rsidRDefault="008148ED" w:rsidP="008148ED">
      <w:pPr>
        <w:numPr>
          <w:ilvl w:val="0"/>
          <w:numId w:val="1"/>
        </w:numPr>
        <w:jc w:val="both"/>
        <w:rPr>
          <w:rFonts w:ascii="Arial" w:hAnsi="Arial" w:cs="Arial"/>
          <w:sz w:val="20"/>
          <w:szCs w:val="20"/>
        </w:rPr>
      </w:pPr>
      <w:r w:rsidRPr="00CC600C">
        <w:rPr>
          <w:rFonts w:ascii="Arial" w:hAnsi="Arial" w:cs="Arial"/>
          <w:sz w:val="20"/>
          <w:szCs w:val="20"/>
        </w:rPr>
        <w:t>informed any other person, other than the person calling for this tender, of the amount or the approximate amount of our tender except where the disclosure, in confidence, of the approximate amount of our tender was necessary to obtain quotations necessary for the preparation of our tender, for insurance purposes, for performance bonds and/or parent company guarantees or for professional advice required for the preparation of our tender; or</w:t>
      </w:r>
    </w:p>
    <w:p w:rsidR="008148ED" w:rsidRPr="00CC600C" w:rsidRDefault="008148ED" w:rsidP="008148ED">
      <w:pPr>
        <w:jc w:val="both"/>
        <w:rPr>
          <w:rFonts w:ascii="Arial" w:hAnsi="Arial" w:cs="Arial"/>
          <w:sz w:val="20"/>
          <w:szCs w:val="20"/>
        </w:rPr>
      </w:pPr>
    </w:p>
    <w:p w:rsidR="008148ED" w:rsidRPr="00CC600C" w:rsidRDefault="008148ED" w:rsidP="008148ED">
      <w:pPr>
        <w:numPr>
          <w:ilvl w:val="0"/>
          <w:numId w:val="1"/>
        </w:numPr>
        <w:jc w:val="both"/>
        <w:rPr>
          <w:rFonts w:ascii="Arial" w:hAnsi="Arial" w:cs="Arial"/>
          <w:sz w:val="20"/>
          <w:szCs w:val="20"/>
        </w:rPr>
      </w:pPr>
      <w:r w:rsidRPr="00CC600C">
        <w:rPr>
          <w:rFonts w:ascii="Arial" w:hAnsi="Arial" w:cs="Arial"/>
          <w:sz w:val="20"/>
          <w:szCs w:val="20"/>
        </w:rPr>
        <w:t>caused or induced any person to enter into such an agreement as is mentioned in paragraph 1 above or to inform us of the amount or the approximate amount of any rival tender for the Services; or</w:t>
      </w:r>
    </w:p>
    <w:p w:rsidR="008148ED" w:rsidRPr="00CC600C" w:rsidRDefault="008148ED" w:rsidP="008148ED">
      <w:pPr>
        <w:jc w:val="both"/>
        <w:rPr>
          <w:rFonts w:ascii="Arial" w:hAnsi="Arial" w:cs="Arial"/>
          <w:sz w:val="20"/>
          <w:szCs w:val="20"/>
        </w:rPr>
      </w:pPr>
    </w:p>
    <w:p w:rsidR="008148ED" w:rsidRPr="00CC600C" w:rsidRDefault="008148ED" w:rsidP="008148ED">
      <w:pPr>
        <w:numPr>
          <w:ilvl w:val="0"/>
          <w:numId w:val="1"/>
        </w:numPr>
        <w:jc w:val="both"/>
        <w:rPr>
          <w:rFonts w:ascii="Arial" w:hAnsi="Arial" w:cs="Arial"/>
          <w:sz w:val="20"/>
          <w:szCs w:val="20"/>
        </w:rPr>
      </w:pPr>
      <w:r w:rsidRPr="00CC600C">
        <w:rPr>
          <w:rFonts w:ascii="Arial" w:hAnsi="Arial" w:cs="Arial"/>
          <w:sz w:val="20"/>
          <w:szCs w:val="20"/>
        </w:rPr>
        <w:t>committed any offence under the Prevention of Corruption Acts 1889 to 1916; or</w:t>
      </w:r>
    </w:p>
    <w:p w:rsidR="008148ED" w:rsidRPr="00CC600C" w:rsidRDefault="008148ED" w:rsidP="008148ED">
      <w:pPr>
        <w:jc w:val="both"/>
        <w:rPr>
          <w:rFonts w:ascii="Arial" w:hAnsi="Arial" w:cs="Arial"/>
          <w:sz w:val="20"/>
          <w:szCs w:val="20"/>
        </w:rPr>
      </w:pPr>
    </w:p>
    <w:p w:rsidR="008148ED" w:rsidRPr="00CC600C" w:rsidRDefault="008148ED" w:rsidP="008148ED">
      <w:pPr>
        <w:numPr>
          <w:ilvl w:val="0"/>
          <w:numId w:val="1"/>
        </w:numPr>
        <w:jc w:val="both"/>
        <w:rPr>
          <w:rFonts w:ascii="Arial" w:hAnsi="Arial" w:cs="Arial"/>
          <w:sz w:val="20"/>
          <w:szCs w:val="20"/>
        </w:rPr>
      </w:pPr>
      <w:r w:rsidRPr="00CC600C">
        <w:rPr>
          <w:rFonts w:ascii="Arial" w:hAnsi="Arial" w:cs="Arial"/>
          <w:sz w:val="20"/>
          <w:szCs w:val="20"/>
        </w:rPr>
        <w:t>offered or agreed to pay or give any sum of money, inducement or valuable consideration directly or indirectly to any person for doing or having done or causing or having caused to be done in relation to any other tender or proposed tender for the Services any act or omission; or</w:t>
      </w:r>
    </w:p>
    <w:p w:rsidR="008148ED" w:rsidRPr="00CC600C" w:rsidRDefault="008148ED" w:rsidP="008148ED">
      <w:pPr>
        <w:jc w:val="both"/>
        <w:rPr>
          <w:rFonts w:ascii="Arial" w:hAnsi="Arial" w:cs="Arial"/>
          <w:sz w:val="20"/>
          <w:szCs w:val="20"/>
        </w:rPr>
      </w:pPr>
    </w:p>
    <w:p w:rsidR="008148ED" w:rsidRPr="00CC600C" w:rsidRDefault="008148ED" w:rsidP="008148ED">
      <w:pPr>
        <w:numPr>
          <w:ilvl w:val="0"/>
          <w:numId w:val="1"/>
        </w:numPr>
        <w:jc w:val="both"/>
        <w:rPr>
          <w:rFonts w:ascii="Arial" w:hAnsi="Arial" w:cs="Arial"/>
          <w:sz w:val="20"/>
          <w:szCs w:val="20"/>
        </w:rPr>
      </w:pPr>
      <w:r w:rsidRPr="00CC600C">
        <w:rPr>
          <w:rFonts w:ascii="Arial" w:hAnsi="Arial" w:cs="Arial"/>
          <w:sz w:val="20"/>
          <w:szCs w:val="20"/>
        </w:rPr>
        <w:t>canvassed any person referred to in paragraph 1 above in connection with the Services.</w:t>
      </w:r>
    </w:p>
    <w:p w:rsidR="008148ED" w:rsidRPr="00CC600C" w:rsidRDefault="008148ED" w:rsidP="008148ED">
      <w:pPr>
        <w:ind w:left="360"/>
        <w:jc w:val="both"/>
        <w:rPr>
          <w:rFonts w:ascii="Arial" w:hAnsi="Arial" w:cs="Arial"/>
          <w:sz w:val="20"/>
          <w:szCs w:val="20"/>
        </w:rPr>
      </w:pPr>
    </w:p>
    <w:p w:rsidR="008148ED" w:rsidRPr="00CC600C" w:rsidRDefault="008148ED" w:rsidP="008148ED">
      <w:pPr>
        <w:widowControl w:val="0"/>
        <w:ind w:right="-58"/>
        <w:jc w:val="both"/>
        <w:rPr>
          <w:rFonts w:ascii="Arial" w:hAnsi="Arial" w:cs="Arial"/>
          <w:color w:val="000000"/>
          <w:sz w:val="20"/>
          <w:szCs w:val="20"/>
        </w:rPr>
      </w:pPr>
      <w:r w:rsidRPr="00CC600C">
        <w:rPr>
          <w:rFonts w:ascii="Arial" w:hAnsi="Arial" w:cs="Arial"/>
          <w:color w:val="000000"/>
          <w:sz w:val="20"/>
          <w:szCs w:val="20"/>
        </w:rPr>
        <w:t>We also undertake that we shall not procure the doing of any of the acts mentioned in paragraphs 1 to 6 above before the hour and date specified for the return of the tender nor shall we do so:</w:t>
      </w:r>
    </w:p>
    <w:p w:rsidR="008148ED" w:rsidRPr="00CC600C" w:rsidRDefault="008148ED" w:rsidP="008148ED">
      <w:pPr>
        <w:widowControl w:val="0"/>
        <w:ind w:right="-58"/>
        <w:jc w:val="both"/>
        <w:rPr>
          <w:rFonts w:ascii="Arial" w:hAnsi="Arial" w:cs="Arial"/>
          <w:color w:val="000000"/>
          <w:sz w:val="20"/>
          <w:szCs w:val="20"/>
        </w:rPr>
      </w:pPr>
    </w:p>
    <w:p w:rsidR="008148ED" w:rsidRPr="00CC600C" w:rsidRDefault="008148ED" w:rsidP="008148ED">
      <w:pPr>
        <w:widowControl w:val="0"/>
        <w:ind w:right="-58"/>
        <w:jc w:val="both"/>
        <w:rPr>
          <w:rFonts w:ascii="Arial" w:hAnsi="Arial" w:cs="Arial"/>
          <w:color w:val="000000"/>
          <w:sz w:val="20"/>
          <w:szCs w:val="20"/>
        </w:rPr>
      </w:pPr>
      <w:r w:rsidRPr="00CC600C">
        <w:rPr>
          <w:rFonts w:ascii="Arial" w:hAnsi="Arial" w:cs="Arial"/>
          <w:color w:val="000000"/>
          <w:sz w:val="20"/>
          <w:szCs w:val="20"/>
        </w:rPr>
        <w:t>(1)</w:t>
      </w:r>
      <w:r w:rsidRPr="00CC600C">
        <w:rPr>
          <w:rFonts w:ascii="Arial" w:hAnsi="Arial" w:cs="Arial"/>
          <w:color w:val="000000"/>
          <w:sz w:val="20"/>
          <w:szCs w:val="20"/>
        </w:rPr>
        <w:tab/>
        <w:t>before the contract award is announced; or</w:t>
      </w:r>
    </w:p>
    <w:p w:rsidR="008148ED" w:rsidRPr="00CC600C" w:rsidRDefault="008148ED" w:rsidP="008148ED">
      <w:pPr>
        <w:widowControl w:val="0"/>
        <w:ind w:right="-58"/>
        <w:jc w:val="both"/>
        <w:rPr>
          <w:rFonts w:ascii="Arial" w:hAnsi="Arial" w:cs="Arial"/>
          <w:color w:val="000000"/>
          <w:sz w:val="20"/>
          <w:szCs w:val="20"/>
        </w:rPr>
      </w:pPr>
    </w:p>
    <w:p w:rsidR="008148ED" w:rsidRPr="00CC600C" w:rsidRDefault="008148ED" w:rsidP="008148ED">
      <w:pPr>
        <w:pStyle w:val="BodyTextIndent"/>
        <w:widowControl w:val="0"/>
        <w:ind w:left="720" w:right="-58" w:hanging="720"/>
        <w:jc w:val="both"/>
        <w:rPr>
          <w:rFonts w:cs="Arial"/>
          <w:color w:val="000000"/>
          <w:szCs w:val="20"/>
        </w:rPr>
      </w:pPr>
      <w:r w:rsidRPr="00CC600C">
        <w:rPr>
          <w:rFonts w:cs="Arial"/>
          <w:color w:val="000000"/>
          <w:szCs w:val="20"/>
        </w:rPr>
        <w:t>(2)</w:t>
      </w:r>
      <w:r w:rsidRPr="00CC600C">
        <w:rPr>
          <w:rFonts w:cs="Arial"/>
          <w:color w:val="000000"/>
          <w:szCs w:val="20"/>
        </w:rPr>
        <w:tab/>
        <w:t>in the event of our tender being accepted or our being appointed a preferred bidder, prior to completion of a contract between us and NUH.</w:t>
      </w:r>
    </w:p>
    <w:p w:rsidR="008148ED" w:rsidRPr="00CC600C" w:rsidRDefault="008148ED" w:rsidP="008148ED">
      <w:pPr>
        <w:widowControl w:val="0"/>
        <w:spacing w:before="240"/>
        <w:ind w:right="-58"/>
        <w:jc w:val="both"/>
        <w:rPr>
          <w:rFonts w:ascii="Arial" w:hAnsi="Arial" w:cs="Arial"/>
          <w:color w:val="000000"/>
          <w:sz w:val="20"/>
          <w:szCs w:val="20"/>
        </w:rPr>
      </w:pPr>
      <w:r w:rsidRPr="00CC600C">
        <w:rPr>
          <w:rFonts w:ascii="Arial" w:hAnsi="Arial" w:cs="Arial"/>
          <w:color w:val="000000"/>
          <w:sz w:val="20"/>
          <w:szCs w:val="20"/>
        </w:rPr>
        <w:t>In this certificate, the word “person” includes any person, body or association, corporate or unincorporated and “agreement” includes any arrangement whether formal or informal and whether legally binding or not.</w:t>
      </w:r>
    </w:p>
    <w:p w:rsidR="008148ED" w:rsidRPr="00CC600C" w:rsidRDefault="008148ED" w:rsidP="008148ED">
      <w:pPr>
        <w:widowControl w:val="0"/>
        <w:spacing w:before="240"/>
        <w:ind w:right="-58"/>
        <w:jc w:val="both"/>
        <w:rPr>
          <w:rFonts w:ascii="Arial" w:hAnsi="Arial" w:cs="Arial"/>
          <w:color w:val="000000"/>
          <w:sz w:val="20"/>
          <w:szCs w:val="20"/>
        </w:rPr>
      </w:pPr>
      <w:r w:rsidRPr="00CC600C">
        <w:rPr>
          <w:rFonts w:ascii="Arial" w:hAnsi="Arial" w:cs="Arial"/>
          <w:color w:val="000000"/>
          <w:sz w:val="20"/>
          <w:szCs w:val="20"/>
        </w:rPr>
        <w:t xml:space="preserve">We acknowledge that if we have acted or act in contravention of this Certificate of Non-Collusive Tendering then NUH shall be entitled to reject our tender, or after award of any contract pursuant to this tender process may rescind that contract, and that if such rejection or rescission occurs we will indemnify </w:t>
      </w:r>
      <w:r w:rsidRPr="00CC600C">
        <w:rPr>
          <w:rFonts w:ascii="Arial" w:hAnsi="Arial" w:cs="Arial"/>
          <w:color w:val="000000"/>
          <w:spacing w:val="-3"/>
          <w:sz w:val="20"/>
          <w:szCs w:val="20"/>
        </w:rPr>
        <w:t xml:space="preserve">NUH in full </w:t>
      </w:r>
      <w:r w:rsidRPr="00CC600C">
        <w:rPr>
          <w:rFonts w:ascii="Arial" w:hAnsi="Arial" w:cs="Arial"/>
          <w:color w:val="000000"/>
          <w:sz w:val="20"/>
          <w:szCs w:val="20"/>
        </w:rPr>
        <w:t>against all loss and expense arising out of or in connection with such rejection or rescission.</w:t>
      </w:r>
    </w:p>
    <w:p w:rsidR="008148ED" w:rsidRPr="00CC600C" w:rsidRDefault="008148ED" w:rsidP="008148ED">
      <w:pPr>
        <w:widowControl w:val="0"/>
        <w:ind w:right="-58"/>
        <w:jc w:val="both"/>
        <w:rPr>
          <w:rFonts w:ascii="Arial" w:hAnsi="Arial" w:cs="Arial"/>
          <w:color w:val="000000"/>
          <w:sz w:val="20"/>
          <w:szCs w:val="20"/>
        </w:rPr>
      </w:pPr>
    </w:p>
    <w:p w:rsidR="008148ED" w:rsidRPr="00CC600C" w:rsidRDefault="008148ED" w:rsidP="008148ED">
      <w:pPr>
        <w:widowControl w:val="0"/>
        <w:ind w:right="-58"/>
        <w:jc w:val="both"/>
        <w:rPr>
          <w:rFonts w:ascii="Arial" w:hAnsi="Arial" w:cs="Arial"/>
          <w:color w:val="000000"/>
          <w:sz w:val="20"/>
          <w:szCs w:val="20"/>
        </w:rPr>
      </w:pPr>
    </w:p>
    <w:p w:rsidR="008148ED" w:rsidRPr="00CC600C" w:rsidRDefault="008148ED" w:rsidP="008148ED">
      <w:pPr>
        <w:numPr>
          <w:ilvl w:val="12"/>
          <w:numId w:val="0"/>
        </w:numPr>
        <w:tabs>
          <w:tab w:val="left" w:pos="709"/>
        </w:tabs>
        <w:spacing w:line="480" w:lineRule="auto"/>
        <w:ind w:right="-58"/>
        <w:jc w:val="both"/>
        <w:rPr>
          <w:rFonts w:ascii="Arial" w:hAnsi="Arial" w:cs="Arial"/>
          <w:color w:val="000000"/>
          <w:sz w:val="20"/>
          <w:szCs w:val="20"/>
        </w:rPr>
      </w:pPr>
      <w:r w:rsidRPr="00CC600C">
        <w:rPr>
          <w:rFonts w:ascii="Arial" w:hAnsi="Arial" w:cs="Arial"/>
          <w:color w:val="000000"/>
          <w:sz w:val="20"/>
          <w:szCs w:val="20"/>
        </w:rPr>
        <w:t>Signed:</w:t>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t>Signed:</w:t>
      </w:r>
    </w:p>
    <w:p w:rsidR="008148ED" w:rsidRPr="00CC600C" w:rsidRDefault="008148ED" w:rsidP="008148ED">
      <w:pPr>
        <w:numPr>
          <w:ilvl w:val="12"/>
          <w:numId w:val="0"/>
        </w:numPr>
        <w:tabs>
          <w:tab w:val="left" w:pos="709"/>
        </w:tabs>
        <w:spacing w:line="480" w:lineRule="auto"/>
        <w:ind w:right="-58"/>
        <w:jc w:val="both"/>
        <w:rPr>
          <w:rFonts w:ascii="Arial" w:hAnsi="Arial" w:cs="Arial"/>
          <w:color w:val="000000"/>
          <w:sz w:val="20"/>
          <w:szCs w:val="20"/>
        </w:rPr>
      </w:pPr>
      <w:r w:rsidRPr="00CC600C">
        <w:rPr>
          <w:rFonts w:ascii="Arial" w:hAnsi="Arial" w:cs="Arial"/>
          <w:color w:val="000000"/>
          <w:sz w:val="20"/>
          <w:szCs w:val="20"/>
        </w:rPr>
        <w:lastRenderedPageBreak/>
        <w:t>Position:</w:t>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t>Position:</w:t>
      </w:r>
    </w:p>
    <w:p w:rsidR="008148ED" w:rsidRPr="00CC600C" w:rsidRDefault="008148ED" w:rsidP="008148ED">
      <w:pPr>
        <w:numPr>
          <w:ilvl w:val="12"/>
          <w:numId w:val="0"/>
        </w:numPr>
        <w:tabs>
          <w:tab w:val="left" w:pos="709"/>
        </w:tabs>
        <w:spacing w:line="480" w:lineRule="auto"/>
        <w:ind w:right="-58"/>
        <w:jc w:val="both"/>
        <w:rPr>
          <w:rFonts w:ascii="Arial" w:hAnsi="Arial" w:cs="Arial"/>
          <w:color w:val="000000"/>
          <w:sz w:val="20"/>
          <w:szCs w:val="20"/>
        </w:rPr>
      </w:pPr>
      <w:r w:rsidRPr="00CC600C">
        <w:rPr>
          <w:rFonts w:ascii="Arial" w:hAnsi="Arial" w:cs="Arial"/>
          <w:color w:val="000000"/>
          <w:sz w:val="20"/>
          <w:szCs w:val="20"/>
        </w:rPr>
        <w:t>For and on behalf of</w:t>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t>For and on behalf of</w:t>
      </w:r>
    </w:p>
    <w:p w:rsidR="008148ED" w:rsidRPr="00CC600C" w:rsidRDefault="008148ED" w:rsidP="008148ED">
      <w:pPr>
        <w:numPr>
          <w:ilvl w:val="12"/>
          <w:numId w:val="0"/>
        </w:numPr>
        <w:tabs>
          <w:tab w:val="left" w:pos="709"/>
        </w:tabs>
        <w:spacing w:line="480" w:lineRule="auto"/>
        <w:ind w:right="-58"/>
        <w:jc w:val="both"/>
        <w:rPr>
          <w:rFonts w:ascii="Arial" w:hAnsi="Arial" w:cs="Arial"/>
          <w:color w:val="000000"/>
          <w:sz w:val="20"/>
          <w:szCs w:val="20"/>
        </w:rPr>
      </w:pPr>
    </w:p>
    <w:p w:rsidR="008148ED" w:rsidRPr="00CC600C" w:rsidRDefault="008148ED" w:rsidP="008148ED">
      <w:pPr>
        <w:numPr>
          <w:ilvl w:val="12"/>
          <w:numId w:val="0"/>
        </w:numPr>
        <w:tabs>
          <w:tab w:val="left" w:pos="709"/>
        </w:tabs>
        <w:ind w:right="-58"/>
        <w:rPr>
          <w:rFonts w:ascii="Arial" w:hAnsi="Arial" w:cs="Arial"/>
          <w:b/>
          <w:caps/>
          <w:color w:val="000000"/>
          <w:sz w:val="20"/>
          <w:szCs w:val="20"/>
        </w:rPr>
      </w:pPr>
      <w:r w:rsidRPr="00CC600C">
        <w:rPr>
          <w:rFonts w:ascii="Arial" w:hAnsi="Arial" w:cs="Arial"/>
          <w:color w:val="000000"/>
          <w:sz w:val="20"/>
          <w:szCs w:val="20"/>
        </w:rPr>
        <w:t>Dated:</w:t>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r>
      <w:r w:rsidRPr="00CC600C">
        <w:rPr>
          <w:rFonts w:ascii="Arial" w:hAnsi="Arial" w:cs="Arial"/>
          <w:color w:val="000000"/>
          <w:sz w:val="20"/>
          <w:szCs w:val="20"/>
        </w:rPr>
        <w:tab/>
        <w:t>Dated:</w:t>
      </w:r>
    </w:p>
    <w:p w:rsidR="008148ED" w:rsidRDefault="008148ED" w:rsidP="008148ED"/>
    <w:p w:rsidR="008148ED" w:rsidRDefault="008148ED"/>
    <w:sectPr w:rsidR="008148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070C3"/>
    <w:multiLevelType w:val="hybridMultilevel"/>
    <w:tmpl w:val="72080F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ED"/>
    <w:rsid w:val="001E3421"/>
    <w:rsid w:val="00432E3E"/>
    <w:rsid w:val="00814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ED"/>
    <w:pPr>
      <w:spacing w:after="0" w:line="240" w:lineRule="auto"/>
    </w:pPr>
    <w:rPr>
      <w:rFonts w:ascii="Times New Roman" w:eastAsia="Times New Roman" w:hAnsi="Times New Roman" w:cs="Times New Roman"/>
      <w:sz w:val="24"/>
      <w:szCs w:val="24"/>
    </w:rPr>
  </w:style>
  <w:style w:type="paragraph" w:styleId="Heading2">
    <w:name w:val="heading 2"/>
    <w:aliases w:val="PARA2,Headline 2,nmhd2,heading 2,KJL:1st Level,Reset numbering,S Heading,S Heading 2,h2,Numbered - 2,1.1.1 heading,m,Body Text (Reset numbering),H2,TF-Overskrit 2,h2 main heading,2m,h 2,B Sub/Bold,B Sub/Bold1,B Sub/Bold2,B Sub/Bold11,L,l2"/>
    <w:basedOn w:val="Normal"/>
    <w:next w:val="Normal"/>
    <w:link w:val="Heading2Char1"/>
    <w:autoRedefine/>
    <w:qFormat/>
    <w:rsid w:val="008148ED"/>
    <w:pPr>
      <w:keepNext/>
      <w:ind w:left="720" w:hanging="720"/>
      <w:outlineLvl w:val="1"/>
    </w:pPr>
    <w:rPr>
      <w:rFonts w:ascii="Arial" w:eastAsia="MS Mincho" w:hAnsi="Arial"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8148E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8148ED"/>
    <w:pPr>
      <w:tabs>
        <w:tab w:val="center" w:pos="4153"/>
        <w:tab w:val="right" w:pos="8306"/>
      </w:tabs>
    </w:pPr>
  </w:style>
  <w:style w:type="character" w:customStyle="1" w:styleId="HeaderChar">
    <w:name w:val="Header Char"/>
    <w:basedOn w:val="DefaultParagraphFont"/>
    <w:link w:val="Header"/>
    <w:uiPriority w:val="99"/>
    <w:rsid w:val="008148ED"/>
    <w:rPr>
      <w:rFonts w:ascii="Times New Roman" w:eastAsia="Times New Roman" w:hAnsi="Times New Roman" w:cs="Times New Roman"/>
      <w:sz w:val="24"/>
      <w:szCs w:val="24"/>
    </w:rPr>
  </w:style>
  <w:style w:type="paragraph" w:styleId="BodyTextIndent">
    <w:name w:val="Body Text Indent"/>
    <w:basedOn w:val="Normal"/>
    <w:next w:val="Normal"/>
    <w:link w:val="BodyTextIndentChar"/>
    <w:rsid w:val="008148ED"/>
    <w:pPr>
      <w:autoSpaceDE w:val="0"/>
      <w:autoSpaceDN w:val="0"/>
      <w:adjustRightInd w:val="0"/>
      <w:spacing w:after="160"/>
    </w:pPr>
    <w:rPr>
      <w:rFonts w:ascii="Arial" w:hAnsi="Arial"/>
      <w:sz w:val="20"/>
      <w:lang w:val="en-US"/>
    </w:rPr>
  </w:style>
  <w:style w:type="character" w:customStyle="1" w:styleId="BodyTextIndentChar">
    <w:name w:val="Body Text Indent Char"/>
    <w:basedOn w:val="DefaultParagraphFont"/>
    <w:link w:val="BodyTextIndent"/>
    <w:rsid w:val="008148ED"/>
    <w:rPr>
      <w:rFonts w:ascii="Arial" w:eastAsia="Times New Roman" w:hAnsi="Arial" w:cs="Times New Roman"/>
      <w:sz w:val="20"/>
      <w:szCs w:val="24"/>
      <w:lang w:val="en-US"/>
    </w:rPr>
  </w:style>
  <w:style w:type="character" w:customStyle="1" w:styleId="Heading2Char1">
    <w:name w:val="Heading 2 Char1"/>
    <w:aliases w:val="PARA2 Char,Headline 2 Char,nmhd2 Char,heading 2 Char,KJL:1st Level Char,Reset numbering Char,S Heading Char,S Heading 2 Char,h2 Char,Numbered - 2 Char,1.1.1 heading Char,m Char,Body Text (Reset numbering) Char,H2 Char,TF-Overskrit 2 Char"/>
    <w:link w:val="Heading2"/>
    <w:locked/>
    <w:rsid w:val="008148ED"/>
    <w:rPr>
      <w:rFonts w:ascii="Arial" w:eastAsia="MS Mincho" w:hAnsi="Arial" w:cs="Arial"/>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ED"/>
    <w:pPr>
      <w:spacing w:after="0" w:line="240" w:lineRule="auto"/>
    </w:pPr>
    <w:rPr>
      <w:rFonts w:ascii="Times New Roman" w:eastAsia="Times New Roman" w:hAnsi="Times New Roman" w:cs="Times New Roman"/>
      <w:sz w:val="24"/>
      <w:szCs w:val="24"/>
    </w:rPr>
  </w:style>
  <w:style w:type="paragraph" w:styleId="Heading2">
    <w:name w:val="heading 2"/>
    <w:aliases w:val="PARA2,Headline 2,nmhd2,heading 2,KJL:1st Level,Reset numbering,S Heading,S Heading 2,h2,Numbered - 2,1.1.1 heading,m,Body Text (Reset numbering),H2,TF-Overskrit 2,h2 main heading,2m,h 2,B Sub/Bold,B Sub/Bold1,B Sub/Bold2,B Sub/Bold11,L,l2"/>
    <w:basedOn w:val="Normal"/>
    <w:next w:val="Normal"/>
    <w:link w:val="Heading2Char1"/>
    <w:autoRedefine/>
    <w:qFormat/>
    <w:rsid w:val="008148ED"/>
    <w:pPr>
      <w:keepNext/>
      <w:ind w:left="720" w:hanging="720"/>
      <w:outlineLvl w:val="1"/>
    </w:pPr>
    <w:rPr>
      <w:rFonts w:ascii="Arial" w:eastAsia="MS Mincho" w:hAnsi="Arial"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8148E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8148ED"/>
    <w:pPr>
      <w:tabs>
        <w:tab w:val="center" w:pos="4153"/>
        <w:tab w:val="right" w:pos="8306"/>
      </w:tabs>
    </w:pPr>
  </w:style>
  <w:style w:type="character" w:customStyle="1" w:styleId="HeaderChar">
    <w:name w:val="Header Char"/>
    <w:basedOn w:val="DefaultParagraphFont"/>
    <w:link w:val="Header"/>
    <w:uiPriority w:val="99"/>
    <w:rsid w:val="008148ED"/>
    <w:rPr>
      <w:rFonts w:ascii="Times New Roman" w:eastAsia="Times New Roman" w:hAnsi="Times New Roman" w:cs="Times New Roman"/>
      <w:sz w:val="24"/>
      <w:szCs w:val="24"/>
    </w:rPr>
  </w:style>
  <w:style w:type="paragraph" w:styleId="BodyTextIndent">
    <w:name w:val="Body Text Indent"/>
    <w:basedOn w:val="Normal"/>
    <w:next w:val="Normal"/>
    <w:link w:val="BodyTextIndentChar"/>
    <w:rsid w:val="008148ED"/>
    <w:pPr>
      <w:autoSpaceDE w:val="0"/>
      <w:autoSpaceDN w:val="0"/>
      <w:adjustRightInd w:val="0"/>
      <w:spacing w:after="160"/>
    </w:pPr>
    <w:rPr>
      <w:rFonts w:ascii="Arial" w:hAnsi="Arial"/>
      <w:sz w:val="20"/>
      <w:lang w:val="en-US"/>
    </w:rPr>
  </w:style>
  <w:style w:type="character" w:customStyle="1" w:styleId="BodyTextIndentChar">
    <w:name w:val="Body Text Indent Char"/>
    <w:basedOn w:val="DefaultParagraphFont"/>
    <w:link w:val="BodyTextIndent"/>
    <w:rsid w:val="008148ED"/>
    <w:rPr>
      <w:rFonts w:ascii="Arial" w:eastAsia="Times New Roman" w:hAnsi="Arial" w:cs="Times New Roman"/>
      <w:sz w:val="20"/>
      <w:szCs w:val="24"/>
      <w:lang w:val="en-US"/>
    </w:rPr>
  </w:style>
  <w:style w:type="character" w:customStyle="1" w:styleId="Heading2Char1">
    <w:name w:val="Heading 2 Char1"/>
    <w:aliases w:val="PARA2 Char,Headline 2 Char,nmhd2 Char,heading 2 Char,KJL:1st Level Char,Reset numbering Char,S Heading Char,S Heading 2 Char,h2 Char,Numbered - 2 Char,1.1.1 heading Char,m Char,Body Text (Reset numbering) Char,H2 Char,TF-Overskrit 2 Char"/>
    <w:link w:val="Heading2"/>
    <w:locked/>
    <w:rsid w:val="008148ED"/>
    <w:rPr>
      <w:rFonts w:ascii="Arial" w:eastAsia="MS Mincho" w:hAnsi="Arial" w:cs="Arial"/>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Nottingham University Hospitals</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jude.alvares</dc:creator>
  <cp:lastModifiedBy>Fowler Niall 2 (Finance &amp; Procurement)</cp:lastModifiedBy>
  <cp:revision>2</cp:revision>
  <dcterms:created xsi:type="dcterms:W3CDTF">2017-04-25T13:45:00Z</dcterms:created>
  <dcterms:modified xsi:type="dcterms:W3CDTF">2017-04-25T13:45:00Z</dcterms:modified>
</cp:coreProperties>
</file>