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BF88D" w14:textId="2899223A" w:rsidR="00EE7716" w:rsidRPr="003765B7" w:rsidRDefault="0062699D">
      <w:pPr>
        <w:rPr>
          <w:b/>
          <w:sz w:val="24"/>
          <w:szCs w:val="24"/>
        </w:rPr>
      </w:pPr>
      <w:r w:rsidRPr="003765B7">
        <w:rPr>
          <w:b/>
          <w:sz w:val="24"/>
          <w:szCs w:val="24"/>
        </w:rPr>
        <w:t>Query Log</w:t>
      </w:r>
      <w:r w:rsidR="009B4652" w:rsidRPr="003765B7">
        <w:rPr>
          <w:b/>
          <w:sz w:val="24"/>
          <w:szCs w:val="24"/>
        </w:rPr>
        <w:t xml:space="preserve"> –</w:t>
      </w:r>
      <w:r w:rsidR="00C453C8">
        <w:rPr>
          <w:b/>
          <w:sz w:val="24"/>
          <w:szCs w:val="24"/>
        </w:rPr>
        <w:t xml:space="preserve"> </w:t>
      </w:r>
      <w:r w:rsidR="000B0DBD">
        <w:rPr>
          <w:b/>
          <w:sz w:val="24"/>
          <w:szCs w:val="24"/>
        </w:rPr>
        <w:t>2</w:t>
      </w:r>
      <w:r w:rsidR="00077279">
        <w:rPr>
          <w:b/>
          <w:sz w:val="24"/>
          <w:szCs w:val="24"/>
        </w:rPr>
        <w:t>6</w:t>
      </w:r>
      <w:r w:rsidR="00016324" w:rsidRPr="003765B7">
        <w:rPr>
          <w:b/>
          <w:sz w:val="24"/>
          <w:szCs w:val="24"/>
        </w:rPr>
        <w:t xml:space="preserve"> </w:t>
      </w:r>
      <w:r w:rsidR="000B0DBD">
        <w:rPr>
          <w:b/>
          <w:sz w:val="24"/>
          <w:szCs w:val="24"/>
        </w:rPr>
        <w:t>November</w:t>
      </w:r>
      <w:r w:rsidR="009B1EB2">
        <w:rPr>
          <w:b/>
          <w:sz w:val="24"/>
          <w:szCs w:val="24"/>
        </w:rPr>
        <w:t xml:space="preserve"> </w:t>
      </w:r>
      <w:r w:rsidR="00016324" w:rsidRPr="003765B7">
        <w:rPr>
          <w:b/>
          <w:sz w:val="24"/>
          <w:szCs w:val="24"/>
        </w:rPr>
        <w:t>20</w:t>
      </w:r>
      <w:r w:rsidR="00077279">
        <w:rPr>
          <w:b/>
          <w:sz w:val="24"/>
          <w:szCs w:val="24"/>
        </w:rPr>
        <w:t>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2470"/>
        <w:gridCol w:w="6854"/>
      </w:tblGrid>
      <w:tr w:rsidR="00016324" w:rsidRPr="003765B7" w14:paraId="1A6CC0ED" w14:textId="77777777" w:rsidTr="00022485">
        <w:trPr>
          <w:cantSplit/>
          <w:tblHeader/>
          <w:jc w:val="center"/>
        </w:trPr>
        <w:tc>
          <w:tcPr>
            <w:tcW w:w="0" w:type="auto"/>
            <w:shd w:val="clear" w:color="auto" w:fill="CC99FF"/>
            <w:vAlign w:val="center"/>
          </w:tcPr>
          <w:p w14:paraId="1390D1D0" w14:textId="783F6012" w:rsidR="0062699D" w:rsidRPr="003765B7" w:rsidRDefault="0062699D" w:rsidP="0062699D">
            <w:pPr>
              <w:spacing w:before="60" w:after="120"/>
              <w:rPr>
                <w:rFonts w:cs="Arial"/>
                <w:b/>
                <w:color w:val="FFFFFF"/>
                <w:sz w:val="24"/>
                <w:szCs w:val="24"/>
              </w:rPr>
            </w:pPr>
            <w:r w:rsidRPr="003765B7">
              <w:rPr>
                <w:rFonts w:cs="Arial"/>
                <w:sz w:val="24"/>
                <w:szCs w:val="24"/>
              </w:rPr>
              <w:br w:type="page"/>
            </w:r>
            <w:r w:rsidRPr="003765B7">
              <w:rPr>
                <w:rFonts w:cs="Arial"/>
                <w:b/>
                <w:color w:val="FFFFFF"/>
                <w:sz w:val="24"/>
                <w:szCs w:val="24"/>
              </w:rPr>
              <w:t>Date</w:t>
            </w:r>
          </w:p>
        </w:tc>
        <w:tc>
          <w:tcPr>
            <w:tcW w:w="0" w:type="auto"/>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0" w:type="auto"/>
            <w:shd w:val="clear" w:color="auto" w:fill="CC99FF"/>
            <w:vAlign w:val="center"/>
          </w:tcPr>
          <w:p w14:paraId="35BFCEC9" w14:textId="77777777"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LC response</w:t>
            </w:r>
          </w:p>
        </w:tc>
      </w:tr>
      <w:tr w:rsidR="00016324" w:rsidRPr="003765B7" w14:paraId="604B32C8" w14:textId="77777777" w:rsidTr="00022485">
        <w:trPr>
          <w:cantSplit/>
          <w:jc w:val="center"/>
        </w:trPr>
        <w:tc>
          <w:tcPr>
            <w:tcW w:w="0" w:type="auto"/>
            <w:shd w:val="clear" w:color="auto" w:fill="auto"/>
            <w:vAlign w:val="center"/>
          </w:tcPr>
          <w:p w14:paraId="5931F7A6" w14:textId="5C9CEBD0" w:rsidR="0062699D" w:rsidRPr="00C453C8" w:rsidRDefault="00877AD1" w:rsidP="00AF2AA6">
            <w:pPr>
              <w:spacing w:before="60" w:after="120"/>
              <w:rPr>
                <w:rFonts w:cstheme="minorHAnsi"/>
              </w:rPr>
            </w:pPr>
            <w:r w:rsidRPr="00C453C8">
              <w:rPr>
                <w:rFonts w:cstheme="minorHAnsi"/>
              </w:rPr>
              <w:t>20/11/20</w:t>
            </w:r>
          </w:p>
        </w:tc>
        <w:tc>
          <w:tcPr>
            <w:tcW w:w="0" w:type="auto"/>
            <w:shd w:val="clear" w:color="auto" w:fill="auto"/>
            <w:vAlign w:val="center"/>
          </w:tcPr>
          <w:p w14:paraId="6CF673F1" w14:textId="5F620DF5" w:rsidR="0062699D" w:rsidRPr="00C453C8" w:rsidRDefault="00877AD1" w:rsidP="00C453C8">
            <w:pPr>
              <w:rPr>
                <w:rFonts w:cstheme="minorHAnsi"/>
              </w:rPr>
            </w:pPr>
            <w:r w:rsidRPr="00C453C8">
              <w:rPr>
                <w:rFonts w:eastAsia="Times New Roman" w:cstheme="minorHAnsi"/>
              </w:rPr>
              <w:t xml:space="preserve">Has any evaluation been done on the programme to date and if </w:t>
            </w:r>
            <w:proofErr w:type="gramStart"/>
            <w:r w:rsidRPr="00C453C8">
              <w:rPr>
                <w:rFonts w:eastAsia="Times New Roman" w:cstheme="minorHAnsi"/>
              </w:rPr>
              <w:t>so</w:t>
            </w:r>
            <w:proofErr w:type="gramEnd"/>
            <w:r w:rsidRPr="00C453C8">
              <w:rPr>
                <w:rFonts w:eastAsia="Times New Roman" w:cstheme="minorHAnsi"/>
              </w:rPr>
              <w:t xml:space="preserve"> could you please share it’s outcomes?</w:t>
            </w:r>
          </w:p>
        </w:tc>
        <w:tc>
          <w:tcPr>
            <w:tcW w:w="0" w:type="auto"/>
            <w:shd w:val="clear" w:color="auto" w:fill="auto"/>
            <w:vAlign w:val="center"/>
          </w:tcPr>
          <w:p w14:paraId="174229D3" w14:textId="39304356" w:rsidR="00016324" w:rsidRPr="003765B7" w:rsidRDefault="00C453C8" w:rsidP="00C453C8">
            <w:r>
              <w:t>A</w:t>
            </w:r>
            <w:r w:rsidR="00877AD1">
              <w:t xml:space="preserve"> participants</w:t>
            </w:r>
            <w:r>
              <w:t>’ survey and</w:t>
            </w:r>
            <w:r w:rsidR="00877AD1">
              <w:t xml:space="preserve"> evaluation of the last two cohorts of the programme</w:t>
            </w:r>
            <w:r>
              <w:t xml:space="preserve"> is currently underway and cannot be shared</w:t>
            </w:r>
            <w:r w:rsidR="00877AD1">
              <w:t xml:space="preserve"> at this time.</w:t>
            </w:r>
          </w:p>
        </w:tc>
      </w:tr>
      <w:tr w:rsidR="00422BA4" w:rsidRPr="003765B7" w14:paraId="17716C0E" w14:textId="77777777" w:rsidTr="00022485">
        <w:trPr>
          <w:cantSplit/>
          <w:jc w:val="center"/>
        </w:trPr>
        <w:tc>
          <w:tcPr>
            <w:tcW w:w="0" w:type="auto"/>
            <w:shd w:val="clear" w:color="auto" w:fill="auto"/>
            <w:vAlign w:val="center"/>
          </w:tcPr>
          <w:p w14:paraId="5EF55558" w14:textId="55C8F30F" w:rsidR="00422BA4" w:rsidRPr="003765B7" w:rsidRDefault="002051B5" w:rsidP="00016324">
            <w:pPr>
              <w:spacing w:before="60" w:after="120"/>
              <w:rPr>
                <w:rFonts w:cstheme="minorHAnsi"/>
                <w:sz w:val="24"/>
                <w:szCs w:val="24"/>
              </w:rPr>
            </w:pPr>
            <w:r w:rsidRPr="003D59B3">
              <w:rPr>
                <w:rFonts w:cstheme="minorHAnsi"/>
              </w:rPr>
              <w:t>20/11/20</w:t>
            </w:r>
          </w:p>
        </w:tc>
        <w:tc>
          <w:tcPr>
            <w:tcW w:w="0" w:type="auto"/>
            <w:shd w:val="clear" w:color="auto" w:fill="auto"/>
            <w:vAlign w:val="center"/>
          </w:tcPr>
          <w:p w14:paraId="04D7FCDF" w14:textId="19215F04" w:rsidR="00422BA4" w:rsidRPr="00746EDF" w:rsidRDefault="002051B5" w:rsidP="00C453C8">
            <w:pPr>
              <w:rPr>
                <w:rFonts w:eastAsia="Times New Roman"/>
              </w:rPr>
            </w:pPr>
            <w:r w:rsidRPr="00C453C8">
              <w:rPr>
                <w:rFonts w:eastAsia="Times New Roman" w:cstheme="minorHAnsi"/>
              </w:rPr>
              <w:t>Would you be open to a delivery model that differed from the current solution?</w:t>
            </w:r>
          </w:p>
        </w:tc>
        <w:tc>
          <w:tcPr>
            <w:tcW w:w="0" w:type="auto"/>
            <w:shd w:val="clear" w:color="auto" w:fill="auto"/>
            <w:vAlign w:val="center"/>
          </w:tcPr>
          <w:p w14:paraId="6D0C99B3" w14:textId="5F85274D" w:rsidR="00422BA4" w:rsidRPr="003765B7" w:rsidRDefault="007C1BD3" w:rsidP="007C1BD3">
            <w:r>
              <w:t xml:space="preserve">The LLP Board and </w:t>
            </w:r>
            <w:r>
              <w:t xml:space="preserve">London Councils </w:t>
            </w:r>
            <w:r>
              <w:t>are</w:t>
            </w:r>
            <w:r>
              <w:t xml:space="preserve"> open to proposals that take </w:t>
            </w:r>
            <w:r>
              <w:t>different</w:t>
            </w:r>
            <w:r>
              <w:t xml:space="preserve"> approaches.</w:t>
            </w:r>
            <w:r w:rsidR="002051B5">
              <w:t xml:space="preserve"> </w:t>
            </w:r>
            <w:r>
              <w:t>All</w:t>
            </w:r>
            <w:r w:rsidR="002051B5">
              <w:t xml:space="preserve"> proposals will be evaluated against the criteria </w:t>
            </w:r>
            <w:r>
              <w:t xml:space="preserve">set out </w:t>
            </w:r>
            <w:r w:rsidR="002051B5">
              <w:t>in the ITT.</w:t>
            </w:r>
          </w:p>
        </w:tc>
      </w:tr>
      <w:tr w:rsidR="009B1EB2" w:rsidRPr="003765B7" w14:paraId="6F792C38" w14:textId="77777777" w:rsidTr="00022485">
        <w:trPr>
          <w:cantSplit/>
          <w:jc w:val="center"/>
        </w:trPr>
        <w:tc>
          <w:tcPr>
            <w:tcW w:w="0" w:type="auto"/>
            <w:shd w:val="clear" w:color="auto" w:fill="auto"/>
            <w:vAlign w:val="center"/>
          </w:tcPr>
          <w:p w14:paraId="6D9F9DE3" w14:textId="6A235A8B" w:rsidR="009B1EB2" w:rsidRPr="003765B7" w:rsidRDefault="002051B5" w:rsidP="00016324">
            <w:pPr>
              <w:spacing w:before="60" w:after="120"/>
              <w:rPr>
                <w:rFonts w:cstheme="minorHAnsi"/>
                <w:sz w:val="24"/>
                <w:szCs w:val="24"/>
              </w:rPr>
            </w:pPr>
            <w:r>
              <w:rPr>
                <w:rFonts w:cstheme="minorHAnsi"/>
                <w:sz w:val="24"/>
                <w:szCs w:val="24"/>
              </w:rPr>
              <w:t>20/11</w:t>
            </w:r>
            <w:r w:rsidR="00C03B63">
              <w:rPr>
                <w:rFonts w:cstheme="minorHAnsi"/>
                <w:sz w:val="24"/>
                <w:szCs w:val="24"/>
              </w:rPr>
              <w:t>/</w:t>
            </w:r>
            <w:r>
              <w:rPr>
                <w:rFonts w:cstheme="minorHAnsi"/>
                <w:sz w:val="24"/>
                <w:szCs w:val="24"/>
              </w:rPr>
              <w:t>20</w:t>
            </w:r>
          </w:p>
        </w:tc>
        <w:tc>
          <w:tcPr>
            <w:tcW w:w="0" w:type="auto"/>
            <w:shd w:val="clear" w:color="auto" w:fill="auto"/>
            <w:vAlign w:val="center"/>
          </w:tcPr>
          <w:p w14:paraId="1F78ED3A" w14:textId="73DC2327" w:rsidR="009B1EB2" w:rsidRPr="00746EDF" w:rsidRDefault="002051B5" w:rsidP="00C453C8">
            <w:pPr>
              <w:rPr>
                <w:rFonts w:eastAsia="Times New Roman"/>
              </w:rPr>
            </w:pPr>
            <w:r w:rsidRPr="00C453C8">
              <w:rPr>
                <w:rFonts w:eastAsia="Times New Roman" w:cstheme="minorHAnsi"/>
              </w:rPr>
              <w:t xml:space="preserve">Are any </w:t>
            </w:r>
            <w:proofErr w:type="gramStart"/>
            <w:r w:rsidRPr="00C453C8">
              <w:rPr>
                <w:rFonts w:eastAsia="Times New Roman" w:cstheme="minorHAnsi"/>
              </w:rPr>
              <w:t>particular tools</w:t>
            </w:r>
            <w:proofErr w:type="gramEnd"/>
            <w:r w:rsidRPr="00C453C8">
              <w:rPr>
                <w:rFonts w:eastAsia="Times New Roman" w:cstheme="minorHAnsi"/>
              </w:rPr>
              <w:t xml:space="preserve"> and methods used in the Development Centre or wider programme and if so, which ones and would you be open to changing this?</w:t>
            </w:r>
          </w:p>
        </w:tc>
        <w:tc>
          <w:tcPr>
            <w:tcW w:w="0" w:type="auto"/>
            <w:shd w:val="clear" w:color="auto" w:fill="auto"/>
            <w:vAlign w:val="center"/>
          </w:tcPr>
          <w:p w14:paraId="7D3182F0" w14:textId="33E998C3" w:rsidR="009B1EB2" w:rsidRPr="003765B7" w:rsidRDefault="002051B5" w:rsidP="00C453C8">
            <w:r>
              <w:t xml:space="preserve">The Development Centre used in previous cohorts formed part of the previous contractor’s approach to the delivery of the programme. The </w:t>
            </w:r>
            <w:r>
              <w:t xml:space="preserve">LLP </w:t>
            </w:r>
            <w:r>
              <w:t xml:space="preserve">Board </w:t>
            </w:r>
            <w:r w:rsidR="007C1BD3">
              <w:t xml:space="preserve">and London Councils would </w:t>
            </w:r>
            <w:r>
              <w:t xml:space="preserve">welcome </w:t>
            </w:r>
            <w:r w:rsidR="007C1BD3">
              <w:t>proposals that take different approaches</w:t>
            </w:r>
            <w:r>
              <w:t>.</w:t>
            </w:r>
          </w:p>
        </w:tc>
      </w:tr>
      <w:tr w:rsidR="00C03B63" w:rsidRPr="003765B7" w14:paraId="18BEC8A0" w14:textId="77777777" w:rsidTr="00022485">
        <w:trPr>
          <w:cantSplit/>
          <w:jc w:val="center"/>
        </w:trPr>
        <w:tc>
          <w:tcPr>
            <w:tcW w:w="0" w:type="auto"/>
            <w:shd w:val="clear" w:color="auto" w:fill="auto"/>
            <w:vAlign w:val="center"/>
          </w:tcPr>
          <w:p w14:paraId="006548F6" w14:textId="4FB2A4B7" w:rsidR="00C03B63" w:rsidRDefault="00C03B63" w:rsidP="00016324">
            <w:pPr>
              <w:spacing w:before="60" w:after="120"/>
              <w:rPr>
                <w:rFonts w:cstheme="minorHAnsi"/>
                <w:sz w:val="24"/>
                <w:szCs w:val="24"/>
              </w:rPr>
            </w:pPr>
            <w:r>
              <w:rPr>
                <w:rFonts w:cstheme="minorHAnsi"/>
                <w:sz w:val="24"/>
                <w:szCs w:val="24"/>
              </w:rPr>
              <w:t>20/11/20</w:t>
            </w:r>
          </w:p>
        </w:tc>
        <w:tc>
          <w:tcPr>
            <w:tcW w:w="0" w:type="auto"/>
            <w:shd w:val="clear" w:color="auto" w:fill="auto"/>
            <w:vAlign w:val="center"/>
          </w:tcPr>
          <w:p w14:paraId="48ACBD1D" w14:textId="4D82D0A6" w:rsidR="00C03B63" w:rsidRPr="00C03B63" w:rsidRDefault="00C03B63" w:rsidP="00C03B63">
            <w:pPr>
              <w:rPr>
                <w:rFonts w:eastAsia="Times New Roman" w:cstheme="minorHAnsi"/>
              </w:rPr>
            </w:pPr>
            <w:r w:rsidRPr="00C453C8">
              <w:rPr>
                <w:rFonts w:eastAsia="Times New Roman" w:cstheme="minorHAnsi"/>
              </w:rPr>
              <w:t>You mention requirement for ‘the development of an additional development package for Black, Asian and minority ethnic participants is also required to reflect the unique challenges they face in gaining senior leadership positions and allow those participants to share experiences and knowledge specific to their particular challenges.’ . Is this additional work to be delivered within the budget?</w:t>
            </w:r>
          </w:p>
        </w:tc>
        <w:tc>
          <w:tcPr>
            <w:tcW w:w="0" w:type="auto"/>
            <w:shd w:val="clear" w:color="auto" w:fill="auto"/>
            <w:vAlign w:val="center"/>
          </w:tcPr>
          <w:p w14:paraId="4DCCA6B5" w14:textId="70736604" w:rsidR="007607C2" w:rsidRDefault="00C03B63" w:rsidP="00C03B63">
            <w:r>
              <w:t>The work described is an integral part of the specification and as such is to be delivered within the price quoted.</w:t>
            </w:r>
          </w:p>
          <w:p w14:paraId="25DFE0C6" w14:textId="623CB3DA" w:rsidR="00C03B63" w:rsidRDefault="007607C2" w:rsidP="00C03B63">
            <w:r>
              <w:t>P</w:t>
            </w:r>
            <w:r w:rsidRPr="003765B7">
              <w:t xml:space="preserve">roposals </w:t>
            </w:r>
            <w:r>
              <w:t>should be</w:t>
            </w:r>
            <w:r w:rsidRPr="003765B7">
              <w:t xml:space="preserve"> clearly costed </w:t>
            </w:r>
            <w:r>
              <w:t>with any</w:t>
            </w:r>
            <w:r w:rsidRPr="003765B7">
              <w:t xml:space="preserve"> optional elements </w:t>
            </w:r>
            <w:r>
              <w:t>outlined</w:t>
            </w:r>
            <w:r w:rsidRPr="003765B7">
              <w:t xml:space="preserve"> separately </w:t>
            </w:r>
            <w:r>
              <w:t>for comparison</w:t>
            </w:r>
            <w:r w:rsidRPr="003765B7">
              <w:t xml:space="preserve"> during</w:t>
            </w:r>
            <w:r>
              <w:t xml:space="preserve"> </w:t>
            </w:r>
            <w:r w:rsidRPr="003765B7">
              <w:t>the evaluation process.</w:t>
            </w:r>
          </w:p>
        </w:tc>
      </w:tr>
      <w:tr w:rsidR="00C03B63" w:rsidRPr="003765B7" w14:paraId="4B33A324" w14:textId="77777777" w:rsidTr="00022485">
        <w:trPr>
          <w:cantSplit/>
          <w:jc w:val="center"/>
        </w:trPr>
        <w:tc>
          <w:tcPr>
            <w:tcW w:w="0" w:type="auto"/>
            <w:shd w:val="clear" w:color="auto" w:fill="auto"/>
            <w:vAlign w:val="center"/>
          </w:tcPr>
          <w:p w14:paraId="4CC78B3A" w14:textId="6F385EB2" w:rsidR="00C03B63" w:rsidRDefault="00C03B63" w:rsidP="00016324">
            <w:pPr>
              <w:spacing w:before="60" w:after="120"/>
              <w:rPr>
                <w:rFonts w:cstheme="minorHAnsi"/>
                <w:sz w:val="24"/>
                <w:szCs w:val="24"/>
              </w:rPr>
            </w:pPr>
            <w:r>
              <w:rPr>
                <w:rFonts w:cstheme="minorHAnsi"/>
                <w:sz w:val="24"/>
                <w:szCs w:val="24"/>
              </w:rPr>
              <w:lastRenderedPageBreak/>
              <w:t>20/11/20</w:t>
            </w:r>
          </w:p>
        </w:tc>
        <w:tc>
          <w:tcPr>
            <w:tcW w:w="0" w:type="auto"/>
            <w:shd w:val="clear" w:color="auto" w:fill="auto"/>
            <w:vAlign w:val="center"/>
          </w:tcPr>
          <w:p w14:paraId="1E3504E4" w14:textId="1F8CD74B" w:rsidR="00C03B63" w:rsidRPr="00C03B63" w:rsidRDefault="00C03B63" w:rsidP="00C03B63">
            <w:pPr>
              <w:rPr>
                <w:rFonts w:eastAsia="Times New Roman" w:cstheme="minorHAnsi"/>
              </w:rPr>
            </w:pPr>
            <w:r w:rsidRPr="00C453C8">
              <w:rPr>
                <w:rFonts w:eastAsia="Times New Roman" w:cstheme="minorHAnsi"/>
              </w:rPr>
              <w:t>Is the budget for this work 30 x £2K per cohort + the GLA funding? Could you please share the value of the additional GLA funding?</w:t>
            </w:r>
          </w:p>
        </w:tc>
        <w:tc>
          <w:tcPr>
            <w:tcW w:w="0" w:type="auto"/>
            <w:shd w:val="clear" w:color="auto" w:fill="auto"/>
            <w:vAlign w:val="center"/>
          </w:tcPr>
          <w:p w14:paraId="1926FE1D" w14:textId="77777777" w:rsidR="007607C2" w:rsidRPr="007607C2" w:rsidRDefault="007607C2" w:rsidP="007607C2">
            <w:pPr>
              <w:rPr>
                <w:rFonts w:eastAsia="Times New Roman" w:cstheme="minorHAnsi"/>
              </w:rPr>
            </w:pPr>
            <w:r w:rsidRPr="007607C2">
              <w:rPr>
                <w:rFonts w:eastAsia="Times New Roman" w:cstheme="minorHAnsi"/>
              </w:rPr>
              <w:t>As described the LLP has a working balance which comprises LGA grant and participants’ fees.</w:t>
            </w:r>
          </w:p>
          <w:p w14:paraId="06EC2D28" w14:textId="302E149C" w:rsidR="006A071F" w:rsidRPr="007607C2" w:rsidRDefault="006A071F" w:rsidP="007607C2">
            <w:pPr>
              <w:rPr>
                <w:rFonts w:eastAsia="Times New Roman" w:cstheme="minorHAnsi"/>
              </w:rPr>
            </w:pPr>
            <w:r w:rsidRPr="007607C2">
              <w:rPr>
                <w:rFonts w:eastAsia="Times New Roman" w:cstheme="minorHAnsi"/>
              </w:rPr>
              <w:t>London Councils policy is not to provide a maximum budget to ensure value for money.</w:t>
            </w:r>
          </w:p>
          <w:p w14:paraId="183C6E45" w14:textId="72D97524" w:rsidR="006A071F" w:rsidRPr="007607C2" w:rsidRDefault="006A071F" w:rsidP="007607C2">
            <w:pPr>
              <w:rPr>
                <w:rFonts w:eastAsia="Times New Roman" w:cstheme="minorHAnsi"/>
              </w:rPr>
            </w:pPr>
            <w:r w:rsidRPr="007607C2">
              <w:rPr>
                <w:rFonts w:eastAsia="Times New Roman" w:cstheme="minorHAnsi"/>
              </w:rPr>
              <w:t xml:space="preserve">London Councils is open to proposals that are clearly costed and where optional elements are separately outlined </w:t>
            </w:r>
            <w:r w:rsidRPr="007607C2">
              <w:rPr>
                <w:rFonts w:eastAsia="Times New Roman" w:cstheme="minorHAnsi"/>
              </w:rPr>
              <w:t>for comparison</w:t>
            </w:r>
            <w:r w:rsidRPr="007607C2">
              <w:rPr>
                <w:rFonts w:eastAsia="Times New Roman" w:cstheme="minorHAnsi"/>
              </w:rPr>
              <w:t xml:space="preserve"> during</w:t>
            </w:r>
            <w:r w:rsidRPr="007607C2">
              <w:rPr>
                <w:rFonts w:eastAsia="Times New Roman" w:cstheme="minorHAnsi"/>
              </w:rPr>
              <w:t xml:space="preserve"> </w:t>
            </w:r>
            <w:r w:rsidRPr="007607C2">
              <w:rPr>
                <w:rFonts w:eastAsia="Times New Roman" w:cstheme="minorHAnsi"/>
              </w:rPr>
              <w:t>the evaluation process.</w:t>
            </w:r>
          </w:p>
          <w:p w14:paraId="730969FA" w14:textId="2F5AE479" w:rsidR="00C03B63" w:rsidRDefault="006A071F" w:rsidP="007607C2">
            <w:r w:rsidRPr="007607C2">
              <w:rPr>
                <w:rFonts w:eastAsia="Times New Roman" w:cstheme="minorHAnsi"/>
              </w:rPr>
              <w:t>London Councils is not bound to accept the lowest quote, but rather London Councils intends to commission the most economically advantageous quote and reserves the right to accept or reject all or any part of any quote.</w:t>
            </w:r>
          </w:p>
        </w:tc>
      </w:tr>
      <w:tr w:rsidR="00AC2928" w:rsidRPr="003765B7" w14:paraId="47E9F753" w14:textId="77777777" w:rsidTr="00022485">
        <w:trPr>
          <w:cantSplit/>
          <w:jc w:val="center"/>
        </w:trPr>
        <w:tc>
          <w:tcPr>
            <w:tcW w:w="0" w:type="auto"/>
            <w:shd w:val="clear" w:color="auto" w:fill="auto"/>
            <w:vAlign w:val="center"/>
          </w:tcPr>
          <w:p w14:paraId="77A4D381" w14:textId="3E239EB4" w:rsidR="00AC2928" w:rsidRDefault="00AC2928" w:rsidP="00016324">
            <w:pPr>
              <w:spacing w:before="60" w:after="120"/>
              <w:rPr>
                <w:rFonts w:cstheme="minorHAnsi"/>
                <w:sz w:val="24"/>
                <w:szCs w:val="24"/>
              </w:rPr>
            </w:pPr>
            <w:r>
              <w:rPr>
                <w:rFonts w:cstheme="minorHAnsi"/>
                <w:sz w:val="24"/>
                <w:szCs w:val="24"/>
              </w:rPr>
              <w:t>20/11/20</w:t>
            </w:r>
          </w:p>
        </w:tc>
        <w:tc>
          <w:tcPr>
            <w:tcW w:w="0" w:type="auto"/>
            <w:shd w:val="clear" w:color="auto" w:fill="auto"/>
            <w:vAlign w:val="center"/>
          </w:tcPr>
          <w:p w14:paraId="0952FD31" w14:textId="34BAE3A9" w:rsidR="00AC2928" w:rsidRPr="00AC2928" w:rsidRDefault="00AC2928" w:rsidP="00AC2928">
            <w:pPr>
              <w:rPr>
                <w:rFonts w:eastAsia="Times New Roman" w:cstheme="minorHAnsi"/>
              </w:rPr>
            </w:pPr>
            <w:r w:rsidRPr="00C453C8">
              <w:rPr>
                <w:rFonts w:eastAsia="Times New Roman" w:cstheme="minorHAnsi"/>
              </w:rPr>
              <w:t>Has the continued involvement of the recruitment agencies who do the pro bono work been secured or will it be down to a new supplier to secure this?</w:t>
            </w:r>
          </w:p>
        </w:tc>
        <w:tc>
          <w:tcPr>
            <w:tcW w:w="0" w:type="auto"/>
            <w:shd w:val="clear" w:color="auto" w:fill="auto"/>
            <w:vAlign w:val="center"/>
          </w:tcPr>
          <w:p w14:paraId="4FC8080F" w14:textId="4BF7B95C" w:rsidR="00AC2928" w:rsidRPr="003765B7" w:rsidRDefault="00AC2928" w:rsidP="00C453C8">
            <w:r>
              <w:t xml:space="preserve">No </w:t>
            </w:r>
            <w:r>
              <w:t xml:space="preserve">recruitment </w:t>
            </w:r>
            <w:r>
              <w:t>agencies have been secured for future cohorts of the programme. The successful bidder is required to secure these.</w:t>
            </w:r>
          </w:p>
        </w:tc>
      </w:tr>
      <w:tr w:rsidR="00AC2928" w:rsidRPr="003765B7" w14:paraId="2A2EA04E" w14:textId="77777777" w:rsidTr="00022485">
        <w:trPr>
          <w:cantSplit/>
          <w:jc w:val="center"/>
        </w:trPr>
        <w:tc>
          <w:tcPr>
            <w:tcW w:w="0" w:type="auto"/>
            <w:shd w:val="clear" w:color="auto" w:fill="auto"/>
            <w:vAlign w:val="center"/>
          </w:tcPr>
          <w:p w14:paraId="374B900B" w14:textId="4BD6A058" w:rsidR="00AC2928" w:rsidRDefault="00AC2928" w:rsidP="00016324">
            <w:pPr>
              <w:spacing w:before="60" w:after="120"/>
              <w:rPr>
                <w:rFonts w:cstheme="minorHAnsi"/>
                <w:sz w:val="24"/>
                <w:szCs w:val="24"/>
              </w:rPr>
            </w:pPr>
            <w:r>
              <w:rPr>
                <w:rFonts w:cstheme="minorHAnsi"/>
                <w:sz w:val="24"/>
                <w:szCs w:val="24"/>
              </w:rPr>
              <w:t>20/11/20</w:t>
            </w:r>
          </w:p>
        </w:tc>
        <w:tc>
          <w:tcPr>
            <w:tcW w:w="0" w:type="auto"/>
            <w:shd w:val="clear" w:color="auto" w:fill="auto"/>
            <w:vAlign w:val="center"/>
          </w:tcPr>
          <w:p w14:paraId="68E1CE2F" w14:textId="736885C7" w:rsidR="00AC2928" w:rsidRPr="00AC2928" w:rsidRDefault="00AC2928" w:rsidP="00AC2928">
            <w:pPr>
              <w:rPr>
                <w:rFonts w:eastAsia="Times New Roman" w:cstheme="minorHAnsi"/>
              </w:rPr>
            </w:pPr>
            <w:r w:rsidRPr="00C453C8">
              <w:rPr>
                <w:rFonts w:eastAsia="Times New Roman" w:cstheme="minorHAnsi"/>
              </w:rPr>
              <w:t>Are the recruitment agencies who have supported this work so far pre-determined? Are you open to new partners?</w:t>
            </w:r>
          </w:p>
        </w:tc>
        <w:tc>
          <w:tcPr>
            <w:tcW w:w="0" w:type="auto"/>
            <w:shd w:val="clear" w:color="auto" w:fill="auto"/>
            <w:vAlign w:val="center"/>
          </w:tcPr>
          <w:p w14:paraId="39AFD943" w14:textId="773B6259" w:rsidR="00AC2928" w:rsidRDefault="00AC2928" w:rsidP="00AC2928">
            <w:r>
              <w:t>Bidders are free to source and include any partners of their choosing.</w:t>
            </w:r>
          </w:p>
        </w:tc>
      </w:tr>
      <w:tr w:rsidR="00C453C8" w:rsidRPr="003765B7" w14:paraId="110C9E73" w14:textId="77777777" w:rsidTr="00022485">
        <w:trPr>
          <w:cantSplit/>
          <w:jc w:val="center"/>
        </w:trPr>
        <w:tc>
          <w:tcPr>
            <w:tcW w:w="0" w:type="auto"/>
            <w:shd w:val="clear" w:color="auto" w:fill="auto"/>
            <w:vAlign w:val="center"/>
          </w:tcPr>
          <w:p w14:paraId="63207D70" w14:textId="78203DC7" w:rsidR="00C453C8" w:rsidRDefault="00C453C8" w:rsidP="00C453C8">
            <w:pPr>
              <w:spacing w:before="60" w:after="120"/>
              <w:rPr>
                <w:rFonts w:cstheme="minorHAnsi"/>
                <w:sz w:val="24"/>
                <w:szCs w:val="24"/>
              </w:rPr>
            </w:pPr>
            <w:r>
              <w:rPr>
                <w:rFonts w:cstheme="minorHAnsi"/>
                <w:sz w:val="24"/>
                <w:szCs w:val="24"/>
              </w:rPr>
              <w:lastRenderedPageBreak/>
              <w:t>20/11/20</w:t>
            </w:r>
          </w:p>
        </w:tc>
        <w:tc>
          <w:tcPr>
            <w:tcW w:w="0" w:type="auto"/>
            <w:shd w:val="clear" w:color="auto" w:fill="auto"/>
            <w:vAlign w:val="center"/>
          </w:tcPr>
          <w:p w14:paraId="70792A05" w14:textId="7A2A729C" w:rsidR="00C453C8" w:rsidRPr="00C453C8" w:rsidRDefault="00C453C8" w:rsidP="00C453C8">
            <w:pPr>
              <w:rPr>
                <w:rFonts w:eastAsia="Times New Roman" w:cstheme="minorHAnsi"/>
              </w:rPr>
            </w:pPr>
            <w:r w:rsidRPr="00C453C8">
              <w:rPr>
                <w:rFonts w:eastAsia="Times New Roman" w:cstheme="minorHAnsi"/>
              </w:rPr>
              <w:t>What is the formula/scoring matrix for the 20% of the total score relating to price?</w:t>
            </w:r>
          </w:p>
        </w:tc>
        <w:tc>
          <w:tcPr>
            <w:tcW w:w="0" w:type="auto"/>
            <w:shd w:val="clear" w:color="auto" w:fill="auto"/>
            <w:vAlign w:val="center"/>
          </w:tcPr>
          <w:p w14:paraId="138420C4" w14:textId="4CFBC2AF" w:rsidR="00C453C8" w:rsidRDefault="00C453C8" w:rsidP="00C453C8">
            <w:r>
              <w:t>The score for price takes the lowest cost bid and awards it a full 100 points which equates to a weighted score of 20. Each other bid is then awarded a pro rata score in relation to how much more expensive it is than the lowest cost bid. The lowest price is divided by the price of each bid and then multiplied by 100, giving the score out of 100. This is then converted to the weighted score as a percentage of 20. The table below shows how this works in practice.</w:t>
            </w:r>
          </w:p>
          <w:tbl>
            <w:tblPr>
              <w:tblW w:w="5840" w:type="dxa"/>
              <w:tblCellMar>
                <w:left w:w="0" w:type="dxa"/>
                <w:right w:w="0" w:type="dxa"/>
              </w:tblCellMar>
              <w:tblLook w:val="04A0" w:firstRow="1" w:lastRow="0" w:firstColumn="1" w:lastColumn="0" w:noHBand="0" w:noVBand="1"/>
            </w:tblPr>
            <w:tblGrid>
              <w:gridCol w:w="1620"/>
              <w:gridCol w:w="1391"/>
              <w:gridCol w:w="1520"/>
              <w:gridCol w:w="1391"/>
            </w:tblGrid>
            <w:tr w:rsidR="00C453C8" w14:paraId="4D9C1021" w14:textId="77777777" w:rsidTr="003D59B3">
              <w:trPr>
                <w:trHeight w:val="525"/>
              </w:trPr>
              <w:tc>
                <w:tcPr>
                  <w:tcW w:w="16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E9A93D" w14:textId="77777777" w:rsidR="00C453C8" w:rsidRDefault="00C453C8" w:rsidP="00C453C8">
                  <w:pPr>
                    <w:rPr>
                      <w:b/>
                      <w:bCs/>
                    </w:rPr>
                  </w:pPr>
                  <w:r>
                    <w:rPr>
                      <w:b/>
                      <w:bCs/>
                    </w:rPr>
                    <w:t> </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0E5F2D" w14:textId="77777777" w:rsidR="00C453C8" w:rsidRDefault="00C453C8" w:rsidP="00C453C8">
                  <w:pPr>
                    <w:rPr>
                      <w:b/>
                      <w:bCs/>
                    </w:rPr>
                  </w:pPr>
                  <w:r>
                    <w:rPr>
                      <w:b/>
                      <w:bCs/>
                    </w:rPr>
                    <w:t>Organisation 1</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662F45" w14:textId="77777777" w:rsidR="00C453C8" w:rsidRDefault="00C453C8" w:rsidP="00C453C8">
                  <w:pPr>
                    <w:rPr>
                      <w:b/>
                      <w:bCs/>
                    </w:rPr>
                  </w:pPr>
                  <w:r>
                    <w:rPr>
                      <w:b/>
                      <w:bCs/>
                    </w:rPr>
                    <w:t>Organisation 2</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302F86" w14:textId="77777777" w:rsidR="00C453C8" w:rsidRDefault="00C453C8" w:rsidP="00C453C8">
                  <w:pPr>
                    <w:rPr>
                      <w:b/>
                      <w:bCs/>
                    </w:rPr>
                  </w:pPr>
                  <w:r>
                    <w:rPr>
                      <w:b/>
                      <w:bCs/>
                    </w:rPr>
                    <w:t>Organisation 3</w:t>
                  </w:r>
                </w:p>
              </w:tc>
            </w:tr>
            <w:tr w:rsidR="00C453C8" w14:paraId="3B31FFE4" w14:textId="77777777" w:rsidTr="003D59B3">
              <w:trPr>
                <w:trHeight w:val="255"/>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3A3C4" w14:textId="77777777" w:rsidR="00C453C8" w:rsidRDefault="00C453C8" w:rsidP="00C453C8">
                  <w:pPr>
                    <w:rPr>
                      <w:b/>
                      <w:bCs/>
                    </w:rPr>
                  </w:pPr>
                  <w:r>
                    <w:rPr>
                      <w:b/>
                      <w:bCs/>
                      <w:color w:val="000000"/>
                    </w:rPr>
                    <w:t>Programme Development, Management, Delivery</w:t>
                  </w:r>
                </w:p>
              </w:tc>
              <w:tc>
                <w:tcPr>
                  <w:tcW w:w="1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4E97FB" w14:textId="77777777" w:rsidR="00C453C8" w:rsidRDefault="00C453C8" w:rsidP="00C453C8">
                  <w:r>
                    <w:rPr>
                      <w:color w:val="000000"/>
                    </w:rPr>
                    <w:t>£100,000.00</w:t>
                  </w:r>
                </w:p>
              </w:tc>
              <w:tc>
                <w:tcPr>
                  <w:tcW w:w="1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2942BD" w14:textId="77777777" w:rsidR="00C453C8" w:rsidRDefault="00C453C8" w:rsidP="00C453C8">
                  <w:r>
                    <w:rPr>
                      <w:color w:val="000000"/>
                    </w:rPr>
                    <w:t>£150,000.00</w:t>
                  </w:r>
                </w:p>
              </w:tc>
              <w:tc>
                <w:tcPr>
                  <w:tcW w:w="1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F21C3C" w14:textId="77777777" w:rsidR="00C453C8" w:rsidRDefault="00C453C8" w:rsidP="00C453C8">
                  <w:r>
                    <w:rPr>
                      <w:color w:val="000000"/>
                    </w:rPr>
                    <w:t>£200,000.00</w:t>
                  </w:r>
                </w:p>
              </w:tc>
            </w:tr>
            <w:tr w:rsidR="00C453C8" w14:paraId="1D25F596" w14:textId="77777777" w:rsidTr="003D59B3">
              <w:trPr>
                <w:trHeight w:val="255"/>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329C5B" w14:textId="77777777" w:rsidR="00C453C8" w:rsidRDefault="00C453C8" w:rsidP="00C453C8">
                  <w:pPr>
                    <w:rPr>
                      <w:b/>
                      <w:bCs/>
                    </w:rPr>
                  </w:pPr>
                  <w:r>
                    <w:rPr>
                      <w:b/>
                      <w:bCs/>
                      <w:color w:val="000000"/>
                    </w:rPr>
                    <w:t>Expenses</w:t>
                  </w:r>
                </w:p>
              </w:tc>
              <w:tc>
                <w:tcPr>
                  <w:tcW w:w="1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A51053" w14:textId="77777777" w:rsidR="00C453C8" w:rsidRDefault="00C453C8" w:rsidP="00C453C8">
                  <w:r>
                    <w:rPr>
                      <w:color w:val="000000"/>
                    </w:rPr>
                    <w:t> </w:t>
                  </w:r>
                </w:p>
              </w:tc>
              <w:tc>
                <w:tcPr>
                  <w:tcW w:w="1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6FFBA6" w14:textId="77777777" w:rsidR="00C453C8" w:rsidRDefault="00C453C8" w:rsidP="00C453C8">
                  <w:r>
                    <w:rPr>
                      <w:color w:val="000000"/>
                    </w:rPr>
                    <w:t> </w:t>
                  </w:r>
                </w:p>
              </w:tc>
              <w:tc>
                <w:tcPr>
                  <w:tcW w:w="1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15CB52" w14:textId="77777777" w:rsidR="00C453C8" w:rsidRDefault="00C453C8" w:rsidP="00C453C8">
                  <w:r>
                    <w:rPr>
                      <w:color w:val="000000"/>
                    </w:rPr>
                    <w:t> </w:t>
                  </w:r>
                </w:p>
              </w:tc>
            </w:tr>
            <w:tr w:rsidR="00C453C8" w14:paraId="235B1F63" w14:textId="77777777" w:rsidTr="003D59B3">
              <w:trPr>
                <w:trHeight w:val="255"/>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4B4B71" w14:textId="77777777" w:rsidR="00C453C8" w:rsidRDefault="00C453C8" w:rsidP="00C453C8">
                  <w:pPr>
                    <w:rPr>
                      <w:b/>
                      <w:bCs/>
                    </w:rPr>
                  </w:pPr>
                  <w:r>
                    <w:rPr>
                      <w:b/>
                      <w:bCs/>
                      <w:color w:val="000000"/>
                    </w:rPr>
                    <w:t>Other</w:t>
                  </w:r>
                </w:p>
              </w:tc>
              <w:tc>
                <w:tcPr>
                  <w:tcW w:w="1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9A009F" w14:textId="77777777" w:rsidR="00C453C8" w:rsidRDefault="00C453C8" w:rsidP="00C453C8">
                  <w:r>
                    <w:rPr>
                      <w:color w:val="000000"/>
                    </w:rPr>
                    <w:t> </w:t>
                  </w:r>
                </w:p>
              </w:tc>
              <w:tc>
                <w:tcPr>
                  <w:tcW w:w="1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16B40C" w14:textId="77777777" w:rsidR="00C453C8" w:rsidRDefault="00C453C8" w:rsidP="00C453C8">
                  <w:r>
                    <w:rPr>
                      <w:color w:val="000000"/>
                    </w:rPr>
                    <w:t> </w:t>
                  </w:r>
                </w:p>
              </w:tc>
              <w:tc>
                <w:tcPr>
                  <w:tcW w:w="1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05F37E" w14:textId="77777777" w:rsidR="00C453C8" w:rsidRDefault="00C453C8" w:rsidP="00C453C8">
                  <w:r>
                    <w:rPr>
                      <w:color w:val="000000"/>
                    </w:rPr>
                    <w:t> </w:t>
                  </w:r>
                </w:p>
              </w:tc>
            </w:tr>
            <w:tr w:rsidR="00C453C8" w14:paraId="0ED0B394" w14:textId="77777777" w:rsidTr="003D59B3">
              <w:trPr>
                <w:trHeight w:val="255"/>
              </w:trPr>
              <w:tc>
                <w:tcPr>
                  <w:tcW w:w="16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FE11E" w14:textId="77777777" w:rsidR="00C453C8" w:rsidRDefault="00C453C8" w:rsidP="00C453C8">
                  <w:pPr>
                    <w:rPr>
                      <w:b/>
                      <w:bCs/>
                    </w:rPr>
                  </w:pPr>
                  <w:r>
                    <w:rPr>
                      <w:b/>
                      <w:bCs/>
                      <w:color w:val="000000"/>
                    </w:rPr>
                    <w:t> </w:t>
                  </w:r>
                </w:p>
              </w:tc>
              <w:tc>
                <w:tcPr>
                  <w:tcW w:w="13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FC3908" w14:textId="77777777" w:rsidR="00C453C8" w:rsidRDefault="00C453C8" w:rsidP="00C453C8">
                  <w:r>
                    <w:rPr>
                      <w:color w:val="000000"/>
                    </w:rPr>
                    <w:t> </w:t>
                  </w:r>
                </w:p>
              </w:tc>
              <w:tc>
                <w:tcPr>
                  <w:tcW w:w="1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24A893" w14:textId="77777777" w:rsidR="00C453C8" w:rsidRDefault="00C453C8" w:rsidP="00C453C8">
                  <w:r>
                    <w:rPr>
                      <w:color w:val="000000"/>
                    </w:rPr>
                    <w:t> </w:t>
                  </w:r>
                </w:p>
              </w:tc>
              <w:tc>
                <w:tcPr>
                  <w:tcW w:w="13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63B983" w14:textId="77777777" w:rsidR="00C453C8" w:rsidRDefault="00C453C8" w:rsidP="00C453C8">
                  <w:r>
                    <w:rPr>
                      <w:color w:val="000000"/>
                    </w:rPr>
                    <w:t> </w:t>
                  </w:r>
                </w:p>
              </w:tc>
            </w:tr>
            <w:tr w:rsidR="00C453C8" w14:paraId="7DF176CC" w14:textId="77777777" w:rsidTr="003D59B3">
              <w:trPr>
                <w:trHeight w:val="255"/>
              </w:trPr>
              <w:tc>
                <w:tcPr>
                  <w:tcW w:w="162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14:paraId="7785F833" w14:textId="77777777" w:rsidR="00C453C8" w:rsidRDefault="00C453C8" w:rsidP="00C453C8">
                  <w:pPr>
                    <w:rPr>
                      <w:b/>
                      <w:bCs/>
                    </w:rPr>
                  </w:pPr>
                  <w:r>
                    <w:rPr>
                      <w:b/>
                      <w:bCs/>
                      <w:color w:val="000000"/>
                    </w:rPr>
                    <w:t>Total Cost</w:t>
                  </w:r>
                </w:p>
              </w:tc>
              <w:tc>
                <w:tcPr>
                  <w:tcW w:w="1320" w:type="dxa"/>
                  <w:tcBorders>
                    <w:top w:val="nil"/>
                    <w:left w:val="single" w:sz="8" w:space="0" w:color="auto"/>
                    <w:bottom w:val="single" w:sz="8" w:space="0" w:color="auto"/>
                    <w:right w:val="single" w:sz="8" w:space="0" w:color="auto"/>
                  </w:tcBorders>
                  <w:shd w:val="clear" w:color="auto" w:fill="63BE7B"/>
                  <w:tcMar>
                    <w:top w:w="0" w:type="dxa"/>
                    <w:left w:w="108" w:type="dxa"/>
                    <w:bottom w:w="0" w:type="dxa"/>
                    <w:right w:w="108" w:type="dxa"/>
                  </w:tcMar>
                  <w:vAlign w:val="center"/>
                  <w:hideMark/>
                </w:tcPr>
                <w:p w14:paraId="698FA8A6" w14:textId="77777777" w:rsidR="00C453C8" w:rsidRDefault="00C453C8" w:rsidP="00C453C8">
                  <w:pPr>
                    <w:rPr>
                      <w:b/>
                      <w:bCs/>
                    </w:rPr>
                  </w:pPr>
                  <w:r>
                    <w:rPr>
                      <w:b/>
                      <w:bCs/>
                      <w:color w:val="000000"/>
                    </w:rPr>
                    <w:t>£100,000.00</w:t>
                  </w:r>
                </w:p>
              </w:tc>
              <w:tc>
                <w:tcPr>
                  <w:tcW w:w="1520" w:type="dxa"/>
                  <w:tcBorders>
                    <w:top w:val="nil"/>
                    <w:left w:val="nil"/>
                    <w:bottom w:val="single" w:sz="8" w:space="0" w:color="auto"/>
                    <w:right w:val="single" w:sz="8" w:space="0" w:color="auto"/>
                  </w:tcBorders>
                  <w:shd w:val="clear" w:color="auto" w:fill="FFEB84"/>
                  <w:tcMar>
                    <w:top w:w="0" w:type="dxa"/>
                    <w:left w:w="108" w:type="dxa"/>
                    <w:bottom w:w="0" w:type="dxa"/>
                    <w:right w:w="108" w:type="dxa"/>
                  </w:tcMar>
                  <w:vAlign w:val="center"/>
                  <w:hideMark/>
                </w:tcPr>
                <w:p w14:paraId="4745C657" w14:textId="77777777" w:rsidR="00C453C8" w:rsidRDefault="00C453C8" w:rsidP="00C453C8">
                  <w:pPr>
                    <w:rPr>
                      <w:b/>
                      <w:bCs/>
                    </w:rPr>
                  </w:pPr>
                  <w:r>
                    <w:rPr>
                      <w:b/>
                      <w:bCs/>
                      <w:color w:val="000000"/>
                    </w:rPr>
                    <w:t>£150,000.00</w:t>
                  </w:r>
                </w:p>
              </w:tc>
              <w:tc>
                <w:tcPr>
                  <w:tcW w:w="1380" w:type="dxa"/>
                  <w:tcBorders>
                    <w:top w:val="nil"/>
                    <w:left w:val="nil"/>
                    <w:bottom w:val="single" w:sz="8" w:space="0" w:color="auto"/>
                    <w:right w:val="single" w:sz="8" w:space="0" w:color="auto"/>
                  </w:tcBorders>
                  <w:shd w:val="clear" w:color="auto" w:fill="F8696B"/>
                  <w:tcMar>
                    <w:top w:w="0" w:type="dxa"/>
                    <w:left w:w="108" w:type="dxa"/>
                    <w:bottom w:w="0" w:type="dxa"/>
                    <w:right w:w="108" w:type="dxa"/>
                  </w:tcMar>
                  <w:vAlign w:val="center"/>
                  <w:hideMark/>
                </w:tcPr>
                <w:p w14:paraId="5AD6CFDF" w14:textId="77777777" w:rsidR="00C453C8" w:rsidRDefault="00C453C8" w:rsidP="00C453C8">
                  <w:pPr>
                    <w:rPr>
                      <w:b/>
                      <w:bCs/>
                    </w:rPr>
                  </w:pPr>
                  <w:r>
                    <w:rPr>
                      <w:b/>
                      <w:bCs/>
                      <w:color w:val="000000"/>
                    </w:rPr>
                    <w:t>£200,000.00</w:t>
                  </w:r>
                </w:p>
              </w:tc>
            </w:tr>
            <w:tr w:rsidR="00C453C8" w14:paraId="24805923" w14:textId="77777777" w:rsidTr="003D59B3">
              <w:trPr>
                <w:trHeight w:val="255"/>
              </w:trPr>
              <w:tc>
                <w:tcPr>
                  <w:tcW w:w="1620"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bottom"/>
                  <w:hideMark/>
                </w:tcPr>
                <w:p w14:paraId="336779AE" w14:textId="77777777" w:rsidR="00C453C8" w:rsidRDefault="00C453C8" w:rsidP="00C453C8">
                  <w:r>
                    <w:rPr>
                      <w:color w:val="000000"/>
                    </w:rPr>
                    <w:t>Score out of 100</w:t>
                  </w:r>
                </w:p>
              </w:tc>
              <w:tc>
                <w:tcPr>
                  <w:tcW w:w="13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B3CE92" w14:textId="77777777" w:rsidR="00C453C8" w:rsidRDefault="00C453C8" w:rsidP="00C453C8">
                  <w:r>
                    <w:rPr>
                      <w:color w:val="000000"/>
                    </w:rPr>
                    <w:t>100</w:t>
                  </w:r>
                </w:p>
              </w:tc>
              <w:tc>
                <w:tcPr>
                  <w:tcW w:w="15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088005" w14:textId="77777777" w:rsidR="00C453C8" w:rsidRDefault="00C453C8" w:rsidP="00C453C8">
                  <w:r>
                    <w:rPr>
                      <w:color w:val="000000"/>
                    </w:rPr>
                    <w:t>67</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241683" w14:textId="77777777" w:rsidR="00C453C8" w:rsidRDefault="00C453C8" w:rsidP="00C453C8">
                  <w:r>
                    <w:t>50</w:t>
                  </w:r>
                </w:p>
              </w:tc>
            </w:tr>
            <w:tr w:rsidR="00C453C8" w14:paraId="70A236D0" w14:textId="77777777" w:rsidTr="003D59B3">
              <w:trPr>
                <w:trHeight w:val="255"/>
              </w:trPr>
              <w:tc>
                <w:tcPr>
                  <w:tcW w:w="162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E85A5F" w14:textId="77777777" w:rsidR="00C453C8" w:rsidRDefault="00C453C8" w:rsidP="00C453C8">
                  <w:pPr>
                    <w:rPr>
                      <w:b/>
                      <w:bCs/>
                    </w:rPr>
                  </w:pPr>
                  <w:r>
                    <w:rPr>
                      <w:b/>
                      <w:bCs/>
                      <w:color w:val="000000"/>
                    </w:rPr>
                    <w:t>Weighted Score</w:t>
                  </w:r>
                </w:p>
              </w:tc>
              <w:tc>
                <w:tcPr>
                  <w:tcW w:w="1320" w:type="dxa"/>
                  <w:tcBorders>
                    <w:top w:val="nil"/>
                    <w:left w:val="nil"/>
                    <w:bottom w:val="single" w:sz="8" w:space="0" w:color="auto"/>
                    <w:right w:val="single" w:sz="8" w:space="0" w:color="auto"/>
                  </w:tcBorders>
                  <w:shd w:val="clear" w:color="auto" w:fill="63BE7B"/>
                  <w:noWrap/>
                  <w:tcMar>
                    <w:top w:w="0" w:type="dxa"/>
                    <w:left w:w="108" w:type="dxa"/>
                    <w:bottom w:w="0" w:type="dxa"/>
                    <w:right w:w="108" w:type="dxa"/>
                  </w:tcMar>
                  <w:vAlign w:val="bottom"/>
                  <w:hideMark/>
                </w:tcPr>
                <w:p w14:paraId="6EDFD35D" w14:textId="77777777" w:rsidR="00C453C8" w:rsidRDefault="00C453C8" w:rsidP="00C453C8">
                  <w:pPr>
                    <w:rPr>
                      <w:b/>
                      <w:bCs/>
                    </w:rPr>
                  </w:pPr>
                  <w:r>
                    <w:rPr>
                      <w:b/>
                      <w:bCs/>
                      <w:color w:val="000000"/>
                    </w:rPr>
                    <w:t>20</w:t>
                  </w:r>
                </w:p>
              </w:tc>
              <w:tc>
                <w:tcPr>
                  <w:tcW w:w="1520" w:type="dxa"/>
                  <w:tcBorders>
                    <w:top w:val="nil"/>
                    <w:left w:val="nil"/>
                    <w:bottom w:val="single" w:sz="8" w:space="0" w:color="auto"/>
                    <w:right w:val="single" w:sz="8" w:space="0" w:color="auto"/>
                  </w:tcBorders>
                  <w:shd w:val="clear" w:color="auto" w:fill="FFEB84"/>
                  <w:noWrap/>
                  <w:tcMar>
                    <w:top w:w="0" w:type="dxa"/>
                    <w:left w:w="108" w:type="dxa"/>
                    <w:bottom w:w="0" w:type="dxa"/>
                    <w:right w:w="108" w:type="dxa"/>
                  </w:tcMar>
                  <w:vAlign w:val="bottom"/>
                  <w:hideMark/>
                </w:tcPr>
                <w:p w14:paraId="1BBC8382" w14:textId="77777777" w:rsidR="00C453C8" w:rsidRDefault="00C453C8" w:rsidP="00C453C8">
                  <w:pPr>
                    <w:rPr>
                      <w:b/>
                      <w:bCs/>
                    </w:rPr>
                  </w:pPr>
                  <w:r>
                    <w:rPr>
                      <w:b/>
                      <w:bCs/>
                      <w:color w:val="000000"/>
                    </w:rPr>
                    <w:t>13</w:t>
                  </w:r>
                </w:p>
              </w:tc>
              <w:tc>
                <w:tcPr>
                  <w:tcW w:w="1380" w:type="dxa"/>
                  <w:tcBorders>
                    <w:top w:val="nil"/>
                    <w:left w:val="nil"/>
                    <w:bottom w:val="single" w:sz="8" w:space="0" w:color="auto"/>
                    <w:right w:val="single" w:sz="8" w:space="0" w:color="auto"/>
                  </w:tcBorders>
                  <w:shd w:val="clear" w:color="auto" w:fill="F8696B"/>
                  <w:noWrap/>
                  <w:tcMar>
                    <w:top w:w="0" w:type="dxa"/>
                    <w:left w:w="108" w:type="dxa"/>
                    <w:bottom w:w="0" w:type="dxa"/>
                    <w:right w:w="108" w:type="dxa"/>
                  </w:tcMar>
                  <w:vAlign w:val="bottom"/>
                  <w:hideMark/>
                </w:tcPr>
                <w:p w14:paraId="2A0DDB49" w14:textId="77777777" w:rsidR="00C453C8" w:rsidRDefault="00C453C8" w:rsidP="00C453C8">
                  <w:pPr>
                    <w:rPr>
                      <w:b/>
                      <w:bCs/>
                    </w:rPr>
                  </w:pPr>
                  <w:r>
                    <w:rPr>
                      <w:b/>
                      <w:bCs/>
                      <w:color w:val="000000"/>
                    </w:rPr>
                    <w:t>10</w:t>
                  </w:r>
                </w:p>
              </w:tc>
            </w:tr>
          </w:tbl>
          <w:p w14:paraId="734DF714" w14:textId="77777777" w:rsidR="00C453C8" w:rsidRDefault="00C453C8" w:rsidP="00C453C8"/>
        </w:tc>
      </w:tr>
    </w:tbl>
    <w:p w14:paraId="7EB8D2CA" w14:textId="77777777" w:rsidR="0062699D" w:rsidRDefault="0062699D" w:rsidP="003765B7"/>
    <w:sectPr w:rsidR="0062699D" w:rsidSect="00C453C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6C035" w14:textId="77777777" w:rsidR="009952D3" w:rsidRDefault="009952D3" w:rsidP="009B4652">
      <w:pPr>
        <w:spacing w:after="0" w:line="240" w:lineRule="auto"/>
      </w:pPr>
      <w:r>
        <w:separator/>
      </w:r>
    </w:p>
  </w:endnote>
  <w:endnote w:type="continuationSeparator" w:id="0">
    <w:p w14:paraId="6D7E2276" w14:textId="77777777" w:rsidR="009952D3" w:rsidRDefault="009952D3"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E01F4" w14:textId="77777777" w:rsidR="009952D3" w:rsidRDefault="009952D3" w:rsidP="009B4652">
      <w:pPr>
        <w:spacing w:after="0" w:line="240" w:lineRule="auto"/>
      </w:pPr>
      <w:r>
        <w:separator/>
      </w:r>
    </w:p>
  </w:footnote>
  <w:footnote w:type="continuationSeparator" w:id="0">
    <w:p w14:paraId="245299C9" w14:textId="77777777" w:rsidR="009952D3" w:rsidRDefault="009952D3"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
  </w:num>
  <w:num w:numId="8">
    <w:abstractNumId w:val="8"/>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7279"/>
    <w:rsid w:val="000B0DBD"/>
    <w:rsid w:val="000B1FCC"/>
    <w:rsid w:val="000B76CC"/>
    <w:rsid w:val="001E02C3"/>
    <w:rsid w:val="002051B5"/>
    <w:rsid w:val="00290567"/>
    <w:rsid w:val="0032023A"/>
    <w:rsid w:val="003765B7"/>
    <w:rsid w:val="003E7470"/>
    <w:rsid w:val="00422BA4"/>
    <w:rsid w:val="00584177"/>
    <w:rsid w:val="0062699D"/>
    <w:rsid w:val="006509FA"/>
    <w:rsid w:val="006A071F"/>
    <w:rsid w:val="006C1CA3"/>
    <w:rsid w:val="00744373"/>
    <w:rsid w:val="00746EDF"/>
    <w:rsid w:val="00750194"/>
    <w:rsid w:val="007607C2"/>
    <w:rsid w:val="007A0BC6"/>
    <w:rsid w:val="007C1BD3"/>
    <w:rsid w:val="00877AD1"/>
    <w:rsid w:val="008C2235"/>
    <w:rsid w:val="009952D3"/>
    <w:rsid w:val="009B1EB2"/>
    <w:rsid w:val="009B4652"/>
    <w:rsid w:val="00A83125"/>
    <w:rsid w:val="00AC2928"/>
    <w:rsid w:val="00AF2AA6"/>
    <w:rsid w:val="00B9299B"/>
    <w:rsid w:val="00C01407"/>
    <w:rsid w:val="00C03B63"/>
    <w:rsid w:val="00C42332"/>
    <w:rsid w:val="00C453C8"/>
    <w:rsid w:val="00EE7716"/>
    <w:rsid w:val="00F565C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3.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E59486-764E-4E34-B1C3-D5B9D66A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Sarah Filby</cp:lastModifiedBy>
  <cp:revision>2</cp:revision>
  <cp:lastPrinted>2018-11-14T15:52:00Z</cp:lastPrinted>
  <dcterms:created xsi:type="dcterms:W3CDTF">2020-11-26T16:41:00Z</dcterms:created>
  <dcterms:modified xsi:type="dcterms:W3CDTF">2020-11-26T16:41:00Z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