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475C5C22" w:rsidR="00B327EC" w:rsidRPr="00021B0E" w:rsidRDefault="006D6B62" w:rsidP="00B327EC">
      <w:pPr>
        <w:widowControl w:val="0"/>
        <w:tabs>
          <w:tab w:val="center" w:pos="4513"/>
        </w:tabs>
        <w:spacing w:before="120" w:after="120"/>
        <w:jc w:val="center"/>
        <w:rPr>
          <w:b/>
          <w:color w:val="000000"/>
          <w:sz w:val="36"/>
          <w:szCs w:val="36"/>
        </w:rPr>
      </w:pPr>
      <w:r>
        <w:rPr>
          <w:b/>
          <w:color w:val="000000"/>
          <w:sz w:val="36"/>
          <w:szCs w:val="36"/>
        </w:rPr>
        <w:t>THE DEPARTMENT FOR TRANSPORT</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62F79826" w:rsidR="00B327EC" w:rsidRPr="00021B0E" w:rsidRDefault="006D6B62" w:rsidP="00B327EC">
      <w:pPr>
        <w:widowControl w:val="0"/>
        <w:tabs>
          <w:tab w:val="center" w:pos="4513"/>
        </w:tabs>
        <w:spacing w:before="120" w:after="120"/>
        <w:jc w:val="center"/>
        <w:rPr>
          <w:b/>
          <w:color w:val="000000"/>
          <w:sz w:val="36"/>
          <w:szCs w:val="36"/>
        </w:rPr>
      </w:pPr>
      <w:r>
        <w:rPr>
          <w:b/>
          <w:color w:val="000000"/>
          <w:sz w:val="36"/>
          <w:szCs w:val="36"/>
        </w:rPr>
        <w:t xml:space="preserve">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61FFC4DD" w:rsidR="00B327EC" w:rsidRPr="00021B0E" w:rsidRDefault="006D6B62" w:rsidP="00B327EC">
      <w:pPr>
        <w:widowControl w:val="0"/>
        <w:tabs>
          <w:tab w:val="center" w:pos="4513"/>
        </w:tabs>
        <w:spacing w:before="120" w:after="120"/>
        <w:jc w:val="center"/>
        <w:rPr>
          <w:color w:val="000000"/>
          <w:sz w:val="36"/>
          <w:szCs w:val="36"/>
        </w:rPr>
      </w:pPr>
      <w:r>
        <w:rPr>
          <w:b/>
          <w:color w:val="000000"/>
          <w:sz w:val="36"/>
          <w:szCs w:val="36"/>
        </w:rPr>
        <w:t>EVERSHEDS</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4FFF8EF3" w:rsidR="00B327EC" w:rsidRDefault="006D6B62" w:rsidP="00B327EC">
      <w:pPr>
        <w:widowControl w:val="0"/>
        <w:tabs>
          <w:tab w:val="center" w:pos="4513"/>
        </w:tabs>
        <w:spacing w:before="120" w:after="120"/>
        <w:jc w:val="center"/>
        <w:rPr>
          <w:b/>
          <w:color w:val="000000"/>
          <w:sz w:val="36"/>
          <w:szCs w:val="36"/>
        </w:rPr>
      </w:pPr>
      <w:r>
        <w:rPr>
          <w:b/>
          <w:color w:val="000000"/>
          <w:sz w:val="36"/>
          <w:szCs w:val="36"/>
        </w:rPr>
        <w:t>ANNEXES</w:t>
      </w:r>
    </w:p>
    <w:p w14:paraId="67BAC695" w14:textId="77777777" w:rsidR="006D6B62" w:rsidRPr="00021B0E" w:rsidRDefault="006D6B62" w:rsidP="00B327EC">
      <w:pPr>
        <w:widowControl w:val="0"/>
        <w:tabs>
          <w:tab w:val="center" w:pos="4513"/>
        </w:tabs>
        <w:spacing w:before="120" w:after="120"/>
        <w:jc w:val="center"/>
        <w:rPr>
          <w:b/>
          <w:color w:val="000000"/>
          <w:sz w:val="36"/>
          <w:szCs w:val="36"/>
        </w:rPr>
      </w:pPr>
    </w:p>
    <w:p w14:paraId="6EACBD19" w14:textId="3BD02872" w:rsidR="00B327EC" w:rsidRDefault="006D6B62"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03613526" w14:textId="77777777" w:rsidR="006D6B62" w:rsidRPr="00021B0E" w:rsidRDefault="006D6B62" w:rsidP="00B327EC">
      <w:pPr>
        <w:widowControl w:val="0"/>
        <w:tabs>
          <w:tab w:val="left" w:pos="-720"/>
        </w:tabs>
        <w:spacing w:before="120" w:after="120"/>
        <w:jc w:val="center"/>
        <w:rPr>
          <w:b/>
          <w:bCs/>
          <w:color w:val="000000"/>
          <w:sz w:val="36"/>
          <w:szCs w:val="36"/>
        </w:rPr>
      </w:pPr>
    </w:p>
    <w:p w14:paraId="73DF4AFC" w14:textId="64113725" w:rsidR="00B327EC" w:rsidRDefault="006D6B62" w:rsidP="00B327EC">
      <w:pPr>
        <w:widowControl w:val="0"/>
        <w:tabs>
          <w:tab w:val="center" w:pos="4513"/>
        </w:tabs>
        <w:spacing w:before="120" w:after="120"/>
        <w:jc w:val="center"/>
        <w:rPr>
          <w:b/>
          <w:color w:val="000000"/>
          <w:sz w:val="36"/>
          <w:szCs w:val="36"/>
        </w:rPr>
      </w:pPr>
      <w:r>
        <w:rPr>
          <w:b/>
          <w:color w:val="000000"/>
          <w:sz w:val="36"/>
          <w:szCs w:val="36"/>
        </w:rPr>
        <w:t>THE PROVISION OF LEGAL ADVISER SERVICES FOR THE WEST COAST</w:t>
      </w:r>
    </w:p>
    <w:p w14:paraId="11096771" w14:textId="7C67B5E0" w:rsidR="00006562" w:rsidRDefault="006D6B62" w:rsidP="00B327EC">
      <w:pPr>
        <w:widowControl w:val="0"/>
        <w:tabs>
          <w:tab w:val="center" w:pos="4513"/>
        </w:tabs>
        <w:spacing w:before="120" w:after="120"/>
        <w:jc w:val="center"/>
        <w:rPr>
          <w:b/>
          <w:color w:val="000000"/>
          <w:sz w:val="36"/>
          <w:szCs w:val="36"/>
        </w:rPr>
      </w:pPr>
      <w:r>
        <w:rPr>
          <w:b/>
          <w:color w:val="000000"/>
          <w:sz w:val="36"/>
          <w:szCs w:val="36"/>
        </w:rPr>
        <w:t>CONTINUATION RAIL PROJECT FOR THE DFT</w:t>
      </w:r>
    </w:p>
    <w:p w14:paraId="43409F50" w14:textId="77777777" w:rsidR="006D6B62" w:rsidRDefault="006D6B62" w:rsidP="00B327EC">
      <w:pPr>
        <w:widowControl w:val="0"/>
        <w:tabs>
          <w:tab w:val="center" w:pos="4513"/>
        </w:tabs>
        <w:spacing w:before="120" w:after="120"/>
        <w:jc w:val="center"/>
        <w:rPr>
          <w:b/>
          <w:color w:val="000000"/>
          <w:sz w:val="36"/>
          <w:szCs w:val="36"/>
        </w:rPr>
      </w:pPr>
    </w:p>
    <w:p w14:paraId="584C9CC2" w14:textId="54B9673F" w:rsidR="00F42D71" w:rsidRDefault="006D6B62" w:rsidP="00B327EC">
      <w:pPr>
        <w:widowControl w:val="0"/>
        <w:tabs>
          <w:tab w:val="center" w:pos="4513"/>
        </w:tabs>
        <w:spacing w:before="120" w:after="120"/>
        <w:jc w:val="center"/>
        <w:rPr>
          <w:b/>
          <w:color w:val="000000"/>
          <w:sz w:val="36"/>
          <w:szCs w:val="36"/>
        </w:rPr>
      </w:pPr>
      <w:r>
        <w:rPr>
          <w:b/>
          <w:color w:val="000000"/>
          <w:sz w:val="36"/>
          <w:szCs w:val="36"/>
        </w:rPr>
        <w:t>CONTRACT REFERENCE: CCLL16A22</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026B2E">
          <w:rPr>
            <w:noProof/>
            <w:webHidden/>
          </w:rPr>
          <w:t>3</w:t>
        </w:r>
        <w:r w:rsidR="003537BB">
          <w:rPr>
            <w:noProof/>
            <w:webHidden/>
          </w:rPr>
          <w:fldChar w:fldCharType="end"/>
        </w:r>
      </w:hyperlink>
    </w:p>
    <w:p w14:paraId="0AA737F4" w14:textId="77777777" w:rsidR="003537BB" w:rsidRDefault="00796E80">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026B2E">
          <w:rPr>
            <w:noProof/>
            <w:webHidden/>
          </w:rPr>
          <w:t>3</w:t>
        </w:r>
        <w:r w:rsidR="003537BB">
          <w:rPr>
            <w:noProof/>
            <w:webHidden/>
          </w:rPr>
          <w:fldChar w:fldCharType="end"/>
        </w:r>
      </w:hyperlink>
    </w:p>
    <w:p w14:paraId="4C1A2F88" w14:textId="77777777" w:rsidR="003537BB" w:rsidRDefault="00796E80">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026B2E">
          <w:rPr>
            <w:noProof/>
            <w:webHidden/>
          </w:rPr>
          <w:t>4</w:t>
        </w:r>
        <w:r w:rsidR="003537BB">
          <w:rPr>
            <w:noProof/>
            <w:webHidden/>
          </w:rPr>
          <w:fldChar w:fldCharType="end"/>
        </w:r>
      </w:hyperlink>
    </w:p>
    <w:p w14:paraId="239E4E79" w14:textId="77777777" w:rsidR="003537BB" w:rsidRDefault="00796E80">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026B2E">
          <w:rPr>
            <w:noProof/>
            <w:webHidden/>
          </w:rPr>
          <w:t>5</w:t>
        </w:r>
        <w:r w:rsidR="003537BB">
          <w:rPr>
            <w:noProof/>
            <w:webHidden/>
          </w:rPr>
          <w:fldChar w:fldCharType="end"/>
        </w:r>
      </w:hyperlink>
    </w:p>
    <w:p w14:paraId="0B35382D" w14:textId="77777777" w:rsidR="003537BB" w:rsidRDefault="00796E80">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026B2E">
          <w:rPr>
            <w:noProof/>
            <w:webHidden/>
          </w:rPr>
          <w:t>5</w:t>
        </w:r>
        <w:r w:rsidR="003537BB">
          <w:rPr>
            <w:noProof/>
            <w:webHidden/>
          </w:rPr>
          <w:fldChar w:fldCharType="end"/>
        </w:r>
      </w:hyperlink>
    </w:p>
    <w:p w14:paraId="13B8BD04" w14:textId="77777777" w:rsidR="003537BB" w:rsidRDefault="00796E80">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026B2E">
          <w:rPr>
            <w:noProof/>
            <w:webHidden/>
          </w:rPr>
          <w:t>5</w:t>
        </w:r>
        <w:r w:rsidR="003537BB">
          <w:rPr>
            <w:noProof/>
            <w:webHidden/>
          </w:rPr>
          <w:fldChar w:fldCharType="end"/>
        </w:r>
      </w:hyperlink>
    </w:p>
    <w:p w14:paraId="3137EB71" w14:textId="77777777" w:rsidR="003537BB" w:rsidRDefault="00796E80">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026B2E">
          <w:rPr>
            <w:noProof/>
            <w:webHidden/>
          </w:rPr>
          <w:t>6</w:t>
        </w:r>
        <w:r w:rsidR="003537BB">
          <w:rPr>
            <w:noProof/>
            <w:webHidden/>
          </w:rPr>
          <w:fldChar w:fldCharType="end"/>
        </w:r>
      </w:hyperlink>
    </w:p>
    <w:p w14:paraId="49500F3D" w14:textId="77777777" w:rsidR="003537BB" w:rsidRDefault="00796E80">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026B2E">
          <w:rPr>
            <w:noProof/>
            <w:webHidden/>
          </w:rPr>
          <w:t>7</w:t>
        </w:r>
        <w:r w:rsidR="003537BB">
          <w:rPr>
            <w:noProof/>
            <w:webHidden/>
          </w:rPr>
          <w:fldChar w:fldCharType="end"/>
        </w:r>
      </w:hyperlink>
    </w:p>
    <w:p w14:paraId="1F65720D" w14:textId="77777777" w:rsidR="003537BB" w:rsidRDefault="00796E80">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026B2E">
          <w:rPr>
            <w:noProof/>
            <w:webHidden/>
          </w:rPr>
          <w:t>8</w:t>
        </w:r>
        <w:r w:rsidR="003537BB">
          <w:rPr>
            <w:noProof/>
            <w:webHidden/>
          </w:rPr>
          <w:fldChar w:fldCharType="end"/>
        </w:r>
      </w:hyperlink>
    </w:p>
    <w:p w14:paraId="11D51CDD" w14:textId="77777777" w:rsidR="003537BB" w:rsidRDefault="00796E80">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026B2E">
          <w:rPr>
            <w:noProof/>
            <w:webHidden/>
          </w:rPr>
          <w:t>8</w:t>
        </w:r>
        <w:r w:rsidR="003537BB">
          <w:rPr>
            <w:noProof/>
            <w:webHidden/>
          </w:rPr>
          <w:fldChar w:fldCharType="end"/>
        </w:r>
      </w:hyperlink>
    </w:p>
    <w:p w14:paraId="37C11058" w14:textId="77777777" w:rsidR="003537BB" w:rsidRDefault="00796E80">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026B2E">
          <w:rPr>
            <w:noProof/>
            <w:webHidden/>
          </w:rPr>
          <w:t>9</w:t>
        </w:r>
        <w:r w:rsidR="003537BB">
          <w:rPr>
            <w:noProof/>
            <w:webHidden/>
          </w:rPr>
          <w:fldChar w:fldCharType="end"/>
        </w:r>
      </w:hyperlink>
    </w:p>
    <w:p w14:paraId="049CD371" w14:textId="77777777" w:rsidR="003537BB" w:rsidRDefault="00796E80">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026B2E">
          <w:rPr>
            <w:noProof/>
            <w:webHidden/>
          </w:rPr>
          <w:t>9</w:t>
        </w:r>
        <w:r w:rsidR="003537BB">
          <w:rPr>
            <w:noProof/>
            <w:webHidden/>
          </w:rPr>
          <w:fldChar w:fldCharType="end"/>
        </w:r>
      </w:hyperlink>
    </w:p>
    <w:p w14:paraId="0F6856DE" w14:textId="77777777" w:rsidR="003537BB" w:rsidRDefault="00796E80">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026B2E">
          <w:rPr>
            <w:noProof/>
            <w:webHidden/>
          </w:rPr>
          <w:t>10</w:t>
        </w:r>
        <w:r w:rsidR="003537BB">
          <w:rPr>
            <w:noProof/>
            <w:webHidden/>
          </w:rPr>
          <w:fldChar w:fldCharType="end"/>
        </w:r>
      </w:hyperlink>
    </w:p>
    <w:p w14:paraId="30D93AB2" w14:textId="77777777" w:rsidR="003537BB" w:rsidRDefault="00796E80">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026B2E">
          <w:rPr>
            <w:noProof/>
            <w:webHidden/>
          </w:rPr>
          <w:t>11</w:t>
        </w:r>
        <w:r w:rsidR="003537BB">
          <w:rPr>
            <w:noProof/>
            <w:webHidden/>
          </w:rPr>
          <w:fldChar w:fldCharType="end"/>
        </w:r>
      </w:hyperlink>
    </w:p>
    <w:p w14:paraId="18AD9369" w14:textId="77777777" w:rsidR="003537BB" w:rsidRDefault="00796E80">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026B2E">
          <w:rPr>
            <w:noProof/>
            <w:webHidden/>
          </w:rPr>
          <w:t>12</w:t>
        </w:r>
        <w:r w:rsidR="003537BB">
          <w:rPr>
            <w:noProof/>
            <w:webHidden/>
          </w:rPr>
          <w:fldChar w:fldCharType="end"/>
        </w:r>
      </w:hyperlink>
    </w:p>
    <w:p w14:paraId="55FCE754" w14:textId="77777777" w:rsidR="003537BB" w:rsidRDefault="00796E80">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026B2E">
          <w:rPr>
            <w:noProof/>
            <w:webHidden/>
          </w:rPr>
          <w:t>12</w:t>
        </w:r>
        <w:r w:rsidR="003537BB">
          <w:rPr>
            <w:noProof/>
            <w:webHidden/>
          </w:rPr>
          <w:fldChar w:fldCharType="end"/>
        </w:r>
      </w:hyperlink>
    </w:p>
    <w:p w14:paraId="62436698" w14:textId="77777777" w:rsidR="003537BB" w:rsidRDefault="00796E80">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026B2E">
          <w:rPr>
            <w:noProof/>
            <w:webHidden/>
          </w:rPr>
          <w:t>12</w:t>
        </w:r>
        <w:r w:rsidR="003537BB">
          <w:rPr>
            <w:noProof/>
            <w:webHidden/>
          </w:rPr>
          <w:fldChar w:fldCharType="end"/>
        </w:r>
      </w:hyperlink>
    </w:p>
    <w:p w14:paraId="4EC3B055" w14:textId="77777777" w:rsidR="003537BB" w:rsidRDefault="00796E80">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026B2E">
          <w:rPr>
            <w:noProof/>
            <w:webHidden/>
          </w:rPr>
          <w:t>13</w:t>
        </w:r>
        <w:r w:rsidR="003537BB">
          <w:rPr>
            <w:noProof/>
            <w:webHidden/>
          </w:rPr>
          <w:fldChar w:fldCharType="end"/>
        </w:r>
      </w:hyperlink>
    </w:p>
    <w:p w14:paraId="445081EC" w14:textId="77777777" w:rsidR="003537BB" w:rsidRDefault="00796E80">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026B2E">
          <w:rPr>
            <w:noProof/>
            <w:webHidden/>
          </w:rPr>
          <w:t>14</w:t>
        </w:r>
        <w:r w:rsidR="003537BB">
          <w:rPr>
            <w:noProof/>
            <w:webHidden/>
          </w:rPr>
          <w:fldChar w:fldCharType="end"/>
        </w:r>
      </w:hyperlink>
    </w:p>
    <w:p w14:paraId="5F951ACA" w14:textId="77777777" w:rsidR="003537BB" w:rsidRDefault="00796E80">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026B2E">
          <w:rPr>
            <w:noProof/>
            <w:webHidden/>
          </w:rPr>
          <w:t>14</w:t>
        </w:r>
        <w:r w:rsidR="003537BB">
          <w:rPr>
            <w:noProof/>
            <w:webHidden/>
          </w:rPr>
          <w:fldChar w:fldCharType="end"/>
        </w:r>
      </w:hyperlink>
    </w:p>
    <w:p w14:paraId="7631B256" w14:textId="77777777" w:rsidR="003537BB" w:rsidRDefault="00796E80">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026B2E">
          <w:rPr>
            <w:noProof/>
            <w:webHidden/>
          </w:rPr>
          <w:t>15</w:t>
        </w:r>
        <w:r w:rsidR="003537BB">
          <w:rPr>
            <w:noProof/>
            <w:webHidden/>
          </w:rPr>
          <w:fldChar w:fldCharType="end"/>
        </w:r>
      </w:hyperlink>
    </w:p>
    <w:p w14:paraId="6B939037" w14:textId="77777777" w:rsidR="003537BB" w:rsidRDefault="00796E80">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026B2E">
          <w:rPr>
            <w:noProof/>
            <w:webHidden/>
          </w:rPr>
          <w:t>15</w:t>
        </w:r>
        <w:r w:rsidR="003537BB">
          <w:rPr>
            <w:noProof/>
            <w:webHidden/>
          </w:rPr>
          <w:fldChar w:fldCharType="end"/>
        </w:r>
      </w:hyperlink>
    </w:p>
    <w:p w14:paraId="17107B4E" w14:textId="77777777" w:rsidR="003537BB" w:rsidRDefault="00796E80">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026B2E">
          <w:rPr>
            <w:noProof/>
            <w:webHidden/>
          </w:rPr>
          <w:t>16</w:t>
        </w:r>
        <w:r w:rsidR="003537BB">
          <w:rPr>
            <w:noProof/>
            <w:webHidden/>
          </w:rPr>
          <w:fldChar w:fldCharType="end"/>
        </w:r>
      </w:hyperlink>
    </w:p>
    <w:p w14:paraId="6E571369" w14:textId="77777777" w:rsidR="003537BB" w:rsidRDefault="00796E80">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026B2E">
          <w:rPr>
            <w:noProof/>
            <w:webHidden/>
          </w:rPr>
          <w:t>17</w:t>
        </w:r>
        <w:r w:rsidR="003537BB">
          <w:rPr>
            <w:noProof/>
            <w:webHidden/>
          </w:rPr>
          <w:fldChar w:fldCharType="end"/>
        </w:r>
      </w:hyperlink>
    </w:p>
    <w:p w14:paraId="1D908634" w14:textId="77777777" w:rsidR="003537BB" w:rsidRDefault="00796E80">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026B2E">
          <w:rPr>
            <w:noProof/>
            <w:webHidden/>
          </w:rPr>
          <w:t>18</w:t>
        </w:r>
        <w:r w:rsidR="003537BB">
          <w:rPr>
            <w:noProof/>
            <w:webHidden/>
          </w:rPr>
          <w:fldChar w:fldCharType="end"/>
        </w:r>
      </w:hyperlink>
    </w:p>
    <w:p w14:paraId="4C793176" w14:textId="77777777" w:rsidR="003537BB" w:rsidRDefault="00796E80">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026B2E">
          <w:rPr>
            <w:noProof/>
            <w:webHidden/>
          </w:rPr>
          <w:t>34</w:t>
        </w:r>
        <w:r w:rsidR="003537BB">
          <w:rPr>
            <w:noProof/>
            <w:webHidden/>
          </w:rPr>
          <w:fldChar w:fldCharType="end"/>
        </w:r>
      </w:hyperlink>
    </w:p>
    <w:p w14:paraId="606B5B06" w14:textId="19DE6011" w:rsidR="003537BB" w:rsidRDefault="00796E80">
      <w:pPr>
        <w:pStyle w:val="TOC1"/>
        <w:rPr>
          <w:rFonts w:asciiTheme="minorHAnsi" w:eastAsiaTheme="minorEastAsia" w:hAnsiTheme="minorHAnsi" w:cstheme="minorBidi"/>
          <w:caps w:val="0"/>
          <w:noProof/>
          <w:szCs w:val="22"/>
          <w:lang w:eastAsia="en-GB"/>
        </w:rPr>
      </w:pPr>
      <w:hyperlink w:anchor="_Toc444688625" w:history="1">
        <w:r w:rsidR="006F6B2F">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026B2E">
          <w:rPr>
            <w:noProof/>
            <w:webHidden/>
          </w:rPr>
          <w:t>35</w:t>
        </w:r>
        <w:r w:rsidR="003537BB">
          <w:rPr>
            <w:noProof/>
            <w:webHidden/>
          </w:rPr>
          <w:fldChar w:fldCharType="end"/>
        </w:r>
      </w:hyperlink>
    </w:p>
    <w:p w14:paraId="118FE93F" w14:textId="4A569F5F" w:rsidR="003537BB" w:rsidRDefault="00796E80">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6F6B2F">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026B2E">
          <w:rPr>
            <w:noProof/>
            <w:webHidden/>
          </w:rPr>
          <w:t>36</w:t>
        </w:r>
        <w:r w:rsidR="003537BB">
          <w:rPr>
            <w:noProof/>
            <w:webHidden/>
          </w:rPr>
          <w:fldChar w:fldCharType="end"/>
        </w:r>
      </w:hyperlink>
    </w:p>
    <w:p w14:paraId="58F3D739" w14:textId="77777777" w:rsidR="003537BB" w:rsidRDefault="00796E80">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026B2E">
          <w:rPr>
            <w:noProof/>
            <w:webHidden/>
          </w:rPr>
          <w:t>37</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315328">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315328">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315328">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315328">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315328">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315328">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34E2897F"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w:t>
      </w:r>
      <w:r w:rsidRPr="006E4A65">
        <w:rPr>
          <w:b w:val="0"/>
          <w:u w:val="none"/>
        </w:rPr>
        <w:lastRenderedPageBreak/>
        <w:t xml:space="preserve">on receipt by the Customer, </w:t>
      </w:r>
      <w:r w:rsidRPr="006D6B62">
        <w:rPr>
          <w:b w:val="0"/>
          <w:u w:val="none"/>
        </w:rPr>
        <w:t xml:space="preserve">within </w:t>
      </w:r>
      <w:r w:rsidR="006D6B62" w:rsidRPr="006D6B62">
        <w:rPr>
          <w:b w:val="0"/>
          <w:u w:val="none"/>
        </w:rPr>
        <w:t>1 day</w:t>
      </w:r>
      <w:r w:rsidRPr="006E4A65">
        <w:rPr>
          <w:b w:val="0"/>
          <w:u w:val="none"/>
        </w:rPr>
        <w:t xml:space="preserve"> of the date of the award letter, of a copy of the Award Letter countersigned by the Supplier.</w:t>
      </w:r>
    </w:p>
    <w:p w14:paraId="23EF0579" w14:textId="77777777" w:rsidR="006E4A65" w:rsidRPr="006E4A65" w:rsidRDefault="006E4A65" w:rsidP="00315328">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315328">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5BEB6A1B"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w:t>
      </w:r>
      <w:r w:rsidRPr="006D6B62">
        <w:rPr>
          <w:rFonts w:cs="Arial"/>
          <w:b w:val="0"/>
          <w:u w:val="none"/>
        </w:rPr>
        <w:t xml:space="preserve">to </w:t>
      </w:r>
      <w:r w:rsidR="006D6B62" w:rsidRPr="006D6B62">
        <w:rPr>
          <w:rFonts w:cs="Arial"/>
          <w:b w:val="0"/>
          <w:u w:val="none"/>
        </w:rPr>
        <w:t>6</w:t>
      </w:r>
      <w:r w:rsidRPr="006D6B62">
        <w:rPr>
          <w:rFonts w:cs="Arial"/>
          <w:b w:val="0"/>
          <w:u w:val="none"/>
        </w:rPr>
        <w:t xml:space="preserve"> months</w:t>
      </w:r>
      <w:r w:rsidRPr="006E4A65">
        <w:rPr>
          <w:rFonts w:cs="Arial"/>
          <w:b w:val="0"/>
          <w:u w:val="none"/>
        </w:rPr>
        <w:t xml:space="preserve">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315328">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w:t>
      </w:r>
      <w:r w:rsidRPr="006E4A65">
        <w:rPr>
          <w:rFonts w:cs="Arial"/>
          <w:b w:val="0"/>
          <w:u w:val="none"/>
        </w:rPr>
        <w:lastRenderedPageBreak/>
        <w:t xml:space="preserve">of the invoice, including the relevant Purchase Order Number and a breakdown of the Services supplied in the invoice period.  </w:t>
      </w:r>
    </w:p>
    <w:p w14:paraId="570147DA"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315328">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315328">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315328">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315328">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w:t>
      </w:r>
      <w:r w:rsidRPr="006E4A65">
        <w:rPr>
          <w:rFonts w:cs="Arial"/>
          <w:b w:val="0"/>
          <w:u w:val="none"/>
        </w:rPr>
        <w:lastRenderedPageBreak/>
        <w:t>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315328">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315328">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315328">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315328">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315328">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315328">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315328">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315328">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315328">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315328">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315328">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315328">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315328">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any intellectual property rights vested in or licensed to the Supplier on the date of the Agreement; and</w:t>
      </w:r>
    </w:p>
    <w:p w14:paraId="41131E6B" w14:textId="77777777" w:rsidR="006E4A65" w:rsidRPr="006E4A65" w:rsidRDefault="006E4A65" w:rsidP="00315328">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315328">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315328">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lastRenderedPageBreak/>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315328">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315328">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315328">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315328">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315328">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315328">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5"/>
      <w:r w:rsidRPr="006E4A65">
        <w:rPr>
          <w:rFonts w:cs="Arial"/>
          <w:b w:val="0"/>
          <w:u w:val="none"/>
        </w:rPr>
        <w:t xml:space="preserve"> </w:t>
      </w:r>
    </w:p>
    <w:p w14:paraId="77614232"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315328">
      <w:pPr>
        <w:pStyle w:val="Level5Number"/>
        <w:numPr>
          <w:ilvl w:val="4"/>
          <w:numId w:val="24"/>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315328">
      <w:pPr>
        <w:pStyle w:val="Level5Number"/>
        <w:numPr>
          <w:ilvl w:val="4"/>
          <w:numId w:val="24"/>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315328">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lastRenderedPageBreak/>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315328">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315328">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315328">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315328">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315328">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315328">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315328">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315328">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315328">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315328">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315328">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315328">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315328">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315328">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315328">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315328">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315328">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315328">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315328">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315328">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comply with all the Customer’s health and safety measures while on the </w:t>
      </w:r>
      <w:r w:rsidRPr="006E4A65">
        <w:rPr>
          <w:rFonts w:cs="Arial"/>
          <w:sz w:val="22"/>
          <w:szCs w:val="22"/>
        </w:rPr>
        <w:lastRenderedPageBreak/>
        <w:t>Customer’s premises; and</w:t>
      </w:r>
    </w:p>
    <w:p w14:paraId="28B9C55B"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315328">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315328">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315328">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315328">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315328">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315328">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315328">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315328">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xml:space="preserve">, the dispute may by agreement between the Parties be referred </w:t>
      </w:r>
      <w:r w:rsidRPr="006E4A65">
        <w:rPr>
          <w:rFonts w:cs="Arial"/>
          <w:b w:val="0"/>
          <w:u w:val="none"/>
        </w:rPr>
        <w:lastRenderedPageBreak/>
        <w:t>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315328">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315328">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315328">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xml:space="preserve">, e-mail to the address of the relevant Party set out in the Award Letter, or such other address as that Party may </w:t>
      </w:r>
      <w:r w:rsidRPr="006E4A65">
        <w:rPr>
          <w:rFonts w:cs="Arial"/>
          <w:b w:val="0"/>
          <w:u w:val="none"/>
        </w:rPr>
        <w:lastRenderedPageBreak/>
        <w:t>from time to time notify to the other Party in accordance with this clause:</w:t>
      </w:r>
      <w:bookmarkEnd w:id="103"/>
    </w:p>
    <w:p w14:paraId="3A8A97B0" w14:textId="77777777" w:rsidR="006E4A65" w:rsidRPr="006E4A65" w:rsidRDefault="006E4A65" w:rsidP="00315328">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315328">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315328">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14:paraId="1CC2318E" w14:textId="508EA5E5" w:rsidR="00174DC0" w:rsidRDefault="00174DC0" w:rsidP="00174DC0">
      <w:pPr>
        <w:pStyle w:val="ScheduleLevel1"/>
        <w:numPr>
          <w:ilvl w:val="0"/>
          <w:numId w:val="0"/>
        </w:numPr>
        <w:spacing w:after="120"/>
        <w:jc w:val="center"/>
        <w:rPr>
          <w:noProof/>
          <w:lang w:eastAsia="en-GB"/>
        </w:rPr>
      </w:pPr>
    </w:p>
    <w:p w14:paraId="0B7F0FD2" w14:textId="3E5BCFF1" w:rsidR="00D06BD0" w:rsidRDefault="00D06BD0" w:rsidP="00174DC0">
      <w:pPr>
        <w:pStyle w:val="ScheduleLevel1"/>
        <w:numPr>
          <w:ilvl w:val="0"/>
          <w:numId w:val="0"/>
        </w:numPr>
        <w:spacing w:after="120"/>
        <w:jc w:val="center"/>
        <w:rPr>
          <w:noProof/>
          <w:lang w:eastAsia="en-GB"/>
        </w:rPr>
      </w:pPr>
      <w:r>
        <w:rPr>
          <w:noProof/>
          <w:lang w:eastAsia="en-GB"/>
        </w:rPr>
        <w:t>[Redacted]</w:t>
      </w:r>
    </w:p>
    <w:p w14:paraId="3E8FF6B5" w14:textId="77777777" w:rsidR="00D06BD0" w:rsidRDefault="00D06BD0" w:rsidP="00174DC0">
      <w:pPr>
        <w:pStyle w:val="ScheduleLevel1"/>
        <w:numPr>
          <w:ilvl w:val="0"/>
          <w:numId w:val="0"/>
        </w:numPr>
        <w:spacing w:after="120"/>
        <w:jc w:val="center"/>
        <w:rPr>
          <w:noProof/>
          <w:lang w:eastAsia="en-GB"/>
        </w:rPr>
      </w:pPr>
    </w:p>
    <w:p w14:paraId="33F84815" w14:textId="77777777" w:rsidR="00D06BD0" w:rsidRDefault="00D06BD0" w:rsidP="00174DC0">
      <w:pPr>
        <w:pStyle w:val="ScheduleLevel1"/>
        <w:numPr>
          <w:ilvl w:val="0"/>
          <w:numId w:val="0"/>
        </w:numPr>
        <w:spacing w:after="120"/>
        <w:jc w:val="center"/>
        <w:rPr>
          <w:noProof/>
          <w:lang w:eastAsia="en-GB"/>
        </w:rPr>
      </w:pPr>
    </w:p>
    <w:p w14:paraId="56F22EA9" w14:textId="77777777" w:rsidR="00D06BD0" w:rsidRDefault="00D06BD0" w:rsidP="00174DC0">
      <w:pPr>
        <w:pStyle w:val="ScheduleLevel1"/>
        <w:numPr>
          <w:ilvl w:val="0"/>
          <w:numId w:val="0"/>
        </w:numPr>
        <w:spacing w:after="120"/>
        <w:jc w:val="center"/>
        <w:rPr>
          <w:noProof/>
          <w:lang w:eastAsia="en-GB"/>
        </w:rPr>
      </w:pPr>
    </w:p>
    <w:p w14:paraId="23F4EBDA" w14:textId="77777777" w:rsidR="00D06BD0" w:rsidRDefault="00D06BD0" w:rsidP="00174DC0">
      <w:pPr>
        <w:pStyle w:val="ScheduleLevel1"/>
        <w:numPr>
          <w:ilvl w:val="0"/>
          <w:numId w:val="0"/>
        </w:numPr>
        <w:spacing w:after="120"/>
        <w:jc w:val="center"/>
        <w:rPr>
          <w:noProof/>
          <w:lang w:eastAsia="en-GB"/>
        </w:rPr>
      </w:pPr>
    </w:p>
    <w:p w14:paraId="0608D79A" w14:textId="77777777" w:rsidR="00D06BD0" w:rsidRDefault="00D06BD0" w:rsidP="00174DC0">
      <w:pPr>
        <w:pStyle w:val="ScheduleLevel1"/>
        <w:numPr>
          <w:ilvl w:val="0"/>
          <w:numId w:val="0"/>
        </w:numPr>
        <w:spacing w:after="120"/>
        <w:jc w:val="center"/>
        <w:rPr>
          <w:noProof/>
          <w:lang w:eastAsia="en-GB"/>
        </w:rPr>
      </w:pPr>
    </w:p>
    <w:p w14:paraId="1C43D469" w14:textId="77777777" w:rsidR="00D06BD0" w:rsidRDefault="00D06BD0" w:rsidP="00174DC0">
      <w:pPr>
        <w:pStyle w:val="ScheduleLevel1"/>
        <w:numPr>
          <w:ilvl w:val="0"/>
          <w:numId w:val="0"/>
        </w:numPr>
        <w:spacing w:after="120"/>
        <w:jc w:val="center"/>
        <w:rPr>
          <w:noProof/>
          <w:lang w:eastAsia="en-GB"/>
        </w:rPr>
      </w:pPr>
    </w:p>
    <w:p w14:paraId="71389316" w14:textId="77777777" w:rsidR="00D06BD0" w:rsidRDefault="00D06BD0" w:rsidP="00174DC0">
      <w:pPr>
        <w:pStyle w:val="ScheduleLevel1"/>
        <w:numPr>
          <w:ilvl w:val="0"/>
          <w:numId w:val="0"/>
        </w:numPr>
        <w:spacing w:after="120"/>
        <w:jc w:val="center"/>
        <w:rPr>
          <w:noProof/>
          <w:lang w:eastAsia="en-GB"/>
        </w:rPr>
      </w:pPr>
    </w:p>
    <w:p w14:paraId="226FB61E" w14:textId="77777777" w:rsidR="00D06BD0" w:rsidRDefault="00D06BD0" w:rsidP="00174DC0">
      <w:pPr>
        <w:pStyle w:val="ScheduleLevel1"/>
        <w:numPr>
          <w:ilvl w:val="0"/>
          <w:numId w:val="0"/>
        </w:numPr>
        <w:spacing w:after="120"/>
        <w:jc w:val="center"/>
        <w:rPr>
          <w:noProof/>
          <w:lang w:eastAsia="en-GB"/>
        </w:rPr>
      </w:pPr>
    </w:p>
    <w:p w14:paraId="32AA71F1" w14:textId="77777777" w:rsidR="00D06BD0" w:rsidRDefault="00D06BD0" w:rsidP="00174DC0">
      <w:pPr>
        <w:pStyle w:val="ScheduleLevel1"/>
        <w:numPr>
          <w:ilvl w:val="0"/>
          <w:numId w:val="0"/>
        </w:numPr>
        <w:spacing w:after="120"/>
        <w:jc w:val="center"/>
        <w:rPr>
          <w:noProof/>
          <w:lang w:eastAsia="en-GB"/>
        </w:rPr>
      </w:pPr>
    </w:p>
    <w:p w14:paraId="4FE20A9C" w14:textId="77777777" w:rsidR="00D06BD0" w:rsidRDefault="00D06BD0" w:rsidP="00174DC0">
      <w:pPr>
        <w:pStyle w:val="ScheduleLevel1"/>
        <w:numPr>
          <w:ilvl w:val="0"/>
          <w:numId w:val="0"/>
        </w:numPr>
        <w:spacing w:after="120"/>
        <w:jc w:val="center"/>
        <w:rPr>
          <w:noProof/>
          <w:lang w:eastAsia="en-GB"/>
        </w:rPr>
      </w:pPr>
    </w:p>
    <w:p w14:paraId="2DBDD744" w14:textId="77777777" w:rsidR="00D06BD0" w:rsidRDefault="00D06BD0" w:rsidP="00174DC0">
      <w:pPr>
        <w:pStyle w:val="ScheduleLevel1"/>
        <w:numPr>
          <w:ilvl w:val="0"/>
          <w:numId w:val="0"/>
        </w:numPr>
        <w:spacing w:after="120"/>
        <w:jc w:val="center"/>
        <w:rPr>
          <w:noProof/>
          <w:lang w:eastAsia="en-GB"/>
        </w:rPr>
      </w:pPr>
    </w:p>
    <w:p w14:paraId="66F82850" w14:textId="77777777" w:rsidR="00D06BD0" w:rsidRDefault="00D06BD0" w:rsidP="00174DC0">
      <w:pPr>
        <w:pStyle w:val="ScheduleLevel1"/>
        <w:numPr>
          <w:ilvl w:val="0"/>
          <w:numId w:val="0"/>
        </w:numPr>
        <w:spacing w:after="120"/>
        <w:jc w:val="center"/>
        <w:rPr>
          <w:noProof/>
          <w:lang w:eastAsia="en-GB"/>
        </w:rPr>
      </w:pPr>
    </w:p>
    <w:p w14:paraId="592F7262" w14:textId="77777777" w:rsidR="00D06BD0" w:rsidRDefault="00D06BD0" w:rsidP="00174DC0">
      <w:pPr>
        <w:pStyle w:val="ScheduleLevel1"/>
        <w:numPr>
          <w:ilvl w:val="0"/>
          <w:numId w:val="0"/>
        </w:numPr>
        <w:spacing w:after="120"/>
        <w:jc w:val="center"/>
        <w:rPr>
          <w:noProof/>
          <w:lang w:eastAsia="en-GB"/>
        </w:rPr>
      </w:pPr>
    </w:p>
    <w:p w14:paraId="0C43F3F8" w14:textId="77777777" w:rsidR="00D06BD0" w:rsidRDefault="00D06BD0" w:rsidP="00174DC0">
      <w:pPr>
        <w:pStyle w:val="ScheduleLevel1"/>
        <w:numPr>
          <w:ilvl w:val="0"/>
          <w:numId w:val="0"/>
        </w:numPr>
        <w:spacing w:after="120"/>
        <w:jc w:val="center"/>
        <w:rPr>
          <w:noProof/>
          <w:lang w:eastAsia="en-GB"/>
        </w:rPr>
      </w:pPr>
    </w:p>
    <w:p w14:paraId="25F326D2" w14:textId="77777777" w:rsidR="00D06BD0" w:rsidRDefault="00D06BD0" w:rsidP="00174DC0">
      <w:pPr>
        <w:pStyle w:val="ScheduleLevel1"/>
        <w:numPr>
          <w:ilvl w:val="0"/>
          <w:numId w:val="0"/>
        </w:numPr>
        <w:spacing w:after="120"/>
        <w:jc w:val="center"/>
        <w:rPr>
          <w:noProof/>
          <w:lang w:eastAsia="en-GB"/>
        </w:rPr>
      </w:pPr>
    </w:p>
    <w:p w14:paraId="7C2502D4" w14:textId="77777777" w:rsidR="00D06BD0" w:rsidRDefault="00D06BD0" w:rsidP="00174DC0">
      <w:pPr>
        <w:pStyle w:val="ScheduleLevel1"/>
        <w:numPr>
          <w:ilvl w:val="0"/>
          <w:numId w:val="0"/>
        </w:numPr>
        <w:spacing w:after="120"/>
        <w:jc w:val="center"/>
        <w:rPr>
          <w:noProof/>
          <w:lang w:eastAsia="en-GB"/>
        </w:rPr>
      </w:pPr>
    </w:p>
    <w:p w14:paraId="32EA763A" w14:textId="77777777" w:rsidR="00D06BD0" w:rsidRDefault="00D06BD0" w:rsidP="00174DC0">
      <w:pPr>
        <w:pStyle w:val="ScheduleLevel1"/>
        <w:numPr>
          <w:ilvl w:val="0"/>
          <w:numId w:val="0"/>
        </w:numPr>
        <w:spacing w:after="120"/>
        <w:jc w:val="center"/>
        <w:rPr>
          <w:noProof/>
          <w:lang w:eastAsia="en-GB"/>
        </w:rPr>
      </w:pPr>
    </w:p>
    <w:p w14:paraId="67C6689C" w14:textId="77777777" w:rsidR="00D06BD0" w:rsidRDefault="00D06BD0" w:rsidP="00174DC0">
      <w:pPr>
        <w:pStyle w:val="ScheduleLevel1"/>
        <w:numPr>
          <w:ilvl w:val="0"/>
          <w:numId w:val="0"/>
        </w:numPr>
        <w:spacing w:after="120"/>
        <w:jc w:val="center"/>
        <w:rPr>
          <w:noProof/>
          <w:lang w:eastAsia="en-GB"/>
        </w:rPr>
      </w:pPr>
    </w:p>
    <w:p w14:paraId="41A804D5" w14:textId="77777777" w:rsidR="00D06BD0" w:rsidRDefault="00D06BD0" w:rsidP="00174DC0">
      <w:pPr>
        <w:pStyle w:val="ScheduleLevel1"/>
        <w:numPr>
          <w:ilvl w:val="0"/>
          <w:numId w:val="0"/>
        </w:numPr>
        <w:spacing w:after="120"/>
        <w:jc w:val="center"/>
        <w:rPr>
          <w:noProof/>
          <w:lang w:eastAsia="en-GB"/>
        </w:rPr>
      </w:pPr>
    </w:p>
    <w:p w14:paraId="65CE4940" w14:textId="77777777" w:rsidR="00D06BD0" w:rsidRDefault="00D06BD0" w:rsidP="00174DC0">
      <w:pPr>
        <w:pStyle w:val="ScheduleLevel1"/>
        <w:numPr>
          <w:ilvl w:val="0"/>
          <w:numId w:val="0"/>
        </w:numPr>
        <w:spacing w:after="120"/>
        <w:jc w:val="center"/>
        <w:rPr>
          <w:noProof/>
          <w:lang w:eastAsia="en-GB"/>
        </w:rPr>
      </w:pPr>
    </w:p>
    <w:p w14:paraId="35DD0F57" w14:textId="77777777" w:rsidR="00D06BD0" w:rsidRDefault="00D06BD0" w:rsidP="00174DC0">
      <w:pPr>
        <w:pStyle w:val="ScheduleLevel1"/>
        <w:numPr>
          <w:ilvl w:val="0"/>
          <w:numId w:val="0"/>
        </w:numPr>
        <w:spacing w:after="120"/>
        <w:jc w:val="center"/>
        <w:rPr>
          <w:noProof/>
          <w:lang w:eastAsia="en-GB"/>
        </w:rPr>
      </w:pPr>
    </w:p>
    <w:p w14:paraId="7CA25671" w14:textId="77777777" w:rsidR="00D06BD0" w:rsidRDefault="00D06BD0" w:rsidP="00174DC0">
      <w:pPr>
        <w:pStyle w:val="ScheduleLevel1"/>
        <w:numPr>
          <w:ilvl w:val="0"/>
          <w:numId w:val="0"/>
        </w:numPr>
        <w:spacing w:after="120"/>
        <w:jc w:val="center"/>
        <w:rPr>
          <w:noProof/>
          <w:lang w:eastAsia="en-GB"/>
        </w:rPr>
      </w:pPr>
    </w:p>
    <w:p w14:paraId="7ADB2515" w14:textId="77777777" w:rsidR="00D06BD0" w:rsidRDefault="00D06BD0" w:rsidP="00174DC0">
      <w:pPr>
        <w:pStyle w:val="ScheduleLevel1"/>
        <w:numPr>
          <w:ilvl w:val="0"/>
          <w:numId w:val="0"/>
        </w:numPr>
        <w:spacing w:after="120"/>
        <w:jc w:val="center"/>
        <w:rPr>
          <w:noProof/>
          <w:lang w:eastAsia="en-GB"/>
        </w:rPr>
      </w:pPr>
    </w:p>
    <w:p w14:paraId="442A9688" w14:textId="77777777" w:rsidR="00D06BD0" w:rsidRDefault="00D06BD0" w:rsidP="00174DC0">
      <w:pPr>
        <w:pStyle w:val="ScheduleLevel1"/>
        <w:numPr>
          <w:ilvl w:val="0"/>
          <w:numId w:val="0"/>
        </w:numPr>
        <w:spacing w:after="120"/>
        <w:jc w:val="center"/>
        <w:rPr>
          <w:noProof/>
          <w:lang w:eastAsia="en-GB"/>
        </w:rPr>
      </w:pPr>
    </w:p>
    <w:p w14:paraId="30DDBBA5" w14:textId="77777777" w:rsidR="00D06BD0" w:rsidRDefault="00D06BD0" w:rsidP="00174DC0">
      <w:pPr>
        <w:pStyle w:val="ScheduleLevel1"/>
        <w:numPr>
          <w:ilvl w:val="0"/>
          <w:numId w:val="0"/>
        </w:numPr>
        <w:spacing w:after="120"/>
        <w:jc w:val="center"/>
        <w:rPr>
          <w:noProof/>
          <w:lang w:eastAsia="en-GB"/>
        </w:rPr>
      </w:pPr>
    </w:p>
    <w:p w14:paraId="4574736C" w14:textId="77777777" w:rsidR="00D06BD0" w:rsidRDefault="00D06BD0" w:rsidP="00174DC0">
      <w:pPr>
        <w:pStyle w:val="ScheduleLevel1"/>
        <w:numPr>
          <w:ilvl w:val="0"/>
          <w:numId w:val="0"/>
        </w:numPr>
        <w:spacing w:after="120"/>
        <w:jc w:val="center"/>
        <w:rPr>
          <w:noProof/>
          <w:lang w:eastAsia="en-GB"/>
        </w:rPr>
      </w:pPr>
    </w:p>
    <w:p w14:paraId="1F7CBED8" w14:textId="77777777" w:rsidR="00D06BD0" w:rsidRDefault="00D06BD0" w:rsidP="00174DC0">
      <w:pPr>
        <w:pStyle w:val="ScheduleLevel1"/>
        <w:numPr>
          <w:ilvl w:val="0"/>
          <w:numId w:val="0"/>
        </w:numPr>
        <w:spacing w:after="120"/>
        <w:jc w:val="center"/>
        <w:rPr>
          <w:noProof/>
          <w:lang w:eastAsia="en-GB"/>
        </w:rPr>
      </w:pPr>
    </w:p>
    <w:p w14:paraId="0FB21853" w14:textId="77777777" w:rsidR="00D06BD0" w:rsidRPr="00174DC0" w:rsidRDefault="00D06BD0" w:rsidP="00174DC0">
      <w:pPr>
        <w:pStyle w:val="ScheduleLevel1"/>
        <w:numPr>
          <w:ilvl w:val="0"/>
          <w:numId w:val="0"/>
        </w:numPr>
        <w:spacing w:after="120"/>
        <w:jc w:val="center"/>
        <w:rPr>
          <w:rFonts w:cs="Arial"/>
          <w:szCs w:val="22"/>
          <w:highlight w:val="yellow"/>
        </w:rPr>
      </w:pPr>
    </w:p>
    <w:p w14:paraId="07AFED0D" w14:textId="4DF4036D" w:rsidR="00A649DF" w:rsidRDefault="00A649DF">
      <w:pPr>
        <w:rPr>
          <w:rFonts w:eastAsia="Times New Roman" w:cs="Arial"/>
          <w:b/>
          <w:szCs w:val="22"/>
          <w:lang w:eastAsia="en-US"/>
        </w:rPr>
      </w:pPr>
    </w:p>
    <w:p w14:paraId="0325C2CD" w14:textId="77F1734C"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sidRPr="001167A3">
        <w:rPr>
          <w:rFonts w:eastAsia="Times New Roman"/>
          <w:b/>
          <w:szCs w:val="22"/>
          <w:lang w:eastAsia="en-US"/>
        </w:rPr>
        <w:lastRenderedPageBreak/>
        <w:t>ANNEX 3 – STATEMENT OF REQUIREMENT</w:t>
      </w:r>
      <w:bookmarkEnd w:id="108"/>
    </w:p>
    <w:p w14:paraId="338B7C77" w14:textId="77777777" w:rsidR="006D6B62" w:rsidRDefault="006D6B62" w:rsidP="006D6B62">
      <w:pPr>
        <w:pStyle w:val="bodystrongcentred"/>
      </w:pPr>
      <w:r>
        <w:t>CONTENTS</w:t>
      </w:r>
    </w:p>
    <w:p w14:paraId="0932AD10" w14:textId="77777777" w:rsidR="006D6B62" w:rsidRDefault="006D6B62" w:rsidP="006D6B62"/>
    <w:p w14:paraId="7825EB64" w14:textId="77777777" w:rsidR="006D6B62" w:rsidRDefault="006D6B62" w:rsidP="006D6B62">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hyperlink w:anchor="_Toc471814087" w:history="1">
        <w:r w:rsidRPr="009D6F9D">
          <w:rPr>
            <w:rStyle w:val="Hyperlink"/>
            <w:noProof/>
          </w:rPr>
          <w:t>1.</w:t>
        </w:r>
        <w:r>
          <w:rPr>
            <w:rFonts w:asciiTheme="minorHAnsi" w:eastAsiaTheme="minorEastAsia" w:hAnsiTheme="minorHAnsi" w:cstheme="minorBidi"/>
            <w:caps w:val="0"/>
            <w:noProof/>
            <w:szCs w:val="22"/>
            <w:lang w:eastAsia="en-GB"/>
          </w:rPr>
          <w:tab/>
        </w:r>
        <w:r w:rsidRPr="009D6F9D">
          <w:rPr>
            <w:rStyle w:val="Hyperlink"/>
            <w:noProof/>
          </w:rPr>
          <w:t>PURPOSE</w:t>
        </w:r>
        <w:r>
          <w:rPr>
            <w:noProof/>
            <w:webHidden/>
          </w:rPr>
          <w:tab/>
        </w:r>
        <w:r>
          <w:rPr>
            <w:noProof/>
            <w:webHidden/>
          </w:rPr>
          <w:fldChar w:fldCharType="begin"/>
        </w:r>
        <w:r>
          <w:rPr>
            <w:noProof/>
            <w:webHidden/>
          </w:rPr>
          <w:instrText xml:space="preserve"> PAGEREF _Toc471814087 \h </w:instrText>
        </w:r>
        <w:r>
          <w:rPr>
            <w:noProof/>
            <w:webHidden/>
          </w:rPr>
        </w:r>
        <w:r>
          <w:rPr>
            <w:noProof/>
            <w:webHidden/>
          </w:rPr>
          <w:fldChar w:fldCharType="separate"/>
        </w:r>
        <w:r w:rsidR="006F6B2F">
          <w:rPr>
            <w:noProof/>
            <w:webHidden/>
          </w:rPr>
          <w:t>19</w:t>
        </w:r>
        <w:r>
          <w:rPr>
            <w:noProof/>
            <w:webHidden/>
          </w:rPr>
          <w:fldChar w:fldCharType="end"/>
        </w:r>
      </w:hyperlink>
    </w:p>
    <w:p w14:paraId="61C45E73" w14:textId="77777777" w:rsidR="006D6B62" w:rsidRDefault="00796E80" w:rsidP="006D6B62">
      <w:pPr>
        <w:pStyle w:val="TOC1"/>
        <w:rPr>
          <w:rFonts w:asciiTheme="minorHAnsi" w:eastAsiaTheme="minorEastAsia" w:hAnsiTheme="minorHAnsi" w:cstheme="minorBidi"/>
          <w:caps w:val="0"/>
          <w:noProof/>
          <w:szCs w:val="22"/>
          <w:lang w:eastAsia="en-GB"/>
        </w:rPr>
      </w:pPr>
      <w:hyperlink w:anchor="_Toc471814088" w:history="1">
        <w:r w:rsidR="006D6B62" w:rsidRPr="009D6F9D">
          <w:rPr>
            <w:rStyle w:val="Hyperlink"/>
            <w:noProof/>
          </w:rPr>
          <w:t>2.</w:t>
        </w:r>
        <w:r w:rsidR="006D6B62">
          <w:rPr>
            <w:rFonts w:asciiTheme="minorHAnsi" w:eastAsiaTheme="minorEastAsia" w:hAnsiTheme="minorHAnsi" w:cstheme="minorBidi"/>
            <w:caps w:val="0"/>
            <w:noProof/>
            <w:szCs w:val="22"/>
            <w:lang w:eastAsia="en-GB"/>
          </w:rPr>
          <w:tab/>
        </w:r>
        <w:r w:rsidR="006D6B62" w:rsidRPr="009D6F9D">
          <w:rPr>
            <w:rStyle w:val="Hyperlink"/>
            <w:noProof/>
          </w:rPr>
          <w:t>BACKGROUND TO THE CONTRACTING aUTHORITY</w:t>
        </w:r>
        <w:r w:rsidR="006D6B62">
          <w:rPr>
            <w:noProof/>
            <w:webHidden/>
          </w:rPr>
          <w:tab/>
        </w:r>
        <w:r w:rsidR="006D6B62">
          <w:rPr>
            <w:noProof/>
            <w:webHidden/>
          </w:rPr>
          <w:fldChar w:fldCharType="begin"/>
        </w:r>
        <w:r w:rsidR="006D6B62">
          <w:rPr>
            <w:noProof/>
            <w:webHidden/>
          </w:rPr>
          <w:instrText xml:space="preserve"> PAGEREF _Toc471814088 \h </w:instrText>
        </w:r>
        <w:r w:rsidR="006D6B62">
          <w:rPr>
            <w:noProof/>
            <w:webHidden/>
          </w:rPr>
        </w:r>
        <w:r w:rsidR="006D6B62">
          <w:rPr>
            <w:noProof/>
            <w:webHidden/>
          </w:rPr>
          <w:fldChar w:fldCharType="separate"/>
        </w:r>
        <w:r w:rsidR="006F6B2F">
          <w:rPr>
            <w:noProof/>
            <w:webHidden/>
          </w:rPr>
          <w:t>19</w:t>
        </w:r>
        <w:r w:rsidR="006D6B62">
          <w:rPr>
            <w:noProof/>
            <w:webHidden/>
          </w:rPr>
          <w:fldChar w:fldCharType="end"/>
        </w:r>
      </w:hyperlink>
    </w:p>
    <w:p w14:paraId="45685D2F" w14:textId="77777777" w:rsidR="006D6B62" w:rsidRDefault="00796E80" w:rsidP="006D6B62">
      <w:pPr>
        <w:pStyle w:val="TOC1"/>
        <w:rPr>
          <w:rFonts w:asciiTheme="minorHAnsi" w:eastAsiaTheme="minorEastAsia" w:hAnsiTheme="minorHAnsi" w:cstheme="minorBidi"/>
          <w:caps w:val="0"/>
          <w:noProof/>
          <w:szCs w:val="22"/>
          <w:lang w:eastAsia="en-GB"/>
        </w:rPr>
      </w:pPr>
      <w:hyperlink w:anchor="_Toc471814089" w:history="1">
        <w:r w:rsidR="006D6B62" w:rsidRPr="009D6F9D">
          <w:rPr>
            <w:rStyle w:val="Hyperlink"/>
            <w:noProof/>
          </w:rPr>
          <w:t>3.</w:t>
        </w:r>
        <w:r w:rsidR="006D6B62">
          <w:rPr>
            <w:rFonts w:asciiTheme="minorHAnsi" w:eastAsiaTheme="minorEastAsia" w:hAnsiTheme="minorHAnsi" w:cstheme="minorBidi"/>
            <w:caps w:val="0"/>
            <w:noProof/>
            <w:szCs w:val="22"/>
            <w:lang w:eastAsia="en-GB"/>
          </w:rPr>
          <w:tab/>
        </w:r>
        <w:r w:rsidR="006D6B62" w:rsidRPr="009D6F9D">
          <w:rPr>
            <w:rStyle w:val="Hyperlink"/>
            <w:noProof/>
          </w:rPr>
          <w:t>Background to requirement/OVERVIEW of requirement</w:t>
        </w:r>
        <w:r w:rsidR="006D6B62">
          <w:rPr>
            <w:noProof/>
            <w:webHidden/>
          </w:rPr>
          <w:tab/>
        </w:r>
        <w:r w:rsidR="006D6B62">
          <w:rPr>
            <w:noProof/>
            <w:webHidden/>
          </w:rPr>
          <w:fldChar w:fldCharType="begin"/>
        </w:r>
        <w:r w:rsidR="006D6B62">
          <w:rPr>
            <w:noProof/>
            <w:webHidden/>
          </w:rPr>
          <w:instrText xml:space="preserve"> PAGEREF _Toc471814089 \h </w:instrText>
        </w:r>
        <w:r w:rsidR="006D6B62">
          <w:rPr>
            <w:noProof/>
            <w:webHidden/>
          </w:rPr>
        </w:r>
        <w:r w:rsidR="006D6B62">
          <w:rPr>
            <w:noProof/>
            <w:webHidden/>
          </w:rPr>
          <w:fldChar w:fldCharType="separate"/>
        </w:r>
        <w:r w:rsidR="006F6B2F">
          <w:rPr>
            <w:noProof/>
            <w:webHidden/>
          </w:rPr>
          <w:t>20</w:t>
        </w:r>
        <w:r w:rsidR="006D6B62">
          <w:rPr>
            <w:noProof/>
            <w:webHidden/>
          </w:rPr>
          <w:fldChar w:fldCharType="end"/>
        </w:r>
      </w:hyperlink>
    </w:p>
    <w:p w14:paraId="4FCBB422" w14:textId="77777777" w:rsidR="006D6B62" w:rsidRDefault="00796E80" w:rsidP="006D6B62">
      <w:pPr>
        <w:pStyle w:val="TOC1"/>
        <w:rPr>
          <w:rFonts w:asciiTheme="minorHAnsi" w:eastAsiaTheme="minorEastAsia" w:hAnsiTheme="minorHAnsi" w:cstheme="minorBidi"/>
          <w:caps w:val="0"/>
          <w:noProof/>
          <w:szCs w:val="22"/>
          <w:lang w:eastAsia="en-GB"/>
        </w:rPr>
      </w:pPr>
      <w:hyperlink w:anchor="_Toc471814090" w:history="1">
        <w:r w:rsidR="006D6B62" w:rsidRPr="009D6F9D">
          <w:rPr>
            <w:rStyle w:val="Hyperlink"/>
            <w:noProof/>
          </w:rPr>
          <w:t>4.</w:t>
        </w:r>
        <w:r w:rsidR="006D6B62">
          <w:rPr>
            <w:rFonts w:asciiTheme="minorHAnsi" w:eastAsiaTheme="minorEastAsia" w:hAnsiTheme="minorHAnsi" w:cstheme="minorBidi"/>
            <w:caps w:val="0"/>
            <w:noProof/>
            <w:szCs w:val="22"/>
            <w:lang w:eastAsia="en-GB"/>
          </w:rPr>
          <w:tab/>
        </w:r>
        <w:r w:rsidR="006D6B62" w:rsidRPr="009D6F9D">
          <w:rPr>
            <w:rStyle w:val="Hyperlink"/>
            <w:noProof/>
          </w:rPr>
          <w:t>definitions</w:t>
        </w:r>
        <w:r w:rsidR="006D6B62">
          <w:rPr>
            <w:noProof/>
            <w:webHidden/>
          </w:rPr>
          <w:tab/>
        </w:r>
        <w:r w:rsidR="006D6B62">
          <w:rPr>
            <w:noProof/>
            <w:webHidden/>
          </w:rPr>
          <w:fldChar w:fldCharType="begin"/>
        </w:r>
        <w:r w:rsidR="006D6B62">
          <w:rPr>
            <w:noProof/>
            <w:webHidden/>
          </w:rPr>
          <w:instrText xml:space="preserve"> PAGEREF _Toc471814090 \h </w:instrText>
        </w:r>
        <w:r w:rsidR="006D6B62">
          <w:rPr>
            <w:noProof/>
            <w:webHidden/>
          </w:rPr>
        </w:r>
        <w:r w:rsidR="006D6B62">
          <w:rPr>
            <w:noProof/>
            <w:webHidden/>
          </w:rPr>
          <w:fldChar w:fldCharType="separate"/>
        </w:r>
        <w:r w:rsidR="006F6B2F">
          <w:rPr>
            <w:noProof/>
            <w:webHidden/>
          </w:rPr>
          <w:t>21</w:t>
        </w:r>
        <w:r w:rsidR="006D6B62">
          <w:rPr>
            <w:noProof/>
            <w:webHidden/>
          </w:rPr>
          <w:fldChar w:fldCharType="end"/>
        </w:r>
      </w:hyperlink>
    </w:p>
    <w:p w14:paraId="54CA50F2" w14:textId="77777777" w:rsidR="006D6B62" w:rsidRDefault="00796E80" w:rsidP="006D6B62">
      <w:pPr>
        <w:pStyle w:val="TOC1"/>
        <w:rPr>
          <w:rFonts w:asciiTheme="minorHAnsi" w:eastAsiaTheme="minorEastAsia" w:hAnsiTheme="minorHAnsi" w:cstheme="minorBidi"/>
          <w:caps w:val="0"/>
          <w:noProof/>
          <w:szCs w:val="22"/>
          <w:lang w:eastAsia="en-GB"/>
        </w:rPr>
      </w:pPr>
      <w:hyperlink w:anchor="_Toc471814091" w:history="1">
        <w:r w:rsidR="006D6B62" w:rsidRPr="009D6F9D">
          <w:rPr>
            <w:rStyle w:val="Hyperlink"/>
            <w:noProof/>
          </w:rPr>
          <w:t>5.</w:t>
        </w:r>
        <w:r w:rsidR="006D6B62">
          <w:rPr>
            <w:rFonts w:asciiTheme="minorHAnsi" w:eastAsiaTheme="minorEastAsia" w:hAnsiTheme="minorHAnsi" w:cstheme="minorBidi"/>
            <w:caps w:val="0"/>
            <w:noProof/>
            <w:szCs w:val="22"/>
            <w:lang w:eastAsia="en-GB"/>
          </w:rPr>
          <w:tab/>
        </w:r>
        <w:r w:rsidR="006D6B62" w:rsidRPr="009D6F9D">
          <w:rPr>
            <w:rStyle w:val="Hyperlink"/>
            <w:noProof/>
          </w:rPr>
          <w:t>scope of requirement</w:t>
        </w:r>
        <w:r w:rsidR="006D6B62">
          <w:rPr>
            <w:noProof/>
            <w:webHidden/>
          </w:rPr>
          <w:tab/>
        </w:r>
        <w:r w:rsidR="006D6B62">
          <w:rPr>
            <w:noProof/>
            <w:webHidden/>
          </w:rPr>
          <w:fldChar w:fldCharType="begin"/>
        </w:r>
        <w:r w:rsidR="006D6B62">
          <w:rPr>
            <w:noProof/>
            <w:webHidden/>
          </w:rPr>
          <w:instrText xml:space="preserve"> PAGEREF _Toc471814091 \h </w:instrText>
        </w:r>
        <w:r w:rsidR="006D6B62">
          <w:rPr>
            <w:noProof/>
            <w:webHidden/>
          </w:rPr>
        </w:r>
        <w:r w:rsidR="006D6B62">
          <w:rPr>
            <w:noProof/>
            <w:webHidden/>
          </w:rPr>
          <w:fldChar w:fldCharType="separate"/>
        </w:r>
        <w:r w:rsidR="006F6B2F">
          <w:rPr>
            <w:noProof/>
            <w:webHidden/>
          </w:rPr>
          <w:t>21</w:t>
        </w:r>
        <w:r w:rsidR="006D6B62">
          <w:rPr>
            <w:noProof/>
            <w:webHidden/>
          </w:rPr>
          <w:fldChar w:fldCharType="end"/>
        </w:r>
      </w:hyperlink>
    </w:p>
    <w:p w14:paraId="70903086" w14:textId="77777777" w:rsidR="006D6B62" w:rsidRDefault="00796E80" w:rsidP="006D6B62">
      <w:pPr>
        <w:pStyle w:val="TOC1"/>
        <w:rPr>
          <w:rFonts w:asciiTheme="minorHAnsi" w:eastAsiaTheme="minorEastAsia" w:hAnsiTheme="minorHAnsi" w:cstheme="minorBidi"/>
          <w:caps w:val="0"/>
          <w:noProof/>
          <w:szCs w:val="22"/>
          <w:lang w:eastAsia="en-GB"/>
        </w:rPr>
      </w:pPr>
      <w:hyperlink w:anchor="_Toc471814092" w:history="1">
        <w:r w:rsidR="006D6B62" w:rsidRPr="009D6F9D">
          <w:rPr>
            <w:rStyle w:val="Hyperlink"/>
            <w:noProof/>
          </w:rPr>
          <w:t>6.</w:t>
        </w:r>
        <w:r w:rsidR="006D6B62">
          <w:rPr>
            <w:rFonts w:asciiTheme="minorHAnsi" w:eastAsiaTheme="minorEastAsia" w:hAnsiTheme="minorHAnsi" w:cstheme="minorBidi"/>
            <w:caps w:val="0"/>
            <w:noProof/>
            <w:szCs w:val="22"/>
            <w:lang w:eastAsia="en-GB"/>
          </w:rPr>
          <w:tab/>
        </w:r>
        <w:r w:rsidR="006D6B62" w:rsidRPr="009D6F9D">
          <w:rPr>
            <w:rStyle w:val="Hyperlink"/>
            <w:noProof/>
          </w:rPr>
          <w:t>The requirement</w:t>
        </w:r>
        <w:r w:rsidR="006D6B62">
          <w:rPr>
            <w:noProof/>
            <w:webHidden/>
          </w:rPr>
          <w:tab/>
        </w:r>
        <w:r w:rsidR="006D6B62">
          <w:rPr>
            <w:noProof/>
            <w:webHidden/>
          </w:rPr>
          <w:fldChar w:fldCharType="begin"/>
        </w:r>
        <w:r w:rsidR="006D6B62">
          <w:rPr>
            <w:noProof/>
            <w:webHidden/>
          </w:rPr>
          <w:instrText xml:space="preserve"> PAGEREF _Toc471814092 \h </w:instrText>
        </w:r>
        <w:r w:rsidR="006D6B62">
          <w:rPr>
            <w:noProof/>
            <w:webHidden/>
          </w:rPr>
        </w:r>
        <w:r w:rsidR="006D6B62">
          <w:rPr>
            <w:noProof/>
            <w:webHidden/>
          </w:rPr>
          <w:fldChar w:fldCharType="separate"/>
        </w:r>
        <w:r w:rsidR="006F6B2F">
          <w:rPr>
            <w:noProof/>
            <w:webHidden/>
          </w:rPr>
          <w:t>22</w:t>
        </w:r>
        <w:r w:rsidR="006D6B62">
          <w:rPr>
            <w:noProof/>
            <w:webHidden/>
          </w:rPr>
          <w:fldChar w:fldCharType="end"/>
        </w:r>
      </w:hyperlink>
    </w:p>
    <w:p w14:paraId="66A271FF" w14:textId="77777777" w:rsidR="006D6B62" w:rsidRDefault="00796E80" w:rsidP="006D6B62">
      <w:pPr>
        <w:pStyle w:val="TOC1"/>
        <w:rPr>
          <w:rFonts w:asciiTheme="minorHAnsi" w:eastAsiaTheme="minorEastAsia" w:hAnsiTheme="minorHAnsi" w:cstheme="minorBidi"/>
          <w:caps w:val="0"/>
          <w:noProof/>
          <w:szCs w:val="22"/>
          <w:lang w:eastAsia="en-GB"/>
        </w:rPr>
      </w:pPr>
      <w:hyperlink w:anchor="_Toc471814093" w:history="1">
        <w:r w:rsidR="006D6B62" w:rsidRPr="009D6F9D">
          <w:rPr>
            <w:rStyle w:val="Hyperlink"/>
            <w:noProof/>
          </w:rPr>
          <w:t>7.</w:t>
        </w:r>
        <w:r w:rsidR="006D6B62">
          <w:rPr>
            <w:rFonts w:asciiTheme="minorHAnsi" w:eastAsiaTheme="minorEastAsia" w:hAnsiTheme="minorHAnsi" w:cstheme="minorBidi"/>
            <w:caps w:val="0"/>
            <w:noProof/>
            <w:szCs w:val="22"/>
            <w:lang w:eastAsia="en-GB"/>
          </w:rPr>
          <w:tab/>
        </w:r>
        <w:r w:rsidR="006D6B62" w:rsidRPr="009D6F9D">
          <w:rPr>
            <w:rStyle w:val="Hyperlink"/>
            <w:noProof/>
          </w:rPr>
          <w:t>key milestones</w:t>
        </w:r>
        <w:r w:rsidR="006D6B62">
          <w:rPr>
            <w:noProof/>
            <w:webHidden/>
          </w:rPr>
          <w:tab/>
        </w:r>
        <w:r w:rsidR="006D6B62">
          <w:rPr>
            <w:noProof/>
            <w:webHidden/>
          </w:rPr>
          <w:fldChar w:fldCharType="begin"/>
        </w:r>
        <w:r w:rsidR="006D6B62">
          <w:rPr>
            <w:noProof/>
            <w:webHidden/>
          </w:rPr>
          <w:instrText xml:space="preserve"> PAGEREF _Toc471814093 \h </w:instrText>
        </w:r>
        <w:r w:rsidR="006D6B62">
          <w:rPr>
            <w:noProof/>
            <w:webHidden/>
          </w:rPr>
        </w:r>
        <w:r w:rsidR="006D6B62">
          <w:rPr>
            <w:noProof/>
            <w:webHidden/>
          </w:rPr>
          <w:fldChar w:fldCharType="separate"/>
        </w:r>
        <w:r w:rsidR="006F6B2F">
          <w:rPr>
            <w:noProof/>
            <w:webHidden/>
          </w:rPr>
          <w:t>22</w:t>
        </w:r>
        <w:r w:rsidR="006D6B62">
          <w:rPr>
            <w:noProof/>
            <w:webHidden/>
          </w:rPr>
          <w:fldChar w:fldCharType="end"/>
        </w:r>
      </w:hyperlink>
    </w:p>
    <w:p w14:paraId="00FC4471" w14:textId="77777777" w:rsidR="006D6B62" w:rsidRDefault="00796E80" w:rsidP="006D6B62">
      <w:pPr>
        <w:pStyle w:val="TOC1"/>
        <w:rPr>
          <w:rFonts w:asciiTheme="minorHAnsi" w:eastAsiaTheme="minorEastAsia" w:hAnsiTheme="minorHAnsi" w:cstheme="minorBidi"/>
          <w:caps w:val="0"/>
          <w:noProof/>
          <w:szCs w:val="22"/>
          <w:lang w:eastAsia="en-GB"/>
        </w:rPr>
      </w:pPr>
      <w:hyperlink w:anchor="_Toc471814094" w:history="1">
        <w:r w:rsidR="006D6B62" w:rsidRPr="009D6F9D">
          <w:rPr>
            <w:rStyle w:val="Hyperlink"/>
            <w:rFonts w:cs="Arial"/>
            <w:noProof/>
          </w:rPr>
          <w:t>8.</w:t>
        </w:r>
        <w:r w:rsidR="006D6B62">
          <w:rPr>
            <w:rFonts w:asciiTheme="minorHAnsi" w:eastAsiaTheme="minorEastAsia" w:hAnsiTheme="minorHAnsi" w:cstheme="minorBidi"/>
            <w:caps w:val="0"/>
            <w:noProof/>
            <w:szCs w:val="22"/>
            <w:lang w:eastAsia="en-GB"/>
          </w:rPr>
          <w:tab/>
        </w:r>
        <w:r w:rsidR="006D6B62" w:rsidRPr="009D6F9D">
          <w:rPr>
            <w:rStyle w:val="Hyperlink"/>
            <w:rFonts w:cs="Arial"/>
            <w:noProof/>
          </w:rPr>
          <w:t>authority’s responsibilities</w:t>
        </w:r>
        <w:r w:rsidR="006D6B62">
          <w:rPr>
            <w:noProof/>
            <w:webHidden/>
          </w:rPr>
          <w:tab/>
        </w:r>
        <w:r w:rsidR="006D6B62">
          <w:rPr>
            <w:noProof/>
            <w:webHidden/>
          </w:rPr>
          <w:fldChar w:fldCharType="begin"/>
        </w:r>
        <w:r w:rsidR="006D6B62">
          <w:rPr>
            <w:noProof/>
            <w:webHidden/>
          </w:rPr>
          <w:instrText xml:space="preserve"> PAGEREF _Toc471814094 \h </w:instrText>
        </w:r>
        <w:r w:rsidR="006D6B62">
          <w:rPr>
            <w:noProof/>
            <w:webHidden/>
          </w:rPr>
        </w:r>
        <w:r w:rsidR="006D6B62">
          <w:rPr>
            <w:noProof/>
            <w:webHidden/>
          </w:rPr>
          <w:fldChar w:fldCharType="separate"/>
        </w:r>
        <w:r w:rsidR="006F6B2F">
          <w:rPr>
            <w:noProof/>
            <w:webHidden/>
          </w:rPr>
          <w:t>22</w:t>
        </w:r>
        <w:r w:rsidR="006D6B62">
          <w:rPr>
            <w:noProof/>
            <w:webHidden/>
          </w:rPr>
          <w:fldChar w:fldCharType="end"/>
        </w:r>
      </w:hyperlink>
    </w:p>
    <w:p w14:paraId="68DA5FBE" w14:textId="77777777" w:rsidR="006D6B62" w:rsidRDefault="00796E80" w:rsidP="006D6B62">
      <w:pPr>
        <w:pStyle w:val="TOC1"/>
        <w:rPr>
          <w:rFonts w:asciiTheme="minorHAnsi" w:eastAsiaTheme="minorEastAsia" w:hAnsiTheme="minorHAnsi" w:cstheme="minorBidi"/>
          <w:caps w:val="0"/>
          <w:noProof/>
          <w:szCs w:val="22"/>
          <w:lang w:eastAsia="en-GB"/>
        </w:rPr>
      </w:pPr>
      <w:hyperlink w:anchor="_Toc471814095" w:history="1">
        <w:r w:rsidR="006D6B62" w:rsidRPr="009D6F9D">
          <w:rPr>
            <w:rStyle w:val="Hyperlink"/>
            <w:rFonts w:cs="Arial"/>
            <w:noProof/>
          </w:rPr>
          <w:t>9.</w:t>
        </w:r>
        <w:r w:rsidR="006D6B62">
          <w:rPr>
            <w:rFonts w:asciiTheme="minorHAnsi" w:eastAsiaTheme="minorEastAsia" w:hAnsiTheme="minorHAnsi" w:cstheme="minorBidi"/>
            <w:caps w:val="0"/>
            <w:noProof/>
            <w:szCs w:val="22"/>
            <w:lang w:eastAsia="en-GB"/>
          </w:rPr>
          <w:tab/>
        </w:r>
        <w:r w:rsidR="006D6B62" w:rsidRPr="009D6F9D">
          <w:rPr>
            <w:rStyle w:val="Hyperlink"/>
            <w:rFonts w:cs="Arial"/>
            <w:noProof/>
          </w:rPr>
          <w:t>reporting</w:t>
        </w:r>
        <w:r w:rsidR="006D6B62">
          <w:rPr>
            <w:noProof/>
            <w:webHidden/>
          </w:rPr>
          <w:tab/>
        </w:r>
        <w:r w:rsidR="006D6B62">
          <w:rPr>
            <w:noProof/>
            <w:webHidden/>
          </w:rPr>
          <w:fldChar w:fldCharType="begin"/>
        </w:r>
        <w:r w:rsidR="006D6B62">
          <w:rPr>
            <w:noProof/>
            <w:webHidden/>
          </w:rPr>
          <w:instrText xml:space="preserve"> PAGEREF _Toc471814095 \h </w:instrText>
        </w:r>
        <w:r w:rsidR="006D6B62">
          <w:rPr>
            <w:noProof/>
            <w:webHidden/>
          </w:rPr>
        </w:r>
        <w:r w:rsidR="006D6B62">
          <w:rPr>
            <w:noProof/>
            <w:webHidden/>
          </w:rPr>
          <w:fldChar w:fldCharType="separate"/>
        </w:r>
        <w:r w:rsidR="006F6B2F">
          <w:rPr>
            <w:noProof/>
            <w:webHidden/>
          </w:rPr>
          <w:t>22</w:t>
        </w:r>
        <w:r w:rsidR="006D6B62">
          <w:rPr>
            <w:noProof/>
            <w:webHidden/>
          </w:rPr>
          <w:fldChar w:fldCharType="end"/>
        </w:r>
      </w:hyperlink>
    </w:p>
    <w:p w14:paraId="1C97DAD0" w14:textId="77777777" w:rsidR="006D6B62" w:rsidRDefault="00796E80" w:rsidP="006D6B62">
      <w:pPr>
        <w:pStyle w:val="TOC1"/>
        <w:rPr>
          <w:rFonts w:asciiTheme="minorHAnsi" w:eastAsiaTheme="minorEastAsia" w:hAnsiTheme="minorHAnsi" w:cstheme="minorBidi"/>
          <w:caps w:val="0"/>
          <w:noProof/>
          <w:szCs w:val="22"/>
          <w:lang w:eastAsia="en-GB"/>
        </w:rPr>
      </w:pPr>
      <w:hyperlink w:anchor="_Toc471814096" w:history="1">
        <w:r w:rsidR="006D6B62" w:rsidRPr="009D6F9D">
          <w:rPr>
            <w:rStyle w:val="Hyperlink"/>
            <w:rFonts w:cs="Arial"/>
            <w:noProof/>
          </w:rPr>
          <w:t>10.</w:t>
        </w:r>
        <w:r w:rsidR="006D6B62">
          <w:rPr>
            <w:rFonts w:asciiTheme="minorHAnsi" w:eastAsiaTheme="minorEastAsia" w:hAnsiTheme="minorHAnsi" w:cstheme="minorBidi"/>
            <w:caps w:val="0"/>
            <w:noProof/>
            <w:szCs w:val="22"/>
            <w:lang w:eastAsia="en-GB"/>
          </w:rPr>
          <w:tab/>
        </w:r>
        <w:r w:rsidR="006D6B62" w:rsidRPr="009D6F9D">
          <w:rPr>
            <w:rStyle w:val="Hyperlink"/>
            <w:rFonts w:cs="Arial"/>
            <w:noProof/>
          </w:rPr>
          <w:t>volumes</w:t>
        </w:r>
        <w:r w:rsidR="006D6B62">
          <w:rPr>
            <w:noProof/>
            <w:webHidden/>
          </w:rPr>
          <w:tab/>
        </w:r>
        <w:r w:rsidR="006D6B62">
          <w:rPr>
            <w:noProof/>
            <w:webHidden/>
          </w:rPr>
          <w:fldChar w:fldCharType="begin"/>
        </w:r>
        <w:r w:rsidR="006D6B62">
          <w:rPr>
            <w:noProof/>
            <w:webHidden/>
          </w:rPr>
          <w:instrText xml:space="preserve"> PAGEREF _Toc471814096 \h </w:instrText>
        </w:r>
        <w:r w:rsidR="006D6B62">
          <w:rPr>
            <w:noProof/>
            <w:webHidden/>
          </w:rPr>
        </w:r>
        <w:r w:rsidR="006D6B62">
          <w:rPr>
            <w:noProof/>
            <w:webHidden/>
          </w:rPr>
          <w:fldChar w:fldCharType="separate"/>
        </w:r>
        <w:r w:rsidR="006F6B2F">
          <w:rPr>
            <w:noProof/>
            <w:webHidden/>
          </w:rPr>
          <w:t>22</w:t>
        </w:r>
        <w:r w:rsidR="006D6B62">
          <w:rPr>
            <w:noProof/>
            <w:webHidden/>
          </w:rPr>
          <w:fldChar w:fldCharType="end"/>
        </w:r>
      </w:hyperlink>
    </w:p>
    <w:p w14:paraId="08B213E4" w14:textId="77777777" w:rsidR="006D6B62" w:rsidRDefault="00796E80" w:rsidP="006D6B62">
      <w:pPr>
        <w:pStyle w:val="TOC1"/>
        <w:rPr>
          <w:rFonts w:asciiTheme="minorHAnsi" w:eastAsiaTheme="minorEastAsia" w:hAnsiTheme="minorHAnsi" w:cstheme="minorBidi"/>
          <w:caps w:val="0"/>
          <w:noProof/>
          <w:szCs w:val="22"/>
          <w:lang w:eastAsia="en-GB"/>
        </w:rPr>
      </w:pPr>
      <w:hyperlink w:anchor="_Toc471814097" w:history="1">
        <w:r w:rsidR="006D6B62" w:rsidRPr="009D6F9D">
          <w:rPr>
            <w:rStyle w:val="Hyperlink"/>
            <w:rFonts w:cs="Arial"/>
            <w:noProof/>
          </w:rPr>
          <w:t>11.</w:t>
        </w:r>
        <w:r w:rsidR="006D6B62">
          <w:rPr>
            <w:rFonts w:asciiTheme="minorHAnsi" w:eastAsiaTheme="minorEastAsia" w:hAnsiTheme="minorHAnsi" w:cstheme="minorBidi"/>
            <w:caps w:val="0"/>
            <w:noProof/>
            <w:szCs w:val="22"/>
            <w:lang w:eastAsia="en-GB"/>
          </w:rPr>
          <w:tab/>
        </w:r>
        <w:r w:rsidR="006D6B62" w:rsidRPr="009D6F9D">
          <w:rPr>
            <w:rStyle w:val="Hyperlink"/>
            <w:rFonts w:cs="Arial"/>
            <w:noProof/>
          </w:rPr>
          <w:t>continuous improvement</w:t>
        </w:r>
        <w:r w:rsidR="006D6B62">
          <w:rPr>
            <w:noProof/>
            <w:webHidden/>
          </w:rPr>
          <w:tab/>
        </w:r>
        <w:r w:rsidR="006D6B62">
          <w:rPr>
            <w:noProof/>
            <w:webHidden/>
          </w:rPr>
          <w:fldChar w:fldCharType="begin"/>
        </w:r>
        <w:r w:rsidR="006D6B62">
          <w:rPr>
            <w:noProof/>
            <w:webHidden/>
          </w:rPr>
          <w:instrText xml:space="preserve"> PAGEREF _Toc471814097 \h </w:instrText>
        </w:r>
        <w:r w:rsidR="006D6B62">
          <w:rPr>
            <w:noProof/>
            <w:webHidden/>
          </w:rPr>
        </w:r>
        <w:r w:rsidR="006D6B62">
          <w:rPr>
            <w:noProof/>
            <w:webHidden/>
          </w:rPr>
          <w:fldChar w:fldCharType="separate"/>
        </w:r>
        <w:r w:rsidR="006F6B2F">
          <w:rPr>
            <w:noProof/>
            <w:webHidden/>
          </w:rPr>
          <w:t>22</w:t>
        </w:r>
        <w:r w:rsidR="006D6B62">
          <w:rPr>
            <w:noProof/>
            <w:webHidden/>
          </w:rPr>
          <w:fldChar w:fldCharType="end"/>
        </w:r>
      </w:hyperlink>
    </w:p>
    <w:p w14:paraId="32B1B964" w14:textId="77777777" w:rsidR="006D6B62" w:rsidRDefault="00796E80" w:rsidP="006D6B62">
      <w:pPr>
        <w:pStyle w:val="TOC1"/>
        <w:rPr>
          <w:rFonts w:asciiTheme="minorHAnsi" w:eastAsiaTheme="minorEastAsia" w:hAnsiTheme="minorHAnsi" w:cstheme="minorBidi"/>
          <w:caps w:val="0"/>
          <w:noProof/>
          <w:szCs w:val="22"/>
          <w:lang w:eastAsia="en-GB"/>
        </w:rPr>
      </w:pPr>
      <w:hyperlink w:anchor="_Toc471814098" w:history="1">
        <w:r w:rsidR="006D6B62" w:rsidRPr="009D6F9D">
          <w:rPr>
            <w:rStyle w:val="Hyperlink"/>
            <w:rFonts w:cs="Arial"/>
            <w:noProof/>
          </w:rPr>
          <w:t>12.</w:t>
        </w:r>
        <w:r w:rsidR="006D6B62">
          <w:rPr>
            <w:rFonts w:asciiTheme="minorHAnsi" w:eastAsiaTheme="minorEastAsia" w:hAnsiTheme="minorHAnsi" w:cstheme="minorBidi"/>
            <w:caps w:val="0"/>
            <w:noProof/>
            <w:szCs w:val="22"/>
            <w:lang w:eastAsia="en-GB"/>
          </w:rPr>
          <w:tab/>
        </w:r>
        <w:r w:rsidR="006D6B62" w:rsidRPr="009D6F9D">
          <w:rPr>
            <w:rStyle w:val="Hyperlink"/>
            <w:rFonts w:cs="Arial"/>
            <w:noProof/>
          </w:rPr>
          <w:t>quality</w:t>
        </w:r>
        <w:r w:rsidR="006D6B62">
          <w:rPr>
            <w:noProof/>
            <w:webHidden/>
          </w:rPr>
          <w:tab/>
        </w:r>
        <w:r w:rsidR="006D6B62">
          <w:rPr>
            <w:noProof/>
            <w:webHidden/>
          </w:rPr>
          <w:fldChar w:fldCharType="begin"/>
        </w:r>
        <w:r w:rsidR="006D6B62">
          <w:rPr>
            <w:noProof/>
            <w:webHidden/>
          </w:rPr>
          <w:instrText xml:space="preserve"> PAGEREF _Toc471814098 \h </w:instrText>
        </w:r>
        <w:r w:rsidR="006D6B62">
          <w:rPr>
            <w:noProof/>
            <w:webHidden/>
          </w:rPr>
        </w:r>
        <w:r w:rsidR="006D6B62">
          <w:rPr>
            <w:noProof/>
            <w:webHidden/>
          </w:rPr>
          <w:fldChar w:fldCharType="separate"/>
        </w:r>
        <w:r w:rsidR="006F6B2F">
          <w:rPr>
            <w:noProof/>
            <w:webHidden/>
          </w:rPr>
          <w:t>22</w:t>
        </w:r>
        <w:r w:rsidR="006D6B62">
          <w:rPr>
            <w:noProof/>
            <w:webHidden/>
          </w:rPr>
          <w:fldChar w:fldCharType="end"/>
        </w:r>
      </w:hyperlink>
    </w:p>
    <w:p w14:paraId="67220792" w14:textId="77777777" w:rsidR="006D6B62" w:rsidRDefault="00796E80" w:rsidP="006D6B62">
      <w:pPr>
        <w:pStyle w:val="TOC1"/>
        <w:rPr>
          <w:rFonts w:asciiTheme="minorHAnsi" w:eastAsiaTheme="minorEastAsia" w:hAnsiTheme="minorHAnsi" w:cstheme="minorBidi"/>
          <w:caps w:val="0"/>
          <w:noProof/>
          <w:szCs w:val="22"/>
          <w:lang w:eastAsia="en-GB"/>
        </w:rPr>
      </w:pPr>
      <w:hyperlink w:anchor="_Toc471814099" w:history="1">
        <w:r w:rsidR="006D6B62" w:rsidRPr="009D6F9D">
          <w:rPr>
            <w:rStyle w:val="Hyperlink"/>
            <w:rFonts w:cs="Arial"/>
            <w:noProof/>
          </w:rPr>
          <w:t>13.</w:t>
        </w:r>
        <w:r w:rsidR="006D6B62">
          <w:rPr>
            <w:rFonts w:asciiTheme="minorHAnsi" w:eastAsiaTheme="minorEastAsia" w:hAnsiTheme="minorHAnsi" w:cstheme="minorBidi"/>
            <w:caps w:val="0"/>
            <w:noProof/>
            <w:szCs w:val="22"/>
            <w:lang w:eastAsia="en-GB"/>
          </w:rPr>
          <w:tab/>
        </w:r>
        <w:r w:rsidR="006D6B62" w:rsidRPr="009D6F9D">
          <w:rPr>
            <w:rStyle w:val="Hyperlink"/>
            <w:rFonts w:cs="Arial"/>
            <w:noProof/>
          </w:rPr>
          <w:t>PRICE</w:t>
        </w:r>
        <w:r w:rsidR="006D6B62">
          <w:rPr>
            <w:noProof/>
            <w:webHidden/>
          </w:rPr>
          <w:tab/>
        </w:r>
        <w:r w:rsidR="006D6B62">
          <w:rPr>
            <w:noProof/>
            <w:webHidden/>
          </w:rPr>
          <w:fldChar w:fldCharType="begin"/>
        </w:r>
        <w:r w:rsidR="006D6B62">
          <w:rPr>
            <w:noProof/>
            <w:webHidden/>
          </w:rPr>
          <w:instrText xml:space="preserve"> PAGEREF _Toc471814099 \h </w:instrText>
        </w:r>
        <w:r w:rsidR="006D6B62">
          <w:rPr>
            <w:noProof/>
            <w:webHidden/>
          </w:rPr>
        </w:r>
        <w:r w:rsidR="006D6B62">
          <w:rPr>
            <w:noProof/>
            <w:webHidden/>
          </w:rPr>
          <w:fldChar w:fldCharType="separate"/>
        </w:r>
        <w:r w:rsidR="006F6B2F">
          <w:rPr>
            <w:noProof/>
            <w:webHidden/>
          </w:rPr>
          <w:t>22</w:t>
        </w:r>
        <w:r w:rsidR="006D6B62">
          <w:rPr>
            <w:noProof/>
            <w:webHidden/>
          </w:rPr>
          <w:fldChar w:fldCharType="end"/>
        </w:r>
      </w:hyperlink>
    </w:p>
    <w:p w14:paraId="1F894881" w14:textId="77777777" w:rsidR="006D6B62" w:rsidRDefault="00796E80" w:rsidP="006D6B62">
      <w:pPr>
        <w:pStyle w:val="TOC1"/>
        <w:rPr>
          <w:rFonts w:asciiTheme="minorHAnsi" w:eastAsiaTheme="minorEastAsia" w:hAnsiTheme="minorHAnsi" w:cstheme="minorBidi"/>
          <w:caps w:val="0"/>
          <w:noProof/>
          <w:szCs w:val="22"/>
          <w:lang w:eastAsia="en-GB"/>
        </w:rPr>
      </w:pPr>
      <w:hyperlink w:anchor="_Toc471814100" w:history="1">
        <w:r w:rsidR="006D6B62" w:rsidRPr="009D6F9D">
          <w:rPr>
            <w:rStyle w:val="Hyperlink"/>
            <w:rFonts w:cs="Arial"/>
            <w:noProof/>
          </w:rPr>
          <w:t>14.</w:t>
        </w:r>
        <w:r w:rsidR="006D6B62">
          <w:rPr>
            <w:rFonts w:asciiTheme="minorHAnsi" w:eastAsiaTheme="minorEastAsia" w:hAnsiTheme="minorHAnsi" w:cstheme="minorBidi"/>
            <w:caps w:val="0"/>
            <w:noProof/>
            <w:szCs w:val="22"/>
            <w:lang w:eastAsia="en-GB"/>
          </w:rPr>
          <w:tab/>
        </w:r>
        <w:r w:rsidR="006D6B62" w:rsidRPr="009D6F9D">
          <w:rPr>
            <w:rStyle w:val="Hyperlink"/>
            <w:rFonts w:cs="Arial"/>
            <w:noProof/>
          </w:rPr>
          <w:t>STAFF AND CUSTOMER SERVICE</w:t>
        </w:r>
        <w:r w:rsidR="006D6B62">
          <w:rPr>
            <w:noProof/>
            <w:webHidden/>
          </w:rPr>
          <w:tab/>
        </w:r>
        <w:r w:rsidR="006D6B62">
          <w:rPr>
            <w:noProof/>
            <w:webHidden/>
          </w:rPr>
          <w:fldChar w:fldCharType="begin"/>
        </w:r>
        <w:r w:rsidR="006D6B62">
          <w:rPr>
            <w:noProof/>
            <w:webHidden/>
          </w:rPr>
          <w:instrText xml:space="preserve"> PAGEREF _Toc471814100 \h </w:instrText>
        </w:r>
        <w:r w:rsidR="006D6B62">
          <w:rPr>
            <w:noProof/>
            <w:webHidden/>
          </w:rPr>
        </w:r>
        <w:r w:rsidR="006D6B62">
          <w:rPr>
            <w:noProof/>
            <w:webHidden/>
          </w:rPr>
          <w:fldChar w:fldCharType="separate"/>
        </w:r>
        <w:r w:rsidR="006F6B2F">
          <w:rPr>
            <w:noProof/>
            <w:webHidden/>
          </w:rPr>
          <w:t>23</w:t>
        </w:r>
        <w:r w:rsidR="006D6B62">
          <w:rPr>
            <w:noProof/>
            <w:webHidden/>
          </w:rPr>
          <w:fldChar w:fldCharType="end"/>
        </w:r>
      </w:hyperlink>
    </w:p>
    <w:p w14:paraId="70AF35E2" w14:textId="77777777" w:rsidR="006D6B62" w:rsidRDefault="00796E80" w:rsidP="006D6B62">
      <w:pPr>
        <w:pStyle w:val="TOC1"/>
        <w:rPr>
          <w:rFonts w:asciiTheme="minorHAnsi" w:eastAsiaTheme="minorEastAsia" w:hAnsiTheme="minorHAnsi" w:cstheme="minorBidi"/>
          <w:caps w:val="0"/>
          <w:noProof/>
          <w:szCs w:val="22"/>
          <w:lang w:eastAsia="en-GB"/>
        </w:rPr>
      </w:pPr>
      <w:hyperlink w:anchor="_Toc471814101" w:history="1">
        <w:r w:rsidR="006D6B62" w:rsidRPr="009D6F9D">
          <w:rPr>
            <w:rStyle w:val="Hyperlink"/>
            <w:noProof/>
          </w:rPr>
          <w:t>15.</w:t>
        </w:r>
        <w:r w:rsidR="006D6B62">
          <w:rPr>
            <w:rFonts w:asciiTheme="minorHAnsi" w:eastAsiaTheme="minorEastAsia" w:hAnsiTheme="minorHAnsi" w:cstheme="minorBidi"/>
            <w:caps w:val="0"/>
            <w:noProof/>
            <w:szCs w:val="22"/>
            <w:lang w:eastAsia="en-GB"/>
          </w:rPr>
          <w:tab/>
        </w:r>
        <w:r w:rsidR="006D6B62" w:rsidRPr="009D6F9D">
          <w:rPr>
            <w:rStyle w:val="Hyperlink"/>
            <w:noProof/>
          </w:rPr>
          <w:t>Security requirements</w:t>
        </w:r>
        <w:r w:rsidR="006D6B62">
          <w:rPr>
            <w:noProof/>
            <w:webHidden/>
          </w:rPr>
          <w:tab/>
        </w:r>
        <w:r w:rsidR="006D6B62">
          <w:rPr>
            <w:noProof/>
            <w:webHidden/>
          </w:rPr>
          <w:fldChar w:fldCharType="begin"/>
        </w:r>
        <w:r w:rsidR="006D6B62">
          <w:rPr>
            <w:noProof/>
            <w:webHidden/>
          </w:rPr>
          <w:instrText xml:space="preserve"> PAGEREF _Toc471814101 \h </w:instrText>
        </w:r>
        <w:r w:rsidR="006D6B62">
          <w:rPr>
            <w:noProof/>
            <w:webHidden/>
          </w:rPr>
        </w:r>
        <w:r w:rsidR="006D6B62">
          <w:rPr>
            <w:noProof/>
            <w:webHidden/>
          </w:rPr>
          <w:fldChar w:fldCharType="separate"/>
        </w:r>
        <w:r w:rsidR="006F6B2F">
          <w:rPr>
            <w:noProof/>
            <w:webHidden/>
          </w:rPr>
          <w:t>23</w:t>
        </w:r>
        <w:r w:rsidR="006D6B62">
          <w:rPr>
            <w:noProof/>
            <w:webHidden/>
          </w:rPr>
          <w:fldChar w:fldCharType="end"/>
        </w:r>
      </w:hyperlink>
    </w:p>
    <w:p w14:paraId="0CB301B6" w14:textId="77777777" w:rsidR="006D6B62" w:rsidRDefault="00796E80" w:rsidP="006D6B62">
      <w:pPr>
        <w:pStyle w:val="TOC1"/>
        <w:rPr>
          <w:rFonts w:asciiTheme="minorHAnsi" w:eastAsiaTheme="minorEastAsia" w:hAnsiTheme="minorHAnsi" w:cstheme="minorBidi"/>
          <w:caps w:val="0"/>
          <w:noProof/>
          <w:szCs w:val="22"/>
          <w:lang w:eastAsia="en-GB"/>
        </w:rPr>
      </w:pPr>
      <w:hyperlink w:anchor="_Toc471814102" w:history="1">
        <w:r w:rsidR="006D6B62" w:rsidRPr="009D6F9D">
          <w:rPr>
            <w:rStyle w:val="Hyperlink"/>
            <w:rFonts w:cs="Arial"/>
            <w:noProof/>
          </w:rPr>
          <w:t>16.</w:t>
        </w:r>
        <w:r w:rsidR="006D6B62">
          <w:rPr>
            <w:rFonts w:asciiTheme="minorHAnsi" w:eastAsiaTheme="minorEastAsia" w:hAnsiTheme="minorHAnsi" w:cstheme="minorBidi"/>
            <w:caps w:val="0"/>
            <w:noProof/>
            <w:szCs w:val="22"/>
            <w:lang w:eastAsia="en-GB"/>
          </w:rPr>
          <w:tab/>
        </w:r>
        <w:r w:rsidR="006D6B62" w:rsidRPr="009D6F9D">
          <w:rPr>
            <w:rStyle w:val="Hyperlink"/>
            <w:rFonts w:cs="Arial"/>
            <w:noProof/>
          </w:rPr>
          <w:t>intellectual property rights (ipr)</w:t>
        </w:r>
        <w:r w:rsidR="006D6B62">
          <w:rPr>
            <w:noProof/>
            <w:webHidden/>
          </w:rPr>
          <w:tab/>
        </w:r>
        <w:r w:rsidR="006D6B62">
          <w:rPr>
            <w:noProof/>
            <w:webHidden/>
          </w:rPr>
          <w:fldChar w:fldCharType="begin"/>
        </w:r>
        <w:r w:rsidR="006D6B62">
          <w:rPr>
            <w:noProof/>
            <w:webHidden/>
          </w:rPr>
          <w:instrText xml:space="preserve"> PAGEREF _Toc471814102 \h </w:instrText>
        </w:r>
        <w:r w:rsidR="006D6B62">
          <w:rPr>
            <w:noProof/>
            <w:webHidden/>
          </w:rPr>
        </w:r>
        <w:r w:rsidR="006D6B62">
          <w:rPr>
            <w:noProof/>
            <w:webHidden/>
          </w:rPr>
          <w:fldChar w:fldCharType="separate"/>
        </w:r>
        <w:r w:rsidR="006F6B2F">
          <w:rPr>
            <w:noProof/>
            <w:webHidden/>
          </w:rPr>
          <w:t>23</w:t>
        </w:r>
        <w:r w:rsidR="006D6B62">
          <w:rPr>
            <w:noProof/>
            <w:webHidden/>
          </w:rPr>
          <w:fldChar w:fldCharType="end"/>
        </w:r>
      </w:hyperlink>
    </w:p>
    <w:p w14:paraId="4A555817" w14:textId="77777777" w:rsidR="006D6B62" w:rsidRDefault="00796E80" w:rsidP="006D6B62">
      <w:pPr>
        <w:pStyle w:val="TOC1"/>
        <w:rPr>
          <w:rFonts w:asciiTheme="minorHAnsi" w:eastAsiaTheme="minorEastAsia" w:hAnsiTheme="minorHAnsi" w:cstheme="minorBidi"/>
          <w:caps w:val="0"/>
          <w:noProof/>
          <w:szCs w:val="22"/>
          <w:lang w:eastAsia="en-GB"/>
        </w:rPr>
      </w:pPr>
      <w:hyperlink w:anchor="_Toc471814103" w:history="1">
        <w:r w:rsidR="006D6B62" w:rsidRPr="009D6F9D">
          <w:rPr>
            <w:rStyle w:val="Hyperlink"/>
            <w:rFonts w:cs="Arial"/>
            <w:noProof/>
          </w:rPr>
          <w:t>17.</w:t>
        </w:r>
        <w:r w:rsidR="006D6B62">
          <w:rPr>
            <w:rFonts w:asciiTheme="minorHAnsi" w:eastAsiaTheme="minorEastAsia" w:hAnsiTheme="minorHAnsi" w:cstheme="minorBidi"/>
            <w:caps w:val="0"/>
            <w:noProof/>
            <w:szCs w:val="22"/>
            <w:lang w:eastAsia="en-GB"/>
          </w:rPr>
          <w:tab/>
        </w:r>
        <w:r w:rsidR="006D6B62" w:rsidRPr="009D6F9D">
          <w:rPr>
            <w:rStyle w:val="Hyperlink"/>
            <w:rFonts w:cs="Arial"/>
            <w:noProof/>
          </w:rPr>
          <w:t>payment</w:t>
        </w:r>
        <w:r w:rsidR="006D6B62">
          <w:rPr>
            <w:noProof/>
            <w:webHidden/>
          </w:rPr>
          <w:tab/>
        </w:r>
        <w:r w:rsidR="006D6B62">
          <w:rPr>
            <w:noProof/>
            <w:webHidden/>
          </w:rPr>
          <w:fldChar w:fldCharType="begin"/>
        </w:r>
        <w:r w:rsidR="006D6B62">
          <w:rPr>
            <w:noProof/>
            <w:webHidden/>
          </w:rPr>
          <w:instrText xml:space="preserve"> PAGEREF _Toc471814103 \h </w:instrText>
        </w:r>
        <w:r w:rsidR="006D6B62">
          <w:rPr>
            <w:noProof/>
            <w:webHidden/>
          </w:rPr>
        </w:r>
        <w:r w:rsidR="006D6B62">
          <w:rPr>
            <w:noProof/>
            <w:webHidden/>
          </w:rPr>
          <w:fldChar w:fldCharType="separate"/>
        </w:r>
        <w:r w:rsidR="006F6B2F">
          <w:rPr>
            <w:noProof/>
            <w:webHidden/>
          </w:rPr>
          <w:t>23</w:t>
        </w:r>
        <w:r w:rsidR="006D6B62">
          <w:rPr>
            <w:noProof/>
            <w:webHidden/>
          </w:rPr>
          <w:fldChar w:fldCharType="end"/>
        </w:r>
      </w:hyperlink>
    </w:p>
    <w:p w14:paraId="4721544E" w14:textId="77777777" w:rsidR="006D6B62" w:rsidRDefault="00796E80" w:rsidP="006D6B62">
      <w:pPr>
        <w:pStyle w:val="TOC1"/>
        <w:rPr>
          <w:rFonts w:asciiTheme="minorHAnsi" w:eastAsiaTheme="minorEastAsia" w:hAnsiTheme="minorHAnsi" w:cstheme="minorBidi"/>
          <w:caps w:val="0"/>
          <w:noProof/>
          <w:szCs w:val="22"/>
          <w:lang w:eastAsia="en-GB"/>
        </w:rPr>
      </w:pPr>
      <w:hyperlink w:anchor="_Toc471814104" w:history="1">
        <w:r w:rsidR="006D6B62" w:rsidRPr="009D6F9D">
          <w:rPr>
            <w:rStyle w:val="Hyperlink"/>
            <w:rFonts w:cs="Arial"/>
            <w:noProof/>
          </w:rPr>
          <w:t>18.</w:t>
        </w:r>
        <w:r w:rsidR="006D6B62">
          <w:rPr>
            <w:rFonts w:asciiTheme="minorHAnsi" w:eastAsiaTheme="minorEastAsia" w:hAnsiTheme="minorHAnsi" w:cstheme="minorBidi"/>
            <w:caps w:val="0"/>
            <w:noProof/>
            <w:szCs w:val="22"/>
            <w:lang w:eastAsia="en-GB"/>
          </w:rPr>
          <w:tab/>
        </w:r>
        <w:r w:rsidR="006D6B62" w:rsidRPr="009D6F9D">
          <w:rPr>
            <w:rStyle w:val="Hyperlink"/>
            <w:rFonts w:cs="Arial"/>
            <w:noProof/>
          </w:rPr>
          <w:t>training, skills and knowledge transfer</w:t>
        </w:r>
        <w:r w:rsidR="006D6B62">
          <w:rPr>
            <w:noProof/>
            <w:webHidden/>
          </w:rPr>
          <w:tab/>
        </w:r>
        <w:r w:rsidR="006D6B62">
          <w:rPr>
            <w:noProof/>
            <w:webHidden/>
          </w:rPr>
          <w:fldChar w:fldCharType="begin"/>
        </w:r>
        <w:r w:rsidR="006D6B62">
          <w:rPr>
            <w:noProof/>
            <w:webHidden/>
          </w:rPr>
          <w:instrText xml:space="preserve"> PAGEREF _Toc471814104 \h </w:instrText>
        </w:r>
        <w:r w:rsidR="006D6B62">
          <w:rPr>
            <w:noProof/>
            <w:webHidden/>
          </w:rPr>
        </w:r>
        <w:r w:rsidR="006D6B62">
          <w:rPr>
            <w:noProof/>
            <w:webHidden/>
          </w:rPr>
          <w:fldChar w:fldCharType="separate"/>
        </w:r>
        <w:r w:rsidR="006F6B2F">
          <w:rPr>
            <w:noProof/>
            <w:webHidden/>
          </w:rPr>
          <w:t>24</w:t>
        </w:r>
        <w:r w:rsidR="006D6B62">
          <w:rPr>
            <w:noProof/>
            <w:webHidden/>
          </w:rPr>
          <w:fldChar w:fldCharType="end"/>
        </w:r>
      </w:hyperlink>
    </w:p>
    <w:p w14:paraId="64AC0807" w14:textId="77777777" w:rsidR="006D6B62" w:rsidRDefault="00796E80" w:rsidP="006D6B62">
      <w:pPr>
        <w:pStyle w:val="TOC1"/>
        <w:rPr>
          <w:rFonts w:asciiTheme="minorHAnsi" w:eastAsiaTheme="minorEastAsia" w:hAnsiTheme="minorHAnsi" w:cstheme="minorBidi"/>
          <w:caps w:val="0"/>
          <w:noProof/>
          <w:szCs w:val="22"/>
          <w:lang w:eastAsia="en-GB"/>
        </w:rPr>
      </w:pPr>
      <w:hyperlink w:anchor="_Toc471814105" w:history="1">
        <w:r w:rsidR="006D6B62" w:rsidRPr="009D6F9D">
          <w:rPr>
            <w:rStyle w:val="Hyperlink"/>
            <w:rFonts w:cs="Arial"/>
            <w:noProof/>
          </w:rPr>
          <w:t>19.</w:t>
        </w:r>
        <w:r w:rsidR="006D6B62">
          <w:rPr>
            <w:rFonts w:asciiTheme="minorHAnsi" w:eastAsiaTheme="minorEastAsia" w:hAnsiTheme="minorHAnsi" w:cstheme="minorBidi"/>
            <w:caps w:val="0"/>
            <w:noProof/>
            <w:szCs w:val="22"/>
            <w:lang w:eastAsia="en-GB"/>
          </w:rPr>
          <w:tab/>
        </w:r>
        <w:r w:rsidR="006D6B62" w:rsidRPr="009D6F9D">
          <w:rPr>
            <w:rStyle w:val="Hyperlink"/>
            <w:rFonts w:cs="Arial"/>
            <w:noProof/>
          </w:rPr>
          <w:t>Selection and appointment</w:t>
        </w:r>
        <w:r w:rsidR="006D6B62">
          <w:rPr>
            <w:noProof/>
            <w:webHidden/>
          </w:rPr>
          <w:tab/>
        </w:r>
        <w:r w:rsidR="006D6B62">
          <w:rPr>
            <w:noProof/>
            <w:webHidden/>
          </w:rPr>
          <w:fldChar w:fldCharType="begin"/>
        </w:r>
        <w:r w:rsidR="006D6B62">
          <w:rPr>
            <w:noProof/>
            <w:webHidden/>
          </w:rPr>
          <w:instrText xml:space="preserve"> PAGEREF _Toc471814105 \h </w:instrText>
        </w:r>
        <w:r w:rsidR="006D6B62">
          <w:rPr>
            <w:noProof/>
            <w:webHidden/>
          </w:rPr>
        </w:r>
        <w:r w:rsidR="006D6B62">
          <w:rPr>
            <w:noProof/>
            <w:webHidden/>
          </w:rPr>
          <w:fldChar w:fldCharType="separate"/>
        </w:r>
        <w:r w:rsidR="006F6B2F">
          <w:rPr>
            <w:noProof/>
            <w:webHidden/>
          </w:rPr>
          <w:t>25</w:t>
        </w:r>
        <w:r w:rsidR="006D6B62">
          <w:rPr>
            <w:noProof/>
            <w:webHidden/>
          </w:rPr>
          <w:fldChar w:fldCharType="end"/>
        </w:r>
      </w:hyperlink>
    </w:p>
    <w:p w14:paraId="36BCF0A0" w14:textId="77777777" w:rsidR="006D6B62" w:rsidRDefault="00796E80" w:rsidP="006D6B62">
      <w:pPr>
        <w:pStyle w:val="TOC1"/>
        <w:rPr>
          <w:rFonts w:asciiTheme="minorHAnsi" w:eastAsiaTheme="minorEastAsia" w:hAnsiTheme="minorHAnsi" w:cstheme="minorBidi"/>
          <w:caps w:val="0"/>
          <w:noProof/>
          <w:szCs w:val="22"/>
          <w:lang w:eastAsia="en-GB"/>
        </w:rPr>
      </w:pPr>
      <w:hyperlink w:anchor="_Toc471814106" w:history="1">
        <w:r w:rsidR="006D6B62" w:rsidRPr="009D6F9D">
          <w:rPr>
            <w:rStyle w:val="Hyperlink"/>
            <w:rFonts w:cs="Arial"/>
            <w:noProof/>
          </w:rPr>
          <w:t>20.</w:t>
        </w:r>
        <w:r w:rsidR="006D6B62">
          <w:rPr>
            <w:rFonts w:asciiTheme="minorHAnsi" w:eastAsiaTheme="minorEastAsia" w:hAnsiTheme="minorHAnsi" w:cstheme="minorBidi"/>
            <w:caps w:val="0"/>
            <w:noProof/>
            <w:szCs w:val="22"/>
            <w:lang w:eastAsia="en-GB"/>
          </w:rPr>
          <w:tab/>
        </w:r>
        <w:r w:rsidR="006D6B62" w:rsidRPr="009D6F9D">
          <w:rPr>
            <w:rStyle w:val="Hyperlink"/>
            <w:rFonts w:cs="Arial"/>
            <w:noProof/>
          </w:rPr>
          <w:t>interviews/Presentations</w:t>
        </w:r>
        <w:r w:rsidR="006D6B62">
          <w:rPr>
            <w:noProof/>
            <w:webHidden/>
          </w:rPr>
          <w:tab/>
        </w:r>
        <w:r w:rsidR="006D6B62">
          <w:rPr>
            <w:noProof/>
            <w:webHidden/>
          </w:rPr>
          <w:fldChar w:fldCharType="begin"/>
        </w:r>
        <w:r w:rsidR="006D6B62">
          <w:rPr>
            <w:noProof/>
            <w:webHidden/>
          </w:rPr>
          <w:instrText xml:space="preserve"> PAGEREF _Toc471814106 \h </w:instrText>
        </w:r>
        <w:r w:rsidR="006D6B62">
          <w:rPr>
            <w:noProof/>
            <w:webHidden/>
          </w:rPr>
        </w:r>
        <w:r w:rsidR="006D6B62">
          <w:rPr>
            <w:noProof/>
            <w:webHidden/>
          </w:rPr>
          <w:fldChar w:fldCharType="separate"/>
        </w:r>
        <w:r w:rsidR="006F6B2F">
          <w:rPr>
            <w:noProof/>
            <w:webHidden/>
          </w:rPr>
          <w:t>25</w:t>
        </w:r>
        <w:r w:rsidR="006D6B62">
          <w:rPr>
            <w:noProof/>
            <w:webHidden/>
          </w:rPr>
          <w:fldChar w:fldCharType="end"/>
        </w:r>
      </w:hyperlink>
    </w:p>
    <w:p w14:paraId="0967FC2D" w14:textId="77777777" w:rsidR="006D6B62" w:rsidRDefault="00796E80" w:rsidP="006D6B62">
      <w:pPr>
        <w:pStyle w:val="TOC1"/>
        <w:rPr>
          <w:rFonts w:asciiTheme="minorHAnsi" w:eastAsiaTheme="minorEastAsia" w:hAnsiTheme="minorHAnsi" w:cstheme="minorBidi"/>
          <w:caps w:val="0"/>
          <w:noProof/>
          <w:szCs w:val="22"/>
          <w:lang w:eastAsia="en-GB"/>
        </w:rPr>
      </w:pPr>
      <w:hyperlink w:anchor="_Toc471814107" w:history="1">
        <w:r w:rsidR="006D6B62" w:rsidRPr="009D6F9D">
          <w:rPr>
            <w:rStyle w:val="Hyperlink"/>
            <w:rFonts w:cs="Arial"/>
            <w:noProof/>
          </w:rPr>
          <w:t>21.</w:t>
        </w:r>
        <w:r w:rsidR="006D6B62">
          <w:rPr>
            <w:rFonts w:asciiTheme="minorHAnsi" w:eastAsiaTheme="minorEastAsia" w:hAnsiTheme="minorHAnsi" w:cstheme="minorBidi"/>
            <w:caps w:val="0"/>
            <w:noProof/>
            <w:szCs w:val="22"/>
            <w:lang w:eastAsia="en-GB"/>
          </w:rPr>
          <w:tab/>
        </w:r>
        <w:r w:rsidR="006D6B62" w:rsidRPr="009D6F9D">
          <w:rPr>
            <w:rStyle w:val="Hyperlink"/>
            <w:rFonts w:cs="Arial"/>
            <w:noProof/>
          </w:rPr>
          <w:t>conflicts</w:t>
        </w:r>
        <w:r w:rsidR="006D6B62">
          <w:rPr>
            <w:noProof/>
            <w:webHidden/>
          </w:rPr>
          <w:tab/>
        </w:r>
        <w:r w:rsidR="006D6B62">
          <w:rPr>
            <w:noProof/>
            <w:webHidden/>
          </w:rPr>
          <w:fldChar w:fldCharType="begin"/>
        </w:r>
        <w:r w:rsidR="006D6B62">
          <w:rPr>
            <w:noProof/>
            <w:webHidden/>
          </w:rPr>
          <w:instrText xml:space="preserve"> PAGEREF _Toc471814107 \h </w:instrText>
        </w:r>
        <w:r w:rsidR="006D6B62">
          <w:rPr>
            <w:noProof/>
            <w:webHidden/>
          </w:rPr>
        </w:r>
        <w:r w:rsidR="006D6B62">
          <w:rPr>
            <w:noProof/>
            <w:webHidden/>
          </w:rPr>
          <w:fldChar w:fldCharType="separate"/>
        </w:r>
        <w:r w:rsidR="006F6B2F">
          <w:rPr>
            <w:noProof/>
            <w:webHidden/>
          </w:rPr>
          <w:t>25</w:t>
        </w:r>
        <w:r w:rsidR="006D6B62">
          <w:rPr>
            <w:noProof/>
            <w:webHidden/>
          </w:rPr>
          <w:fldChar w:fldCharType="end"/>
        </w:r>
      </w:hyperlink>
    </w:p>
    <w:p w14:paraId="7541F9D9" w14:textId="77777777" w:rsidR="006D6B62" w:rsidRDefault="00796E80" w:rsidP="006D6B62">
      <w:pPr>
        <w:pStyle w:val="TOC1"/>
        <w:rPr>
          <w:rFonts w:asciiTheme="minorHAnsi" w:eastAsiaTheme="minorEastAsia" w:hAnsiTheme="minorHAnsi" w:cstheme="minorBidi"/>
          <w:caps w:val="0"/>
          <w:noProof/>
          <w:szCs w:val="22"/>
          <w:lang w:eastAsia="en-GB"/>
        </w:rPr>
      </w:pPr>
      <w:hyperlink w:anchor="_Toc471814108" w:history="1">
        <w:r w:rsidR="006D6B62" w:rsidRPr="009D6F9D">
          <w:rPr>
            <w:rStyle w:val="Hyperlink"/>
            <w:rFonts w:cs="Arial"/>
            <w:noProof/>
          </w:rPr>
          <w:t>22.</w:t>
        </w:r>
        <w:r w:rsidR="006D6B62">
          <w:rPr>
            <w:rFonts w:asciiTheme="minorHAnsi" w:eastAsiaTheme="minorEastAsia" w:hAnsiTheme="minorHAnsi" w:cstheme="minorBidi"/>
            <w:caps w:val="0"/>
            <w:noProof/>
            <w:szCs w:val="22"/>
            <w:lang w:eastAsia="en-GB"/>
          </w:rPr>
          <w:tab/>
        </w:r>
        <w:r w:rsidR="006D6B62" w:rsidRPr="009D6F9D">
          <w:rPr>
            <w:rStyle w:val="Hyperlink"/>
            <w:rFonts w:cs="Arial"/>
            <w:noProof/>
          </w:rPr>
          <w:t>Service conditions</w:t>
        </w:r>
        <w:r w:rsidR="006D6B62">
          <w:rPr>
            <w:noProof/>
            <w:webHidden/>
          </w:rPr>
          <w:tab/>
        </w:r>
        <w:r w:rsidR="006D6B62">
          <w:rPr>
            <w:noProof/>
            <w:webHidden/>
          </w:rPr>
          <w:fldChar w:fldCharType="begin"/>
        </w:r>
        <w:r w:rsidR="006D6B62">
          <w:rPr>
            <w:noProof/>
            <w:webHidden/>
          </w:rPr>
          <w:instrText xml:space="preserve"> PAGEREF _Toc471814108 \h </w:instrText>
        </w:r>
        <w:r w:rsidR="006D6B62">
          <w:rPr>
            <w:noProof/>
            <w:webHidden/>
          </w:rPr>
        </w:r>
        <w:r w:rsidR="006D6B62">
          <w:rPr>
            <w:noProof/>
            <w:webHidden/>
          </w:rPr>
          <w:fldChar w:fldCharType="separate"/>
        </w:r>
        <w:r w:rsidR="006F6B2F">
          <w:rPr>
            <w:noProof/>
            <w:webHidden/>
          </w:rPr>
          <w:t>25</w:t>
        </w:r>
        <w:r w:rsidR="006D6B62">
          <w:rPr>
            <w:noProof/>
            <w:webHidden/>
          </w:rPr>
          <w:fldChar w:fldCharType="end"/>
        </w:r>
      </w:hyperlink>
    </w:p>
    <w:p w14:paraId="7F1B002D" w14:textId="77777777" w:rsidR="006D6B62" w:rsidRDefault="00796E80" w:rsidP="006D6B62">
      <w:pPr>
        <w:pStyle w:val="TOC1"/>
        <w:rPr>
          <w:rFonts w:asciiTheme="minorHAnsi" w:eastAsiaTheme="minorEastAsia" w:hAnsiTheme="minorHAnsi" w:cstheme="minorBidi"/>
          <w:caps w:val="0"/>
          <w:noProof/>
          <w:szCs w:val="22"/>
          <w:lang w:eastAsia="en-GB"/>
        </w:rPr>
      </w:pPr>
      <w:hyperlink w:anchor="_Toc471814109" w:history="1">
        <w:r w:rsidR="006D6B62" w:rsidRPr="009D6F9D">
          <w:rPr>
            <w:rStyle w:val="Hyperlink"/>
            <w:rFonts w:cs="Arial"/>
            <w:noProof/>
          </w:rPr>
          <w:t>23.</w:t>
        </w:r>
        <w:r w:rsidR="006D6B62">
          <w:rPr>
            <w:rFonts w:asciiTheme="minorHAnsi" w:eastAsiaTheme="minorEastAsia" w:hAnsiTheme="minorHAnsi" w:cstheme="minorBidi"/>
            <w:caps w:val="0"/>
            <w:noProof/>
            <w:szCs w:val="22"/>
            <w:lang w:eastAsia="en-GB"/>
          </w:rPr>
          <w:tab/>
        </w:r>
        <w:r w:rsidR="006D6B62" w:rsidRPr="009D6F9D">
          <w:rPr>
            <w:rStyle w:val="Hyperlink"/>
            <w:rFonts w:cs="Arial"/>
            <w:noProof/>
          </w:rPr>
          <w:t>management and contract administration</w:t>
        </w:r>
        <w:r w:rsidR="006D6B62">
          <w:rPr>
            <w:noProof/>
            <w:webHidden/>
          </w:rPr>
          <w:tab/>
        </w:r>
        <w:r w:rsidR="006D6B62">
          <w:rPr>
            <w:noProof/>
            <w:webHidden/>
          </w:rPr>
          <w:fldChar w:fldCharType="begin"/>
        </w:r>
        <w:r w:rsidR="006D6B62">
          <w:rPr>
            <w:noProof/>
            <w:webHidden/>
          </w:rPr>
          <w:instrText xml:space="preserve"> PAGEREF _Toc471814109 \h </w:instrText>
        </w:r>
        <w:r w:rsidR="006D6B62">
          <w:rPr>
            <w:noProof/>
            <w:webHidden/>
          </w:rPr>
        </w:r>
        <w:r w:rsidR="006D6B62">
          <w:rPr>
            <w:noProof/>
            <w:webHidden/>
          </w:rPr>
          <w:fldChar w:fldCharType="separate"/>
        </w:r>
        <w:r w:rsidR="006F6B2F">
          <w:rPr>
            <w:noProof/>
            <w:webHidden/>
          </w:rPr>
          <w:t>26</w:t>
        </w:r>
        <w:r w:rsidR="006D6B62">
          <w:rPr>
            <w:noProof/>
            <w:webHidden/>
          </w:rPr>
          <w:fldChar w:fldCharType="end"/>
        </w:r>
      </w:hyperlink>
    </w:p>
    <w:p w14:paraId="49E2B269" w14:textId="77777777" w:rsidR="006D6B62" w:rsidRPr="00D37BAC" w:rsidRDefault="006D6B62" w:rsidP="006D6B62">
      <w:pPr>
        <w:spacing w:after="120"/>
        <w:jc w:val="center"/>
        <w:rPr>
          <w:b/>
        </w:rPr>
      </w:pPr>
      <w:r w:rsidRPr="00FA5229">
        <w:rPr>
          <w:rFonts w:cs="Arial"/>
          <w:caps/>
        </w:rPr>
        <w:fldChar w:fldCharType="end"/>
      </w:r>
    </w:p>
    <w:p w14:paraId="18E34DEC" w14:textId="77777777" w:rsidR="006D6B62" w:rsidRPr="00F44D62" w:rsidRDefault="006D6B62" w:rsidP="006D6B62">
      <w:pPr>
        <w:adjustRightInd w:val="0"/>
        <w:spacing w:before="60" w:after="60"/>
        <w:jc w:val="center"/>
        <w:rPr>
          <w:rFonts w:eastAsia="STZhongsong" w:cs="Arial"/>
          <w:b/>
          <w:szCs w:val="22"/>
          <w:highlight w:val="yellow"/>
        </w:rPr>
      </w:pPr>
      <w:bookmarkStart w:id="109" w:name="_Toc297554772"/>
    </w:p>
    <w:p w14:paraId="6331202A" w14:textId="77777777" w:rsidR="006D6B62" w:rsidRDefault="006D6B62" w:rsidP="006D6B62">
      <w:pPr>
        <w:pStyle w:val="Heading1"/>
        <w:numPr>
          <w:ilvl w:val="0"/>
          <w:numId w:val="0"/>
        </w:numPr>
        <w:overflowPunct w:val="0"/>
        <w:autoSpaceDE w:val="0"/>
        <w:autoSpaceDN w:val="0"/>
        <w:spacing w:after="120"/>
        <w:ind w:left="720"/>
        <w:textAlignment w:val="baseline"/>
        <w:rPr>
          <w:szCs w:val="22"/>
        </w:rPr>
      </w:pPr>
    </w:p>
    <w:p w14:paraId="6EABC565" w14:textId="77777777" w:rsidR="006D6B62" w:rsidRDefault="006D6B62" w:rsidP="006D6B62">
      <w:pPr>
        <w:pStyle w:val="Heading1"/>
        <w:numPr>
          <w:ilvl w:val="0"/>
          <w:numId w:val="0"/>
        </w:numPr>
        <w:overflowPunct w:val="0"/>
        <w:autoSpaceDE w:val="0"/>
        <w:autoSpaceDN w:val="0"/>
        <w:spacing w:after="120"/>
        <w:ind w:left="720"/>
        <w:textAlignment w:val="baseline"/>
        <w:rPr>
          <w:szCs w:val="22"/>
        </w:rPr>
      </w:pPr>
    </w:p>
    <w:p w14:paraId="4EC0A13C" w14:textId="77777777" w:rsidR="006D6B62" w:rsidRDefault="006D6B62" w:rsidP="006D6B62">
      <w:pPr>
        <w:pStyle w:val="Heading1"/>
        <w:numPr>
          <w:ilvl w:val="0"/>
          <w:numId w:val="0"/>
        </w:numPr>
        <w:overflowPunct w:val="0"/>
        <w:autoSpaceDE w:val="0"/>
        <w:autoSpaceDN w:val="0"/>
        <w:spacing w:after="120"/>
        <w:ind w:left="720"/>
        <w:textAlignment w:val="baseline"/>
        <w:rPr>
          <w:szCs w:val="22"/>
        </w:rPr>
      </w:pPr>
    </w:p>
    <w:p w14:paraId="4EF66A37" w14:textId="77777777" w:rsidR="006D6B62" w:rsidRDefault="006D6B62" w:rsidP="006D6B62">
      <w:pPr>
        <w:pStyle w:val="Heading1"/>
        <w:numPr>
          <w:ilvl w:val="0"/>
          <w:numId w:val="0"/>
        </w:numPr>
        <w:overflowPunct w:val="0"/>
        <w:autoSpaceDE w:val="0"/>
        <w:autoSpaceDN w:val="0"/>
        <w:spacing w:after="120"/>
        <w:ind w:left="720"/>
        <w:textAlignment w:val="baseline"/>
        <w:rPr>
          <w:szCs w:val="22"/>
        </w:rPr>
      </w:pPr>
    </w:p>
    <w:p w14:paraId="5E559DA4" w14:textId="77777777" w:rsidR="006D6B62" w:rsidRDefault="006D6B62" w:rsidP="006D6B62">
      <w:pPr>
        <w:rPr>
          <w:rFonts w:eastAsia="STZhongsong"/>
          <w:b/>
          <w:caps/>
          <w:szCs w:val="22"/>
        </w:rPr>
      </w:pPr>
      <w:r>
        <w:rPr>
          <w:szCs w:val="22"/>
        </w:rPr>
        <w:br w:type="page"/>
      </w:r>
    </w:p>
    <w:p w14:paraId="158D785E" w14:textId="77777777" w:rsidR="006D6B62" w:rsidRPr="001530F5" w:rsidRDefault="006D6B62" w:rsidP="006D6B62">
      <w:pPr>
        <w:pStyle w:val="Heading1"/>
        <w:numPr>
          <w:ilvl w:val="0"/>
          <w:numId w:val="0"/>
        </w:numPr>
        <w:overflowPunct w:val="0"/>
        <w:autoSpaceDE w:val="0"/>
        <w:autoSpaceDN w:val="0"/>
        <w:spacing w:after="120"/>
        <w:ind w:left="720"/>
        <w:textAlignment w:val="baseline"/>
        <w:rPr>
          <w:szCs w:val="22"/>
        </w:rPr>
      </w:pPr>
    </w:p>
    <w:p w14:paraId="6F4F752E" w14:textId="77777777" w:rsidR="006D6B62" w:rsidRPr="00CE295C" w:rsidRDefault="006D6B62" w:rsidP="00315328">
      <w:pPr>
        <w:pStyle w:val="Heading1"/>
        <w:numPr>
          <w:ilvl w:val="0"/>
          <w:numId w:val="26"/>
        </w:numPr>
        <w:tabs>
          <w:tab w:val="clear" w:pos="720"/>
        </w:tabs>
        <w:overflowPunct w:val="0"/>
        <w:autoSpaceDE w:val="0"/>
        <w:autoSpaceDN w:val="0"/>
        <w:spacing w:after="120"/>
        <w:textAlignment w:val="baseline"/>
        <w:rPr>
          <w:szCs w:val="22"/>
        </w:rPr>
      </w:pPr>
      <w:bookmarkStart w:id="110" w:name="_Toc368573027"/>
      <w:bookmarkStart w:id="111" w:name="_Toc471814087"/>
      <w:r w:rsidRPr="00CE295C">
        <w:rPr>
          <w:caps w:val="0"/>
          <w:szCs w:val="22"/>
        </w:rPr>
        <w:t>PURPOSE</w:t>
      </w:r>
      <w:bookmarkEnd w:id="109"/>
      <w:bookmarkEnd w:id="110"/>
      <w:bookmarkEnd w:id="111"/>
    </w:p>
    <w:p w14:paraId="564F470B" w14:textId="77777777" w:rsidR="006D6B62" w:rsidRPr="00A72261" w:rsidRDefault="006D6B62" w:rsidP="006D6B62">
      <w:pPr>
        <w:pStyle w:val="Heading2"/>
        <w:tabs>
          <w:tab w:val="left" w:pos="851"/>
        </w:tabs>
        <w:spacing w:after="120"/>
        <w:ind w:left="737" w:hanging="737"/>
        <w:jc w:val="left"/>
        <w:rPr>
          <w:rFonts w:cs="Arial"/>
          <w:szCs w:val="22"/>
        </w:rPr>
      </w:pPr>
      <w:bookmarkStart w:id="112" w:name="_Toc368573028"/>
      <w:bookmarkStart w:id="113" w:name="_Toc297554773"/>
      <w:bookmarkStart w:id="114" w:name="_Toc296415805"/>
      <w:bookmarkStart w:id="115" w:name="_Toc296415793"/>
      <w:r w:rsidRPr="00031D71">
        <w:rPr>
          <w:rFonts w:cs="Arial"/>
          <w:szCs w:val="22"/>
        </w:rPr>
        <w:t>This document contains the service descripti</w:t>
      </w:r>
      <w:r>
        <w:rPr>
          <w:rFonts w:cs="Arial"/>
          <w:szCs w:val="22"/>
        </w:rPr>
        <w:t>on for the provision of Legal</w:t>
      </w:r>
      <w:r w:rsidRPr="00031D71">
        <w:rPr>
          <w:rFonts w:cs="Arial"/>
          <w:szCs w:val="22"/>
        </w:rPr>
        <w:t xml:space="preserve"> Adviser Services for the Rail Franchising Programme </w:t>
      </w:r>
      <w:r w:rsidRPr="00A72261">
        <w:rPr>
          <w:rFonts w:cs="Arial"/>
          <w:szCs w:val="22"/>
        </w:rPr>
        <w:t xml:space="preserve">– </w:t>
      </w:r>
      <w:r>
        <w:rPr>
          <w:rFonts w:cs="Arial"/>
          <w:szCs w:val="22"/>
        </w:rPr>
        <w:t>West Coast Continuation Project</w:t>
      </w:r>
      <w:r w:rsidRPr="00A72261">
        <w:rPr>
          <w:rFonts w:cs="Arial"/>
          <w:szCs w:val="22"/>
        </w:rPr>
        <w:t>.</w:t>
      </w:r>
    </w:p>
    <w:p w14:paraId="3A65490A" w14:textId="77777777" w:rsidR="006D6B62" w:rsidRDefault="006D6B62" w:rsidP="006D6B62">
      <w:pPr>
        <w:pStyle w:val="Heading2"/>
        <w:tabs>
          <w:tab w:val="left" w:pos="851"/>
        </w:tabs>
        <w:spacing w:after="120"/>
        <w:jc w:val="left"/>
        <w:rPr>
          <w:rFonts w:cs="Arial"/>
          <w:szCs w:val="22"/>
        </w:rPr>
      </w:pPr>
      <w:r w:rsidRPr="00A72261">
        <w:rPr>
          <w:rFonts w:cs="Arial"/>
          <w:szCs w:val="22"/>
        </w:rPr>
        <w:t xml:space="preserve">The envisaged start dates and duration of the projects are contained below. </w:t>
      </w:r>
    </w:p>
    <w:p w14:paraId="5AAFC884" w14:textId="77777777" w:rsidR="006D6B62" w:rsidRDefault="006D6B62" w:rsidP="006D6B62">
      <w:pPr>
        <w:pStyle w:val="Heading2"/>
        <w:tabs>
          <w:tab w:val="left" w:pos="720"/>
        </w:tabs>
        <w:overflowPunct w:val="0"/>
        <w:autoSpaceDE w:val="0"/>
        <w:autoSpaceDN w:val="0"/>
        <w:spacing w:after="120"/>
        <w:jc w:val="left"/>
        <w:textAlignment w:val="baseline"/>
      </w:pPr>
      <w:r w:rsidRPr="00A72261">
        <w:rPr>
          <w:szCs w:val="22"/>
        </w:rPr>
        <w:t xml:space="preserve">This specification defines the requirements for legal advisers to provide advice to the Authority in respect of the </w:t>
      </w:r>
      <w:r>
        <w:rPr>
          <w:szCs w:val="22"/>
        </w:rPr>
        <w:t>West Coast Continuation Rail Project, which will comprise seeking to enter into a Direct Award with the incumbent operator</w:t>
      </w:r>
      <w:r w:rsidRPr="00A72261">
        <w:rPr>
          <w:szCs w:val="22"/>
        </w:rPr>
        <w:t xml:space="preserve">. Any contract or contracts awarded shall be subject to the Call-Off Terms for the Government Procurement services legal services framework Agreement, ID RM919, Lot </w:t>
      </w:r>
      <w:r>
        <w:rPr>
          <w:szCs w:val="22"/>
        </w:rPr>
        <w:t>8 – Major and Complex Projects.</w:t>
      </w:r>
    </w:p>
    <w:p w14:paraId="24AC5F86" w14:textId="77777777" w:rsidR="006D6B62" w:rsidRDefault="006D6B62" w:rsidP="006D6B62">
      <w:pPr>
        <w:pStyle w:val="Heading2"/>
      </w:pPr>
      <w:r>
        <w:t>The Supplier will be required to work as part of the Department’s team including internal and external stakeholders along with consultants providing technical, business case and financial services.  From time to time the Department issues high level principles (the “Principles”) and guidance to all legal advisers to guide and inform the working relationship between internal and external lawyers.  A copy of the latest Principles is at Annex 1 to this Appendix B.  The Supplier will be required to acknowledge and agree to adhere to these Principles when working with the Department.  The Principles are not amendments or additions to the contract terms but specify Departmental processes that the Department expects all our legal advisers to follow which we consider to be a matter of professional good practice.  The Department reserves the right to review, clarify, amend and update the appended Principles at any time.  The Supplier will be advised of any changes to the Principles and asked to provide a written acknowledgement and agreement to the Principles as amended/updated.</w:t>
      </w:r>
    </w:p>
    <w:p w14:paraId="03D95CEB" w14:textId="77777777" w:rsidR="006D6B62" w:rsidRPr="00E07EB7" w:rsidRDefault="006D6B62" w:rsidP="006D6B62">
      <w:pPr>
        <w:pStyle w:val="Heading2"/>
      </w:pPr>
      <w:r w:rsidRPr="00E07EB7">
        <w:t>The information specified within this document, concerning the service requirements and business activity of Department, is as available at the time of issue. Whilst every endeavour has been made to give Potential Providers an accurate description of the requirements, the potential supplier should form its own conclusions about the methods and resources needed to meet them. The Secretary of State for Transport cannot accept responsibility for Potential Provider’s assessment of the requirements.</w:t>
      </w:r>
    </w:p>
    <w:p w14:paraId="44CE508E" w14:textId="77777777" w:rsidR="006D6B62" w:rsidRPr="00B17B3C" w:rsidRDefault="006D6B62" w:rsidP="006D6B62">
      <w:pPr>
        <w:pStyle w:val="Heading2"/>
      </w:pPr>
      <w:r w:rsidRPr="00B17B3C">
        <w:t>The Department will not be responsible for the costs or expenses of any Potential Provider, in relation to the preparation and completion of a bid for this tender.</w:t>
      </w:r>
    </w:p>
    <w:p w14:paraId="39F51F5E" w14:textId="77777777" w:rsidR="006D6B62" w:rsidRPr="004E78BC" w:rsidRDefault="006D6B62" w:rsidP="006D6B62">
      <w:pPr>
        <w:pStyle w:val="Heading1"/>
        <w:tabs>
          <w:tab w:val="clear" w:pos="720"/>
        </w:tabs>
        <w:overflowPunct w:val="0"/>
        <w:autoSpaceDE w:val="0"/>
        <w:autoSpaceDN w:val="0"/>
        <w:spacing w:after="120"/>
        <w:textAlignment w:val="baseline"/>
        <w:rPr>
          <w:szCs w:val="22"/>
        </w:rPr>
      </w:pPr>
      <w:bookmarkStart w:id="116" w:name="_Toc471814088"/>
      <w:r w:rsidRPr="004E78BC">
        <w:rPr>
          <w:szCs w:val="22"/>
        </w:rPr>
        <w:t>BACKGROUND TO THE CONTRACTING aUTHORITY</w:t>
      </w:r>
      <w:bookmarkEnd w:id="112"/>
      <w:bookmarkEnd w:id="116"/>
    </w:p>
    <w:p w14:paraId="0BC13371" w14:textId="77777777" w:rsidR="006D6B62" w:rsidRPr="0068745E" w:rsidRDefault="006D6B62" w:rsidP="006D6B62">
      <w:pPr>
        <w:pStyle w:val="Heading2"/>
        <w:tabs>
          <w:tab w:val="clear" w:pos="720"/>
        </w:tabs>
        <w:overflowPunct w:val="0"/>
        <w:autoSpaceDE w:val="0"/>
        <w:autoSpaceDN w:val="0"/>
        <w:spacing w:after="120"/>
        <w:jc w:val="left"/>
        <w:textAlignment w:val="baseline"/>
        <w:rPr>
          <w:szCs w:val="22"/>
        </w:rPr>
      </w:pPr>
      <w:bookmarkStart w:id="117" w:name="_Toc368573029"/>
      <w:r w:rsidRPr="00C9048A">
        <w:rPr>
          <w:rFonts w:eastAsia="Times New Roman" w:cs="Arial"/>
          <w:szCs w:val="22"/>
          <w:lang w:eastAsia="en-GB"/>
        </w:rPr>
        <w:t xml:space="preserve">The Department for Transport’s </w:t>
      </w:r>
      <w:r>
        <w:rPr>
          <w:rFonts w:eastAsia="Times New Roman" w:cs="Arial"/>
          <w:szCs w:val="22"/>
          <w:lang w:eastAsia="en-GB"/>
        </w:rPr>
        <w:t>Rail Executive – Passenger Services</w:t>
      </w:r>
      <w:r w:rsidRPr="00C9048A">
        <w:rPr>
          <w:rFonts w:eastAsia="Times New Roman" w:cs="Arial"/>
          <w:szCs w:val="22"/>
          <w:lang w:eastAsia="en-GB"/>
        </w:rPr>
        <w:t xml:space="preserve"> is responsible for the design and procurement of new and replacement rail franchise services on the national rail network for which it is the franchising authority. Its vision is to provide world class train services that drive economic growth and exceed passenger expectations.  </w:t>
      </w:r>
    </w:p>
    <w:p w14:paraId="0DDF24CF" w14:textId="77777777" w:rsidR="006D6B62" w:rsidRPr="00C9048A" w:rsidRDefault="006D6B62" w:rsidP="006D6B62">
      <w:pPr>
        <w:pStyle w:val="Heading2"/>
        <w:overflowPunct w:val="0"/>
        <w:autoSpaceDE w:val="0"/>
        <w:autoSpaceDN w:val="0"/>
        <w:spacing w:after="120"/>
        <w:jc w:val="left"/>
        <w:textAlignment w:val="baseline"/>
        <w:rPr>
          <w:rFonts w:cs="Arial"/>
        </w:rPr>
      </w:pPr>
      <w:r w:rsidRPr="00C9048A">
        <w:rPr>
          <w:rFonts w:cs="Arial"/>
          <w:szCs w:val="22"/>
        </w:rPr>
        <w:t xml:space="preserve">On 26 March 2013, the Secretary of State announced the recommencement of the Franchising Programme and set out the schedule of competitions for the next eight years.  His plan is designed to drive improvements to rail services, deliver on major </w:t>
      </w:r>
      <w:r w:rsidRPr="00C9048A">
        <w:rPr>
          <w:rFonts w:cs="Arial"/>
          <w:szCs w:val="22"/>
        </w:rPr>
        <w:lastRenderedPageBreak/>
        <w:t>infrastructure projects, and put passengers at the heart of a revitalised rail franchising system.</w:t>
      </w:r>
    </w:p>
    <w:p w14:paraId="4493D9DD" w14:textId="77777777" w:rsidR="006D6B62" w:rsidRPr="00501CF5" w:rsidRDefault="006D6B62" w:rsidP="006D6B62">
      <w:pPr>
        <w:pStyle w:val="Heading2"/>
        <w:overflowPunct w:val="0"/>
        <w:autoSpaceDE w:val="0"/>
        <w:autoSpaceDN w:val="0"/>
        <w:spacing w:after="120"/>
        <w:jc w:val="left"/>
        <w:textAlignment w:val="baseline"/>
        <w:rPr>
          <w:rFonts w:cs="Arial"/>
        </w:rPr>
      </w:pPr>
      <w:r w:rsidRPr="00C9048A">
        <w:rPr>
          <w:rFonts w:cs="Arial"/>
          <w:szCs w:val="22"/>
        </w:rPr>
        <w:t xml:space="preserve">The full details of the Secretary of State’s announcement, and the full franchise programme, are available at </w:t>
      </w:r>
      <w:hyperlink r:id="rId17" w:history="1">
        <w:r w:rsidRPr="00C9048A">
          <w:rPr>
            <w:rStyle w:val="Hyperlink"/>
            <w:rFonts w:cs="Arial"/>
            <w:szCs w:val="22"/>
          </w:rPr>
          <w:t>https://www.gov.uk/government/speeches/franchise-announcement</w:t>
        </w:r>
      </w:hyperlink>
      <w:r w:rsidRPr="00C9048A">
        <w:rPr>
          <w:rFonts w:cs="Arial"/>
          <w:szCs w:val="22"/>
        </w:rPr>
        <w:t xml:space="preserve">.  </w:t>
      </w:r>
    </w:p>
    <w:p w14:paraId="7719C3C1" w14:textId="77777777" w:rsidR="006D6B62" w:rsidRDefault="006D6B62" w:rsidP="006D6B62">
      <w:pPr>
        <w:pStyle w:val="Heading2"/>
        <w:rPr>
          <w:szCs w:val="22"/>
        </w:rPr>
      </w:pPr>
      <w:r>
        <w:rPr>
          <w:szCs w:val="22"/>
        </w:rPr>
        <w:t xml:space="preserve">Direct awards are generally let in accordance with the process described in the Direct Awards High-Level Process Guide, </w:t>
      </w:r>
      <w:r w:rsidRPr="00806570">
        <w:rPr>
          <w:szCs w:val="22"/>
        </w:rPr>
        <w:t>and to the milestone dates presented in the published Rail Franchise Schedule, available at:</w:t>
      </w:r>
    </w:p>
    <w:p w14:paraId="3277C677" w14:textId="77777777" w:rsidR="006D6B62" w:rsidRDefault="00796E80" w:rsidP="006D6B62">
      <w:pPr>
        <w:pStyle w:val="Heading2"/>
        <w:numPr>
          <w:ilvl w:val="0"/>
          <w:numId w:val="0"/>
        </w:numPr>
        <w:ind w:left="720"/>
      </w:pPr>
      <w:hyperlink r:id="rId18" w:history="1">
        <w:r w:rsidR="006D6B62" w:rsidRPr="00A41079">
          <w:rPr>
            <w:rStyle w:val="Hyperlink"/>
          </w:rPr>
          <w:t>https://www.gov.uk/government/uploads/system/uploads/attachment_data/file/365129/direct-awards-process-guide.pdf</w:t>
        </w:r>
      </w:hyperlink>
    </w:p>
    <w:p w14:paraId="380586BE" w14:textId="77777777" w:rsidR="006D6B62" w:rsidRPr="00806570" w:rsidRDefault="00796E80" w:rsidP="006D6B62">
      <w:pPr>
        <w:pStyle w:val="Heading2"/>
        <w:numPr>
          <w:ilvl w:val="0"/>
          <w:numId w:val="0"/>
        </w:numPr>
        <w:ind w:left="720"/>
        <w:rPr>
          <w:szCs w:val="22"/>
        </w:rPr>
      </w:pPr>
      <w:hyperlink r:id="rId19" w:history="1">
        <w:r w:rsidR="006D6B62" w:rsidRPr="00806570">
          <w:rPr>
            <w:rStyle w:val="Hyperlink"/>
            <w:szCs w:val="22"/>
          </w:rPr>
          <w:t>https://www.gov.uk/government/uploads/system/uploads/attachment_data/file/523791/may-2016-rail-franchise-schedule.pdf</w:t>
        </w:r>
      </w:hyperlink>
      <w:r w:rsidR="006D6B62" w:rsidRPr="00806570">
        <w:rPr>
          <w:szCs w:val="22"/>
        </w:rPr>
        <w:t xml:space="preserve"> </w:t>
      </w:r>
    </w:p>
    <w:p w14:paraId="470EF3C0" w14:textId="77777777" w:rsidR="006D6B62" w:rsidRPr="009A2A37" w:rsidRDefault="006D6B62" w:rsidP="006D6B62">
      <w:pPr>
        <w:ind w:left="180"/>
        <w:rPr>
          <w:rFonts w:cs="Arial"/>
        </w:rPr>
      </w:pPr>
    </w:p>
    <w:p w14:paraId="23A9E697" w14:textId="77777777" w:rsidR="006D6B62" w:rsidRPr="002C546C" w:rsidRDefault="006D6B62" w:rsidP="006D6B62">
      <w:pPr>
        <w:pStyle w:val="Heading1"/>
        <w:tabs>
          <w:tab w:val="clear" w:pos="720"/>
        </w:tabs>
        <w:overflowPunct w:val="0"/>
        <w:autoSpaceDE w:val="0"/>
        <w:autoSpaceDN w:val="0"/>
        <w:spacing w:after="120"/>
        <w:textAlignment w:val="baseline"/>
        <w:rPr>
          <w:szCs w:val="22"/>
        </w:rPr>
      </w:pPr>
      <w:bookmarkStart w:id="118" w:name="_Toc471814089"/>
      <w:r>
        <w:rPr>
          <w:szCs w:val="22"/>
        </w:rPr>
        <w:t>Background to requirement/</w:t>
      </w:r>
      <w:r w:rsidRPr="002C546C">
        <w:rPr>
          <w:szCs w:val="22"/>
        </w:rPr>
        <w:t>OVERVIEW</w:t>
      </w:r>
      <w:bookmarkEnd w:id="113"/>
      <w:r>
        <w:rPr>
          <w:szCs w:val="22"/>
        </w:rPr>
        <w:t xml:space="preserve"> of requirement</w:t>
      </w:r>
      <w:bookmarkEnd w:id="117"/>
      <w:bookmarkEnd w:id="118"/>
    </w:p>
    <w:p w14:paraId="48000087" w14:textId="77777777" w:rsidR="006D6B62" w:rsidRPr="002000DC" w:rsidRDefault="006D6B62" w:rsidP="006D6B62">
      <w:pPr>
        <w:pStyle w:val="Heading2"/>
        <w:rPr>
          <w:rFonts w:eastAsia="Times New Roman"/>
          <w:b/>
          <w:szCs w:val="22"/>
        </w:rPr>
      </w:pPr>
      <w:bookmarkStart w:id="119" w:name="_Toc297554774"/>
      <w:bookmarkStart w:id="120" w:name="_Toc368573030"/>
      <w:bookmarkEnd w:id="114"/>
      <w:r w:rsidRPr="002000DC">
        <w:rPr>
          <w:rFonts w:eastAsia="Times New Roman"/>
          <w:b/>
          <w:szCs w:val="22"/>
        </w:rPr>
        <w:t>Franchise Background.</w:t>
      </w:r>
    </w:p>
    <w:p w14:paraId="4321146F" w14:textId="77777777" w:rsidR="006D6B62" w:rsidRPr="007A7575" w:rsidRDefault="006D6B62" w:rsidP="006D6B62">
      <w:pPr>
        <w:rPr>
          <w:rFonts w:cs="Arial"/>
        </w:rPr>
      </w:pPr>
    </w:p>
    <w:p w14:paraId="6719B48C" w14:textId="77777777" w:rsidR="006D6B62" w:rsidRDefault="006D6B62" w:rsidP="006D6B62">
      <w:pPr>
        <w:pStyle w:val="Heading3"/>
      </w:pPr>
      <w:r w:rsidRPr="00E36F1B">
        <w:t xml:space="preserve">The InterCity West Coast franchise provides express train services from London Euston to the West Midlands, North West England, North Wales and Scotland, and serves the key cities of London, Birmingham, Liverpool, Manchester, Edinburgh and Glasgow. The franchisee may be required to manage the delivery of changes relating to the accommodation of HS2. </w:t>
      </w:r>
    </w:p>
    <w:p w14:paraId="603050F9" w14:textId="77777777" w:rsidR="006D6B62" w:rsidRDefault="006D6B62" w:rsidP="006D6B62">
      <w:pPr>
        <w:pStyle w:val="Heading3"/>
      </w:pPr>
      <w:r>
        <w:t>It operates around 300 train services per day, covering 4.3</w:t>
      </w:r>
      <w:r w:rsidRPr="00E36F1B">
        <w:t xml:space="preserve"> bi</w:t>
      </w:r>
      <w:r>
        <w:t>llion passenger miles per annum in 2014/15.  These services would be similar to those currently operated by the InterCity West Coast Rail Franchise.</w:t>
      </w:r>
    </w:p>
    <w:p w14:paraId="389F52CC" w14:textId="77777777" w:rsidR="006D6B62" w:rsidRDefault="006D6B62" w:rsidP="006D6B62">
      <w:pPr>
        <w:rPr>
          <w:rFonts w:cs="Arial"/>
        </w:rPr>
      </w:pPr>
    </w:p>
    <w:p w14:paraId="53383CFE" w14:textId="77777777" w:rsidR="006D6B62" w:rsidRPr="00B17B3C" w:rsidRDefault="006D6B62" w:rsidP="006D6B62">
      <w:pPr>
        <w:pStyle w:val="Heading2"/>
        <w:rPr>
          <w:rFonts w:cs="Arial"/>
        </w:rPr>
      </w:pPr>
      <w:r w:rsidRPr="00160C57">
        <w:rPr>
          <w:rFonts w:eastAsia="Times New Roman"/>
          <w:b/>
          <w:szCs w:val="22"/>
        </w:rPr>
        <w:t>Objectives of the Direct Award Proposal and Legal Adviser Support</w:t>
      </w:r>
    </w:p>
    <w:p w14:paraId="2F88B0CB" w14:textId="77777777" w:rsidR="006D6B62" w:rsidRDefault="006D6B62" w:rsidP="006D6B62">
      <w:pPr>
        <w:pStyle w:val="Heading3"/>
      </w:pPr>
      <w:r>
        <w:t>A direct a</w:t>
      </w:r>
      <w:r w:rsidRPr="00275F88">
        <w:t>ward is now being planned to facilitate the</w:t>
      </w:r>
      <w:r>
        <w:t xml:space="preserve"> procurement of the West Coast Partnership rail franchise</w:t>
      </w:r>
      <w:r w:rsidRPr="00275F88">
        <w:t>, in line with the policy published in March 2013 issued further to Section</w:t>
      </w:r>
      <w:r>
        <w:t xml:space="preserve"> </w:t>
      </w:r>
      <w:r w:rsidRPr="00275F88">
        <w:t>26 of the Railways Act 1993.</w:t>
      </w:r>
    </w:p>
    <w:p w14:paraId="29F33164" w14:textId="77777777" w:rsidR="006D6B62" w:rsidRDefault="006D6B62" w:rsidP="006D6B62">
      <w:pPr>
        <w:pStyle w:val="Heading3"/>
      </w:pPr>
      <w:r>
        <w:t>As at the date of this notice and subject to affordability, the Department currently anticipates that the contract will include provisions that achieve the following objectives:</w:t>
      </w:r>
    </w:p>
    <w:p w14:paraId="71BA9467" w14:textId="77777777" w:rsidR="006D6B62" w:rsidRDefault="006D6B62" w:rsidP="006D6B62">
      <w:pPr>
        <w:rPr>
          <w:rFonts w:cs="Arial"/>
        </w:rPr>
      </w:pPr>
    </w:p>
    <w:p w14:paraId="1DDC33C6" w14:textId="77777777" w:rsidR="006D6B62" w:rsidRPr="005F7096" w:rsidRDefault="006D6B62" w:rsidP="006D6B62">
      <w:pPr>
        <w:pStyle w:val="Heading4"/>
      </w:pPr>
      <w:r w:rsidRPr="005F7096">
        <w:t>Improve</w:t>
      </w:r>
      <w:r>
        <w:t xml:space="preserve"> the</w:t>
      </w:r>
      <w:r w:rsidRPr="005F7096">
        <w:t xml:space="preserve"> passenger experience</w:t>
      </w:r>
      <w:r>
        <w:t>, as</w:t>
      </w:r>
      <w:r w:rsidRPr="005F7096">
        <w:t xml:space="preserve"> measured by NRPS</w:t>
      </w:r>
      <w:r>
        <w:t>;</w:t>
      </w:r>
    </w:p>
    <w:p w14:paraId="23BAEC40" w14:textId="77777777" w:rsidR="006D6B62" w:rsidRPr="005F7096" w:rsidRDefault="006D6B62" w:rsidP="006D6B62">
      <w:pPr>
        <w:pStyle w:val="Heading4"/>
      </w:pPr>
      <w:r>
        <w:t>S</w:t>
      </w:r>
      <w:r w:rsidRPr="005F7096">
        <w:t>ecur</w:t>
      </w:r>
      <w:r>
        <w:t>e</w:t>
      </w:r>
      <w:r w:rsidRPr="005F7096">
        <w:t xml:space="preserve"> specific requirements that are now </w:t>
      </w:r>
      <w:r>
        <w:t>Departmental</w:t>
      </w:r>
      <w:r w:rsidRPr="005F7096">
        <w:t xml:space="preserve"> policy</w:t>
      </w:r>
      <w:r>
        <w:t>,</w:t>
      </w:r>
      <w:r w:rsidRPr="005F7096">
        <w:t xml:space="preserve"> including free WiFi; smart based ticketing options; and D</w:t>
      </w:r>
      <w:r>
        <w:t xml:space="preserve">elay </w:t>
      </w:r>
      <w:r w:rsidRPr="005F7096">
        <w:t>R</w:t>
      </w:r>
      <w:r>
        <w:t xml:space="preserve">epay </w:t>
      </w:r>
      <w:r w:rsidRPr="005F7096">
        <w:t>15;</w:t>
      </w:r>
    </w:p>
    <w:p w14:paraId="55062B5D" w14:textId="77777777" w:rsidR="006D6B62" w:rsidRPr="005F7096" w:rsidRDefault="006D6B62" w:rsidP="006D6B62">
      <w:pPr>
        <w:pStyle w:val="Heading4"/>
      </w:pPr>
      <w:r>
        <w:t xml:space="preserve">Improve </w:t>
      </w:r>
      <w:r w:rsidRPr="005F7096">
        <w:t>PPM performance;</w:t>
      </w:r>
    </w:p>
    <w:p w14:paraId="68BA8000" w14:textId="77777777" w:rsidR="006D6B62" w:rsidRPr="005F7096" w:rsidRDefault="006D6B62" w:rsidP="006D6B62">
      <w:pPr>
        <w:pStyle w:val="Heading4"/>
      </w:pPr>
      <w:r>
        <w:lastRenderedPageBreak/>
        <w:t>Ensure o</w:t>
      </w:r>
      <w:r w:rsidRPr="005F7096">
        <w:t>bligations to cooperate with any future West Coast Partnership franchisee, Department, Network Rail, HS2 Ltd, and industry groups as necessary in planning and preparation of services and works for HS2 to minimise disruption to passengers using ICWC Continuation Services</w:t>
      </w:r>
      <w:r>
        <w:t>, and</w:t>
      </w:r>
      <w:r w:rsidRPr="005F7096">
        <w:t>;</w:t>
      </w:r>
    </w:p>
    <w:p w14:paraId="55CD6B72" w14:textId="77777777" w:rsidR="006D6B62" w:rsidRDefault="006D6B62" w:rsidP="006D6B62">
      <w:pPr>
        <w:pStyle w:val="Heading4"/>
      </w:pPr>
      <w:r w:rsidRPr="005F7096">
        <w:t>Maintain and develop existing joint working initiatives</w:t>
      </w:r>
      <w:r>
        <w:t>.</w:t>
      </w:r>
    </w:p>
    <w:p w14:paraId="449FE063" w14:textId="77777777" w:rsidR="006D6B62" w:rsidRPr="002000DC" w:rsidRDefault="006D6B62" w:rsidP="006D6B62">
      <w:pPr>
        <w:pStyle w:val="Heading2"/>
        <w:rPr>
          <w:rFonts w:eastAsia="Times New Roman"/>
          <w:b/>
          <w:szCs w:val="22"/>
        </w:rPr>
      </w:pPr>
      <w:r w:rsidRPr="002000DC">
        <w:rPr>
          <w:rFonts w:eastAsia="Times New Roman"/>
          <w:b/>
          <w:szCs w:val="22"/>
        </w:rPr>
        <w:t>In addition the project will aim to:</w:t>
      </w:r>
    </w:p>
    <w:p w14:paraId="447005FD" w14:textId="77777777" w:rsidR="006D6B62" w:rsidRPr="00160C57" w:rsidRDefault="006D6B62" w:rsidP="006D6B62">
      <w:pPr>
        <w:jc w:val="both"/>
        <w:rPr>
          <w:rFonts w:eastAsia="Times New Roman" w:cs="Arial"/>
          <w:color w:val="000000"/>
          <w:szCs w:val="22"/>
          <w:lang w:eastAsia="en-GB"/>
        </w:rPr>
      </w:pPr>
    </w:p>
    <w:p w14:paraId="18A29474" w14:textId="77777777" w:rsidR="006D6B62" w:rsidRPr="00160C57" w:rsidRDefault="006D6B62" w:rsidP="006D6B62">
      <w:pPr>
        <w:pStyle w:val="Heading3"/>
        <w:rPr>
          <w:lang w:eastAsia="en-GB"/>
        </w:rPr>
      </w:pPr>
      <w:r w:rsidRPr="00160C57">
        <w:rPr>
          <w:lang w:eastAsia="en-GB"/>
        </w:rPr>
        <w:t>Agree an approach and legal basis for entering into a Direct Award Franchise agreement;</w:t>
      </w:r>
    </w:p>
    <w:p w14:paraId="3025DBF1" w14:textId="77777777" w:rsidR="006D6B62" w:rsidRPr="00160C57" w:rsidRDefault="006D6B62" w:rsidP="006D6B62">
      <w:pPr>
        <w:pStyle w:val="Heading3"/>
        <w:rPr>
          <w:lang w:eastAsia="en-GB"/>
        </w:rPr>
      </w:pPr>
      <w:r w:rsidRPr="00160C57">
        <w:rPr>
          <w:lang w:eastAsia="en-GB"/>
        </w:rPr>
        <w:t>Manage dependencies and follow a process consistent with the wider Direct Award and refranchising programmes, and the recommendations from the Brown Review;</w:t>
      </w:r>
    </w:p>
    <w:p w14:paraId="37737010" w14:textId="77777777" w:rsidR="006D6B62" w:rsidRPr="00160C57" w:rsidRDefault="006D6B62" w:rsidP="006D6B62">
      <w:pPr>
        <w:pStyle w:val="Heading3"/>
        <w:rPr>
          <w:lang w:eastAsia="en-GB"/>
        </w:rPr>
      </w:pPr>
      <w:r w:rsidRPr="00160C57">
        <w:rPr>
          <w:lang w:eastAsia="en-GB"/>
        </w:rPr>
        <w:t xml:space="preserve">Provide a clear and deliverable set of service requirements to </w:t>
      </w:r>
      <w:r>
        <w:rPr>
          <w:lang w:eastAsia="en-GB"/>
        </w:rPr>
        <w:t xml:space="preserve">the future service operator </w:t>
      </w:r>
      <w:r w:rsidRPr="00160C57">
        <w:rPr>
          <w:lang w:eastAsia="en-GB"/>
        </w:rPr>
        <w:t>for the DA period aligned to the wider refranchising timetable;</w:t>
      </w:r>
    </w:p>
    <w:p w14:paraId="629EE28A" w14:textId="77777777" w:rsidR="006D6B62" w:rsidRPr="00160C57" w:rsidRDefault="006D6B62" w:rsidP="006D6B62">
      <w:pPr>
        <w:pStyle w:val="Heading3"/>
        <w:rPr>
          <w:lang w:eastAsia="en-GB"/>
        </w:rPr>
      </w:pPr>
      <w:r w:rsidRPr="00160C57">
        <w:rPr>
          <w:lang w:eastAsia="en-GB"/>
        </w:rPr>
        <w:t>Deliver a directly awarded franchise with minimal loss of benefits when compared with competitive procurement;</w:t>
      </w:r>
    </w:p>
    <w:p w14:paraId="0465A1FA" w14:textId="77777777" w:rsidR="006D6B62" w:rsidRPr="00160C57" w:rsidRDefault="006D6B62" w:rsidP="006D6B62">
      <w:pPr>
        <w:pStyle w:val="Heading3"/>
        <w:rPr>
          <w:lang w:eastAsia="en-GB"/>
        </w:rPr>
      </w:pPr>
      <w:r w:rsidRPr="00160C57">
        <w:rPr>
          <w:lang w:eastAsia="en-GB"/>
        </w:rPr>
        <w:t>Work closely and collaboratively with multiple key stakeholders;</w:t>
      </w:r>
    </w:p>
    <w:p w14:paraId="4A039F21" w14:textId="77777777" w:rsidR="006D6B62" w:rsidRPr="00160C57" w:rsidRDefault="006D6B62" w:rsidP="006D6B62">
      <w:pPr>
        <w:pStyle w:val="Heading3"/>
        <w:rPr>
          <w:lang w:eastAsia="en-GB"/>
        </w:rPr>
      </w:pPr>
      <w:r w:rsidRPr="00160C57">
        <w:rPr>
          <w:lang w:eastAsia="en-GB"/>
        </w:rPr>
        <w:t>Ensure that the franchise will be in a good position</w:t>
      </w:r>
      <w:r>
        <w:rPr>
          <w:lang w:eastAsia="en-GB"/>
        </w:rPr>
        <w:t xml:space="preserve"> for commencement of the West Coast Partnership services in April 2019</w:t>
      </w:r>
      <w:r w:rsidRPr="00160C57">
        <w:rPr>
          <w:lang w:eastAsia="en-GB"/>
        </w:rPr>
        <w:t>; and</w:t>
      </w:r>
    </w:p>
    <w:p w14:paraId="07FC8E62" w14:textId="77777777" w:rsidR="006D6B62" w:rsidRDefault="006D6B62" w:rsidP="006D6B62">
      <w:pPr>
        <w:pStyle w:val="Heading3"/>
        <w:rPr>
          <w:lang w:eastAsia="en-GB"/>
        </w:rPr>
      </w:pPr>
      <w:r w:rsidRPr="00160C57">
        <w:rPr>
          <w:lang w:eastAsia="en-GB"/>
        </w:rPr>
        <w:t>Build into the direct award, as far as possible, factors that will assist the smooth transition to any new franchisee when the DA period expires.</w:t>
      </w:r>
    </w:p>
    <w:p w14:paraId="7EEEED76" w14:textId="77777777" w:rsidR="006D6B62" w:rsidRPr="00160C57" w:rsidRDefault="006D6B62" w:rsidP="006D6B62">
      <w:pPr>
        <w:ind w:left="360"/>
        <w:jc w:val="both"/>
        <w:rPr>
          <w:rFonts w:eastAsia="Times New Roman" w:cs="Arial"/>
          <w:color w:val="000000"/>
          <w:szCs w:val="22"/>
          <w:lang w:eastAsia="en-GB"/>
        </w:rPr>
      </w:pPr>
    </w:p>
    <w:p w14:paraId="2F18B9FC" w14:textId="77777777" w:rsidR="006D6B62" w:rsidRDefault="006D6B62" w:rsidP="006D6B62">
      <w:pPr>
        <w:pStyle w:val="Heading1"/>
        <w:tabs>
          <w:tab w:val="clear" w:pos="720"/>
        </w:tabs>
        <w:overflowPunct w:val="0"/>
        <w:autoSpaceDE w:val="0"/>
        <w:autoSpaceDN w:val="0"/>
        <w:spacing w:after="120"/>
        <w:textAlignment w:val="baseline"/>
        <w:rPr>
          <w:szCs w:val="22"/>
        </w:rPr>
      </w:pPr>
      <w:bookmarkStart w:id="121" w:name="_Toc471814090"/>
      <w:r>
        <w:rPr>
          <w:szCs w:val="22"/>
        </w:rPr>
        <w:t>definitions</w:t>
      </w:r>
      <w:bookmarkEnd w:id="121"/>
      <w:r>
        <w:rPr>
          <w:szCs w:val="22"/>
        </w:rPr>
        <w:t xml:space="preserve"> </w:t>
      </w:r>
    </w:p>
    <w:tbl>
      <w:tblPr>
        <w:tblStyle w:val="TableGrid"/>
        <w:tblW w:w="0" w:type="auto"/>
        <w:tblInd w:w="720" w:type="dxa"/>
        <w:tblLook w:val="04A0" w:firstRow="1" w:lastRow="0" w:firstColumn="1" w:lastColumn="0" w:noHBand="0" w:noVBand="1"/>
      </w:tblPr>
      <w:tblGrid>
        <w:gridCol w:w="1841"/>
        <w:gridCol w:w="6458"/>
      </w:tblGrid>
      <w:tr w:rsidR="006D6B62" w14:paraId="5F08B7B9" w14:textId="77777777" w:rsidTr="006D6B62">
        <w:tc>
          <w:tcPr>
            <w:tcW w:w="1841" w:type="dxa"/>
            <w:shd w:val="clear" w:color="auto" w:fill="C6D9F1" w:themeFill="text2" w:themeFillTint="33"/>
          </w:tcPr>
          <w:p w14:paraId="62A3C499" w14:textId="77777777" w:rsidR="006D6B62" w:rsidRPr="00E02370" w:rsidRDefault="006D6B62" w:rsidP="006D6B62">
            <w:pPr>
              <w:pStyle w:val="Heading2"/>
              <w:numPr>
                <w:ilvl w:val="0"/>
                <w:numId w:val="0"/>
              </w:numPr>
              <w:spacing w:after="120"/>
              <w:ind w:left="18" w:hanging="18"/>
              <w:jc w:val="left"/>
              <w:outlineLvl w:val="1"/>
            </w:pPr>
            <w:r w:rsidRPr="00E02370">
              <w:t>Expression or Acronym</w:t>
            </w:r>
          </w:p>
        </w:tc>
        <w:tc>
          <w:tcPr>
            <w:tcW w:w="6458" w:type="dxa"/>
            <w:shd w:val="clear" w:color="auto" w:fill="C6D9F1" w:themeFill="text2" w:themeFillTint="33"/>
          </w:tcPr>
          <w:p w14:paraId="3FBA096F" w14:textId="77777777" w:rsidR="006D6B62" w:rsidRPr="00E02370" w:rsidRDefault="006D6B62" w:rsidP="006D6B62">
            <w:pPr>
              <w:pStyle w:val="Heading2"/>
              <w:numPr>
                <w:ilvl w:val="0"/>
                <w:numId w:val="0"/>
              </w:numPr>
              <w:spacing w:after="120"/>
              <w:ind w:left="720" w:hanging="720"/>
              <w:outlineLvl w:val="1"/>
            </w:pPr>
            <w:r w:rsidRPr="00E02370">
              <w:t>Definition</w:t>
            </w:r>
          </w:p>
        </w:tc>
      </w:tr>
      <w:tr w:rsidR="006D6B62" w14:paraId="165057F3" w14:textId="77777777" w:rsidTr="006D6B62">
        <w:tc>
          <w:tcPr>
            <w:tcW w:w="1841" w:type="dxa"/>
          </w:tcPr>
          <w:p w14:paraId="6C7D0A39" w14:textId="77777777" w:rsidR="006D6B62" w:rsidRPr="0081061A" w:rsidRDefault="006D6B62" w:rsidP="006D6B62">
            <w:pPr>
              <w:pStyle w:val="Heading2"/>
              <w:numPr>
                <w:ilvl w:val="0"/>
                <w:numId w:val="0"/>
              </w:numPr>
              <w:spacing w:after="120"/>
              <w:jc w:val="left"/>
              <w:outlineLvl w:val="1"/>
              <w:rPr>
                <w:highlight w:val="yellow"/>
              </w:rPr>
            </w:pPr>
            <w:r w:rsidRPr="002570BC">
              <w:t>West Coast Continuation Project</w:t>
            </w:r>
          </w:p>
        </w:tc>
        <w:tc>
          <w:tcPr>
            <w:tcW w:w="6458" w:type="dxa"/>
          </w:tcPr>
          <w:p w14:paraId="13FE1AA1" w14:textId="77777777" w:rsidR="006D6B62" w:rsidRPr="0081061A" w:rsidRDefault="006D6B62" w:rsidP="006D6B62">
            <w:pPr>
              <w:pStyle w:val="Heading2"/>
              <w:numPr>
                <w:ilvl w:val="0"/>
                <w:numId w:val="0"/>
              </w:numPr>
              <w:spacing w:after="120"/>
              <w:outlineLvl w:val="1"/>
              <w:rPr>
                <w:highlight w:val="yellow"/>
              </w:rPr>
            </w:pPr>
            <w:r>
              <w:t>M</w:t>
            </w:r>
            <w:r w:rsidRPr="00E02370">
              <w:t>eans the Department for Transport’s project to secure West Coast Main Line rail services between the end of the Virgin West Coast franchise in April 2018 and the start of the West Coast Partnership franchise in April 2019, initially through seeking agreement of a Directly Awarded Franchise Agreement</w:t>
            </w:r>
            <w:r>
              <w:t>.</w:t>
            </w:r>
          </w:p>
        </w:tc>
      </w:tr>
    </w:tbl>
    <w:p w14:paraId="234AC75E" w14:textId="77777777" w:rsidR="006D6B62" w:rsidRDefault="006D6B62" w:rsidP="006D6B62">
      <w:pPr>
        <w:pStyle w:val="Heading1"/>
        <w:tabs>
          <w:tab w:val="clear" w:pos="720"/>
        </w:tabs>
        <w:overflowPunct w:val="0"/>
        <w:autoSpaceDE w:val="0"/>
        <w:autoSpaceDN w:val="0"/>
        <w:spacing w:before="240" w:after="120"/>
        <w:textAlignment w:val="baseline"/>
        <w:rPr>
          <w:szCs w:val="22"/>
        </w:rPr>
      </w:pPr>
      <w:bookmarkStart w:id="122" w:name="_Toc471814091"/>
      <w:r w:rsidRPr="00B9425F">
        <w:rPr>
          <w:szCs w:val="22"/>
        </w:rPr>
        <w:t>scope of requirement</w:t>
      </w:r>
      <w:bookmarkEnd w:id="119"/>
      <w:bookmarkEnd w:id="120"/>
      <w:bookmarkEnd w:id="122"/>
      <w:r w:rsidRPr="00B9425F">
        <w:rPr>
          <w:szCs w:val="22"/>
        </w:rPr>
        <w:t xml:space="preserve"> </w:t>
      </w:r>
    </w:p>
    <w:p w14:paraId="06CF1C92" w14:textId="77777777" w:rsidR="006D6B62" w:rsidRPr="0056660B" w:rsidRDefault="006D6B62" w:rsidP="006D6B62">
      <w:pPr>
        <w:pStyle w:val="Heading2"/>
      </w:pPr>
      <w:bookmarkStart w:id="123" w:name="_Toc368573031"/>
      <w:bookmarkEnd w:id="115"/>
      <w:r w:rsidRPr="009A2A37">
        <w:rPr>
          <w:rFonts w:cs="Arial"/>
        </w:rPr>
        <w:t>The overall aim is to support and assure the Department in delivering</w:t>
      </w:r>
      <w:r>
        <w:rPr>
          <w:rFonts w:cs="Arial"/>
        </w:rPr>
        <w:t xml:space="preserve"> an</w:t>
      </w:r>
      <w:r w:rsidRPr="009A2A37">
        <w:rPr>
          <w:rFonts w:cs="Arial"/>
        </w:rPr>
        <w:t xml:space="preserve"> effec</w:t>
      </w:r>
      <w:r>
        <w:rPr>
          <w:rFonts w:cs="Arial"/>
        </w:rPr>
        <w:t>tive, value for money franchise</w:t>
      </w:r>
      <w:r w:rsidRPr="009A2A37">
        <w:rPr>
          <w:rFonts w:cs="Arial"/>
        </w:rPr>
        <w:t xml:space="preserve"> in an efficient and robust manner</w:t>
      </w:r>
      <w:r>
        <w:rPr>
          <w:rFonts w:cs="Arial"/>
        </w:rPr>
        <w:t>.</w:t>
      </w:r>
    </w:p>
    <w:p w14:paraId="5287C216" w14:textId="77777777" w:rsidR="006D6B62" w:rsidRDefault="006D6B62" w:rsidP="006D6B62">
      <w:pPr>
        <w:pStyle w:val="Heading2"/>
      </w:pPr>
      <w:r w:rsidRPr="009A2A37">
        <w:rPr>
          <w:rFonts w:cs="Arial"/>
        </w:rPr>
        <w:lastRenderedPageBreak/>
        <w:t xml:space="preserve">In line with recommendations from the Brown Review, the </w:t>
      </w:r>
      <w:r>
        <w:rPr>
          <w:rFonts w:cs="Arial"/>
        </w:rPr>
        <w:t>Potential Provider</w:t>
      </w:r>
      <w:r w:rsidRPr="009A2A37">
        <w:rPr>
          <w:rFonts w:cs="Arial"/>
        </w:rPr>
        <w:t xml:space="preserve"> will be required to suggest ways in which the Department can grow, and develop, its capability</w:t>
      </w:r>
      <w:r>
        <w:rPr>
          <w:rFonts w:cs="Arial"/>
        </w:rPr>
        <w:t>.</w:t>
      </w:r>
    </w:p>
    <w:p w14:paraId="3D2DB6E9" w14:textId="77777777" w:rsidR="006D6B62" w:rsidRDefault="006D6B62" w:rsidP="006D6B62">
      <w:pPr>
        <w:pStyle w:val="Heading1"/>
        <w:spacing w:after="120"/>
      </w:pPr>
      <w:bookmarkStart w:id="124" w:name="_Toc471814092"/>
      <w:r w:rsidRPr="00BE6EE0">
        <w:t>The requirement</w:t>
      </w:r>
      <w:bookmarkEnd w:id="123"/>
      <w:bookmarkEnd w:id="124"/>
    </w:p>
    <w:p w14:paraId="1DCED839" w14:textId="77777777" w:rsidR="006D6B62" w:rsidRPr="0056660B" w:rsidRDefault="006D6B62" w:rsidP="006D6B62">
      <w:pPr>
        <w:pStyle w:val="Heading2"/>
      </w:pPr>
      <w:bookmarkStart w:id="125" w:name="_Toc368573032"/>
      <w:r w:rsidRPr="009A2A37">
        <w:rPr>
          <w:rFonts w:cs="Arial"/>
        </w:rPr>
        <w:t xml:space="preserve">The </w:t>
      </w:r>
      <w:r>
        <w:rPr>
          <w:rFonts w:cs="Arial"/>
        </w:rPr>
        <w:t>Potential Provider</w:t>
      </w:r>
      <w:r w:rsidRPr="009A2A37">
        <w:rPr>
          <w:rFonts w:cs="Arial"/>
        </w:rPr>
        <w:t xml:space="preserve"> role is likely to include some, or all, of the activities outlined in </w:t>
      </w:r>
      <w:r>
        <w:rPr>
          <w:rFonts w:cs="Arial"/>
        </w:rPr>
        <w:t>Annex 2</w:t>
      </w:r>
      <w:r w:rsidRPr="009A2A37">
        <w:rPr>
          <w:rFonts w:cs="Arial"/>
        </w:rPr>
        <w:t xml:space="preserve"> to this </w:t>
      </w:r>
      <w:r>
        <w:rPr>
          <w:rFonts w:cs="Arial"/>
        </w:rPr>
        <w:t xml:space="preserve">Appendix B </w:t>
      </w:r>
      <w:r w:rsidRPr="009A2A37">
        <w:rPr>
          <w:rFonts w:cs="Arial"/>
        </w:rPr>
        <w:t>and any other similar undertakings and/or related tasks</w:t>
      </w:r>
      <w:r>
        <w:rPr>
          <w:rFonts w:cs="Arial"/>
        </w:rPr>
        <w:t>.</w:t>
      </w:r>
      <w:r w:rsidRPr="009A2A37">
        <w:rPr>
          <w:rFonts w:cs="Arial"/>
        </w:rPr>
        <w:t xml:space="preserve"> </w:t>
      </w:r>
    </w:p>
    <w:p w14:paraId="2349B270" w14:textId="77777777" w:rsidR="006D6B62" w:rsidRDefault="006D6B62" w:rsidP="006D6B62">
      <w:pPr>
        <w:pStyle w:val="Heading1"/>
        <w:spacing w:after="120"/>
      </w:pPr>
      <w:bookmarkStart w:id="126" w:name="_Toc471814093"/>
      <w:r>
        <w:t>key milestones</w:t>
      </w:r>
      <w:bookmarkEnd w:id="125"/>
      <w:bookmarkEnd w:id="126"/>
    </w:p>
    <w:p w14:paraId="5D4F4136" w14:textId="77777777" w:rsidR="006D6B62" w:rsidRDefault="006D6B62" w:rsidP="006D6B62">
      <w:pPr>
        <w:pStyle w:val="Heading2"/>
        <w:spacing w:after="120"/>
        <w:ind w:left="709" w:hanging="709"/>
      </w:pPr>
      <w:r w:rsidRPr="00765E8C">
        <w:t>The Department will work with the adviser to put in place a signed Franchise Agreement by December 2017.</w:t>
      </w:r>
      <w:bookmarkStart w:id="127" w:name="_Toc302637211"/>
    </w:p>
    <w:p w14:paraId="44859C3E" w14:textId="77777777" w:rsidR="006D6B62" w:rsidRDefault="006D6B62" w:rsidP="006D6B62">
      <w:pPr>
        <w:pStyle w:val="Heading1"/>
        <w:tabs>
          <w:tab w:val="clear" w:pos="720"/>
          <w:tab w:val="num" w:pos="0"/>
        </w:tabs>
        <w:overflowPunct w:val="0"/>
        <w:autoSpaceDE w:val="0"/>
        <w:autoSpaceDN w:val="0"/>
        <w:spacing w:after="120"/>
        <w:ind w:left="709" w:hanging="709"/>
        <w:textAlignment w:val="baseline"/>
        <w:rPr>
          <w:rFonts w:cs="Arial"/>
          <w:szCs w:val="22"/>
        </w:rPr>
      </w:pPr>
      <w:bookmarkStart w:id="128" w:name="_Toc471814094"/>
      <w:bookmarkStart w:id="129" w:name="_Toc368573033"/>
      <w:r>
        <w:rPr>
          <w:rFonts w:cs="Arial"/>
          <w:szCs w:val="22"/>
        </w:rPr>
        <w:t>authority’s responsibilities</w:t>
      </w:r>
      <w:bookmarkEnd w:id="128"/>
    </w:p>
    <w:p w14:paraId="54C7D861" w14:textId="77777777" w:rsidR="006D6B62" w:rsidRPr="00765E8C" w:rsidRDefault="006D6B62" w:rsidP="006D6B62">
      <w:pPr>
        <w:pStyle w:val="Heading2"/>
      </w:pPr>
      <w:r w:rsidRPr="00765E8C">
        <w:t>Please see Annex 1 – High Level Principles for Internal / External Lawyer Interface</w:t>
      </w:r>
    </w:p>
    <w:p w14:paraId="11C4E39F" w14:textId="77777777" w:rsidR="006D6B62" w:rsidRDefault="006D6B62" w:rsidP="006D6B62">
      <w:pPr>
        <w:pStyle w:val="Heading1"/>
        <w:tabs>
          <w:tab w:val="clear" w:pos="720"/>
          <w:tab w:val="num" w:pos="0"/>
        </w:tabs>
        <w:overflowPunct w:val="0"/>
        <w:autoSpaceDE w:val="0"/>
        <w:autoSpaceDN w:val="0"/>
        <w:spacing w:after="120"/>
        <w:ind w:left="709" w:hanging="709"/>
        <w:textAlignment w:val="baseline"/>
        <w:rPr>
          <w:rFonts w:cs="Arial"/>
          <w:szCs w:val="22"/>
        </w:rPr>
      </w:pPr>
      <w:bookmarkStart w:id="130" w:name="_Toc471814095"/>
      <w:r w:rsidRPr="00BE6EE0">
        <w:rPr>
          <w:rFonts w:cs="Arial"/>
          <w:szCs w:val="22"/>
        </w:rPr>
        <w:t>reporting</w:t>
      </w:r>
      <w:bookmarkEnd w:id="129"/>
      <w:bookmarkEnd w:id="130"/>
    </w:p>
    <w:p w14:paraId="495D1132" w14:textId="77777777" w:rsidR="006D6B62" w:rsidRPr="00EE333D" w:rsidRDefault="006D6B62" w:rsidP="006D6B62">
      <w:pPr>
        <w:pStyle w:val="Heading2"/>
        <w:tabs>
          <w:tab w:val="clear" w:pos="720"/>
          <w:tab w:val="num" w:pos="709"/>
        </w:tabs>
        <w:spacing w:after="120"/>
        <w:ind w:left="709" w:hanging="709"/>
      </w:pPr>
      <w:r w:rsidRPr="00EE333D">
        <w:t xml:space="preserve">The Department will work with the adviser to put in place a weekly and monthly emailed reporting regime in order to track progress, resource needs, and budget. </w:t>
      </w:r>
    </w:p>
    <w:p w14:paraId="12697B1E" w14:textId="77777777" w:rsidR="006D6B62" w:rsidRPr="00BE6EE0" w:rsidRDefault="006D6B62" w:rsidP="006D6B62">
      <w:pPr>
        <w:pStyle w:val="Heading1"/>
        <w:tabs>
          <w:tab w:val="clear" w:pos="720"/>
          <w:tab w:val="num" w:pos="0"/>
        </w:tabs>
        <w:overflowPunct w:val="0"/>
        <w:autoSpaceDE w:val="0"/>
        <w:autoSpaceDN w:val="0"/>
        <w:spacing w:after="120"/>
        <w:ind w:left="709" w:hanging="709"/>
        <w:textAlignment w:val="baseline"/>
        <w:rPr>
          <w:rFonts w:cs="Arial"/>
          <w:szCs w:val="22"/>
        </w:rPr>
      </w:pPr>
      <w:bookmarkStart w:id="131" w:name="_Toc368573034"/>
      <w:bookmarkStart w:id="132" w:name="_Toc471814096"/>
      <w:r w:rsidRPr="00BE6EE0">
        <w:rPr>
          <w:rFonts w:cs="Arial"/>
          <w:szCs w:val="22"/>
        </w:rPr>
        <w:t>volumes</w:t>
      </w:r>
      <w:bookmarkEnd w:id="131"/>
      <w:bookmarkEnd w:id="132"/>
    </w:p>
    <w:p w14:paraId="73A4DA1A" w14:textId="77777777" w:rsidR="006D6B62" w:rsidRPr="00B247E6" w:rsidRDefault="006D6B62" w:rsidP="006D6B62">
      <w:pPr>
        <w:pStyle w:val="Heading2"/>
        <w:tabs>
          <w:tab w:val="clear" w:pos="720"/>
          <w:tab w:val="num" w:pos="709"/>
        </w:tabs>
        <w:spacing w:after="120"/>
        <w:ind w:left="709" w:hanging="709"/>
      </w:pPr>
      <w:r w:rsidRPr="00B247E6">
        <w:t>The adviser is expected to work with the Department to produce a Franchise Agreement, and associated contract documents, comparable in volume to Franchise Agreements produced for previous competitions and direct awards.</w:t>
      </w:r>
    </w:p>
    <w:p w14:paraId="16501E18" w14:textId="77777777" w:rsidR="006D6B62" w:rsidRPr="00BE6EE0" w:rsidRDefault="006D6B62" w:rsidP="006D6B62">
      <w:pPr>
        <w:pStyle w:val="Heading1"/>
        <w:tabs>
          <w:tab w:val="clear" w:pos="720"/>
          <w:tab w:val="num" w:pos="0"/>
        </w:tabs>
        <w:overflowPunct w:val="0"/>
        <w:autoSpaceDE w:val="0"/>
        <w:autoSpaceDN w:val="0"/>
        <w:spacing w:after="120"/>
        <w:ind w:left="709" w:hanging="709"/>
        <w:textAlignment w:val="baseline"/>
        <w:rPr>
          <w:rFonts w:cs="Arial"/>
          <w:szCs w:val="22"/>
        </w:rPr>
      </w:pPr>
      <w:bookmarkStart w:id="133" w:name="_Toc368573035"/>
      <w:bookmarkStart w:id="134" w:name="_Toc471814097"/>
      <w:r w:rsidRPr="00BE6EE0">
        <w:rPr>
          <w:rFonts w:cs="Arial"/>
          <w:szCs w:val="22"/>
        </w:rPr>
        <w:t>continuous improvement</w:t>
      </w:r>
      <w:bookmarkEnd w:id="133"/>
      <w:bookmarkEnd w:id="134"/>
    </w:p>
    <w:p w14:paraId="1A9F41EF" w14:textId="77777777" w:rsidR="006D6B62" w:rsidRDefault="006D6B62" w:rsidP="006D6B62">
      <w:pPr>
        <w:pStyle w:val="Heading2"/>
        <w:tabs>
          <w:tab w:val="clear" w:pos="720"/>
          <w:tab w:val="num" w:pos="709"/>
        </w:tabs>
        <w:spacing w:after="120"/>
        <w:ind w:left="709" w:hanging="709"/>
      </w:pPr>
      <w:r w:rsidRPr="008104E0">
        <w:t xml:space="preserve">The </w:t>
      </w:r>
      <w:r>
        <w:t>Supplier</w:t>
      </w:r>
      <w:r w:rsidRPr="008104E0">
        <w:t xml:space="preserve"> will be expected to continually improve the way in which the required Services are to be delivered throughout the </w:t>
      </w:r>
      <w:r>
        <w:t xml:space="preserve">Contract </w:t>
      </w:r>
      <w:r w:rsidRPr="008104E0">
        <w:t>duration.</w:t>
      </w:r>
    </w:p>
    <w:p w14:paraId="6AB11EAD" w14:textId="77777777" w:rsidR="006D6B62" w:rsidRDefault="006D6B62" w:rsidP="006D6B62">
      <w:pPr>
        <w:pStyle w:val="Heading2"/>
        <w:tabs>
          <w:tab w:val="clear" w:pos="720"/>
          <w:tab w:val="num" w:pos="709"/>
        </w:tabs>
        <w:spacing w:after="120"/>
        <w:ind w:left="709" w:hanging="709"/>
      </w:pPr>
      <w:r w:rsidRPr="008104E0">
        <w:t xml:space="preserve">The </w:t>
      </w:r>
      <w:r>
        <w:t>Supplier</w:t>
      </w:r>
      <w:r w:rsidRPr="008104E0">
        <w:t xml:space="preserve"> should present new ways of working to the</w:t>
      </w:r>
      <w:r>
        <w:t xml:space="preserve"> </w:t>
      </w:r>
      <w:r w:rsidRPr="008104E0">
        <w:t xml:space="preserve">Authority during </w:t>
      </w:r>
      <w:r>
        <w:t>monthly</w:t>
      </w:r>
      <w:r w:rsidRPr="008104E0">
        <w:t xml:space="preserve"> Contract review meetings.</w:t>
      </w:r>
      <w:r>
        <w:t xml:space="preserve"> </w:t>
      </w:r>
    </w:p>
    <w:p w14:paraId="27F2BD2C" w14:textId="77777777" w:rsidR="006D6B62" w:rsidRDefault="006D6B62" w:rsidP="006D6B62">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26501129" w14:textId="77777777" w:rsidR="006D6B62" w:rsidRPr="00517FEF" w:rsidRDefault="006D6B62" w:rsidP="006D6B62">
      <w:pPr>
        <w:pStyle w:val="Heading1"/>
        <w:tabs>
          <w:tab w:val="clear" w:pos="720"/>
          <w:tab w:val="num" w:pos="0"/>
        </w:tabs>
        <w:overflowPunct w:val="0"/>
        <w:autoSpaceDE w:val="0"/>
        <w:autoSpaceDN w:val="0"/>
        <w:spacing w:after="120"/>
        <w:ind w:left="709" w:hanging="709"/>
        <w:textAlignment w:val="baseline"/>
        <w:rPr>
          <w:rFonts w:cs="Arial"/>
          <w:szCs w:val="22"/>
        </w:rPr>
      </w:pPr>
      <w:bookmarkStart w:id="135" w:name="_Toc368573036"/>
      <w:bookmarkStart w:id="136" w:name="_Toc471814098"/>
      <w:r w:rsidRPr="00517FEF">
        <w:rPr>
          <w:rFonts w:cs="Arial"/>
          <w:szCs w:val="22"/>
        </w:rPr>
        <w:t>quality</w:t>
      </w:r>
      <w:bookmarkEnd w:id="135"/>
      <w:bookmarkEnd w:id="136"/>
    </w:p>
    <w:p w14:paraId="68AF1301" w14:textId="77777777" w:rsidR="006D6B62" w:rsidRPr="00B247E6" w:rsidRDefault="006D6B62" w:rsidP="006D6B62">
      <w:pPr>
        <w:pStyle w:val="Heading2"/>
      </w:pPr>
      <w:r w:rsidRPr="00B247E6">
        <w:t>Please see Annex 2 – Scope of Service for Quality requirements.</w:t>
      </w:r>
    </w:p>
    <w:p w14:paraId="1F7907A6" w14:textId="77777777" w:rsidR="006D6B62" w:rsidRPr="00BE6EE0" w:rsidRDefault="006D6B62" w:rsidP="006D6B62">
      <w:pPr>
        <w:pStyle w:val="Heading1"/>
        <w:tabs>
          <w:tab w:val="clear" w:pos="720"/>
          <w:tab w:val="num" w:pos="0"/>
        </w:tabs>
        <w:overflowPunct w:val="0"/>
        <w:autoSpaceDE w:val="0"/>
        <w:autoSpaceDN w:val="0"/>
        <w:spacing w:after="120"/>
        <w:ind w:left="709" w:hanging="709"/>
        <w:textAlignment w:val="baseline"/>
        <w:rPr>
          <w:rFonts w:cs="Arial"/>
          <w:szCs w:val="22"/>
        </w:rPr>
      </w:pPr>
      <w:bookmarkStart w:id="137" w:name="_Toc368573037"/>
      <w:bookmarkStart w:id="138" w:name="_Toc471814099"/>
      <w:r w:rsidRPr="00BE6EE0">
        <w:rPr>
          <w:rFonts w:cs="Arial"/>
          <w:szCs w:val="22"/>
        </w:rPr>
        <w:t>PRICE</w:t>
      </w:r>
      <w:bookmarkEnd w:id="137"/>
      <w:bookmarkEnd w:id="138"/>
    </w:p>
    <w:p w14:paraId="01272F92" w14:textId="77777777" w:rsidR="006D6B62" w:rsidRPr="004E2617" w:rsidRDefault="006D6B62" w:rsidP="006D6B62">
      <w:pPr>
        <w:pStyle w:val="Heading2"/>
      </w:pPr>
      <w:bookmarkStart w:id="139" w:name="_Toc368573038"/>
      <w:r w:rsidRPr="00EF5DEE">
        <w:t>The Department is looking to secure excellent value for money from the Supplier and Potential Tenderers are encouraged to offer a discount on their rates. Discounts from Framework Agreement rates should be clearly set out in your submission. The Supplier will be required to provide a solution that offers cost reduction, efficiency and improvement opportunities throughout the contract term. This will include making full use of available resources of the Department or outsourcing non-legal resources (e.g. printing) where it is appropriate and cost effective to do so.</w:t>
      </w:r>
    </w:p>
    <w:p w14:paraId="5758935C" w14:textId="77777777" w:rsidR="006D6B62" w:rsidRDefault="006D6B62" w:rsidP="006D6B62">
      <w:pPr>
        <w:pStyle w:val="Heading2"/>
      </w:pPr>
      <w:r w:rsidRPr="00EF5DEE">
        <w:t>The Department requires Potential Tenderers to submit hourly fee rates for each of the individuals to be used in relation to this contract. Rates provided within the rate schedule (a pro forma of</w:t>
      </w:r>
      <w:r>
        <w:t xml:space="preserve"> which is contained at Appendix E</w:t>
      </w:r>
      <w:r w:rsidRPr="00EF5DEE">
        <w:t xml:space="preserve">) should be exclusive of </w:t>
      </w:r>
      <w:r w:rsidRPr="00EF5DEE">
        <w:lastRenderedPageBreak/>
        <w:t>VAT.  Tendered rates shall be valid for two years, after which they may be linked to the Office of National Statistics Gross Weekly Earnings by Sector Index – EARN03, average</w:t>
      </w:r>
      <w:r w:rsidRPr="009A2A37">
        <w:t xml:space="preserve"> of non-seasonally adjusted ‘Financial and Service Activities (K)’ and ‘Professional Scientific and Technical Activities (M)’, rather than RPI or </w:t>
      </w:r>
      <w:r w:rsidRPr="00EE333D">
        <w:t xml:space="preserve">CPI. However, the Department would like, subsequent to the award of the contract, to have an option to request fixed fees for those discrete elements of the contract which are able to be separated out as individual Work Packages. </w:t>
      </w:r>
    </w:p>
    <w:p w14:paraId="7C1A0769" w14:textId="77777777" w:rsidR="006D6B62" w:rsidRPr="0076112B" w:rsidRDefault="006D6B62" w:rsidP="006D6B62">
      <w:pPr>
        <w:pStyle w:val="Heading2"/>
        <w:spacing w:after="120"/>
      </w:pPr>
      <w:r w:rsidRPr="0076112B">
        <w:rPr>
          <w:rFonts w:cs="Arial"/>
        </w:rPr>
        <w:t>We expect Potential Tenderers to bring to our attention any proposals identified that would improve the efficiency of the Department's processes with a view to saving project time, as well as contract and advisory costs</w:t>
      </w:r>
      <w:r>
        <w:rPr>
          <w:rFonts w:cs="Arial"/>
        </w:rPr>
        <w:t>.</w:t>
      </w:r>
    </w:p>
    <w:p w14:paraId="0D9B4E65" w14:textId="77777777" w:rsidR="006D6B62" w:rsidRPr="004E2617" w:rsidRDefault="006D6B62" w:rsidP="006D6B62">
      <w:pPr>
        <w:pStyle w:val="Heading2"/>
      </w:pPr>
      <w:r w:rsidRPr="0076112B">
        <w:t>Payment will not be made in respect of:</w:t>
      </w:r>
    </w:p>
    <w:p w14:paraId="1A1B26ED" w14:textId="77777777" w:rsidR="006D6B62" w:rsidRPr="0076112B" w:rsidRDefault="006D6B62" w:rsidP="006D6B62">
      <w:pPr>
        <w:pStyle w:val="Heading3"/>
      </w:pPr>
      <w:r w:rsidRPr="0076112B">
        <w:t>normal office overheads (e.g. hard copy reports, photocopying and postage, etc.);</w:t>
      </w:r>
    </w:p>
    <w:p w14:paraId="1EB10859" w14:textId="77777777" w:rsidR="006D6B62" w:rsidRPr="0076112B" w:rsidRDefault="006D6B62" w:rsidP="006D6B62">
      <w:pPr>
        <w:pStyle w:val="Heading3"/>
      </w:pPr>
      <w:r w:rsidRPr="0076112B">
        <w:t>internal supervision or checking the work of junior team members where duplication provides no demonstrable added value;</w:t>
      </w:r>
    </w:p>
    <w:p w14:paraId="089A054B" w14:textId="77777777" w:rsidR="006D6B62" w:rsidRPr="0076112B" w:rsidRDefault="006D6B62" w:rsidP="006D6B62">
      <w:pPr>
        <w:pStyle w:val="Heading3"/>
      </w:pPr>
      <w:r w:rsidRPr="0076112B">
        <w:t>two or more advisers at any one meeting without prior written agreement from the client;</w:t>
      </w:r>
      <w:r>
        <w:t xml:space="preserve"> and</w:t>
      </w:r>
    </w:p>
    <w:p w14:paraId="17C9C240" w14:textId="77777777" w:rsidR="006D6B62" w:rsidRPr="0076112B" w:rsidRDefault="006D6B62" w:rsidP="006D6B62">
      <w:pPr>
        <w:pStyle w:val="Heading3"/>
      </w:pPr>
      <w:r w:rsidRPr="0076112B">
        <w:t>travel and subsistence within the M25 area</w:t>
      </w:r>
      <w:r>
        <w:t>.</w:t>
      </w:r>
    </w:p>
    <w:p w14:paraId="322DC6FA" w14:textId="77777777" w:rsidR="006D6B62" w:rsidRDefault="006D6B62" w:rsidP="006D6B62">
      <w:pPr>
        <w:pStyle w:val="Heading2"/>
      </w:pPr>
      <w:r w:rsidRPr="0076112B">
        <w:rPr>
          <w:rFonts w:cs="Arial"/>
        </w:rPr>
        <w:t xml:space="preserve">For meetings outside the M25, reasonable travel and subsistence costs shall be considered for such meeting, subject to the conditions set out in </w:t>
      </w:r>
      <w:r>
        <w:rPr>
          <w:rFonts w:cs="Arial"/>
        </w:rPr>
        <w:t>Annex 3 to this Appendix B</w:t>
      </w:r>
      <w:r w:rsidRPr="0076112B">
        <w:rPr>
          <w:rFonts w:cs="Arial"/>
        </w:rPr>
        <w:t xml:space="preserve">.  Requests for travel or subsistence must be agreed in advance with the Senior </w:t>
      </w:r>
      <w:r w:rsidRPr="00EF5DEE">
        <w:rPr>
          <w:rFonts w:cs="Arial"/>
        </w:rPr>
        <w:t>Reporting Officer (SRO) before any expenditure is incurred.</w:t>
      </w:r>
    </w:p>
    <w:p w14:paraId="2137215D" w14:textId="77777777" w:rsidR="006D6B62" w:rsidRPr="00E02370" w:rsidRDefault="006D6B62" w:rsidP="006D6B62">
      <w:pPr>
        <w:pStyle w:val="Heading1"/>
        <w:tabs>
          <w:tab w:val="clear" w:pos="720"/>
          <w:tab w:val="num" w:pos="0"/>
        </w:tabs>
        <w:overflowPunct w:val="0"/>
        <w:autoSpaceDE w:val="0"/>
        <w:autoSpaceDN w:val="0"/>
        <w:spacing w:after="120"/>
        <w:ind w:left="709" w:hanging="709"/>
        <w:textAlignment w:val="baseline"/>
        <w:rPr>
          <w:rFonts w:cs="Arial"/>
          <w:szCs w:val="22"/>
        </w:rPr>
      </w:pPr>
      <w:bookmarkStart w:id="140" w:name="_Toc471814100"/>
      <w:r w:rsidRPr="00BE6EE0">
        <w:rPr>
          <w:rFonts w:cs="Arial"/>
          <w:szCs w:val="22"/>
        </w:rPr>
        <w:t>STAFF AND CUSTOMER SERVICE</w:t>
      </w:r>
      <w:bookmarkEnd w:id="139"/>
      <w:bookmarkEnd w:id="140"/>
    </w:p>
    <w:p w14:paraId="5B07BDA2" w14:textId="77777777" w:rsidR="006D6B62" w:rsidRDefault="006D6B62" w:rsidP="006D6B62">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West Coast Continuation Contract in order to consistently deliver a good quality service to all Parties.</w:t>
      </w:r>
    </w:p>
    <w:p w14:paraId="5302C951" w14:textId="77777777" w:rsidR="006D6B62" w:rsidRDefault="006D6B62" w:rsidP="006D6B62">
      <w:pPr>
        <w:pStyle w:val="Heading2"/>
        <w:tabs>
          <w:tab w:val="clear" w:pos="720"/>
          <w:tab w:val="num" w:pos="709"/>
        </w:tabs>
        <w:spacing w:after="120"/>
        <w:ind w:left="709" w:hanging="709"/>
      </w:pPr>
      <w:r>
        <w:t>Potential Provider’s staff assigned to the West Coast Continuation Project Contract</w:t>
      </w:r>
      <w:r w:rsidRPr="002E7082">
        <w:t xml:space="preserve"> </w:t>
      </w:r>
      <w:r>
        <w:t xml:space="preserve">shall have the </w:t>
      </w:r>
      <w:r w:rsidRPr="002E7082">
        <w:t>relevant qualifications and experience to deliver</w:t>
      </w:r>
      <w:r>
        <w:t xml:space="preserve"> the</w:t>
      </w:r>
      <w:r w:rsidRPr="002E7082">
        <w:t xml:space="preserve"> Contract. </w:t>
      </w:r>
    </w:p>
    <w:p w14:paraId="2CF1FD9F" w14:textId="77777777" w:rsidR="006D6B62" w:rsidRDefault="006D6B62" w:rsidP="006D6B62">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sion and objectives and will provide</w:t>
      </w:r>
      <w:r w:rsidRPr="002E7082">
        <w:t xml:space="preserve"> excellent customer service to the Authority throughout </w:t>
      </w:r>
      <w:r>
        <w:t>the duration of the Contract.</w:t>
      </w:r>
      <w:r w:rsidRPr="002E7082">
        <w:t xml:space="preserve"> </w:t>
      </w:r>
      <w:r>
        <w:t xml:space="preserve"> </w:t>
      </w:r>
    </w:p>
    <w:p w14:paraId="5A9B8464" w14:textId="77777777" w:rsidR="006D6B62" w:rsidRDefault="006D6B62" w:rsidP="006D6B62">
      <w:pPr>
        <w:pStyle w:val="Heading1"/>
        <w:spacing w:after="120"/>
      </w:pPr>
      <w:bookmarkStart w:id="141" w:name="_Toc368573040"/>
      <w:bookmarkStart w:id="142" w:name="_Toc471814101"/>
      <w:r>
        <w:t>Security requirements</w:t>
      </w:r>
      <w:bookmarkEnd w:id="141"/>
      <w:bookmarkEnd w:id="142"/>
    </w:p>
    <w:p w14:paraId="1B32E30C" w14:textId="77777777" w:rsidR="006D6B62" w:rsidRPr="00605FE9" w:rsidRDefault="006D6B62" w:rsidP="006D6B62">
      <w:pPr>
        <w:pStyle w:val="Heading2"/>
        <w:tabs>
          <w:tab w:val="clear" w:pos="720"/>
          <w:tab w:val="num" w:pos="709"/>
        </w:tabs>
        <w:spacing w:after="120"/>
        <w:ind w:left="709" w:hanging="709"/>
      </w:pPr>
      <w:r w:rsidRPr="00605FE9">
        <w:t>Not applicable.</w:t>
      </w:r>
    </w:p>
    <w:p w14:paraId="0A3CFA5C" w14:textId="77777777" w:rsidR="006D6B62" w:rsidRPr="00605FE9" w:rsidRDefault="006D6B62" w:rsidP="006D6B62">
      <w:pPr>
        <w:pStyle w:val="Heading1"/>
        <w:tabs>
          <w:tab w:val="clear" w:pos="720"/>
          <w:tab w:val="num" w:pos="0"/>
        </w:tabs>
        <w:overflowPunct w:val="0"/>
        <w:autoSpaceDE w:val="0"/>
        <w:autoSpaceDN w:val="0"/>
        <w:spacing w:after="120"/>
        <w:ind w:left="709" w:hanging="709"/>
        <w:textAlignment w:val="baseline"/>
        <w:rPr>
          <w:rFonts w:cs="Arial"/>
          <w:szCs w:val="22"/>
        </w:rPr>
      </w:pPr>
      <w:bookmarkStart w:id="143" w:name="_Toc368573041"/>
      <w:bookmarkStart w:id="144" w:name="_Toc471814102"/>
      <w:r w:rsidRPr="00605FE9">
        <w:rPr>
          <w:rFonts w:cs="Arial"/>
          <w:szCs w:val="22"/>
        </w:rPr>
        <w:t>intellectual property rights (ipr)</w:t>
      </w:r>
      <w:bookmarkEnd w:id="143"/>
      <w:bookmarkEnd w:id="144"/>
    </w:p>
    <w:p w14:paraId="605D5B56" w14:textId="77777777" w:rsidR="006D6B62" w:rsidRPr="00605FE9" w:rsidRDefault="006D6B62" w:rsidP="006D6B62">
      <w:pPr>
        <w:pStyle w:val="Heading2"/>
        <w:rPr>
          <w:rFonts w:cs="Arial"/>
          <w:szCs w:val="22"/>
        </w:rPr>
      </w:pPr>
      <w:r w:rsidRPr="00605FE9">
        <w:t>Not applicable.</w:t>
      </w:r>
    </w:p>
    <w:p w14:paraId="7885C9C1" w14:textId="77777777" w:rsidR="006D6B62" w:rsidRPr="00874062" w:rsidRDefault="006D6B62" w:rsidP="006D6B62">
      <w:pPr>
        <w:pStyle w:val="Heading1"/>
        <w:tabs>
          <w:tab w:val="clear" w:pos="720"/>
          <w:tab w:val="num" w:pos="0"/>
        </w:tabs>
        <w:overflowPunct w:val="0"/>
        <w:autoSpaceDE w:val="0"/>
        <w:autoSpaceDN w:val="0"/>
        <w:spacing w:after="120"/>
        <w:ind w:left="709" w:hanging="709"/>
        <w:textAlignment w:val="baseline"/>
        <w:rPr>
          <w:rFonts w:cs="Arial"/>
          <w:szCs w:val="22"/>
        </w:rPr>
      </w:pPr>
      <w:bookmarkStart w:id="145" w:name="_Toc471814103"/>
      <w:bookmarkStart w:id="146" w:name="_Toc368573042"/>
      <w:r w:rsidRPr="00874062">
        <w:rPr>
          <w:rFonts w:cs="Arial"/>
          <w:szCs w:val="22"/>
        </w:rPr>
        <w:t>payment</w:t>
      </w:r>
      <w:bookmarkEnd w:id="145"/>
    </w:p>
    <w:p w14:paraId="3F99F74F" w14:textId="77777777" w:rsidR="006D6B62" w:rsidRPr="00502023" w:rsidRDefault="006D6B62" w:rsidP="006D6B62">
      <w:pPr>
        <w:pStyle w:val="Heading2"/>
      </w:pPr>
      <w:r w:rsidRPr="00502023">
        <w:rPr>
          <w:rFonts w:cs="Arial"/>
        </w:rPr>
        <w:t xml:space="preserve">The </w:t>
      </w:r>
      <w:r>
        <w:rPr>
          <w:rFonts w:cs="Arial"/>
        </w:rPr>
        <w:t>Supplier</w:t>
      </w:r>
      <w:r w:rsidRPr="00502023">
        <w:rPr>
          <w:rFonts w:cs="Arial"/>
        </w:rPr>
        <w:t xml:space="preserve"> will be required to produce timesheets for approval by the Department associated with each defined Work Package, detailing: </w:t>
      </w:r>
    </w:p>
    <w:p w14:paraId="10B177D4" w14:textId="77777777" w:rsidR="006D6B62" w:rsidRPr="00502023" w:rsidRDefault="006D6B62" w:rsidP="006D6B62">
      <w:pPr>
        <w:pStyle w:val="Heading3"/>
      </w:pPr>
      <w:r w:rsidRPr="009A2A37">
        <w:rPr>
          <w:rFonts w:cs="Arial"/>
        </w:rPr>
        <w:lastRenderedPageBreak/>
        <w:t>work completed by task</w:t>
      </w:r>
      <w:r>
        <w:rPr>
          <w:rFonts w:cs="Arial"/>
        </w:rPr>
        <w:t>;</w:t>
      </w:r>
    </w:p>
    <w:p w14:paraId="034EC999" w14:textId="77777777" w:rsidR="006D6B62" w:rsidRPr="00502023" w:rsidRDefault="006D6B62" w:rsidP="006D6B62">
      <w:pPr>
        <w:pStyle w:val="Heading3"/>
      </w:pPr>
      <w:r w:rsidRPr="009A2A37">
        <w:rPr>
          <w:rFonts w:cs="Arial"/>
        </w:rPr>
        <w:t>hours charged together with the name of the person who has carried out the work and their hourly rate</w:t>
      </w:r>
      <w:r>
        <w:rPr>
          <w:rFonts w:cs="Arial"/>
        </w:rPr>
        <w:t>;</w:t>
      </w:r>
    </w:p>
    <w:p w14:paraId="0098B44C" w14:textId="77777777" w:rsidR="006D6B62" w:rsidRPr="00502023" w:rsidRDefault="006D6B62" w:rsidP="006D6B62">
      <w:pPr>
        <w:pStyle w:val="Heading3"/>
      </w:pPr>
      <w:r w:rsidRPr="009A2A37">
        <w:rPr>
          <w:rFonts w:cs="Arial"/>
        </w:rPr>
        <w:t>recoverable expenses; and</w:t>
      </w:r>
    </w:p>
    <w:p w14:paraId="7D49868C" w14:textId="77777777" w:rsidR="006D6B62" w:rsidRPr="00502023" w:rsidRDefault="006D6B62" w:rsidP="006D6B62">
      <w:pPr>
        <w:pStyle w:val="Heading3"/>
      </w:pPr>
      <w:r w:rsidRPr="009A2A37">
        <w:rPr>
          <w:rFonts w:cs="Arial"/>
        </w:rPr>
        <w:t>approved disbursements</w:t>
      </w:r>
      <w:r>
        <w:rPr>
          <w:rFonts w:cs="Arial"/>
        </w:rPr>
        <w:t>.</w:t>
      </w:r>
    </w:p>
    <w:p w14:paraId="08BBAFE1" w14:textId="77777777" w:rsidR="006D6B62" w:rsidRPr="00502023" w:rsidRDefault="006D6B62" w:rsidP="006D6B62">
      <w:pPr>
        <w:pStyle w:val="Heading2"/>
      </w:pPr>
      <w:r w:rsidRPr="00502023">
        <w:rPr>
          <w:rFonts w:cs="Arial"/>
        </w:rPr>
        <w:t xml:space="preserve">Approved timesheets should be submitted with draft invoices to the </w:t>
      </w:r>
      <w:r>
        <w:rPr>
          <w:rFonts w:cs="Arial"/>
        </w:rPr>
        <w:t>Project Manager</w:t>
      </w:r>
      <w:r w:rsidRPr="00502023">
        <w:rPr>
          <w:rFonts w:cs="Arial"/>
        </w:rPr>
        <w:t xml:space="preserve">.  Once a Departmental ‘Goods Received Notice’ (GRN) has been produced, the Department will confirm that the invoice may be submitted for payment. </w:t>
      </w:r>
    </w:p>
    <w:p w14:paraId="2356F753" w14:textId="77777777" w:rsidR="006D6B62" w:rsidRPr="00EB0C9A" w:rsidRDefault="006D6B62" w:rsidP="006D6B62">
      <w:pPr>
        <w:pStyle w:val="Heading2"/>
      </w:pPr>
      <w:r w:rsidRPr="00502023">
        <w:rPr>
          <w:rFonts w:cs="Arial"/>
        </w:rPr>
        <w:t>All invoices must be submitted to the Department’s Shared Services Centre, Invoices must include the Purchase Order number provided by the Department at contract start. Invoices should be submitted to:</w:t>
      </w:r>
    </w:p>
    <w:p w14:paraId="5A5AE18D" w14:textId="77777777" w:rsidR="006D6B62" w:rsidRPr="009A2A37" w:rsidRDefault="006D6B62" w:rsidP="006D6B62">
      <w:pPr>
        <w:ind w:left="612" w:firstLine="97"/>
        <w:rPr>
          <w:rFonts w:cs="Arial"/>
        </w:rPr>
      </w:pPr>
      <w:r w:rsidRPr="009A2A37">
        <w:rPr>
          <w:rFonts w:cs="Arial"/>
        </w:rPr>
        <w:t>DfT Shared Service Centre</w:t>
      </w:r>
    </w:p>
    <w:p w14:paraId="6B8BB31D" w14:textId="77777777" w:rsidR="006D6B62" w:rsidRPr="009A2A37" w:rsidRDefault="006D6B62" w:rsidP="006D6B62">
      <w:pPr>
        <w:ind w:left="612" w:firstLine="97"/>
        <w:rPr>
          <w:rFonts w:cs="Arial"/>
        </w:rPr>
      </w:pPr>
      <w:r w:rsidRPr="009A2A37">
        <w:rPr>
          <w:rFonts w:cs="Arial"/>
        </w:rPr>
        <w:t>Accounts Payable Team</w:t>
      </w:r>
    </w:p>
    <w:p w14:paraId="69635805" w14:textId="77777777" w:rsidR="006D6B62" w:rsidRPr="009A2A37" w:rsidRDefault="006D6B62" w:rsidP="006D6B62">
      <w:pPr>
        <w:ind w:left="612" w:firstLine="97"/>
        <w:rPr>
          <w:rFonts w:cs="Arial"/>
          <w:lang w:val="da-DK"/>
        </w:rPr>
      </w:pPr>
      <w:r w:rsidRPr="009A2A37">
        <w:rPr>
          <w:rFonts w:cs="Arial"/>
          <w:lang w:val="da-DK"/>
        </w:rPr>
        <w:t>5 Sandringham Park</w:t>
      </w:r>
    </w:p>
    <w:p w14:paraId="233494A8" w14:textId="77777777" w:rsidR="006D6B62" w:rsidRPr="009A2A37" w:rsidRDefault="006D6B62" w:rsidP="006D6B62">
      <w:pPr>
        <w:ind w:left="612" w:firstLine="97"/>
        <w:rPr>
          <w:rFonts w:cs="Arial"/>
          <w:lang w:val="da-DK"/>
        </w:rPr>
      </w:pPr>
      <w:r w:rsidRPr="009A2A37">
        <w:rPr>
          <w:rFonts w:cs="Arial"/>
          <w:lang w:val="da-DK"/>
        </w:rPr>
        <w:t>Swansea Vale</w:t>
      </w:r>
    </w:p>
    <w:p w14:paraId="3337A688" w14:textId="77777777" w:rsidR="006D6B62" w:rsidRDefault="006D6B62" w:rsidP="006D6B62">
      <w:pPr>
        <w:ind w:left="612" w:firstLine="97"/>
        <w:rPr>
          <w:rFonts w:cs="Arial"/>
          <w:lang w:val="da-DK"/>
        </w:rPr>
      </w:pPr>
      <w:r w:rsidRPr="009A2A37">
        <w:rPr>
          <w:rFonts w:cs="Arial"/>
          <w:lang w:val="da-DK"/>
        </w:rPr>
        <w:t>Swansea SA7 0EA</w:t>
      </w:r>
    </w:p>
    <w:p w14:paraId="78FC7D67" w14:textId="77777777" w:rsidR="006D6B62" w:rsidRDefault="006D6B62" w:rsidP="006D6B62">
      <w:pPr>
        <w:pStyle w:val="ListParagraph"/>
        <w:rPr>
          <w:rFonts w:cs="Arial"/>
        </w:rPr>
      </w:pPr>
    </w:p>
    <w:p w14:paraId="0963DBFF" w14:textId="77777777" w:rsidR="006D6B62" w:rsidRPr="00896D1B" w:rsidRDefault="006D6B62" w:rsidP="006D6B62">
      <w:pPr>
        <w:pStyle w:val="Heading2"/>
      </w:pPr>
      <w:r>
        <w:rPr>
          <w:rFonts w:cs="Arial"/>
        </w:rPr>
        <w:t>The Supplier will also be required for forward plan and predict future work.</w:t>
      </w:r>
    </w:p>
    <w:p w14:paraId="56FB779D" w14:textId="77777777" w:rsidR="006D6B62" w:rsidRPr="004E2617" w:rsidRDefault="006D6B62" w:rsidP="006D6B62">
      <w:pPr>
        <w:pStyle w:val="Heading1"/>
        <w:tabs>
          <w:tab w:val="clear" w:pos="720"/>
          <w:tab w:val="num" w:pos="0"/>
        </w:tabs>
        <w:overflowPunct w:val="0"/>
        <w:autoSpaceDE w:val="0"/>
        <w:autoSpaceDN w:val="0"/>
        <w:spacing w:after="120"/>
        <w:ind w:left="709" w:hanging="709"/>
        <w:textAlignment w:val="baseline"/>
        <w:rPr>
          <w:rFonts w:cs="Arial"/>
          <w:szCs w:val="22"/>
        </w:rPr>
      </w:pPr>
      <w:bookmarkStart w:id="147" w:name="_Toc416791859"/>
      <w:bookmarkStart w:id="148" w:name="_Toc471814104"/>
      <w:bookmarkStart w:id="149" w:name="_Toc368573043"/>
      <w:bookmarkEnd w:id="127"/>
      <w:bookmarkEnd w:id="146"/>
      <w:r w:rsidRPr="004E2617">
        <w:rPr>
          <w:rFonts w:cs="Arial"/>
          <w:szCs w:val="22"/>
        </w:rPr>
        <w:t>training, skills and knowledge transfer</w:t>
      </w:r>
      <w:bookmarkEnd w:id="147"/>
      <w:bookmarkEnd w:id="148"/>
    </w:p>
    <w:p w14:paraId="0828A1CC" w14:textId="77777777" w:rsidR="006D6B62" w:rsidRPr="004E2617" w:rsidRDefault="006D6B62" w:rsidP="006D6B62">
      <w:pPr>
        <w:pStyle w:val="Heading2"/>
      </w:pPr>
      <w:r w:rsidRPr="009A2A37">
        <w:rPr>
          <w:lang w:eastAsia="en-GB"/>
        </w:rPr>
        <w:t>The Services schedule of the</w:t>
      </w:r>
      <w:r w:rsidRPr="000E4153">
        <w:rPr>
          <w:lang w:eastAsia="en-GB"/>
        </w:rPr>
        <w:t xml:space="preserve"> CCS </w:t>
      </w:r>
      <w:r w:rsidRPr="009A2A37">
        <w:rPr>
          <w:lang w:eastAsia="en-GB"/>
        </w:rPr>
        <w:t xml:space="preserve">Legal Services framework expressly states that: “3.1.1. Know-How The Supplier shall make available to the Contracting Bodies free of charge and on request copies of Know-How and any legal resource available to the Supplier”.  </w:t>
      </w:r>
      <w:r w:rsidRPr="009A2A37">
        <w:t xml:space="preserve">The </w:t>
      </w:r>
      <w:r>
        <w:t>Supplier</w:t>
      </w:r>
      <w:r w:rsidRPr="009A2A37">
        <w:t xml:space="preserve"> will, if required, be expected to work with the Departmental team and other external advisers – including external legal advisers – to undertake a knowledge transfer.  The </w:t>
      </w:r>
      <w:r>
        <w:t>Supplier</w:t>
      </w:r>
      <w:r w:rsidRPr="009A2A37">
        <w:t xml:space="preserve"> should describe how they anticipate transferring knowledge to the Department as part of the services offered in accordance with the Framework commitment.</w:t>
      </w:r>
    </w:p>
    <w:p w14:paraId="19D3C7D5" w14:textId="77777777" w:rsidR="006D6B62" w:rsidRPr="004E2617" w:rsidRDefault="006D6B62" w:rsidP="006D6B62">
      <w:pPr>
        <w:pStyle w:val="Heading2"/>
        <w:rPr>
          <w:rFonts w:cs="Arial"/>
        </w:rPr>
      </w:pPr>
      <w:r w:rsidRPr="009A2A37">
        <w:t xml:space="preserve">The </w:t>
      </w:r>
      <w:r>
        <w:t>Supplier</w:t>
      </w:r>
      <w:r w:rsidRPr="009A2A37">
        <w:t xml:space="preserve"> will be required to produce a guide to the final Franchise Agreements, and may be required to attend a handover meeting for the Department’s Commercial Negotiation teams who will be responsible for managing the relevant franchise agreements. The </w:t>
      </w:r>
      <w:r>
        <w:t>Supplier</w:t>
      </w:r>
      <w:r w:rsidRPr="009A2A37">
        <w:t xml:space="preserve"> would be expected to provide information and guidance on the key aspects of the final contract at the point of handover to the Department.</w:t>
      </w:r>
    </w:p>
    <w:p w14:paraId="6CA5FD1C" w14:textId="77777777" w:rsidR="006D6B62" w:rsidRDefault="006D6B62" w:rsidP="006D6B62">
      <w:pPr>
        <w:pStyle w:val="Heading2"/>
      </w:pPr>
      <w:r w:rsidRPr="009A2A37">
        <w:t xml:space="preserve">In addition, the </w:t>
      </w:r>
      <w:r>
        <w:t>Supplier</w:t>
      </w:r>
      <w:r w:rsidRPr="009A2A37">
        <w:t xml:space="preserve"> may be required to provide additional services free, including free attendance for Departmental representatives at the </w:t>
      </w:r>
      <w:r>
        <w:t>Supplier’s</w:t>
      </w:r>
      <w:r w:rsidRPr="009A2A37">
        <w:t xml:space="preserve"> general client training seminars and tailored legal training, in particular relating to franchising and procurement issues generally</w:t>
      </w:r>
      <w:r>
        <w:t>.</w:t>
      </w:r>
    </w:p>
    <w:p w14:paraId="36EC06FF" w14:textId="77777777" w:rsidR="006D6B62" w:rsidRPr="004E2617" w:rsidRDefault="006D6B62" w:rsidP="006D6B62">
      <w:pPr>
        <w:pStyle w:val="Heading1"/>
        <w:tabs>
          <w:tab w:val="clear" w:pos="720"/>
          <w:tab w:val="num" w:pos="0"/>
        </w:tabs>
        <w:overflowPunct w:val="0"/>
        <w:autoSpaceDE w:val="0"/>
        <w:autoSpaceDN w:val="0"/>
        <w:spacing w:after="120"/>
        <w:ind w:left="709" w:hanging="709"/>
        <w:textAlignment w:val="baseline"/>
        <w:rPr>
          <w:rFonts w:cs="Arial"/>
          <w:szCs w:val="22"/>
        </w:rPr>
      </w:pPr>
      <w:bookmarkStart w:id="150" w:name="_Toc416791860"/>
      <w:bookmarkStart w:id="151" w:name="_Toc471814105"/>
      <w:r w:rsidRPr="004E2617">
        <w:rPr>
          <w:rFonts w:cs="Arial"/>
          <w:szCs w:val="22"/>
        </w:rPr>
        <w:lastRenderedPageBreak/>
        <w:t>Selection and appointment</w:t>
      </w:r>
      <w:bookmarkEnd w:id="150"/>
      <w:bookmarkEnd w:id="151"/>
    </w:p>
    <w:p w14:paraId="17D526CD" w14:textId="77777777" w:rsidR="006D6B62" w:rsidRPr="004B2369" w:rsidRDefault="006D6B62" w:rsidP="006D6B62">
      <w:pPr>
        <w:pStyle w:val="Heading2"/>
      </w:pPr>
      <w:r w:rsidRPr="009A2A37">
        <w:rPr>
          <w:rFonts w:cs="Arial"/>
        </w:rPr>
        <w:t xml:space="preserve">Supplier selection will be based on the assessment criteria provided in </w:t>
      </w:r>
      <w:r>
        <w:rPr>
          <w:rFonts w:cs="Arial"/>
        </w:rPr>
        <w:t>Appendix D</w:t>
      </w:r>
      <w:r w:rsidRPr="009A2A37">
        <w:rPr>
          <w:rFonts w:cs="Arial"/>
        </w:rPr>
        <w:t>, ensuring the most economically advantageous proposal which demonstrates a high degree of overall value for money, competence, credibility and ability to deliver</w:t>
      </w:r>
      <w:r>
        <w:rPr>
          <w:rFonts w:cs="Arial"/>
        </w:rPr>
        <w:t>.</w:t>
      </w:r>
    </w:p>
    <w:p w14:paraId="673E48DB" w14:textId="77777777" w:rsidR="006D6B62" w:rsidRPr="00896D1B" w:rsidRDefault="006D6B62" w:rsidP="006D6B62">
      <w:pPr>
        <w:pStyle w:val="Heading2"/>
        <w:rPr>
          <w:color w:val="000000" w:themeColor="text1"/>
        </w:rPr>
      </w:pPr>
      <w:r>
        <w:rPr>
          <w:color w:val="000000" w:themeColor="text1"/>
          <w:szCs w:val="22"/>
        </w:rPr>
        <w:t>As noted previously, t</w:t>
      </w:r>
      <w:r w:rsidRPr="00896D1B">
        <w:rPr>
          <w:color w:val="000000" w:themeColor="text1"/>
          <w:szCs w:val="22"/>
        </w:rPr>
        <w:t>he Authority is inviting tenders for:</w:t>
      </w:r>
    </w:p>
    <w:p w14:paraId="5B7DF736" w14:textId="77777777" w:rsidR="006D6B62" w:rsidRPr="002000DC" w:rsidRDefault="006D6B62" w:rsidP="00315328">
      <w:pPr>
        <w:numPr>
          <w:ilvl w:val="0"/>
          <w:numId w:val="31"/>
        </w:numPr>
        <w:overflowPunct w:val="0"/>
        <w:autoSpaceDE w:val="0"/>
        <w:autoSpaceDN w:val="0"/>
        <w:adjustRightInd w:val="0"/>
        <w:textAlignment w:val="baseline"/>
      </w:pPr>
      <w:r w:rsidRPr="00160C57">
        <w:rPr>
          <w:szCs w:val="22"/>
        </w:rPr>
        <w:t xml:space="preserve">Work Package 1 – InterCity West Coast </w:t>
      </w:r>
      <w:r>
        <w:rPr>
          <w:szCs w:val="22"/>
        </w:rPr>
        <w:t>Direct Award</w:t>
      </w:r>
      <w:r w:rsidRPr="00160C57">
        <w:rPr>
          <w:szCs w:val="22"/>
        </w:rPr>
        <w:t xml:space="preserve"> </w:t>
      </w:r>
    </w:p>
    <w:p w14:paraId="0A81C3EA" w14:textId="77777777" w:rsidR="006D6B62" w:rsidRPr="00160C57" w:rsidRDefault="006D6B62" w:rsidP="006D6B62">
      <w:pPr>
        <w:overflowPunct w:val="0"/>
        <w:autoSpaceDE w:val="0"/>
        <w:autoSpaceDN w:val="0"/>
        <w:adjustRightInd w:val="0"/>
        <w:ind w:left="1457"/>
        <w:textAlignment w:val="baseline"/>
      </w:pPr>
    </w:p>
    <w:p w14:paraId="2F458DB3" w14:textId="77777777" w:rsidR="006D6B62" w:rsidRPr="00482064" w:rsidRDefault="006D6B62" w:rsidP="006D6B62">
      <w:pPr>
        <w:pStyle w:val="Heading1"/>
        <w:tabs>
          <w:tab w:val="clear" w:pos="720"/>
          <w:tab w:val="num" w:pos="0"/>
        </w:tabs>
        <w:overflowPunct w:val="0"/>
        <w:autoSpaceDE w:val="0"/>
        <w:autoSpaceDN w:val="0"/>
        <w:spacing w:after="120"/>
        <w:ind w:left="709" w:hanging="709"/>
        <w:textAlignment w:val="baseline"/>
        <w:rPr>
          <w:rFonts w:cs="Arial"/>
          <w:szCs w:val="22"/>
        </w:rPr>
      </w:pPr>
      <w:bookmarkStart w:id="152" w:name="_Toc416791855"/>
      <w:bookmarkStart w:id="153" w:name="_Toc471814106"/>
      <w:bookmarkEnd w:id="149"/>
      <w:r w:rsidRPr="00482064">
        <w:rPr>
          <w:rFonts w:cs="Arial"/>
          <w:szCs w:val="22"/>
        </w:rPr>
        <w:t>interviews/Presentations</w:t>
      </w:r>
      <w:bookmarkEnd w:id="152"/>
      <w:bookmarkEnd w:id="153"/>
    </w:p>
    <w:p w14:paraId="1A59CD84" w14:textId="77777777" w:rsidR="006D6B62" w:rsidRPr="00EE333D" w:rsidRDefault="006D6B62" w:rsidP="006D6B62">
      <w:pPr>
        <w:pStyle w:val="Heading2"/>
      </w:pPr>
      <w:r w:rsidRPr="00EE333D">
        <w:t>Potential Tenderers will be expected to elaborate on the answers to their written tenders and may be asked further questions designed to assess them on the criteria as set out in paragraph 6 of Appendix D.  These questions will be provided a minimum of 48 hrs in advance of the interview.</w:t>
      </w:r>
    </w:p>
    <w:p w14:paraId="022E115B" w14:textId="77777777" w:rsidR="006D6B62" w:rsidRDefault="006D6B62" w:rsidP="006D6B62">
      <w:pPr>
        <w:pStyle w:val="Heading2"/>
      </w:pPr>
      <w:r w:rsidRPr="00087699">
        <w:rPr>
          <w:rFonts w:cs="Arial"/>
        </w:rPr>
        <w:t xml:space="preserve">It is anticipated that </w:t>
      </w:r>
      <w:r>
        <w:rPr>
          <w:rFonts w:cs="Arial"/>
        </w:rPr>
        <w:t>presentation/</w:t>
      </w:r>
      <w:r w:rsidRPr="00087699">
        <w:rPr>
          <w:rFonts w:cs="Arial"/>
        </w:rPr>
        <w:t xml:space="preserve">interviews will take place at the Department, Great Minster House, 33 Horseferry Road, London SW1P 4DR during the evaluation process. </w:t>
      </w:r>
      <w:r>
        <w:rPr>
          <w:rFonts w:cs="Arial"/>
        </w:rPr>
        <w:t>If you are invited to attend a presentation/</w:t>
      </w:r>
      <w:r w:rsidRPr="00087699">
        <w:rPr>
          <w:rFonts w:cs="Arial"/>
        </w:rPr>
        <w:t xml:space="preserve">interview, you will be notified of the time by email at least </w:t>
      </w:r>
      <w:r>
        <w:rPr>
          <w:rFonts w:cs="Arial"/>
        </w:rPr>
        <w:t>48 hours</w:t>
      </w:r>
      <w:r w:rsidRPr="00087699">
        <w:rPr>
          <w:rFonts w:cs="Arial"/>
        </w:rPr>
        <w:t xml:space="preserve"> prior to the date of any such meeting and shall be advised of the format and any requirements for the meeting at the same time</w:t>
      </w:r>
      <w:r>
        <w:rPr>
          <w:rFonts w:cs="Arial"/>
        </w:rPr>
        <w:t>.</w:t>
      </w:r>
    </w:p>
    <w:p w14:paraId="3C5C7FB7" w14:textId="77777777" w:rsidR="006D6B62" w:rsidRPr="00482064" w:rsidRDefault="006D6B62" w:rsidP="006D6B62">
      <w:pPr>
        <w:pStyle w:val="Heading1"/>
        <w:tabs>
          <w:tab w:val="clear" w:pos="720"/>
          <w:tab w:val="num" w:pos="0"/>
        </w:tabs>
        <w:overflowPunct w:val="0"/>
        <w:autoSpaceDE w:val="0"/>
        <w:autoSpaceDN w:val="0"/>
        <w:spacing w:after="120"/>
        <w:ind w:left="709" w:hanging="709"/>
        <w:textAlignment w:val="baseline"/>
        <w:rPr>
          <w:rFonts w:cs="Arial"/>
          <w:szCs w:val="22"/>
        </w:rPr>
      </w:pPr>
      <w:bookmarkStart w:id="154" w:name="_Toc416791856"/>
      <w:bookmarkStart w:id="155" w:name="_Toc471814107"/>
      <w:r w:rsidRPr="00482064">
        <w:rPr>
          <w:rFonts w:cs="Arial"/>
          <w:szCs w:val="22"/>
        </w:rPr>
        <w:t>conflicts</w:t>
      </w:r>
      <w:bookmarkEnd w:id="154"/>
      <w:bookmarkEnd w:id="155"/>
    </w:p>
    <w:p w14:paraId="439C570A" w14:textId="77777777" w:rsidR="006D6B62" w:rsidRPr="00482064" w:rsidRDefault="006D6B62" w:rsidP="006D6B62">
      <w:pPr>
        <w:pStyle w:val="Heading2"/>
      </w:pPr>
      <w:r>
        <w:t>Potential Tenderers</w:t>
      </w:r>
      <w:r w:rsidRPr="009A2A37">
        <w:t xml:space="preserve"> written proposals must disclose any potential conflicts of interest</w:t>
      </w:r>
      <w:r>
        <w:t xml:space="preserve">, or any other matters of potential relevance to the Department, </w:t>
      </w:r>
      <w:r w:rsidRPr="009A2A37">
        <w:t xml:space="preserve">on the part of the </w:t>
      </w:r>
      <w:r>
        <w:t xml:space="preserve">Potential </w:t>
      </w:r>
      <w:r w:rsidRPr="009A2A37">
        <w:t>Tenderer.  Please identify and advise of any existing conflicts of interest, either real or perceived, in relation to this work.  Please provide a clear statement in regard to any conflict and a description of how any subsequently arising conflicts would be dealt with. Any conflicts of interest that would compromise the delivery and integrity of the planned procurement may result in termination of the call-off process and any consequent call-off contract.</w:t>
      </w:r>
    </w:p>
    <w:p w14:paraId="5FC3F705" w14:textId="77777777" w:rsidR="006D6B62" w:rsidRDefault="006D6B62" w:rsidP="006D6B62">
      <w:pPr>
        <w:pStyle w:val="Heading2"/>
      </w:pPr>
      <w:r w:rsidRPr="009A2A37">
        <w:t xml:space="preserve">Conflicts of interest will be assessed on a pass/fail basis. The Department shall discuss any conflict of interest issues that have been disclosed by each </w:t>
      </w:r>
      <w:r>
        <w:t>Potential Tenderer</w:t>
      </w:r>
      <w:r w:rsidRPr="009A2A37">
        <w:t>.  The Department will decide whether any internal management processes and controls that</w:t>
      </w:r>
      <w:r>
        <w:t xml:space="preserve"> Potential </w:t>
      </w:r>
      <w:r w:rsidRPr="009A2A37">
        <w:t xml:space="preserve">Tenderers have in place are satisfactory.  If the Department agree that a </w:t>
      </w:r>
      <w:r>
        <w:t xml:space="preserve">Potential </w:t>
      </w:r>
      <w:r w:rsidRPr="009A2A37">
        <w:t xml:space="preserve">Tenderer’s internal management processes and controls are insufficient to safeguard against any conflict of interest issues that will have an effect on the outcome of the </w:t>
      </w:r>
      <w:r>
        <w:t>RfP</w:t>
      </w:r>
      <w:r w:rsidRPr="009A2A37">
        <w:t xml:space="preserve"> evaluation process, the Department will make a recommendation </w:t>
      </w:r>
      <w:r>
        <w:t xml:space="preserve">to CCS </w:t>
      </w:r>
      <w:r w:rsidRPr="009A2A37">
        <w:t xml:space="preserve">to exclude that </w:t>
      </w:r>
      <w:r>
        <w:t xml:space="preserve">Potential </w:t>
      </w:r>
      <w:r w:rsidRPr="009A2A37">
        <w:t>Tenderer from the procurement process</w:t>
      </w:r>
      <w:r>
        <w:t>.</w:t>
      </w:r>
    </w:p>
    <w:p w14:paraId="7BE8533A" w14:textId="77777777" w:rsidR="006D6B62" w:rsidRDefault="006D6B62" w:rsidP="006D6B62">
      <w:pPr>
        <w:pStyle w:val="Heading2"/>
      </w:pPr>
      <w:r w:rsidRPr="009A2A37">
        <w:t xml:space="preserve">Actual or potential conflicts of interest may be discussed in the first instance with </w:t>
      </w:r>
      <w:r>
        <w:t>Angus Edwards or Jessica Walters</w:t>
      </w:r>
      <w:r w:rsidRPr="009A2A37">
        <w:t>, the</w:t>
      </w:r>
      <w:r>
        <w:t xml:space="preserve"> Heads of Team, Rail Commercial Contracts and Procurement,</w:t>
      </w:r>
      <w:r w:rsidRPr="009A2A37">
        <w:t xml:space="preserve"> </w:t>
      </w:r>
      <w:r>
        <w:t>DfT’s Legal Advisers, Government Legal Department.</w:t>
      </w:r>
    </w:p>
    <w:p w14:paraId="1ACDE52A" w14:textId="77777777" w:rsidR="006D6B62" w:rsidRPr="00482064" w:rsidRDefault="006D6B62" w:rsidP="006D6B62">
      <w:pPr>
        <w:pStyle w:val="Heading1"/>
        <w:tabs>
          <w:tab w:val="clear" w:pos="720"/>
          <w:tab w:val="num" w:pos="0"/>
        </w:tabs>
        <w:overflowPunct w:val="0"/>
        <w:autoSpaceDE w:val="0"/>
        <w:autoSpaceDN w:val="0"/>
        <w:spacing w:after="120"/>
        <w:ind w:left="709" w:hanging="709"/>
        <w:textAlignment w:val="baseline"/>
        <w:rPr>
          <w:rFonts w:cs="Arial"/>
          <w:szCs w:val="22"/>
        </w:rPr>
      </w:pPr>
      <w:bookmarkStart w:id="156" w:name="_Toc416791857"/>
      <w:bookmarkStart w:id="157" w:name="_Toc471814108"/>
      <w:r w:rsidRPr="00482064">
        <w:rPr>
          <w:rFonts w:cs="Arial"/>
          <w:szCs w:val="22"/>
        </w:rPr>
        <w:t>Service conditions</w:t>
      </w:r>
      <w:bookmarkEnd w:id="156"/>
      <w:bookmarkEnd w:id="157"/>
    </w:p>
    <w:p w14:paraId="67DD30EE" w14:textId="77777777" w:rsidR="006D6B62" w:rsidRDefault="006D6B62" w:rsidP="006D6B62">
      <w:pPr>
        <w:pStyle w:val="Heading2"/>
      </w:pPr>
      <w:r w:rsidRPr="009A2A37">
        <w:rPr>
          <w:rFonts w:cs="Arial"/>
        </w:rPr>
        <w:t xml:space="preserve">It is expected that the </w:t>
      </w:r>
      <w:r>
        <w:rPr>
          <w:rFonts w:cs="Arial"/>
        </w:rPr>
        <w:t>Supplier</w:t>
      </w:r>
      <w:r w:rsidRPr="009A2A37">
        <w:rPr>
          <w:rFonts w:cs="Arial"/>
        </w:rPr>
        <w:t xml:space="preserve"> will work at their own office, but frequent attendance at meetings in </w:t>
      </w:r>
      <w:smartTag w:uri="urn:schemas-microsoft-com:office:smarttags" w:element="place">
        <w:smartTag w:uri="urn:schemas-microsoft-com:office:smarttags" w:element="City">
          <w:r w:rsidRPr="009A2A37">
            <w:rPr>
              <w:rFonts w:cs="Arial"/>
            </w:rPr>
            <w:t>London</w:t>
          </w:r>
        </w:smartTag>
      </w:smartTag>
      <w:r w:rsidRPr="009A2A37">
        <w:rPr>
          <w:rFonts w:cs="Arial"/>
        </w:rPr>
        <w:t xml:space="preserve"> will be required.  It may be appropriate for lawyers to work for extended periods at the Department’s offices if they are required to work in a team </w:t>
      </w:r>
      <w:r w:rsidRPr="009A2A37">
        <w:rPr>
          <w:rFonts w:cs="Arial"/>
        </w:rPr>
        <w:lastRenderedPageBreak/>
        <w:t>alongside Departmental lawyers or other client staff</w:t>
      </w:r>
      <w:r>
        <w:rPr>
          <w:rFonts w:cs="Arial"/>
        </w:rPr>
        <w:t>.  Additionally, client staff may require dedicated working/meeting space at the Supplier’s offices for the duration of the procurement and Potential Tenderers should confirm their ability to provide this space in their responses.</w:t>
      </w:r>
    </w:p>
    <w:p w14:paraId="2BAB0EE7" w14:textId="77777777" w:rsidR="006D6B62" w:rsidRPr="00482064" w:rsidRDefault="006D6B62" w:rsidP="006D6B62">
      <w:pPr>
        <w:pStyle w:val="Heading1"/>
        <w:tabs>
          <w:tab w:val="clear" w:pos="720"/>
          <w:tab w:val="num" w:pos="0"/>
        </w:tabs>
        <w:overflowPunct w:val="0"/>
        <w:autoSpaceDE w:val="0"/>
        <w:autoSpaceDN w:val="0"/>
        <w:spacing w:after="120"/>
        <w:ind w:left="709" w:hanging="709"/>
        <w:textAlignment w:val="baseline"/>
        <w:rPr>
          <w:rFonts w:cs="Arial"/>
          <w:szCs w:val="22"/>
        </w:rPr>
      </w:pPr>
      <w:bookmarkStart w:id="158" w:name="_Toc416791858"/>
      <w:bookmarkStart w:id="159" w:name="_Toc471814109"/>
      <w:r w:rsidRPr="00482064">
        <w:rPr>
          <w:rFonts w:cs="Arial"/>
          <w:szCs w:val="22"/>
        </w:rPr>
        <w:t>management and contract administration</w:t>
      </w:r>
      <w:bookmarkEnd w:id="158"/>
      <w:bookmarkEnd w:id="159"/>
    </w:p>
    <w:p w14:paraId="5C6771BB" w14:textId="77777777" w:rsidR="006D6B62" w:rsidRPr="00502023" w:rsidRDefault="006D6B62" w:rsidP="006D6B62">
      <w:pPr>
        <w:pStyle w:val="Heading2"/>
      </w:pPr>
      <w:r w:rsidRPr="00502023">
        <w:rPr>
          <w:rFonts w:cs="Arial"/>
        </w:rPr>
        <w:t xml:space="preserve">The </w:t>
      </w:r>
      <w:r>
        <w:rPr>
          <w:rFonts w:cs="Arial"/>
        </w:rPr>
        <w:t>Supplier</w:t>
      </w:r>
      <w:r w:rsidRPr="00502023">
        <w:rPr>
          <w:rFonts w:cs="Arial"/>
        </w:rPr>
        <w:t xml:space="preserve"> will require the capacity to adapt to changes in the volume of work over time, and in particular to respond to peaks of workflow at key times, such as in the</w:t>
      </w:r>
      <w:r>
        <w:rPr>
          <w:rFonts w:cs="Arial"/>
        </w:rPr>
        <w:t xml:space="preserve"> lead up to transactional close.</w:t>
      </w:r>
    </w:p>
    <w:p w14:paraId="07830D85" w14:textId="77777777" w:rsidR="006D6B62" w:rsidRPr="00FD080D" w:rsidRDefault="006D6B62" w:rsidP="006D6B62">
      <w:pPr>
        <w:pStyle w:val="Heading2"/>
        <w:numPr>
          <w:ilvl w:val="0"/>
          <w:numId w:val="0"/>
        </w:numPr>
        <w:spacing w:after="120"/>
        <w:rPr>
          <w:highlight w:val="yellow"/>
        </w:rPr>
      </w:pPr>
    </w:p>
    <w:p w14:paraId="49AA6116" w14:textId="77777777" w:rsidR="006D6B62" w:rsidRDefault="006D6B62" w:rsidP="006D6B62">
      <w:pPr>
        <w:rPr>
          <w:rFonts w:cs="Arial"/>
          <w:b/>
        </w:rPr>
      </w:pPr>
      <w:r>
        <w:rPr>
          <w:rFonts w:cs="Arial"/>
          <w:b/>
        </w:rPr>
        <w:br w:type="page"/>
      </w:r>
    </w:p>
    <w:p w14:paraId="285B648E" w14:textId="03816E0D" w:rsidR="006D6B62" w:rsidRPr="009A2A37" w:rsidRDefault="006D6B62" w:rsidP="006D6B62">
      <w:pPr>
        <w:ind w:left="360"/>
        <w:jc w:val="center"/>
        <w:rPr>
          <w:rFonts w:cs="Arial"/>
          <w:b/>
        </w:rPr>
      </w:pPr>
      <w:r w:rsidRPr="009A2A37">
        <w:rPr>
          <w:rFonts w:cs="Arial"/>
          <w:b/>
        </w:rPr>
        <w:lastRenderedPageBreak/>
        <w:t>A</w:t>
      </w:r>
      <w:r>
        <w:rPr>
          <w:rFonts w:cs="Arial"/>
          <w:b/>
        </w:rPr>
        <w:t>NNEX</w:t>
      </w:r>
      <w:r w:rsidRPr="009A2A37">
        <w:rPr>
          <w:rFonts w:cs="Arial"/>
          <w:b/>
        </w:rPr>
        <w:t xml:space="preserve"> 1 </w:t>
      </w:r>
      <w:r w:rsidR="00EF6242">
        <w:rPr>
          <w:rFonts w:cs="Arial"/>
          <w:b/>
        </w:rPr>
        <w:t xml:space="preserve">(of the Statement of Requirements) </w:t>
      </w:r>
      <w:r w:rsidRPr="009A2A37">
        <w:rPr>
          <w:rFonts w:cs="Arial"/>
          <w:b/>
        </w:rPr>
        <w:t>– HIGH LEVEL PRINCIPLES FOR INTERNAL / EXTERNAL LAWYER INTERFACE</w:t>
      </w:r>
    </w:p>
    <w:p w14:paraId="552D7413" w14:textId="77777777" w:rsidR="006D6B62" w:rsidRPr="009A2A37" w:rsidRDefault="006D6B62" w:rsidP="006D6B62">
      <w:pPr>
        <w:jc w:val="both"/>
        <w:rPr>
          <w:rFonts w:cs="Arial"/>
        </w:rPr>
      </w:pPr>
    </w:p>
    <w:p w14:paraId="4BCAEA99" w14:textId="77777777" w:rsidR="006D6B62" w:rsidRPr="009A2A37" w:rsidRDefault="006D6B62" w:rsidP="006D6B62">
      <w:pPr>
        <w:jc w:val="both"/>
        <w:rPr>
          <w:rFonts w:cs="Arial"/>
        </w:rPr>
      </w:pPr>
      <w:r w:rsidRPr="009A2A37">
        <w:rPr>
          <w:rFonts w:cs="Arial"/>
        </w:rPr>
        <w:t>These are high level principles to guide and inform the working relationship between internal and external lawyers.</w:t>
      </w:r>
    </w:p>
    <w:p w14:paraId="4296C66D" w14:textId="77777777" w:rsidR="006D6B62" w:rsidRPr="009A2A37" w:rsidRDefault="006D6B62" w:rsidP="006D6B62">
      <w:pPr>
        <w:jc w:val="both"/>
        <w:rPr>
          <w:rFonts w:cs="Arial"/>
        </w:rPr>
      </w:pPr>
    </w:p>
    <w:p w14:paraId="2D470B15" w14:textId="77777777" w:rsidR="006D6B62" w:rsidRPr="009A2A37" w:rsidRDefault="006D6B62" w:rsidP="006D6B62">
      <w:pPr>
        <w:jc w:val="both"/>
        <w:rPr>
          <w:rFonts w:cs="Arial"/>
        </w:rPr>
      </w:pPr>
      <w:r w:rsidRPr="009A2A37">
        <w:rPr>
          <w:rFonts w:cs="Arial"/>
        </w:rPr>
        <w:t xml:space="preserve">It is recognised that the balance of responsibilities as between external lawyers and internal lawyers may vary from matter to matter and that the degree of involvement of the internal lawyers in a matter where external lawyers have been appointed may also vary.  However, the principles which are set out below in relation to identification and handling of risk will apply in all cases, from the date agreed between the Department and the external lawyers for this purpose.  </w:t>
      </w:r>
    </w:p>
    <w:p w14:paraId="1980E30C" w14:textId="77777777" w:rsidR="006D6B62" w:rsidRPr="009A2A37" w:rsidRDefault="006D6B62" w:rsidP="006D6B62">
      <w:pPr>
        <w:jc w:val="both"/>
        <w:rPr>
          <w:rFonts w:cs="Arial"/>
        </w:rPr>
      </w:pPr>
    </w:p>
    <w:p w14:paraId="0093029A" w14:textId="2FC21520" w:rsidR="006D6B62" w:rsidRPr="009A2A37" w:rsidRDefault="006D6B62" w:rsidP="006D6B62">
      <w:pPr>
        <w:jc w:val="both"/>
        <w:rPr>
          <w:rFonts w:cs="Arial"/>
        </w:rPr>
      </w:pPr>
      <w:r w:rsidRPr="009A2A37">
        <w:rPr>
          <w:rFonts w:cs="Arial"/>
        </w:rPr>
        <w:t xml:space="preserve">It is also recognised that in most matters there will be a variety of relationships, including direct engagement between the clients (administrators) and </w:t>
      </w:r>
      <w:r w:rsidR="00EF6242">
        <w:rPr>
          <w:rFonts w:cs="Arial"/>
        </w:rPr>
        <w:t xml:space="preserve"> </w:t>
      </w:r>
      <w:r w:rsidRPr="009A2A37">
        <w:rPr>
          <w:rFonts w:cs="Arial"/>
        </w:rPr>
        <w:t xml:space="preserve">the external lawyer as well as between the client and the internal lawyer and between the internal lawyer and external lawyer.  Information gleaned in any of these contexts may need to be passed on additionally to the client, internal lawyer or external lawyer as appropriate.  In particular, any substantive information or advice given by the external lawyer must be in writing and must be sent to both the client and the internal lawyer.  </w:t>
      </w:r>
    </w:p>
    <w:p w14:paraId="22D78D1D" w14:textId="77777777" w:rsidR="006D6B62" w:rsidRPr="009A2A37" w:rsidRDefault="006D6B62" w:rsidP="006D6B62">
      <w:pPr>
        <w:jc w:val="both"/>
        <w:rPr>
          <w:rFonts w:cs="Arial"/>
        </w:rPr>
      </w:pPr>
    </w:p>
    <w:p w14:paraId="424D49BC" w14:textId="77777777" w:rsidR="006D6B62" w:rsidRPr="009A2A37" w:rsidRDefault="006D6B62" w:rsidP="006D6B62">
      <w:pPr>
        <w:jc w:val="both"/>
        <w:rPr>
          <w:rFonts w:cs="Arial"/>
        </w:rPr>
      </w:pPr>
      <w:r w:rsidRPr="009A2A37">
        <w:rPr>
          <w:rFonts w:cs="Arial"/>
        </w:rPr>
        <w:t>The principles below must be read together with the external lawyers’ agreed scope of service.  They are as follows:</w:t>
      </w:r>
    </w:p>
    <w:p w14:paraId="2A12791E" w14:textId="77777777" w:rsidR="006D6B62" w:rsidRPr="009A2A37" w:rsidRDefault="006D6B62" w:rsidP="006D6B62">
      <w:pPr>
        <w:jc w:val="both"/>
        <w:rPr>
          <w:rFonts w:cs="Arial"/>
        </w:rPr>
      </w:pPr>
    </w:p>
    <w:p w14:paraId="21BD3E87" w14:textId="77777777" w:rsidR="006D6B62" w:rsidRPr="009A2A37" w:rsidRDefault="006D6B62" w:rsidP="00315328">
      <w:pPr>
        <w:numPr>
          <w:ilvl w:val="0"/>
          <w:numId w:val="30"/>
        </w:numPr>
        <w:jc w:val="both"/>
        <w:rPr>
          <w:rFonts w:cs="Arial"/>
        </w:rPr>
      </w:pPr>
      <w:r w:rsidRPr="009A2A37">
        <w:rPr>
          <w:rFonts w:cs="Arial"/>
        </w:rPr>
        <w:t>The relationship between internal and external lawyers has to be based upon clear communication and swift and effective escalation of issues at all times in line with these principles.</w:t>
      </w:r>
    </w:p>
    <w:p w14:paraId="74149795" w14:textId="77777777" w:rsidR="006D6B62" w:rsidRPr="009A2A37" w:rsidRDefault="006D6B62" w:rsidP="006D6B62">
      <w:pPr>
        <w:jc w:val="both"/>
        <w:rPr>
          <w:rFonts w:cs="Arial"/>
        </w:rPr>
      </w:pPr>
    </w:p>
    <w:p w14:paraId="55082776" w14:textId="77777777" w:rsidR="006D6B62" w:rsidRPr="009A2A37" w:rsidRDefault="006D6B62" w:rsidP="00315328">
      <w:pPr>
        <w:numPr>
          <w:ilvl w:val="0"/>
          <w:numId w:val="30"/>
        </w:numPr>
        <w:jc w:val="both"/>
        <w:rPr>
          <w:rFonts w:cs="Arial"/>
        </w:rPr>
      </w:pPr>
      <w:r w:rsidRPr="009A2A37">
        <w:rPr>
          <w:rFonts w:cs="Arial"/>
        </w:rPr>
        <w:t xml:space="preserve">It is acknowledged that lawyers (internal and external) are only able to advise on matters of which they have actual knowledge.  However, if the lawyer has a concern in relation to a matter but insufficient information to know whether the matter creates a significant legal issue, the lawyer should seek extra information to establish the position.  It is expected that the external lawyers will apply any acquired knowledge of the industry or market which is relevant to the issues on which they are advising, subject to any confidentiality constraints. </w:t>
      </w:r>
    </w:p>
    <w:p w14:paraId="34DECF48" w14:textId="77777777" w:rsidR="006D6B62" w:rsidRPr="009A2A37" w:rsidRDefault="006D6B62" w:rsidP="006D6B62">
      <w:pPr>
        <w:ind w:firstLine="60"/>
        <w:jc w:val="both"/>
        <w:rPr>
          <w:rFonts w:cs="Arial"/>
        </w:rPr>
      </w:pPr>
    </w:p>
    <w:p w14:paraId="62C2C8D5" w14:textId="77777777" w:rsidR="006D6B62" w:rsidRPr="009A2A37" w:rsidRDefault="006D6B62" w:rsidP="00315328">
      <w:pPr>
        <w:numPr>
          <w:ilvl w:val="0"/>
          <w:numId w:val="30"/>
        </w:numPr>
        <w:jc w:val="both"/>
        <w:rPr>
          <w:rFonts w:cs="Arial"/>
        </w:rPr>
      </w:pPr>
      <w:r w:rsidRPr="009A2A37">
        <w:rPr>
          <w:rFonts w:cs="Arial"/>
        </w:rPr>
        <w:t>For each matter, the responsible internal lawyer (and their Head of Division) will be identified to the external lawyers along with a description of matters (if any) on which the internal lawyer is taking responsibility for advising. This will be made clear within the scope of engagement.</w:t>
      </w:r>
    </w:p>
    <w:p w14:paraId="659F7EC0" w14:textId="77777777" w:rsidR="006D6B62" w:rsidRPr="009A2A37" w:rsidRDefault="006D6B62" w:rsidP="006D6B62">
      <w:pPr>
        <w:ind w:firstLine="180"/>
        <w:jc w:val="both"/>
        <w:rPr>
          <w:rFonts w:cs="Arial"/>
        </w:rPr>
      </w:pPr>
    </w:p>
    <w:p w14:paraId="32CE70C1" w14:textId="77777777" w:rsidR="006D6B62" w:rsidRPr="009A2A37" w:rsidRDefault="006D6B62" w:rsidP="00315328">
      <w:pPr>
        <w:numPr>
          <w:ilvl w:val="0"/>
          <w:numId w:val="30"/>
        </w:numPr>
        <w:jc w:val="both"/>
        <w:rPr>
          <w:rFonts w:cs="Arial"/>
        </w:rPr>
      </w:pPr>
      <w:r w:rsidRPr="009A2A37">
        <w:rPr>
          <w:rFonts w:cs="Arial"/>
        </w:rPr>
        <w:t xml:space="preserve">The external lawyers should notify the internal lawyer about any issues of procurement law, public or administrative law, state aid, particular issues which require an interface with the European Commission, data protection, human rights and freedom of information, or issues which could lead to allegations of negligence or some other tort against the Secretary of State, a Minister, the Department or its officials. The external lawyers should agree with the relevant Head of Division how such issue(s) will be progressed. It is likely that the internal lawyers will be in the lead in dealing with them. </w:t>
      </w:r>
    </w:p>
    <w:p w14:paraId="34C87042" w14:textId="77777777" w:rsidR="006D6B62" w:rsidRPr="009A2A37" w:rsidRDefault="006D6B62" w:rsidP="006D6B62">
      <w:pPr>
        <w:jc w:val="both"/>
        <w:rPr>
          <w:rFonts w:cs="Arial"/>
        </w:rPr>
      </w:pPr>
    </w:p>
    <w:p w14:paraId="08876D25" w14:textId="77777777" w:rsidR="006D6B62" w:rsidRPr="009A2A37" w:rsidRDefault="006D6B62" w:rsidP="00315328">
      <w:pPr>
        <w:numPr>
          <w:ilvl w:val="0"/>
          <w:numId w:val="30"/>
        </w:numPr>
        <w:jc w:val="both"/>
        <w:rPr>
          <w:rFonts w:cs="Arial"/>
        </w:rPr>
      </w:pPr>
      <w:r w:rsidRPr="009A2A37">
        <w:rPr>
          <w:rFonts w:cs="Arial"/>
        </w:rPr>
        <w:lastRenderedPageBreak/>
        <w:t>If the external lawyers have concerns in relation to any legal issue related to the matters on which the external lawyers are advising, the external lawyers must notify the appointed internal lawyer in writing as soon as reasonably practicable. In this context, concern about a legal issue means a concern that the Secretary of State, a Minister, the Department or its officials is/are or will be at particular risk of acting unlawfully or in breach of obligation, or otherwise is/are or will be taking an unusual legal risk in the context of a transaction or matter of that sort.  The internal lawyer and relevant Head of Division must be told what the issue is and why it is a concern, and be the recipient of or copied in on any written advice given on the issue. Oral advice will need to be put in writing for this purpose. If it is apparent to the external lawyers that the issue is very serious or urgent, or where the Head of Division is not available, advice must be copied to the General Counsel or Deputy General Counsel, or those individuals must be orally notified of the issue, in either case as soon as reasonably practicable.</w:t>
      </w:r>
    </w:p>
    <w:p w14:paraId="4E72DDC3" w14:textId="77777777" w:rsidR="006D6B62" w:rsidRPr="009A2A37" w:rsidRDefault="006D6B62" w:rsidP="006D6B62">
      <w:pPr>
        <w:jc w:val="both"/>
        <w:rPr>
          <w:rFonts w:cs="Arial"/>
        </w:rPr>
      </w:pPr>
    </w:p>
    <w:p w14:paraId="27B259F5" w14:textId="77777777" w:rsidR="006D6B62" w:rsidRPr="009A2A37" w:rsidRDefault="006D6B62" w:rsidP="00315328">
      <w:pPr>
        <w:numPr>
          <w:ilvl w:val="0"/>
          <w:numId w:val="30"/>
        </w:numPr>
        <w:jc w:val="both"/>
        <w:rPr>
          <w:rFonts w:cs="Arial"/>
        </w:rPr>
      </w:pPr>
      <w:r w:rsidRPr="009A2A37">
        <w:rPr>
          <w:rFonts w:cs="Arial"/>
        </w:rPr>
        <w:t xml:space="preserve">Where relevant to the external lawyers’ instructions, and subject to the agreement of the clients, it is expected that the relevant representatives of the external lawyers will be present at any </w:t>
      </w:r>
      <w:r>
        <w:rPr>
          <w:rFonts w:cs="Arial"/>
        </w:rPr>
        <w:t>Procurement Assurance Board</w:t>
      </w:r>
      <w:r w:rsidRPr="009A2A37">
        <w:rPr>
          <w:rFonts w:cs="Arial"/>
        </w:rPr>
        <w:t xml:space="preserve"> or Board Investment and Commercial Committee (or equivalent) in order to be able to provide legal advice at first hand.  </w:t>
      </w:r>
    </w:p>
    <w:p w14:paraId="0031D6DD" w14:textId="77777777" w:rsidR="006D6B62" w:rsidRPr="009A2A37" w:rsidRDefault="006D6B62" w:rsidP="006D6B62">
      <w:pPr>
        <w:ind w:left="360"/>
        <w:jc w:val="both"/>
        <w:rPr>
          <w:rFonts w:cs="Arial"/>
        </w:rPr>
      </w:pPr>
    </w:p>
    <w:p w14:paraId="130C7B02" w14:textId="77777777" w:rsidR="006D6B62" w:rsidRPr="009A2A37" w:rsidRDefault="006D6B62" w:rsidP="00315328">
      <w:pPr>
        <w:numPr>
          <w:ilvl w:val="0"/>
          <w:numId w:val="30"/>
        </w:numPr>
        <w:jc w:val="both"/>
        <w:rPr>
          <w:rFonts w:cs="Arial"/>
        </w:rPr>
      </w:pPr>
      <w:r w:rsidRPr="009A2A37">
        <w:rPr>
          <w:rFonts w:cs="Arial"/>
        </w:rPr>
        <w:t xml:space="preserve">Irrespective of their scope of work, external lawyers may be required to provide a report on the legal risks arising on any particular matter and, if so, how those risks have been mitigated.  In some cases the Department will require a written note of advice from external lawyers confirming that the decision or action the Department proposes to take is lawful.  External lawyers will be expected to work with internal lawyers and clients in order to be able to provide such a note.  Alternatively, if external lawyers conclude that such a note cannot be provided, they will be expected to work with internal lawyers and clients with a view to resolving the issues in question to the satisfaction of the Department.   </w:t>
      </w:r>
    </w:p>
    <w:p w14:paraId="60D7C156" w14:textId="77777777" w:rsidR="006D6B62" w:rsidRPr="009A2A37" w:rsidRDefault="006D6B62" w:rsidP="006D6B62">
      <w:pPr>
        <w:jc w:val="both"/>
        <w:rPr>
          <w:rFonts w:cs="Arial"/>
        </w:rPr>
      </w:pPr>
    </w:p>
    <w:p w14:paraId="5020DEA2" w14:textId="77777777" w:rsidR="006D6B62" w:rsidRPr="009A2A37" w:rsidRDefault="006D6B62" w:rsidP="00315328">
      <w:pPr>
        <w:numPr>
          <w:ilvl w:val="0"/>
          <w:numId w:val="30"/>
        </w:numPr>
        <w:jc w:val="both"/>
        <w:rPr>
          <w:rFonts w:cs="Arial"/>
        </w:rPr>
      </w:pPr>
      <w:r w:rsidRPr="009A2A37">
        <w:rPr>
          <w:rFonts w:cs="Arial"/>
        </w:rPr>
        <w:t>The General Counsel or Deputy General Counsel (as appropriate) may require regular meetings with the relationship partner (or equivalent senior representative of the external lawyers) to discuss any issues and concerns.  Any such meetings should happen on a quarterly basis or more frequently if appropriate. In the absence of the General Counsel or Deputy General Counsel for any reason, the meeting will normally proceed with a senior lawyer in the General Counsel’s Office.</w:t>
      </w:r>
    </w:p>
    <w:p w14:paraId="1809C977" w14:textId="77777777" w:rsidR="006D6B62" w:rsidRPr="009A2A37" w:rsidRDefault="006D6B62" w:rsidP="006D6B62">
      <w:pPr>
        <w:jc w:val="both"/>
        <w:rPr>
          <w:rFonts w:cs="Arial"/>
        </w:rPr>
      </w:pPr>
    </w:p>
    <w:p w14:paraId="4A82A130" w14:textId="77777777" w:rsidR="006D6B62" w:rsidRPr="009A2A37" w:rsidRDefault="006D6B62" w:rsidP="00315328">
      <w:pPr>
        <w:numPr>
          <w:ilvl w:val="0"/>
          <w:numId w:val="30"/>
        </w:numPr>
        <w:jc w:val="both"/>
        <w:rPr>
          <w:rFonts w:cs="Arial"/>
        </w:rPr>
      </w:pPr>
      <w:r w:rsidRPr="009A2A37">
        <w:rPr>
          <w:rFonts w:cs="Arial"/>
        </w:rPr>
        <w:t>Executive Agencies of the Department which are not separately constituted bodies may be involved in matters to which these arrangements apply. In those cases the teams in the agencies dealing with the relevant matter(s) will need to be made aware of the existence of these arrangements by the Department. Where the external lawyers operate on the basis of a framework or call off arrangement with an Agency, the internal lawyer or Head of Division (as appropriate) may also require regular meetings with the external lawyers to discuss any issues and concerns. Again, meetings should be on a quarterly basis.</w:t>
      </w:r>
    </w:p>
    <w:p w14:paraId="106E88CE" w14:textId="77777777" w:rsidR="006D6B62" w:rsidRPr="009A2A37" w:rsidRDefault="006D6B62" w:rsidP="006D6B62">
      <w:pPr>
        <w:ind w:firstLine="60"/>
        <w:jc w:val="both"/>
        <w:rPr>
          <w:rFonts w:cs="Arial"/>
        </w:rPr>
      </w:pPr>
    </w:p>
    <w:p w14:paraId="7B82FC8E" w14:textId="77777777" w:rsidR="006D6B62" w:rsidRPr="009A2A37" w:rsidRDefault="006D6B62" w:rsidP="00315328">
      <w:pPr>
        <w:numPr>
          <w:ilvl w:val="0"/>
          <w:numId w:val="30"/>
        </w:numPr>
        <w:jc w:val="both"/>
        <w:rPr>
          <w:rFonts w:cs="Arial"/>
        </w:rPr>
      </w:pPr>
      <w:r w:rsidRPr="009A2A37">
        <w:rPr>
          <w:rFonts w:cs="Arial"/>
        </w:rPr>
        <w:t>It is not anticipated that these arrangements will apply in respect of separately constituted bodies.</w:t>
      </w:r>
    </w:p>
    <w:p w14:paraId="6B1FDCDA" w14:textId="77777777" w:rsidR="006D6B62" w:rsidRPr="002F4D97" w:rsidRDefault="006D6B62" w:rsidP="006D6B62">
      <w:pPr>
        <w:pStyle w:val="Heading1"/>
        <w:numPr>
          <w:ilvl w:val="0"/>
          <w:numId w:val="0"/>
        </w:numPr>
        <w:spacing w:after="120"/>
      </w:pPr>
    </w:p>
    <w:p w14:paraId="40688E68" w14:textId="7E922EAB" w:rsidR="006D6B62" w:rsidRPr="006F0FF5" w:rsidRDefault="006D6B62" w:rsidP="006D6B62">
      <w:pPr>
        <w:pStyle w:val="Heading2"/>
        <w:numPr>
          <w:ilvl w:val="0"/>
          <w:numId w:val="0"/>
        </w:numPr>
        <w:tabs>
          <w:tab w:val="num" w:pos="927"/>
          <w:tab w:val="num" w:pos="1080"/>
        </w:tabs>
        <w:jc w:val="center"/>
        <w:rPr>
          <w:rFonts w:cs="Arial"/>
          <w:b/>
          <w:sz w:val="24"/>
          <w:szCs w:val="24"/>
        </w:rPr>
      </w:pPr>
      <w:r w:rsidRPr="006F0FF5">
        <w:rPr>
          <w:b/>
          <w:sz w:val="24"/>
          <w:szCs w:val="24"/>
        </w:rPr>
        <w:t>ANNEX 2</w:t>
      </w:r>
      <w:r w:rsidR="00EF6242">
        <w:rPr>
          <w:b/>
          <w:sz w:val="24"/>
          <w:szCs w:val="24"/>
        </w:rPr>
        <w:t xml:space="preserve"> </w:t>
      </w:r>
      <w:r w:rsidR="00EF6242">
        <w:rPr>
          <w:rFonts w:cs="Arial"/>
          <w:b/>
        </w:rPr>
        <w:t>(of the Statement of Requirements)</w:t>
      </w:r>
      <w:r w:rsidRPr="006F0FF5">
        <w:rPr>
          <w:rFonts w:cs="Arial"/>
          <w:b/>
          <w:sz w:val="24"/>
          <w:szCs w:val="24"/>
        </w:rPr>
        <w:t xml:space="preserve"> – SCOPE OF SERVICE</w:t>
      </w:r>
    </w:p>
    <w:p w14:paraId="062C0553" w14:textId="77777777" w:rsidR="006D6B62" w:rsidRPr="00482064" w:rsidRDefault="006D6B62" w:rsidP="00315328">
      <w:pPr>
        <w:pStyle w:val="Heading2"/>
        <w:keepNext/>
        <w:numPr>
          <w:ilvl w:val="0"/>
          <w:numId w:val="29"/>
        </w:numPr>
        <w:tabs>
          <w:tab w:val="left" w:pos="0"/>
        </w:tabs>
        <w:overflowPunct w:val="0"/>
        <w:autoSpaceDE w:val="0"/>
        <w:autoSpaceDN w:val="0"/>
        <w:spacing w:before="240" w:after="120"/>
        <w:textAlignment w:val="baseline"/>
        <w:rPr>
          <w:szCs w:val="22"/>
        </w:rPr>
      </w:pPr>
      <w:bookmarkStart w:id="160" w:name="_Toc346639817"/>
      <w:r w:rsidRPr="00482064">
        <w:rPr>
          <w:szCs w:val="22"/>
        </w:rPr>
        <w:t>Preparation</w:t>
      </w:r>
      <w:bookmarkEnd w:id="160"/>
    </w:p>
    <w:p w14:paraId="61D4F6F3" w14:textId="77777777" w:rsidR="006D6B62" w:rsidRPr="00482064" w:rsidRDefault="006D6B62" w:rsidP="00315328">
      <w:pPr>
        <w:pStyle w:val="Number3"/>
        <w:numPr>
          <w:ilvl w:val="1"/>
          <w:numId w:val="29"/>
        </w:numPr>
        <w:rPr>
          <w:sz w:val="22"/>
          <w:szCs w:val="22"/>
        </w:rPr>
      </w:pPr>
      <w:r w:rsidRPr="00482064">
        <w:rPr>
          <w:sz w:val="22"/>
          <w:szCs w:val="22"/>
        </w:rPr>
        <w:t>Comment on initial assessment of transaction risks.</w:t>
      </w:r>
    </w:p>
    <w:p w14:paraId="4212B227" w14:textId="77777777" w:rsidR="006D6B62" w:rsidRPr="00482064" w:rsidRDefault="006D6B62" w:rsidP="00315328">
      <w:pPr>
        <w:pStyle w:val="Number3"/>
        <w:numPr>
          <w:ilvl w:val="1"/>
          <w:numId w:val="29"/>
        </w:numPr>
        <w:rPr>
          <w:sz w:val="22"/>
          <w:szCs w:val="22"/>
        </w:rPr>
      </w:pPr>
      <w:r w:rsidRPr="00482064">
        <w:rPr>
          <w:sz w:val="22"/>
          <w:szCs w:val="22"/>
        </w:rPr>
        <w:t>Comment on any required adaptation of the template tender evaluation process.</w:t>
      </w:r>
    </w:p>
    <w:p w14:paraId="62494EE5" w14:textId="77777777" w:rsidR="006D6B62" w:rsidRPr="00482064" w:rsidRDefault="006D6B62" w:rsidP="00315328">
      <w:pPr>
        <w:pStyle w:val="Number3"/>
        <w:numPr>
          <w:ilvl w:val="1"/>
          <w:numId w:val="29"/>
        </w:numPr>
        <w:rPr>
          <w:sz w:val="22"/>
          <w:szCs w:val="22"/>
        </w:rPr>
      </w:pPr>
      <w:r w:rsidRPr="00482064">
        <w:rPr>
          <w:sz w:val="22"/>
          <w:szCs w:val="22"/>
        </w:rPr>
        <w:t>Any development of the Franchise Information Pack (FIP) and related advertisement including the Franchise Letting Process Agreement (FLPA), and Request for Proposal (RfP).</w:t>
      </w:r>
    </w:p>
    <w:p w14:paraId="31648108" w14:textId="77777777" w:rsidR="006D6B62" w:rsidRPr="00482064" w:rsidRDefault="006D6B62" w:rsidP="00315328">
      <w:pPr>
        <w:pStyle w:val="Number3"/>
        <w:numPr>
          <w:ilvl w:val="1"/>
          <w:numId w:val="29"/>
        </w:numPr>
        <w:rPr>
          <w:sz w:val="22"/>
          <w:szCs w:val="22"/>
        </w:rPr>
      </w:pPr>
      <w:r w:rsidRPr="00482064">
        <w:rPr>
          <w:sz w:val="22"/>
          <w:szCs w:val="22"/>
        </w:rPr>
        <w:t>Contribute and advise on the legal implications during the development of the RfP including: Delivery Plan requirements, the Franchise Agreement, Long Form report, and the development of the franchising timetable.</w:t>
      </w:r>
    </w:p>
    <w:p w14:paraId="77B6E193" w14:textId="77777777" w:rsidR="006D6B62" w:rsidRPr="00482064" w:rsidRDefault="006D6B62" w:rsidP="00315328">
      <w:pPr>
        <w:pStyle w:val="Number3"/>
        <w:numPr>
          <w:ilvl w:val="1"/>
          <w:numId w:val="29"/>
        </w:numPr>
        <w:rPr>
          <w:sz w:val="22"/>
          <w:szCs w:val="22"/>
        </w:rPr>
      </w:pPr>
      <w:r w:rsidRPr="00482064">
        <w:rPr>
          <w:sz w:val="22"/>
          <w:szCs w:val="22"/>
        </w:rPr>
        <w:t>Comment on and consider any parallel procurement issues as a result of the West Coast Partnership franchise being potentially run at the same time.</w:t>
      </w:r>
    </w:p>
    <w:p w14:paraId="3DF8C428" w14:textId="77777777" w:rsidR="006D6B62" w:rsidRPr="00482064" w:rsidRDefault="006D6B62" w:rsidP="00315328">
      <w:pPr>
        <w:pStyle w:val="Number3"/>
        <w:numPr>
          <w:ilvl w:val="1"/>
          <w:numId w:val="29"/>
        </w:numPr>
        <w:rPr>
          <w:sz w:val="22"/>
          <w:szCs w:val="22"/>
        </w:rPr>
      </w:pPr>
      <w:r w:rsidRPr="00482064">
        <w:rPr>
          <w:sz w:val="22"/>
          <w:szCs w:val="22"/>
        </w:rPr>
        <w:t>Provide advice and drafting that takes forward the latest version of the Franchise Agreement to include refinement of existing policy in the light of experience and policy development in areas not covered thus far. These could include, amongst other things: train service specification, crowding and service quality policy, devolution, partnership working with the infrastructure manager and re-mapping of franchise services.</w:t>
      </w:r>
    </w:p>
    <w:p w14:paraId="0B8A00D6" w14:textId="77777777" w:rsidR="006D6B62" w:rsidRPr="00482064" w:rsidRDefault="006D6B62" w:rsidP="00315328">
      <w:pPr>
        <w:pStyle w:val="Number3"/>
        <w:numPr>
          <w:ilvl w:val="1"/>
          <w:numId w:val="29"/>
        </w:numPr>
        <w:rPr>
          <w:sz w:val="22"/>
          <w:szCs w:val="22"/>
        </w:rPr>
      </w:pPr>
      <w:r w:rsidRPr="00482064">
        <w:rPr>
          <w:sz w:val="22"/>
          <w:szCs w:val="22"/>
        </w:rPr>
        <w:t>Comment on the preparation of documentation by the Department for internal approval purposes.</w:t>
      </w:r>
    </w:p>
    <w:p w14:paraId="484EBE19" w14:textId="77777777" w:rsidR="006D6B62" w:rsidRPr="00482064" w:rsidRDefault="006D6B62" w:rsidP="00315328">
      <w:pPr>
        <w:pStyle w:val="Number3"/>
        <w:numPr>
          <w:ilvl w:val="1"/>
          <w:numId w:val="29"/>
        </w:numPr>
        <w:rPr>
          <w:sz w:val="22"/>
          <w:szCs w:val="22"/>
        </w:rPr>
      </w:pPr>
      <w:r w:rsidRPr="00482064">
        <w:rPr>
          <w:sz w:val="22"/>
          <w:szCs w:val="22"/>
        </w:rPr>
        <w:t>Liaise with the Department and financial and technical advisers to ensure template financial models are consistent with key Franchise Agreement concepts.</w:t>
      </w:r>
    </w:p>
    <w:p w14:paraId="0FDFB34E" w14:textId="77777777" w:rsidR="006D6B62" w:rsidRPr="00482064" w:rsidRDefault="006D6B62" w:rsidP="00315328">
      <w:pPr>
        <w:pStyle w:val="Number3"/>
        <w:numPr>
          <w:ilvl w:val="1"/>
          <w:numId w:val="29"/>
        </w:numPr>
        <w:rPr>
          <w:sz w:val="22"/>
          <w:szCs w:val="22"/>
        </w:rPr>
      </w:pPr>
      <w:r w:rsidRPr="00482064">
        <w:rPr>
          <w:sz w:val="22"/>
          <w:szCs w:val="22"/>
        </w:rPr>
        <w:t>Liaise with other legal adviser firms to understand lessons learned from other competitions.</w:t>
      </w:r>
    </w:p>
    <w:p w14:paraId="13EE723C" w14:textId="77777777" w:rsidR="006D6B62" w:rsidRPr="00482064" w:rsidRDefault="006D6B62" w:rsidP="00315328">
      <w:pPr>
        <w:pStyle w:val="Heading2"/>
        <w:keepNext/>
        <w:numPr>
          <w:ilvl w:val="0"/>
          <w:numId w:val="29"/>
        </w:numPr>
        <w:tabs>
          <w:tab w:val="left" w:pos="0"/>
        </w:tabs>
        <w:overflowPunct w:val="0"/>
        <w:autoSpaceDE w:val="0"/>
        <w:autoSpaceDN w:val="0"/>
        <w:spacing w:before="240" w:after="120"/>
        <w:textAlignment w:val="baseline"/>
        <w:rPr>
          <w:szCs w:val="22"/>
        </w:rPr>
      </w:pPr>
      <w:bookmarkStart w:id="161" w:name="_Toc346639818"/>
      <w:r w:rsidRPr="00482064">
        <w:rPr>
          <w:szCs w:val="22"/>
        </w:rPr>
        <w:t>Clarification Questions</w:t>
      </w:r>
      <w:bookmarkEnd w:id="161"/>
    </w:p>
    <w:p w14:paraId="3DA1126E" w14:textId="77777777" w:rsidR="006D6B62" w:rsidRPr="00482064" w:rsidRDefault="006D6B62" w:rsidP="00315328">
      <w:pPr>
        <w:pStyle w:val="Number3"/>
        <w:numPr>
          <w:ilvl w:val="1"/>
          <w:numId w:val="29"/>
        </w:numPr>
        <w:rPr>
          <w:sz w:val="22"/>
          <w:szCs w:val="22"/>
        </w:rPr>
      </w:pPr>
      <w:r w:rsidRPr="00482064">
        <w:rPr>
          <w:sz w:val="22"/>
          <w:szCs w:val="22"/>
        </w:rPr>
        <w:t>Attend clarification meetings with the incumbent TOC (Train Operating Company) as requested by the Department.</w:t>
      </w:r>
    </w:p>
    <w:p w14:paraId="674CED5C" w14:textId="77777777" w:rsidR="006D6B62" w:rsidRPr="00482064" w:rsidRDefault="006D6B62" w:rsidP="00315328">
      <w:pPr>
        <w:pStyle w:val="Number3"/>
        <w:numPr>
          <w:ilvl w:val="1"/>
          <w:numId w:val="29"/>
        </w:numPr>
        <w:rPr>
          <w:sz w:val="22"/>
          <w:szCs w:val="22"/>
        </w:rPr>
      </w:pPr>
      <w:r w:rsidRPr="00482064">
        <w:rPr>
          <w:sz w:val="22"/>
          <w:szCs w:val="22"/>
        </w:rPr>
        <w:t>Assist in providing response to clarification questions as requested by the Department.</w:t>
      </w:r>
    </w:p>
    <w:p w14:paraId="0D3AD5BD" w14:textId="77777777" w:rsidR="006D6B62" w:rsidRPr="00482064" w:rsidRDefault="006D6B62" w:rsidP="00315328">
      <w:pPr>
        <w:pStyle w:val="Heading2"/>
        <w:keepNext/>
        <w:numPr>
          <w:ilvl w:val="0"/>
          <w:numId w:val="29"/>
        </w:numPr>
        <w:tabs>
          <w:tab w:val="left" w:pos="0"/>
        </w:tabs>
        <w:overflowPunct w:val="0"/>
        <w:autoSpaceDE w:val="0"/>
        <w:autoSpaceDN w:val="0"/>
        <w:spacing w:before="240" w:after="120"/>
        <w:textAlignment w:val="baseline"/>
        <w:rPr>
          <w:szCs w:val="22"/>
        </w:rPr>
      </w:pPr>
      <w:bookmarkStart w:id="162" w:name="_Toc346639820"/>
      <w:r w:rsidRPr="00482064">
        <w:rPr>
          <w:szCs w:val="22"/>
        </w:rPr>
        <w:t>Proposal Evaluation</w:t>
      </w:r>
      <w:bookmarkEnd w:id="162"/>
    </w:p>
    <w:p w14:paraId="25267C0B" w14:textId="77777777" w:rsidR="006D6B62" w:rsidRPr="00482064" w:rsidRDefault="006D6B62" w:rsidP="00315328">
      <w:pPr>
        <w:pStyle w:val="Number3"/>
        <w:numPr>
          <w:ilvl w:val="1"/>
          <w:numId w:val="29"/>
        </w:numPr>
        <w:rPr>
          <w:sz w:val="22"/>
          <w:szCs w:val="22"/>
        </w:rPr>
      </w:pPr>
      <w:r w:rsidRPr="00482064">
        <w:rPr>
          <w:sz w:val="22"/>
          <w:szCs w:val="22"/>
        </w:rPr>
        <w:t>Comment on whether the Proposal received complies with the RfP and other documentation.</w:t>
      </w:r>
    </w:p>
    <w:p w14:paraId="5071774E" w14:textId="77777777" w:rsidR="006D6B62" w:rsidRPr="00482064" w:rsidRDefault="006D6B62" w:rsidP="00315328">
      <w:pPr>
        <w:pStyle w:val="Number3"/>
        <w:numPr>
          <w:ilvl w:val="1"/>
          <w:numId w:val="29"/>
        </w:numPr>
        <w:rPr>
          <w:sz w:val="22"/>
          <w:szCs w:val="22"/>
        </w:rPr>
      </w:pPr>
      <w:r w:rsidRPr="00482064">
        <w:rPr>
          <w:sz w:val="22"/>
          <w:szCs w:val="22"/>
        </w:rPr>
        <w:t>Comment on the incumbent TOC’s Priced Options if required.</w:t>
      </w:r>
    </w:p>
    <w:p w14:paraId="2BFAC5DA" w14:textId="77777777" w:rsidR="006D6B62" w:rsidRPr="00482064" w:rsidRDefault="006D6B62" w:rsidP="00315328">
      <w:pPr>
        <w:pStyle w:val="Number3"/>
        <w:numPr>
          <w:ilvl w:val="1"/>
          <w:numId w:val="29"/>
        </w:numPr>
        <w:rPr>
          <w:sz w:val="22"/>
          <w:szCs w:val="22"/>
        </w:rPr>
      </w:pPr>
      <w:r w:rsidRPr="00482064">
        <w:rPr>
          <w:sz w:val="22"/>
          <w:szCs w:val="22"/>
        </w:rPr>
        <w:t>Support the Department in developing and issuing requests for such information and clarification as is necessary to ensure compliance with the RfP.</w:t>
      </w:r>
    </w:p>
    <w:p w14:paraId="4E84FFDB" w14:textId="77777777" w:rsidR="006D6B62" w:rsidRPr="00482064" w:rsidRDefault="006D6B62" w:rsidP="00315328">
      <w:pPr>
        <w:pStyle w:val="Number3"/>
        <w:numPr>
          <w:ilvl w:val="1"/>
          <w:numId w:val="29"/>
        </w:numPr>
        <w:rPr>
          <w:sz w:val="22"/>
          <w:szCs w:val="22"/>
        </w:rPr>
      </w:pPr>
      <w:r w:rsidRPr="00482064">
        <w:rPr>
          <w:sz w:val="22"/>
          <w:szCs w:val="22"/>
        </w:rPr>
        <w:t>Evaluate the allocation of risks between the Department and incumbent TOC for each bid, including Secretary of State Risk Assumptions.</w:t>
      </w:r>
    </w:p>
    <w:p w14:paraId="5F584F38" w14:textId="77777777" w:rsidR="006D6B62" w:rsidRPr="00482064" w:rsidRDefault="006D6B62" w:rsidP="00315328">
      <w:pPr>
        <w:pStyle w:val="Number3"/>
        <w:numPr>
          <w:ilvl w:val="1"/>
          <w:numId w:val="29"/>
        </w:numPr>
        <w:rPr>
          <w:sz w:val="22"/>
          <w:szCs w:val="22"/>
        </w:rPr>
      </w:pPr>
      <w:r w:rsidRPr="00482064">
        <w:rPr>
          <w:sz w:val="22"/>
          <w:szCs w:val="22"/>
        </w:rPr>
        <w:lastRenderedPageBreak/>
        <w:t>Comment on proposals with regard to profit sharing (if any).</w:t>
      </w:r>
    </w:p>
    <w:p w14:paraId="59E40F4D" w14:textId="77777777" w:rsidR="006D6B62" w:rsidRPr="00482064" w:rsidRDefault="006D6B62" w:rsidP="00315328">
      <w:pPr>
        <w:pStyle w:val="Number3"/>
        <w:numPr>
          <w:ilvl w:val="1"/>
          <w:numId w:val="29"/>
        </w:numPr>
        <w:rPr>
          <w:sz w:val="22"/>
          <w:szCs w:val="22"/>
        </w:rPr>
      </w:pPr>
      <w:r w:rsidRPr="00482064">
        <w:rPr>
          <w:sz w:val="22"/>
          <w:szCs w:val="22"/>
        </w:rPr>
        <w:t>Contribute to the development of the Department evaluation report as required.</w:t>
      </w:r>
    </w:p>
    <w:p w14:paraId="1D2BF5C2" w14:textId="77777777" w:rsidR="006D6B62" w:rsidRPr="00482064" w:rsidRDefault="006D6B62" w:rsidP="00315328">
      <w:pPr>
        <w:pStyle w:val="Number3"/>
        <w:numPr>
          <w:ilvl w:val="1"/>
          <w:numId w:val="29"/>
        </w:numPr>
        <w:rPr>
          <w:sz w:val="22"/>
          <w:szCs w:val="22"/>
        </w:rPr>
      </w:pPr>
      <w:r w:rsidRPr="00482064">
        <w:rPr>
          <w:sz w:val="22"/>
          <w:szCs w:val="22"/>
        </w:rPr>
        <w:t>Attend / present at Department decision making forums as requested by Department.</w:t>
      </w:r>
    </w:p>
    <w:p w14:paraId="3A7FE5D3" w14:textId="77777777" w:rsidR="006D6B62" w:rsidRPr="00482064" w:rsidRDefault="006D6B62" w:rsidP="00315328">
      <w:pPr>
        <w:pStyle w:val="Number3"/>
        <w:numPr>
          <w:ilvl w:val="1"/>
          <w:numId w:val="29"/>
        </w:numPr>
        <w:rPr>
          <w:sz w:val="22"/>
          <w:szCs w:val="22"/>
        </w:rPr>
      </w:pPr>
      <w:r w:rsidRPr="00482064">
        <w:rPr>
          <w:sz w:val="22"/>
          <w:szCs w:val="22"/>
        </w:rPr>
        <w:t>Comment on the preparation of documentation by the Department for internal approval procedures.</w:t>
      </w:r>
    </w:p>
    <w:p w14:paraId="57A09B07" w14:textId="77777777" w:rsidR="006D6B62" w:rsidRPr="00482064" w:rsidRDefault="006D6B62" w:rsidP="00315328">
      <w:pPr>
        <w:pStyle w:val="Number3"/>
        <w:numPr>
          <w:ilvl w:val="1"/>
          <w:numId w:val="29"/>
        </w:numPr>
        <w:rPr>
          <w:sz w:val="22"/>
          <w:szCs w:val="22"/>
        </w:rPr>
      </w:pPr>
      <w:r w:rsidRPr="00482064">
        <w:rPr>
          <w:sz w:val="22"/>
          <w:szCs w:val="22"/>
        </w:rPr>
        <w:t>If appropriate, update and comment on the legal structure and standing of incumbent TOC.</w:t>
      </w:r>
    </w:p>
    <w:p w14:paraId="47685168" w14:textId="77777777" w:rsidR="006D6B62" w:rsidRPr="00482064" w:rsidRDefault="006D6B62" w:rsidP="00315328">
      <w:pPr>
        <w:pStyle w:val="Number3"/>
        <w:numPr>
          <w:ilvl w:val="1"/>
          <w:numId w:val="29"/>
        </w:numPr>
        <w:tabs>
          <w:tab w:val="clear" w:pos="1080"/>
          <w:tab w:val="num" w:pos="993"/>
        </w:tabs>
        <w:rPr>
          <w:sz w:val="22"/>
          <w:szCs w:val="22"/>
        </w:rPr>
      </w:pPr>
      <w:r w:rsidRPr="00482064">
        <w:rPr>
          <w:sz w:val="22"/>
          <w:szCs w:val="22"/>
        </w:rPr>
        <w:t>Attend clarification meetings with incumbent TOC if required.</w:t>
      </w:r>
    </w:p>
    <w:p w14:paraId="0807D1E9" w14:textId="77777777" w:rsidR="006D6B62" w:rsidRPr="00482064" w:rsidRDefault="006D6B62" w:rsidP="00315328">
      <w:pPr>
        <w:pStyle w:val="Heading2"/>
        <w:keepNext/>
        <w:numPr>
          <w:ilvl w:val="0"/>
          <w:numId w:val="29"/>
        </w:numPr>
        <w:tabs>
          <w:tab w:val="left" w:pos="0"/>
        </w:tabs>
        <w:overflowPunct w:val="0"/>
        <w:autoSpaceDE w:val="0"/>
        <w:autoSpaceDN w:val="0"/>
        <w:spacing w:before="240" w:after="120"/>
        <w:textAlignment w:val="baseline"/>
        <w:rPr>
          <w:szCs w:val="22"/>
        </w:rPr>
      </w:pPr>
      <w:bookmarkStart w:id="163" w:name="_Toc346639821"/>
      <w:r w:rsidRPr="00482064">
        <w:rPr>
          <w:szCs w:val="22"/>
        </w:rPr>
        <w:t>Negotiation (if appropriate) and Contractualisation</w:t>
      </w:r>
      <w:bookmarkEnd w:id="163"/>
    </w:p>
    <w:p w14:paraId="2F0C83EE" w14:textId="77777777" w:rsidR="006D6B62" w:rsidRPr="00482064" w:rsidRDefault="006D6B62" w:rsidP="00315328">
      <w:pPr>
        <w:pStyle w:val="Number3"/>
        <w:numPr>
          <w:ilvl w:val="1"/>
          <w:numId w:val="29"/>
        </w:numPr>
        <w:rPr>
          <w:sz w:val="22"/>
          <w:szCs w:val="22"/>
        </w:rPr>
      </w:pPr>
      <w:r w:rsidRPr="00482064">
        <w:rPr>
          <w:sz w:val="22"/>
          <w:szCs w:val="22"/>
        </w:rPr>
        <w:t>Comment on the Negotiating Brief prepared by the Department and updates to this.</w:t>
      </w:r>
    </w:p>
    <w:p w14:paraId="0E2E025A" w14:textId="77777777" w:rsidR="006D6B62" w:rsidRPr="00482064" w:rsidRDefault="006D6B62" w:rsidP="00315328">
      <w:pPr>
        <w:pStyle w:val="Number3"/>
        <w:numPr>
          <w:ilvl w:val="1"/>
          <w:numId w:val="29"/>
        </w:numPr>
        <w:rPr>
          <w:sz w:val="22"/>
          <w:szCs w:val="22"/>
        </w:rPr>
      </w:pPr>
      <w:r w:rsidRPr="00482064">
        <w:rPr>
          <w:sz w:val="22"/>
          <w:szCs w:val="22"/>
        </w:rPr>
        <w:t>Attend negotiation and drafting meetings with the Department and incumbent TOC.</w:t>
      </w:r>
    </w:p>
    <w:p w14:paraId="161CF5B7" w14:textId="77777777" w:rsidR="006D6B62" w:rsidRPr="00482064" w:rsidRDefault="006D6B62" w:rsidP="00315328">
      <w:pPr>
        <w:pStyle w:val="Number3"/>
        <w:numPr>
          <w:ilvl w:val="1"/>
          <w:numId w:val="29"/>
        </w:numPr>
        <w:rPr>
          <w:sz w:val="22"/>
          <w:szCs w:val="22"/>
        </w:rPr>
      </w:pPr>
      <w:r w:rsidRPr="00482064">
        <w:rPr>
          <w:sz w:val="22"/>
          <w:szCs w:val="22"/>
        </w:rPr>
        <w:t>Support the Department in negotiations with incumbent TOCs on proposals.</w:t>
      </w:r>
    </w:p>
    <w:p w14:paraId="700B17BD" w14:textId="77777777" w:rsidR="006D6B62" w:rsidRPr="00482064" w:rsidRDefault="006D6B62" w:rsidP="00315328">
      <w:pPr>
        <w:pStyle w:val="Number3"/>
        <w:numPr>
          <w:ilvl w:val="1"/>
          <w:numId w:val="29"/>
        </w:numPr>
        <w:rPr>
          <w:sz w:val="22"/>
          <w:szCs w:val="22"/>
        </w:rPr>
      </w:pPr>
      <w:r w:rsidRPr="00482064">
        <w:rPr>
          <w:sz w:val="22"/>
          <w:szCs w:val="22"/>
        </w:rPr>
        <w:t>Attend meetings with incumbent TOCs to provide feedback as requested by Department.</w:t>
      </w:r>
    </w:p>
    <w:p w14:paraId="749A9894" w14:textId="77777777" w:rsidR="006D6B62" w:rsidRPr="00482064" w:rsidRDefault="006D6B62" w:rsidP="00315328">
      <w:pPr>
        <w:pStyle w:val="Number3"/>
        <w:numPr>
          <w:ilvl w:val="1"/>
          <w:numId w:val="29"/>
        </w:numPr>
        <w:rPr>
          <w:sz w:val="22"/>
          <w:szCs w:val="22"/>
        </w:rPr>
      </w:pPr>
      <w:r w:rsidRPr="00482064">
        <w:rPr>
          <w:sz w:val="22"/>
          <w:szCs w:val="22"/>
        </w:rPr>
        <w:t>Comment on documentation prepared by the Department for internal approval purposes.</w:t>
      </w:r>
    </w:p>
    <w:p w14:paraId="69DC6DC2" w14:textId="77777777" w:rsidR="006D6B62" w:rsidRPr="00482064" w:rsidRDefault="006D6B62" w:rsidP="00315328">
      <w:pPr>
        <w:pStyle w:val="Number3"/>
        <w:numPr>
          <w:ilvl w:val="1"/>
          <w:numId w:val="29"/>
        </w:numPr>
        <w:rPr>
          <w:sz w:val="22"/>
          <w:szCs w:val="22"/>
        </w:rPr>
      </w:pPr>
      <w:r w:rsidRPr="00482064">
        <w:rPr>
          <w:sz w:val="22"/>
          <w:szCs w:val="22"/>
        </w:rPr>
        <w:t>Assist in responding to queries raised by the Department on any proposals to Ministers.</w:t>
      </w:r>
    </w:p>
    <w:p w14:paraId="486B9F64" w14:textId="77777777" w:rsidR="006D6B62" w:rsidRPr="00482064" w:rsidRDefault="006D6B62" w:rsidP="00315328">
      <w:pPr>
        <w:pStyle w:val="Number3"/>
        <w:numPr>
          <w:ilvl w:val="1"/>
          <w:numId w:val="29"/>
        </w:numPr>
        <w:rPr>
          <w:sz w:val="22"/>
          <w:szCs w:val="22"/>
        </w:rPr>
      </w:pPr>
      <w:r w:rsidRPr="00482064">
        <w:rPr>
          <w:sz w:val="22"/>
          <w:szCs w:val="22"/>
        </w:rPr>
        <w:t>Undertake Franchise Agreement drafting, including reviewing all ORR Licences.</w:t>
      </w:r>
    </w:p>
    <w:p w14:paraId="63CE9917" w14:textId="77777777" w:rsidR="006D6B62" w:rsidRPr="00482064" w:rsidRDefault="006D6B62" w:rsidP="00315328">
      <w:pPr>
        <w:pStyle w:val="Heading2"/>
        <w:keepNext/>
        <w:numPr>
          <w:ilvl w:val="0"/>
          <w:numId w:val="29"/>
        </w:numPr>
        <w:tabs>
          <w:tab w:val="left" w:pos="0"/>
        </w:tabs>
        <w:overflowPunct w:val="0"/>
        <w:autoSpaceDE w:val="0"/>
        <w:autoSpaceDN w:val="0"/>
        <w:spacing w:before="240" w:after="120"/>
        <w:textAlignment w:val="baseline"/>
        <w:rPr>
          <w:szCs w:val="22"/>
        </w:rPr>
      </w:pPr>
      <w:bookmarkStart w:id="164" w:name="_Toc346639823"/>
      <w:r w:rsidRPr="00482064">
        <w:rPr>
          <w:szCs w:val="22"/>
        </w:rPr>
        <w:t>Mobilisation</w:t>
      </w:r>
      <w:bookmarkEnd w:id="164"/>
    </w:p>
    <w:p w14:paraId="07D3F86D" w14:textId="77777777" w:rsidR="006D6B62" w:rsidRPr="00482064" w:rsidRDefault="006D6B62" w:rsidP="00315328">
      <w:pPr>
        <w:pStyle w:val="Number3"/>
        <w:numPr>
          <w:ilvl w:val="1"/>
          <w:numId w:val="29"/>
        </w:numPr>
        <w:rPr>
          <w:sz w:val="22"/>
          <w:szCs w:val="22"/>
        </w:rPr>
      </w:pPr>
      <w:r w:rsidRPr="00482064">
        <w:rPr>
          <w:sz w:val="22"/>
          <w:szCs w:val="22"/>
        </w:rPr>
        <w:t>Provide advice on issues that arise with the incumbent TOC during the mobilisation stage.</w:t>
      </w:r>
    </w:p>
    <w:p w14:paraId="69EE24BE" w14:textId="77777777" w:rsidR="006D6B62" w:rsidRPr="00482064" w:rsidRDefault="006D6B62" w:rsidP="00315328">
      <w:pPr>
        <w:pStyle w:val="Number3"/>
        <w:numPr>
          <w:ilvl w:val="1"/>
          <w:numId w:val="29"/>
        </w:numPr>
        <w:rPr>
          <w:sz w:val="22"/>
          <w:szCs w:val="22"/>
        </w:rPr>
      </w:pPr>
      <w:r w:rsidRPr="00482064">
        <w:rPr>
          <w:sz w:val="22"/>
          <w:szCs w:val="22"/>
        </w:rPr>
        <w:t>Undertake drafting of any outstanding legal documentation following franchise signature.</w:t>
      </w:r>
    </w:p>
    <w:p w14:paraId="7004813C" w14:textId="77777777" w:rsidR="006D6B62" w:rsidRPr="00482064" w:rsidRDefault="006D6B62" w:rsidP="00315328">
      <w:pPr>
        <w:pStyle w:val="Number3"/>
        <w:numPr>
          <w:ilvl w:val="1"/>
          <w:numId w:val="29"/>
        </w:numPr>
        <w:rPr>
          <w:sz w:val="22"/>
          <w:szCs w:val="22"/>
        </w:rPr>
      </w:pPr>
      <w:r w:rsidRPr="00482064">
        <w:rPr>
          <w:sz w:val="22"/>
          <w:szCs w:val="22"/>
        </w:rPr>
        <w:t>Provide legal advice in relation to the Conditions Precedent Agreement.</w:t>
      </w:r>
    </w:p>
    <w:p w14:paraId="77DED06E" w14:textId="77777777" w:rsidR="006D6B62" w:rsidRPr="00482064" w:rsidRDefault="006D6B62" w:rsidP="00315328">
      <w:pPr>
        <w:pStyle w:val="Number3"/>
        <w:numPr>
          <w:ilvl w:val="1"/>
          <w:numId w:val="29"/>
        </w:numPr>
        <w:rPr>
          <w:sz w:val="22"/>
          <w:szCs w:val="22"/>
        </w:rPr>
      </w:pPr>
      <w:r w:rsidRPr="00482064">
        <w:rPr>
          <w:sz w:val="22"/>
          <w:szCs w:val="22"/>
        </w:rPr>
        <w:t>Provide legal support in reviewing the evidence from the incoming franchisee that the Conditions Precedent have been achieved and make recommendation(s) to the Department on the issue or not of the Commencement Certificate.</w:t>
      </w:r>
    </w:p>
    <w:p w14:paraId="39EF130F" w14:textId="77777777" w:rsidR="006D6B62" w:rsidRPr="00482064" w:rsidRDefault="006D6B62" w:rsidP="00315328">
      <w:pPr>
        <w:pStyle w:val="Number3"/>
        <w:numPr>
          <w:ilvl w:val="1"/>
          <w:numId w:val="29"/>
        </w:numPr>
        <w:rPr>
          <w:sz w:val="22"/>
          <w:szCs w:val="22"/>
        </w:rPr>
      </w:pPr>
      <w:r w:rsidRPr="00482064">
        <w:rPr>
          <w:sz w:val="22"/>
          <w:szCs w:val="22"/>
        </w:rPr>
        <w:t>Produce or review and advise the Department on the relevant legal documents required for the franchise to commence e.g. Transfer Scheme.</w:t>
      </w:r>
    </w:p>
    <w:p w14:paraId="23BAED1C" w14:textId="77777777" w:rsidR="006D6B62" w:rsidRPr="00482064" w:rsidRDefault="006D6B62" w:rsidP="00315328">
      <w:pPr>
        <w:pStyle w:val="Number3"/>
        <w:numPr>
          <w:ilvl w:val="1"/>
          <w:numId w:val="29"/>
        </w:numPr>
        <w:rPr>
          <w:sz w:val="22"/>
          <w:szCs w:val="22"/>
        </w:rPr>
      </w:pPr>
      <w:bookmarkStart w:id="165" w:name="_Ref219633744"/>
      <w:r w:rsidRPr="00482064">
        <w:rPr>
          <w:sz w:val="22"/>
          <w:szCs w:val="22"/>
        </w:rPr>
        <w:t>Work with Financial and Technical Advisers to produce mobilisation packs detailing franchise deliverables and key performance indicators that will form the basis for the on-going Contract Management.</w:t>
      </w:r>
      <w:bookmarkEnd w:id="165"/>
    </w:p>
    <w:p w14:paraId="552709A9" w14:textId="77777777" w:rsidR="006D6B62" w:rsidRPr="00482064" w:rsidRDefault="006D6B62" w:rsidP="00315328">
      <w:pPr>
        <w:pStyle w:val="Number3"/>
        <w:numPr>
          <w:ilvl w:val="1"/>
          <w:numId w:val="29"/>
        </w:numPr>
        <w:rPr>
          <w:sz w:val="22"/>
          <w:szCs w:val="22"/>
        </w:rPr>
      </w:pPr>
      <w:r w:rsidRPr="00482064">
        <w:rPr>
          <w:sz w:val="22"/>
          <w:szCs w:val="22"/>
        </w:rPr>
        <w:t>Work with the winning bidders and the Department mobilisation team providing advice on legal issues that arise with during the mobilisation stage.</w:t>
      </w:r>
    </w:p>
    <w:p w14:paraId="55AA84F7" w14:textId="77777777" w:rsidR="006D6B62" w:rsidRPr="00482064" w:rsidRDefault="006D6B62" w:rsidP="00315328">
      <w:pPr>
        <w:pStyle w:val="Heading2"/>
        <w:keepNext/>
        <w:numPr>
          <w:ilvl w:val="0"/>
          <w:numId w:val="29"/>
        </w:numPr>
        <w:tabs>
          <w:tab w:val="left" w:pos="0"/>
        </w:tabs>
        <w:overflowPunct w:val="0"/>
        <w:autoSpaceDE w:val="0"/>
        <w:autoSpaceDN w:val="0"/>
        <w:spacing w:before="240" w:after="120"/>
        <w:textAlignment w:val="baseline"/>
        <w:rPr>
          <w:szCs w:val="22"/>
        </w:rPr>
      </w:pPr>
      <w:bookmarkStart w:id="166" w:name="_Toc345920050"/>
      <w:bookmarkStart w:id="167" w:name="_Toc346639824"/>
      <w:bookmarkStart w:id="168" w:name="_Toc345336480"/>
      <w:bookmarkStart w:id="169" w:name="_Toc345336477"/>
      <w:bookmarkStart w:id="170" w:name="_Toc217979397"/>
      <w:r w:rsidRPr="00482064">
        <w:rPr>
          <w:szCs w:val="22"/>
        </w:rPr>
        <w:lastRenderedPageBreak/>
        <w:t>Project Management</w:t>
      </w:r>
      <w:bookmarkEnd w:id="166"/>
      <w:bookmarkEnd w:id="167"/>
    </w:p>
    <w:p w14:paraId="09BBD924" w14:textId="77777777" w:rsidR="006D6B62" w:rsidRPr="00482064" w:rsidRDefault="006D6B62" w:rsidP="00315328">
      <w:pPr>
        <w:pStyle w:val="Number3"/>
        <w:numPr>
          <w:ilvl w:val="1"/>
          <w:numId w:val="29"/>
        </w:numPr>
        <w:rPr>
          <w:sz w:val="22"/>
          <w:szCs w:val="22"/>
        </w:rPr>
      </w:pPr>
      <w:bookmarkStart w:id="171" w:name="_Ref219633503"/>
      <w:bookmarkStart w:id="172" w:name="_Ref219633718"/>
      <w:bookmarkEnd w:id="168"/>
      <w:r w:rsidRPr="00482064">
        <w:rPr>
          <w:sz w:val="22"/>
          <w:szCs w:val="22"/>
        </w:rPr>
        <w:t>Produce Legal Adviser assignment resource plans for the overall re-franchising programme project plan that:</w:t>
      </w:r>
    </w:p>
    <w:p w14:paraId="0685F2A7" w14:textId="77777777" w:rsidR="006D6B62" w:rsidRPr="00482064" w:rsidRDefault="006D6B62" w:rsidP="006D6B62">
      <w:pPr>
        <w:pStyle w:val="22-BulletText"/>
        <w:numPr>
          <w:ilvl w:val="0"/>
          <w:numId w:val="0"/>
        </w:numPr>
        <w:tabs>
          <w:tab w:val="clear" w:pos="1134"/>
        </w:tabs>
        <w:ind w:left="1728" w:hanging="651"/>
        <w:jc w:val="left"/>
        <w:rPr>
          <w:sz w:val="22"/>
          <w:szCs w:val="22"/>
        </w:rPr>
      </w:pPr>
      <w:r>
        <w:rPr>
          <w:sz w:val="22"/>
          <w:szCs w:val="22"/>
        </w:rPr>
        <w:t>6.1.1</w:t>
      </w:r>
      <w:r>
        <w:rPr>
          <w:sz w:val="22"/>
          <w:szCs w:val="22"/>
        </w:rPr>
        <w:tab/>
      </w:r>
      <w:r w:rsidRPr="00482064">
        <w:rPr>
          <w:sz w:val="22"/>
          <w:szCs w:val="22"/>
        </w:rPr>
        <w:t>Demonstrate the Tenderer’s capacity and resilience to support multiple assignments; and</w:t>
      </w:r>
    </w:p>
    <w:p w14:paraId="5BBAA976" w14:textId="77777777" w:rsidR="006D6B62" w:rsidRPr="00482064" w:rsidRDefault="006D6B62" w:rsidP="006D6B62">
      <w:pPr>
        <w:pStyle w:val="22-BulletText"/>
        <w:numPr>
          <w:ilvl w:val="0"/>
          <w:numId w:val="0"/>
        </w:numPr>
        <w:tabs>
          <w:tab w:val="clear" w:pos="1134"/>
        </w:tabs>
        <w:ind w:left="1728" w:hanging="651"/>
        <w:jc w:val="left"/>
        <w:rPr>
          <w:sz w:val="22"/>
          <w:szCs w:val="22"/>
        </w:rPr>
      </w:pPr>
      <w:r>
        <w:rPr>
          <w:sz w:val="22"/>
          <w:szCs w:val="22"/>
        </w:rPr>
        <w:t>6.1.2  Assign</w:t>
      </w:r>
      <w:r w:rsidRPr="00482064">
        <w:rPr>
          <w:sz w:val="22"/>
          <w:szCs w:val="22"/>
        </w:rPr>
        <w:t xml:space="preserve"> management responsibility (key advisers) for the tasks to be performed for each assignment.</w:t>
      </w:r>
      <w:bookmarkEnd w:id="171"/>
      <w:bookmarkEnd w:id="172"/>
    </w:p>
    <w:p w14:paraId="230407EF" w14:textId="77777777" w:rsidR="006D6B62" w:rsidRPr="00482064" w:rsidRDefault="006D6B62" w:rsidP="00315328">
      <w:pPr>
        <w:pStyle w:val="Number3"/>
        <w:numPr>
          <w:ilvl w:val="1"/>
          <w:numId w:val="29"/>
        </w:numPr>
        <w:rPr>
          <w:sz w:val="22"/>
          <w:szCs w:val="22"/>
        </w:rPr>
      </w:pPr>
      <w:bookmarkStart w:id="173" w:name="_Ref219635672"/>
      <w:r w:rsidRPr="00482064">
        <w:rPr>
          <w:sz w:val="22"/>
          <w:szCs w:val="22"/>
        </w:rPr>
        <w:t>Prepare  regular updates for the Department team giving details of:</w:t>
      </w:r>
      <w:bookmarkEnd w:id="173"/>
    </w:p>
    <w:p w14:paraId="6CB11D29" w14:textId="77777777" w:rsidR="006D6B62" w:rsidRPr="00482064" w:rsidRDefault="006D6B62" w:rsidP="006D6B62">
      <w:pPr>
        <w:pStyle w:val="22-BulletText"/>
        <w:numPr>
          <w:ilvl w:val="0"/>
          <w:numId w:val="0"/>
        </w:numPr>
        <w:tabs>
          <w:tab w:val="clear" w:pos="1134"/>
        </w:tabs>
        <w:ind w:left="1728" w:hanging="651"/>
        <w:jc w:val="left"/>
        <w:rPr>
          <w:sz w:val="22"/>
          <w:szCs w:val="22"/>
        </w:rPr>
      </w:pPr>
      <w:r>
        <w:rPr>
          <w:sz w:val="22"/>
          <w:szCs w:val="22"/>
        </w:rPr>
        <w:t>6.2.1</w:t>
      </w:r>
      <w:r>
        <w:rPr>
          <w:sz w:val="22"/>
          <w:szCs w:val="22"/>
        </w:rPr>
        <w:tab/>
      </w:r>
      <w:r w:rsidRPr="00482064">
        <w:rPr>
          <w:sz w:val="22"/>
          <w:szCs w:val="22"/>
        </w:rPr>
        <w:t>Emerging issues that need to be addressed;</w:t>
      </w:r>
    </w:p>
    <w:p w14:paraId="61B896B8" w14:textId="77777777" w:rsidR="006D6B62" w:rsidRPr="00482064" w:rsidRDefault="006D6B62" w:rsidP="006D6B62">
      <w:pPr>
        <w:pStyle w:val="22-BulletText"/>
        <w:numPr>
          <w:ilvl w:val="0"/>
          <w:numId w:val="0"/>
        </w:numPr>
        <w:tabs>
          <w:tab w:val="clear" w:pos="1134"/>
        </w:tabs>
        <w:ind w:left="1728" w:hanging="651"/>
        <w:jc w:val="left"/>
        <w:rPr>
          <w:sz w:val="22"/>
          <w:szCs w:val="22"/>
        </w:rPr>
      </w:pPr>
      <w:r>
        <w:rPr>
          <w:sz w:val="22"/>
          <w:szCs w:val="22"/>
        </w:rPr>
        <w:t>6.2.2</w:t>
      </w:r>
      <w:r>
        <w:rPr>
          <w:sz w:val="22"/>
          <w:szCs w:val="22"/>
        </w:rPr>
        <w:tab/>
      </w:r>
      <w:r w:rsidRPr="00482064">
        <w:rPr>
          <w:sz w:val="22"/>
          <w:szCs w:val="22"/>
        </w:rPr>
        <w:t>Pan-franchise Clarification Questions;</w:t>
      </w:r>
    </w:p>
    <w:p w14:paraId="017AEF2F" w14:textId="77777777" w:rsidR="006D6B62" w:rsidRPr="00482064" w:rsidRDefault="006D6B62" w:rsidP="006D6B62">
      <w:pPr>
        <w:pStyle w:val="22-BulletText"/>
        <w:numPr>
          <w:ilvl w:val="0"/>
          <w:numId w:val="0"/>
        </w:numPr>
        <w:tabs>
          <w:tab w:val="clear" w:pos="1134"/>
        </w:tabs>
        <w:ind w:left="1728" w:hanging="651"/>
        <w:jc w:val="left"/>
        <w:rPr>
          <w:sz w:val="22"/>
          <w:szCs w:val="22"/>
        </w:rPr>
      </w:pPr>
      <w:r>
        <w:rPr>
          <w:sz w:val="22"/>
          <w:szCs w:val="22"/>
        </w:rPr>
        <w:t>6.2.3</w:t>
      </w:r>
      <w:r>
        <w:rPr>
          <w:sz w:val="22"/>
          <w:szCs w:val="22"/>
        </w:rPr>
        <w:tab/>
      </w:r>
      <w:r w:rsidRPr="00482064">
        <w:rPr>
          <w:sz w:val="22"/>
          <w:szCs w:val="22"/>
        </w:rPr>
        <w:t>Performance against Key Performance Indicators; and</w:t>
      </w:r>
    </w:p>
    <w:p w14:paraId="6436857C" w14:textId="77777777" w:rsidR="006D6B62" w:rsidRPr="00482064" w:rsidRDefault="006D6B62" w:rsidP="006D6B62">
      <w:pPr>
        <w:pStyle w:val="22-BulletText"/>
        <w:numPr>
          <w:ilvl w:val="0"/>
          <w:numId w:val="0"/>
        </w:numPr>
        <w:tabs>
          <w:tab w:val="clear" w:pos="1134"/>
        </w:tabs>
        <w:ind w:left="1728" w:hanging="651"/>
        <w:jc w:val="left"/>
        <w:rPr>
          <w:sz w:val="22"/>
          <w:szCs w:val="22"/>
        </w:rPr>
      </w:pPr>
      <w:r>
        <w:rPr>
          <w:sz w:val="22"/>
          <w:szCs w:val="22"/>
        </w:rPr>
        <w:t>6.2.4</w:t>
      </w:r>
      <w:r>
        <w:rPr>
          <w:sz w:val="22"/>
          <w:szCs w:val="22"/>
        </w:rPr>
        <w:tab/>
      </w:r>
      <w:r w:rsidRPr="00482064">
        <w:rPr>
          <w:sz w:val="22"/>
          <w:szCs w:val="22"/>
        </w:rPr>
        <w:t>Actual time and costs incurred to date by activity and estimated time and cost to completion (to be updated on a four-weekly basis that coincides with the Department internal reporting cycle).</w:t>
      </w:r>
    </w:p>
    <w:p w14:paraId="1AABD4B8" w14:textId="77777777" w:rsidR="006D6B62" w:rsidRPr="00482064" w:rsidRDefault="006D6B62" w:rsidP="00315328">
      <w:pPr>
        <w:pStyle w:val="Heading2"/>
        <w:keepNext/>
        <w:numPr>
          <w:ilvl w:val="0"/>
          <w:numId w:val="29"/>
        </w:numPr>
        <w:tabs>
          <w:tab w:val="left" w:pos="0"/>
        </w:tabs>
        <w:overflowPunct w:val="0"/>
        <w:autoSpaceDE w:val="0"/>
        <w:autoSpaceDN w:val="0"/>
        <w:spacing w:before="240" w:after="120"/>
        <w:textAlignment w:val="baseline"/>
        <w:rPr>
          <w:szCs w:val="22"/>
        </w:rPr>
      </w:pPr>
      <w:bookmarkStart w:id="174" w:name="_Toc345920051"/>
      <w:bookmarkStart w:id="175" w:name="_Toc346639825"/>
      <w:r w:rsidRPr="00482064">
        <w:rPr>
          <w:szCs w:val="22"/>
        </w:rPr>
        <w:t>Assurance</w:t>
      </w:r>
      <w:bookmarkEnd w:id="169"/>
      <w:bookmarkEnd w:id="174"/>
      <w:bookmarkEnd w:id="175"/>
    </w:p>
    <w:p w14:paraId="4D0C60A6" w14:textId="77777777" w:rsidR="006D6B62" w:rsidRPr="00014BFC" w:rsidRDefault="006D6B62" w:rsidP="00315328">
      <w:pPr>
        <w:pStyle w:val="Number3"/>
        <w:numPr>
          <w:ilvl w:val="1"/>
          <w:numId w:val="29"/>
        </w:numPr>
        <w:rPr>
          <w:rStyle w:val="Bold0"/>
          <w:rFonts w:eastAsia="Calibri" w:cs="Arial"/>
          <w:b w:val="0"/>
          <w:bCs w:val="0"/>
          <w:color w:val="auto"/>
          <w:sz w:val="22"/>
          <w:szCs w:val="22"/>
          <w:lang w:eastAsia="en-GB"/>
        </w:rPr>
      </w:pPr>
      <w:bookmarkStart w:id="176" w:name="_Ref219439942"/>
      <w:r w:rsidRPr="00014BFC">
        <w:rPr>
          <w:rStyle w:val="Bold0"/>
          <w:sz w:val="22"/>
          <w:szCs w:val="22"/>
        </w:rPr>
        <w:t>The Legal Adviser is accredited to, and operates, a Quality Management System (QMS) that complies with BS EN ISO 9001:2008 (or recognised equivalent), and shall prepare, operate and make available (as required) a quality plan for any assignment awarded.</w:t>
      </w:r>
      <w:bookmarkEnd w:id="176"/>
    </w:p>
    <w:p w14:paraId="6EE496EB" w14:textId="77777777" w:rsidR="006D6B62" w:rsidRPr="00014BFC" w:rsidRDefault="006D6B62" w:rsidP="00315328">
      <w:pPr>
        <w:pStyle w:val="Number3"/>
        <w:numPr>
          <w:ilvl w:val="1"/>
          <w:numId w:val="29"/>
        </w:numPr>
        <w:rPr>
          <w:sz w:val="22"/>
          <w:szCs w:val="22"/>
        </w:rPr>
      </w:pPr>
      <w:bookmarkStart w:id="177" w:name="_Ref219439961"/>
      <w:r w:rsidRPr="00014BFC">
        <w:rPr>
          <w:sz w:val="22"/>
          <w:szCs w:val="22"/>
        </w:rPr>
        <w:t>Conduct quality reviews of documents as required.</w:t>
      </w:r>
    </w:p>
    <w:p w14:paraId="527EB4AC" w14:textId="77777777" w:rsidR="006D6B62" w:rsidRPr="00014BFC" w:rsidRDefault="006D6B62" w:rsidP="00315328">
      <w:pPr>
        <w:pStyle w:val="Number3"/>
        <w:numPr>
          <w:ilvl w:val="1"/>
          <w:numId w:val="29"/>
        </w:numPr>
        <w:rPr>
          <w:rStyle w:val="Bold0"/>
          <w:rFonts w:eastAsia="Calibri" w:cs="Arial"/>
          <w:b w:val="0"/>
          <w:bCs w:val="0"/>
          <w:sz w:val="22"/>
          <w:szCs w:val="22"/>
          <w:lang w:eastAsia="en-GB"/>
        </w:rPr>
      </w:pPr>
      <w:r w:rsidRPr="00014BFC">
        <w:rPr>
          <w:rStyle w:val="Bold0"/>
          <w:sz w:val="22"/>
          <w:szCs w:val="22"/>
        </w:rPr>
        <w:t>The Department may require the Legal Adviser to provide independent assurance of their work.</w:t>
      </w:r>
      <w:bookmarkEnd w:id="177"/>
    </w:p>
    <w:p w14:paraId="61E61BB3" w14:textId="77777777" w:rsidR="006D6B62" w:rsidRPr="00482064" w:rsidRDefault="006D6B62" w:rsidP="00315328">
      <w:pPr>
        <w:pStyle w:val="Heading2"/>
        <w:keepNext/>
        <w:numPr>
          <w:ilvl w:val="0"/>
          <w:numId w:val="29"/>
        </w:numPr>
        <w:tabs>
          <w:tab w:val="left" w:pos="0"/>
        </w:tabs>
        <w:overflowPunct w:val="0"/>
        <w:autoSpaceDE w:val="0"/>
        <w:autoSpaceDN w:val="0"/>
        <w:spacing w:before="240" w:after="120"/>
        <w:textAlignment w:val="baseline"/>
        <w:rPr>
          <w:szCs w:val="22"/>
        </w:rPr>
      </w:pPr>
      <w:bookmarkStart w:id="178" w:name="_Toc345920052"/>
      <w:bookmarkStart w:id="179" w:name="_Toc346639826"/>
      <w:r w:rsidRPr="00482064">
        <w:rPr>
          <w:szCs w:val="22"/>
        </w:rPr>
        <w:t>In General</w:t>
      </w:r>
      <w:bookmarkEnd w:id="170"/>
      <w:bookmarkEnd w:id="178"/>
      <w:bookmarkEnd w:id="179"/>
    </w:p>
    <w:p w14:paraId="53C18D79" w14:textId="77777777" w:rsidR="006D6B62" w:rsidRPr="00482064" w:rsidRDefault="006D6B62" w:rsidP="00315328">
      <w:pPr>
        <w:pStyle w:val="Number3"/>
        <w:numPr>
          <w:ilvl w:val="1"/>
          <w:numId w:val="29"/>
        </w:numPr>
        <w:rPr>
          <w:sz w:val="22"/>
          <w:szCs w:val="22"/>
        </w:rPr>
      </w:pPr>
      <w:r w:rsidRPr="00482064">
        <w:rPr>
          <w:bCs/>
          <w:sz w:val="22"/>
          <w:szCs w:val="22"/>
        </w:rPr>
        <w:t xml:space="preserve">The Legal Adviser will be required to: </w:t>
      </w:r>
    </w:p>
    <w:p w14:paraId="435D46EE" w14:textId="77777777" w:rsidR="006D6B62" w:rsidRPr="00482064" w:rsidRDefault="006D6B62" w:rsidP="006D6B62">
      <w:pPr>
        <w:pStyle w:val="22-BulletText"/>
        <w:numPr>
          <w:ilvl w:val="0"/>
          <w:numId w:val="0"/>
        </w:numPr>
        <w:tabs>
          <w:tab w:val="clear" w:pos="1134"/>
        </w:tabs>
        <w:ind w:left="1728" w:hanging="651"/>
        <w:jc w:val="left"/>
        <w:rPr>
          <w:sz w:val="22"/>
          <w:szCs w:val="22"/>
        </w:rPr>
      </w:pPr>
      <w:r>
        <w:rPr>
          <w:sz w:val="22"/>
          <w:szCs w:val="22"/>
        </w:rPr>
        <w:t>8.1.1</w:t>
      </w:r>
      <w:r>
        <w:rPr>
          <w:sz w:val="22"/>
          <w:szCs w:val="22"/>
        </w:rPr>
        <w:tab/>
      </w:r>
      <w:r w:rsidRPr="00482064">
        <w:rPr>
          <w:sz w:val="22"/>
          <w:szCs w:val="22"/>
        </w:rPr>
        <w:t>Contribute to, and comment on, the preparation of the Department’s evaluation report, or other internal approval procedures documents, as required;</w:t>
      </w:r>
    </w:p>
    <w:p w14:paraId="6C76E87B" w14:textId="77777777" w:rsidR="006D6B62" w:rsidRPr="00482064" w:rsidRDefault="006D6B62" w:rsidP="006D6B62">
      <w:pPr>
        <w:pStyle w:val="22-BulletText"/>
        <w:numPr>
          <w:ilvl w:val="0"/>
          <w:numId w:val="0"/>
        </w:numPr>
        <w:tabs>
          <w:tab w:val="clear" w:pos="1134"/>
        </w:tabs>
        <w:ind w:left="1728" w:hanging="651"/>
        <w:jc w:val="left"/>
        <w:rPr>
          <w:sz w:val="22"/>
          <w:szCs w:val="22"/>
        </w:rPr>
      </w:pPr>
      <w:r>
        <w:rPr>
          <w:sz w:val="22"/>
          <w:szCs w:val="22"/>
        </w:rPr>
        <w:t>8.1.2</w:t>
      </w:r>
      <w:r>
        <w:rPr>
          <w:sz w:val="22"/>
          <w:szCs w:val="22"/>
        </w:rPr>
        <w:tab/>
      </w:r>
      <w:r w:rsidRPr="00482064">
        <w:rPr>
          <w:sz w:val="22"/>
          <w:szCs w:val="22"/>
        </w:rPr>
        <w:t>Attend incumbent TOC bilateral meetings and assist in drafting responses to incumbent TOCs’ clarification questions as requested by the Department;</w:t>
      </w:r>
    </w:p>
    <w:p w14:paraId="28C1B697" w14:textId="77777777" w:rsidR="006D6B62" w:rsidRPr="00482064" w:rsidRDefault="006D6B62" w:rsidP="006D6B62">
      <w:pPr>
        <w:pStyle w:val="22-BulletText"/>
        <w:numPr>
          <w:ilvl w:val="0"/>
          <w:numId w:val="0"/>
        </w:numPr>
        <w:tabs>
          <w:tab w:val="clear" w:pos="1134"/>
        </w:tabs>
        <w:ind w:left="1728" w:hanging="651"/>
        <w:jc w:val="left"/>
        <w:rPr>
          <w:sz w:val="22"/>
          <w:szCs w:val="22"/>
        </w:rPr>
      </w:pPr>
      <w:r>
        <w:rPr>
          <w:sz w:val="22"/>
          <w:szCs w:val="22"/>
        </w:rPr>
        <w:t>8.1.3</w:t>
      </w:r>
      <w:r>
        <w:rPr>
          <w:sz w:val="22"/>
          <w:szCs w:val="22"/>
        </w:rPr>
        <w:tab/>
      </w:r>
      <w:r w:rsidRPr="00482064">
        <w:rPr>
          <w:sz w:val="22"/>
          <w:szCs w:val="22"/>
        </w:rPr>
        <w:t xml:space="preserve">Attend the regular assignment Department briefings; </w:t>
      </w:r>
    </w:p>
    <w:p w14:paraId="2A8674BB" w14:textId="77777777" w:rsidR="006D6B62" w:rsidRPr="00482064" w:rsidRDefault="006D6B62" w:rsidP="006D6B62">
      <w:pPr>
        <w:pStyle w:val="22-BulletText"/>
        <w:numPr>
          <w:ilvl w:val="0"/>
          <w:numId w:val="0"/>
        </w:numPr>
        <w:tabs>
          <w:tab w:val="clear" w:pos="1134"/>
        </w:tabs>
        <w:ind w:left="1728" w:hanging="651"/>
        <w:jc w:val="left"/>
        <w:rPr>
          <w:sz w:val="22"/>
          <w:szCs w:val="22"/>
        </w:rPr>
      </w:pPr>
      <w:r>
        <w:rPr>
          <w:sz w:val="22"/>
          <w:szCs w:val="22"/>
        </w:rPr>
        <w:t>8.1.4</w:t>
      </w:r>
      <w:r>
        <w:rPr>
          <w:sz w:val="22"/>
          <w:szCs w:val="22"/>
        </w:rPr>
        <w:tab/>
      </w:r>
      <w:r w:rsidRPr="00482064">
        <w:rPr>
          <w:sz w:val="22"/>
          <w:szCs w:val="22"/>
        </w:rPr>
        <w:t>Liaise with Department’s Economic, Financial, Legal and Technical teams, and their respective professional advisers;</w:t>
      </w:r>
    </w:p>
    <w:p w14:paraId="0338F46B" w14:textId="77777777" w:rsidR="006D6B62" w:rsidRPr="00482064" w:rsidRDefault="006D6B62" w:rsidP="006D6B62">
      <w:pPr>
        <w:pStyle w:val="22-BulletText"/>
        <w:numPr>
          <w:ilvl w:val="0"/>
          <w:numId w:val="0"/>
        </w:numPr>
        <w:tabs>
          <w:tab w:val="clear" w:pos="1134"/>
        </w:tabs>
        <w:ind w:left="1728" w:hanging="651"/>
        <w:jc w:val="left"/>
        <w:rPr>
          <w:sz w:val="22"/>
          <w:szCs w:val="22"/>
        </w:rPr>
      </w:pPr>
      <w:r>
        <w:rPr>
          <w:sz w:val="22"/>
          <w:szCs w:val="22"/>
        </w:rPr>
        <w:t>8.1.5</w:t>
      </w:r>
      <w:r>
        <w:rPr>
          <w:sz w:val="22"/>
          <w:szCs w:val="22"/>
        </w:rPr>
        <w:tab/>
      </w:r>
      <w:r w:rsidRPr="00482064">
        <w:rPr>
          <w:sz w:val="22"/>
          <w:szCs w:val="22"/>
        </w:rPr>
        <w:t xml:space="preserve">Present their ‘Professional’ assessment of the re-franchising assignment to Departmental decision making forums and </w:t>
      </w:r>
      <w:r w:rsidRPr="00014BFC">
        <w:rPr>
          <w:sz w:val="22"/>
          <w:szCs w:val="22"/>
        </w:rPr>
        <w:t>project governance meetings (including lessons learned reviews etc.); and</w:t>
      </w:r>
    </w:p>
    <w:p w14:paraId="3B054F1D" w14:textId="77777777" w:rsidR="006D6B62" w:rsidRPr="00482064" w:rsidRDefault="006D6B62" w:rsidP="006D6B62">
      <w:pPr>
        <w:pStyle w:val="22-BulletText"/>
        <w:numPr>
          <w:ilvl w:val="0"/>
          <w:numId w:val="0"/>
        </w:numPr>
        <w:tabs>
          <w:tab w:val="clear" w:pos="1134"/>
        </w:tabs>
        <w:ind w:left="1728" w:hanging="651"/>
        <w:jc w:val="left"/>
        <w:rPr>
          <w:sz w:val="22"/>
          <w:szCs w:val="22"/>
        </w:rPr>
      </w:pPr>
      <w:r>
        <w:rPr>
          <w:sz w:val="22"/>
          <w:szCs w:val="22"/>
        </w:rPr>
        <w:t>8.1.6</w:t>
      </w:r>
      <w:r>
        <w:rPr>
          <w:sz w:val="22"/>
          <w:szCs w:val="22"/>
        </w:rPr>
        <w:tab/>
      </w:r>
      <w:r w:rsidRPr="00482064">
        <w:rPr>
          <w:sz w:val="22"/>
          <w:szCs w:val="22"/>
        </w:rPr>
        <w:t>Elevate significant risks and issues as appropriate.</w:t>
      </w:r>
    </w:p>
    <w:p w14:paraId="55B8E5C0" w14:textId="77777777" w:rsidR="006D6B62" w:rsidRPr="00482064" w:rsidRDefault="006D6B62" w:rsidP="00315328">
      <w:pPr>
        <w:pStyle w:val="Number3"/>
        <w:numPr>
          <w:ilvl w:val="1"/>
          <w:numId w:val="29"/>
        </w:numPr>
        <w:rPr>
          <w:sz w:val="22"/>
          <w:szCs w:val="22"/>
        </w:rPr>
      </w:pPr>
      <w:r w:rsidRPr="00482064">
        <w:rPr>
          <w:bCs/>
          <w:sz w:val="22"/>
          <w:szCs w:val="22"/>
        </w:rPr>
        <w:t xml:space="preserve">The Legal Adviser may be additionally required to </w:t>
      </w:r>
      <w:r w:rsidRPr="00482064">
        <w:rPr>
          <w:sz w:val="22"/>
          <w:szCs w:val="22"/>
        </w:rPr>
        <w:t xml:space="preserve">attend </w:t>
      </w:r>
      <w:r w:rsidRPr="00482064">
        <w:rPr>
          <w:bCs/>
          <w:sz w:val="22"/>
          <w:szCs w:val="22"/>
        </w:rPr>
        <w:t xml:space="preserve">project governance meetings (including </w:t>
      </w:r>
      <w:r w:rsidRPr="00482064">
        <w:rPr>
          <w:sz w:val="22"/>
          <w:szCs w:val="22"/>
        </w:rPr>
        <w:t>Major Project Authority (MPA)</w:t>
      </w:r>
      <w:r w:rsidRPr="00482064">
        <w:rPr>
          <w:bCs/>
          <w:sz w:val="22"/>
          <w:szCs w:val="22"/>
        </w:rPr>
        <w:t xml:space="preserve"> and Gateway Review interviews etc.).</w:t>
      </w:r>
    </w:p>
    <w:p w14:paraId="3152DBE8" w14:textId="77777777" w:rsidR="006D6B62" w:rsidRPr="00482064" w:rsidRDefault="006D6B62" w:rsidP="00315328">
      <w:pPr>
        <w:pStyle w:val="Number3"/>
        <w:numPr>
          <w:ilvl w:val="1"/>
          <w:numId w:val="29"/>
        </w:numPr>
        <w:rPr>
          <w:sz w:val="22"/>
          <w:szCs w:val="22"/>
        </w:rPr>
      </w:pPr>
      <w:r w:rsidRPr="00482064">
        <w:rPr>
          <w:sz w:val="22"/>
          <w:szCs w:val="22"/>
        </w:rPr>
        <w:lastRenderedPageBreak/>
        <w:t>Provide meeting room facilities as and when required.</w:t>
      </w:r>
    </w:p>
    <w:p w14:paraId="52CB0F00" w14:textId="77777777" w:rsidR="006D6B62" w:rsidRPr="00482064" w:rsidRDefault="006D6B62" w:rsidP="00315328">
      <w:pPr>
        <w:pStyle w:val="Heading2"/>
        <w:keepNext/>
        <w:numPr>
          <w:ilvl w:val="0"/>
          <w:numId w:val="29"/>
        </w:numPr>
        <w:tabs>
          <w:tab w:val="left" w:pos="0"/>
        </w:tabs>
        <w:overflowPunct w:val="0"/>
        <w:autoSpaceDE w:val="0"/>
        <w:autoSpaceDN w:val="0"/>
        <w:spacing w:before="240" w:after="120"/>
        <w:textAlignment w:val="baseline"/>
        <w:rPr>
          <w:szCs w:val="22"/>
        </w:rPr>
      </w:pPr>
      <w:bookmarkStart w:id="180" w:name="_Toc346639827"/>
      <w:r w:rsidRPr="00482064">
        <w:rPr>
          <w:szCs w:val="22"/>
        </w:rPr>
        <w:t>Form of Comfort Letter</w:t>
      </w:r>
      <w:bookmarkEnd w:id="180"/>
    </w:p>
    <w:p w14:paraId="530B43EC" w14:textId="77777777" w:rsidR="006D6B62" w:rsidRPr="00482064" w:rsidRDefault="006D6B62" w:rsidP="00315328">
      <w:pPr>
        <w:pStyle w:val="Number3"/>
        <w:numPr>
          <w:ilvl w:val="1"/>
          <w:numId w:val="29"/>
        </w:numPr>
        <w:rPr>
          <w:sz w:val="22"/>
          <w:szCs w:val="22"/>
        </w:rPr>
      </w:pPr>
      <w:r w:rsidRPr="00482064">
        <w:rPr>
          <w:sz w:val="22"/>
          <w:szCs w:val="22"/>
        </w:rPr>
        <w:t>Based on the above Terms of Reference, the Department would expect that the letter of comfort covers the following:</w:t>
      </w:r>
    </w:p>
    <w:p w14:paraId="7239952A" w14:textId="77777777" w:rsidR="006D6B62" w:rsidRPr="00482064" w:rsidRDefault="006D6B62" w:rsidP="006D6B62">
      <w:pPr>
        <w:pStyle w:val="22-BulletText"/>
        <w:numPr>
          <w:ilvl w:val="0"/>
          <w:numId w:val="0"/>
        </w:numPr>
        <w:tabs>
          <w:tab w:val="clear" w:pos="1134"/>
        </w:tabs>
        <w:ind w:left="1728" w:hanging="651"/>
        <w:jc w:val="left"/>
        <w:rPr>
          <w:sz w:val="22"/>
          <w:szCs w:val="22"/>
        </w:rPr>
      </w:pPr>
      <w:r>
        <w:rPr>
          <w:sz w:val="22"/>
          <w:szCs w:val="22"/>
        </w:rPr>
        <w:t>9.1.1</w:t>
      </w:r>
      <w:r>
        <w:rPr>
          <w:sz w:val="22"/>
          <w:szCs w:val="22"/>
        </w:rPr>
        <w:tab/>
      </w:r>
      <w:r w:rsidRPr="00482064">
        <w:rPr>
          <w:sz w:val="22"/>
          <w:szCs w:val="22"/>
        </w:rPr>
        <w:t>The legal adviser’s role in the transaction including its role in negotiations;</w:t>
      </w:r>
    </w:p>
    <w:p w14:paraId="261C63B2" w14:textId="77777777" w:rsidR="006D6B62" w:rsidRPr="00482064" w:rsidRDefault="006D6B62" w:rsidP="006D6B62">
      <w:pPr>
        <w:pStyle w:val="22-BulletText"/>
        <w:numPr>
          <w:ilvl w:val="0"/>
          <w:numId w:val="0"/>
        </w:numPr>
        <w:tabs>
          <w:tab w:val="clear" w:pos="1134"/>
        </w:tabs>
        <w:ind w:left="1728" w:hanging="651"/>
        <w:jc w:val="left"/>
        <w:rPr>
          <w:sz w:val="22"/>
          <w:szCs w:val="22"/>
        </w:rPr>
      </w:pPr>
      <w:r>
        <w:rPr>
          <w:sz w:val="22"/>
          <w:szCs w:val="22"/>
        </w:rPr>
        <w:t>9.1.2</w:t>
      </w:r>
      <w:r>
        <w:rPr>
          <w:sz w:val="22"/>
          <w:szCs w:val="22"/>
        </w:rPr>
        <w:tab/>
      </w:r>
      <w:r w:rsidRPr="00482064">
        <w:rPr>
          <w:sz w:val="22"/>
          <w:szCs w:val="22"/>
        </w:rPr>
        <w:t>Confirmation that the negotiation brief has been prepared having regard to the legal analysis undertaken by the legal adviser and reported to the Department;</w:t>
      </w:r>
    </w:p>
    <w:p w14:paraId="2A296BD2" w14:textId="77777777" w:rsidR="006D6B62" w:rsidRPr="00482064" w:rsidRDefault="006D6B62" w:rsidP="006D6B62">
      <w:pPr>
        <w:pStyle w:val="22-BulletText"/>
        <w:numPr>
          <w:ilvl w:val="0"/>
          <w:numId w:val="0"/>
        </w:numPr>
        <w:tabs>
          <w:tab w:val="clear" w:pos="1134"/>
        </w:tabs>
        <w:ind w:left="1728" w:hanging="651"/>
        <w:jc w:val="left"/>
        <w:rPr>
          <w:sz w:val="22"/>
          <w:szCs w:val="22"/>
        </w:rPr>
      </w:pPr>
      <w:r>
        <w:rPr>
          <w:sz w:val="22"/>
          <w:szCs w:val="22"/>
        </w:rPr>
        <w:t>9.1.3</w:t>
      </w:r>
      <w:r>
        <w:rPr>
          <w:sz w:val="22"/>
          <w:szCs w:val="22"/>
        </w:rPr>
        <w:tab/>
      </w:r>
      <w:r w:rsidRPr="00482064">
        <w:rPr>
          <w:sz w:val="22"/>
          <w:szCs w:val="22"/>
        </w:rPr>
        <w:t>The extent to which the outcome in legal terms achieved Department aims as set out in any negotiation brief; and</w:t>
      </w:r>
    </w:p>
    <w:p w14:paraId="121A2E0F" w14:textId="77777777" w:rsidR="006D6B62" w:rsidRPr="00482064" w:rsidRDefault="006D6B62" w:rsidP="006D6B62">
      <w:pPr>
        <w:pStyle w:val="22-BulletText"/>
        <w:numPr>
          <w:ilvl w:val="0"/>
          <w:numId w:val="0"/>
        </w:numPr>
        <w:tabs>
          <w:tab w:val="clear" w:pos="1134"/>
        </w:tabs>
        <w:ind w:left="1728" w:hanging="651"/>
        <w:jc w:val="left"/>
        <w:rPr>
          <w:sz w:val="22"/>
          <w:szCs w:val="22"/>
        </w:rPr>
      </w:pPr>
      <w:r>
        <w:rPr>
          <w:sz w:val="22"/>
          <w:szCs w:val="22"/>
        </w:rPr>
        <w:t>9.1.4</w:t>
      </w:r>
      <w:r>
        <w:rPr>
          <w:sz w:val="22"/>
          <w:szCs w:val="22"/>
        </w:rPr>
        <w:tab/>
      </w:r>
      <w:r w:rsidRPr="00482064">
        <w:rPr>
          <w:sz w:val="22"/>
          <w:szCs w:val="22"/>
        </w:rPr>
        <w:t>Key legal risks and any other material issues and comment on how these have been dealt with by the Department and what risks remain.</w:t>
      </w:r>
    </w:p>
    <w:p w14:paraId="1165B5F7" w14:textId="77777777" w:rsidR="006D6B62" w:rsidRPr="00482064" w:rsidRDefault="006D6B62" w:rsidP="00315328">
      <w:pPr>
        <w:pStyle w:val="22-BulletText"/>
        <w:numPr>
          <w:ilvl w:val="0"/>
          <w:numId w:val="29"/>
        </w:numPr>
        <w:rPr>
          <w:sz w:val="22"/>
          <w:szCs w:val="22"/>
        </w:rPr>
      </w:pPr>
      <w:r w:rsidRPr="00482064">
        <w:rPr>
          <w:sz w:val="22"/>
          <w:szCs w:val="22"/>
        </w:rPr>
        <w:t xml:space="preserve"> Franchise Guide</w:t>
      </w:r>
    </w:p>
    <w:p w14:paraId="06028745" w14:textId="77777777" w:rsidR="006D6B62" w:rsidRPr="00482064" w:rsidRDefault="006D6B62" w:rsidP="00315328">
      <w:pPr>
        <w:pStyle w:val="Number3"/>
        <w:numPr>
          <w:ilvl w:val="1"/>
          <w:numId w:val="29"/>
        </w:numPr>
        <w:rPr>
          <w:sz w:val="22"/>
          <w:szCs w:val="22"/>
        </w:rPr>
      </w:pPr>
      <w:r w:rsidRPr="00482064">
        <w:rPr>
          <w:sz w:val="22"/>
          <w:szCs w:val="22"/>
        </w:rPr>
        <w:t>Summarising those provisions which are unique to the Franchise (negotiated clauses) including Committed Obligations, Franchise specific provisions, SoSRAs and any other guidance to assist in the management of the Franchise.</w:t>
      </w:r>
    </w:p>
    <w:p w14:paraId="2A0C20EF" w14:textId="77777777" w:rsidR="006D6B62" w:rsidRPr="00482064" w:rsidRDefault="006D6B62" w:rsidP="006D6B62">
      <w:pPr>
        <w:pStyle w:val="Heading2"/>
        <w:numPr>
          <w:ilvl w:val="0"/>
          <w:numId w:val="0"/>
        </w:numPr>
        <w:ind w:left="720"/>
        <w:rPr>
          <w:b/>
          <w:szCs w:val="22"/>
        </w:rPr>
      </w:pPr>
    </w:p>
    <w:p w14:paraId="2E583383" w14:textId="77777777" w:rsidR="006D6B62" w:rsidRPr="00482064" w:rsidRDefault="006D6B62" w:rsidP="006D6B62">
      <w:pPr>
        <w:rPr>
          <w:rFonts w:eastAsia="STZhongsong"/>
          <w:b/>
          <w:szCs w:val="22"/>
        </w:rPr>
      </w:pPr>
      <w:r w:rsidRPr="00482064">
        <w:rPr>
          <w:b/>
          <w:szCs w:val="22"/>
        </w:rPr>
        <w:br w:type="page"/>
      </w:r>
    </w:p>
    <w:p w14:paraId="08BCF565" w14:textId="51476F37" w:rsidR="006D6B62" w:rsidRPr="00482064" w:rsidRDefault="006D6B62" w:rsidP="006D6B62">
      <w:pPr>
        <w:pStyle w:val="Heading2"/>
        <w:numPr>
          <w:ilvl w:val="0"/>
          <w:numId w:val="0"/>
        </w:numPr>
        <w:ind w:left="720"/>
        <w:jc w:val="center"/>
        <w:rPr>
          <w:b/>
          <w:szCs w:val="22"/>
        </w:rPr>
      </w:pPr>
      <w:r w:rsidRPr="00482064">
        <w:rPr>
          <w:b/>
          <w:szCs w:val="22"/>
        </w:rPr>
        <w:lastRenderedPageBreak/>
        <w:t>Annex 3</w:t>
      </w:r>
      <w:r w:rsidR="00EF6242">
        <w:rPr>
          <w:b/>
          <w:szCs w:val="22"/>
        </w:rPr>
        <w:t xml:space="preserve"> </w:t>
      </w:r>
      <w:r w:rsidR="00EF6242">
        <w:rPr>
          <w:rFonts w:cs="Arial"/>
          <w:b/>
        </w:rPr>
        <w:t>(of the Statement of Requirements)</w:t>
      </w:r>
      <w:r w:rsidRPr="00482064">
        <w:rPr>
          <w:b/>
          <w:szCs w:val="22"/>
        </w:rPr>
        <w:t xml:space="preserve"> – Department Travel and Subsistence Rates</w:t>
      </w:r>
    </w:p>
    <w:p w14:paraId="541EDE22" w14:textId="77777777" w:rsidR="006D6B62" w:rsidRPr="00482064" w:rsidRDefault="006D6B62" w:rsidP="006D6B62">
      <w:pPr>
        <w:rPr>
          <w:rFonts w:cs="Arial"/>
          <w:szCs w:val="22"/>
        </w:rPr>
      </w:pPr>
      <w:r w:rsidRPr="00482064">
        <w:rPr>
          <w:rFonts w:cs="Arial"/>
          <w:szCs w:val="22"/>
        </w:rPr>
        <w:t>No travel or subsistence costs shall be met for first class travel and meetings held at any locations within the Greater London area</w:t>
      </w:r>
      <w:r w:rsidRPr="00482064">
        <w:rPr>
          <w:rFonts w:cs="Arial"/>
          <w:szCs w:val="22"/>
        </w:rPr>
        <w:footnoteReference w:id="2"/>
      </w:r>
      <w:r w:rsidRPr="00482064">
        <w:rPr>
          <w:rFonts w:cs="Arial"/>
          <w:szCs w:val="22"/>
        </w:rPr>
        <w:t xml:space="preserve"> or for journeys within the M25 area.  </w:t>
      </w:r>
    </w:p>
    <w:p w14:paraId="3F3CB244" w14:textId="77777777" w:rsidR="006D6B62" w:rsidRPr="00482064" w:rsidRDefault="006D6B62" w:rsidP="006D6B62">
      <w:pPr>
        <w:rPr>
          <w:rFonts w:cs="Arial"/>
          <w:szCs w:val="22"/>
        </w:rPr>
      </w:pPr>
    </w:p>
    <w:p w14:paraId="168FB478" w14:textId="77777777" w:rsidR="006D6B62" w:rsidRPr="00482064" w:rsidRDefault="006D6B62" w:rsidP="006D6B62">
      <w:pPr>
        <w:rPr>
          <w:rFonts w:cs="Arial"/>
          <w:b/>
          <w:szCs w:val="22"/>
        </w:rPr>
      </w:pPr>
      <w:r w:rsidRPr="00482064">
        <w:rPr>
          <w:rFonts w:cs="Arial"/>
          <w:b/>
          <w:szCs w:val="22"/>
        </w:rPr>
        <w:t>UK travel rates</w:t>
      </w:r>
    </w:p>
    <w:p w14:paraId="220B2A4D" w14:textId="77777777" w:rsidR="006D6B62" w:rsidRPr="00482064" w:rsidRDefault="006D6B62" w:rsidP="006D6B62">
      <w:pPr>
        <w:rPr>
          <w:rFonts w:cs="Arial"/>
          <w:szCs w:val="22"/>
          <w:u w:val="single"/>
        </w:rPr>
      </w:pPr>
      <w:r w:rsidRPr="00482064">
        <w:rPr>
          <w:rFonts w:cs="Arial"/>
          <w:szCs w:val="22"/>
          <w:u w:val="single"/>
        </w:rPr>
        <w:t xml:space="preserve">Motor mileage rates – motor vehicles </w:t>
      </w:r>
    </w:p>
    <w:p w14:paraId="2162831F" w14:textId="77777777" w:rsidR="006D6B62" w:rsidRPr="0015799D" w:rsidRDefault="006D6B62" w:rsidP="00315328">
      <w:pPr>
        <w:pStyle w:val="ListParagraph"/>
        <w:numPr>
          <w:ilvl w:val="0"/>
          <w:numId w:val="32"/>
        </w:numPr>
        <w:ind w:hanging="654"/>
        <w:rPr>
          <w:rFonts w:cs="Arial"/>
          <w:szCs w:val="22"/>
        </w:rPr>
      </w:pPr>
      <w:r w:rsidRPr="00014BFC">
        <w:rPr>
          <w:rFonts w:cs="Arial"/>
          <w:szCs w:val="22"/>
        </w:rPr>
        <w:t xml:space="preserve">Standard mileage rate: </w:t>
      </w:r>
    </w:p>
    <w:p w14:paraId="5B4D0A1C" w14:textId="77777777" w:rsidR="006D6B62" w:rsidRPr="0015799D" w:rsidRDefault="006D6B62" w:rsidP="00315328">
      <w:pPr>
        <w:pStyle w:val="ListParagraph"/>
        <w:numPr>
          <w:ilvl w:val="0"/>
          <w:numId w:val="33"/>
        </w:numPr>
        <w:rPr>
          <w:rFonts w:cs="Arial"/>
          <w:szCs w:val="22"/>
        </w:rPr>
      </w:pPr>
      <w:r w:rsidRPr="0015799D">
        <w:rPr>
          <w:rFonts w:cs="Arial"/>
          <w:szCs w:val="22"/>
        </w:rPr>
        <w:t xml:space="preserve">Higher (up to 10,000 miles)   = 40p per mile </w:t>
      </w:r>
    </w:p>
    <w:p w14:paraId="3589C9CF" w14:textId="77777777" w:rsidR="006D6B62" w:rsidRPr="0015799D" w:rsidRDefault="006D6B62" w:rsidP="00315328">
      <w:pPr>
        <w:pStyle w:val="ListParagraph"/>
        <w:numPr>
          <w:ilvl w:val="0"/>
          <w:numId w:val="33"/>
        </w:numPr>
        <w:rPr>
          <w:rFonts w:cs="Arial"/>
          <w:szCs w:val="22"/>
        </w:rPr>
      </w:pPr>
      <w:r w:rsidRPr="0015799D">
        <w:rPr>
          <w:rFonts w:cs="Arial"/>
          <w:szCs w:val="22"/>
        </w:rPr>
        <w:t xml:space="preserve">Lower (over 10,000 miles)     = 25p per mile </w:t>
      </w:r>
    </w:p>
    <w:p w14:paraId="020FEAC9" w14:textId="77777777" w:rsidR="006D6B62" w:rsidRPr="00482064" w:rsidRDefault="006D6B62" w:rsidP="006D6B62">
      <w:pPr>
        <w:pStyle w:val="ListParagraph"/>
        <w:ind w:left="1080"/>
        <w:rPr>
          <w:rFonts w:cs="Arial"/>
          <w:szCs w:val="22"/>
        </w:rPr>
      </w:pPr>
    </w:p>
    <w:p w14:paraId="37AED9AB" w14:textId="77777777" w:rsidR="006D6B62" w:rsidRPr="00482064" w:rsidRDefault="006D6B62" w:rsidP="00315328">
      <w:pPr>
        <w:pStyle w:val="ListParagraph"/>
        <w:numPr>
          <w:ilvl w:val="0"/>
          <w:numId w:val="32"/>
        </w:numPr>
        <w:ind w:hanging="654"/>
        <w:rPr>
          <w:rFonts w:cs="Arial"/>
          <w:szCs w:val="22"/>
        </w:rPr>
      </w:pPr>
      <w:r w:rsidRPr="00482064">
        <w:rPr>
          <w:rFonts w:cs="Arial"/>
          <w:szCs w:val="22"/>
        </w:rPr>
        <w:t xml:space="preserve">Public transport rate (all mileage) = 25p per mile </w:t>
      </w:r>
    </w:p>
    <w:p w14:paraId="49E134E3" w14:textId="77777777" w:rsidR="006D6B62" w:rsidRPr="00482064" w:rsidRDefault="006D6B62" w:rsidP="006D6B62">
      <w:pPr>
        <w:rPr>
          <w:rFonts w:cs="Arial"/>
          <w:szCs w:val="22"/>
        </w:rPr>
      </w:pPr>
    </w:p>
    <w:p w14:paraId="5FB6C90C" w14:textId="77777777" w:rsidR="006D6B62" w:rsidRPr="00482064" w:rsidRDefault="006D6B62" w:rsidP="006D6B62">
      <w:pPr>
        <w:rPr>
          <w:rFonts w:cs="Arial"/>
          <w:szCs w:val="22"/>
          <w:u w:val="single"/>
        </w:rPr>
      </w:pPr>
      <w:r w:rsidRPr="00482064">
        <w:rPr>
          <w:rFonts w:cs="Arial"/>
          <w:szCs w:val="22"/>
          <w:u w:val="single"/>
        </w:rPr>
        <w:t xml:space="preserve">Passenger supplement </w:t>
      </w:r>
    </w:p>
    <w:p w14:paraId="024BB05F" w14:textId="77777777" w:rsidR="006D6B62" w:rsidRPr="0015799D" w:rsidRDefault="006D6B62" w:rsidP="00315328">
      <w:pPr>
        <w:pStyle w:val="ListParagraph"/>
        <w:numPr>
          <w:ilvl w:val="0"/>
          <w:numId w:val="34"/>
        </w:numPr>
        <w:ind w:hanging="513"/>
        <w:rPr>
          <w:rFonts w:cs="Arial"/>
          <w:szCs w:val="22"/>
        </w:rPr>
      </w:pPr>
      <w:r w:rsidRPr="0015799D">
        <w:rPr>
          <w:rFonts w:cs="Arial"/>
          <w:szCs w:val="22"/>
        </w:rPr>
        <w:t xml:space="preserve">First passenger = 5p per mile </w:t>
      </w:r>
    </w:p>
    <w:p w14:paraId="2CB9EC47" w14:textId="77777777" w:rsidR="006D6B62" w:rsidRPr="00482064" w:rsidRDefault="006D6B62" w:rsidP="00315328">
      <w:pPr>
        <w:pStyle w:val="ListParagraph"/>
        <w:numPr>
          <w:ilvl w:val="0"/>
          <w:numId w:val="34"/>
        </w:numPr>
        <w:ind w:hanging="513"/>
        <w:rPr>
          <w:rFonts w:cs="Arial"/>
          <w:szCs w:val="22"/>
        </w:rPr>
      </w:pPr>
      <w:r w:rsidRPr="00482064">
        <w:rPr>
          <w:rFonts w:cs="Arial"/>
          <w:szCs w:val="22"/>
        </w:rPr>
        <w:t xml:space="preserve">Second and subsequent passengers = 5p per mile </w:t>
      </w:r>
    </w:p>
    <w:p w14:paraId="73AA295F" w14:textId="77777777" w:rsidR="006D6B62" w:rsidRPr="00482064" w:rsidRDefault="006D6B62" w:rsidP="006D6B62">
      <w:pPr>
        <w:rPr>
          <w:rFonts w:cs="Arial"/>
          <w:szCs w:val="22"/>
        </w:rPr>
      </w:pPr>
    </w:p>
    <w:p w14:paraId="62022097" w14:textId="77777777" w:rsidR="006D6B62" w:rsidRPr="00482064" w:rsidRDefault="006D6B62" w:rsidP="006D6B62">
      <w:pPr>
        <w:rPr>
          <w:rFonts w:cs="Arial"/>
          <w:szCs w:val="22"/>
          <w:u w:val="single"/>
        </w:rPr>
      </w:pPr>
      <w:r w:rsidRPr="00482064">
        <w:rPr>
          <w:rFonts w:cs="Arial"/>
          <w:szCs w:val="22"/>
          <w:u w:val="single"/>
        </w:rPr>
        <w:t xml:space="preserve">Equipment supplement </w:t>
      </w:r>
    </w:p>
    <w:p w14:paraId="06A91D19" w14:textId="77777777" w:rsidR="006D6B62" w:rsidRPr="00482064" w:rsidRDefault="006D6B62" w:rsidP="006D6B62">
      <w:pPr>
        <w:rPr>
          <w:rFonts w:cs="Arial"/>
          <w:szCs w:val="22"/>
        </w:rPr>
      </w:pPr>
      <w:r w:rsidRPr="00482064">
        <w:rPr>
          <w:rFonts w:cs="Arial"/>
          <w:szCs w:val="22"/>
        </w:rPr>
        <w:t xml:space="preserve">The equipment supplement is 2p per mile </w:t>
      </w:r>
    </w:p>
    <w:p w14:paraId="20CDEC33" w14:textId="77777777" w:rsidR="006D6B62" w:rsidRPr="00482064" w:rsidRDefault="006D6B62" w:rsidP="006D6B62">
      <w:pPr>
        <w:rPr>
          <w:rFonts w:cs="Arial"/>
          <w:szCs w:val="22"/>
        </w:rPr>
      </w:pPr>
    </w:p>
    <w:p w14:paraId="16EB2923" w14:textId="77777777" w:rsidR="006D6B62" w:rsidRPr="00482064" w:rsidRDefault="006D6B62" w:rsidP="006D6B62">
      <w:pPr>
        <w:rPr>
          <w:rFonts w:cs="Arial"/>
          <w:szCs w:val="22"/>
          <w:u w:val="single"/>
        </w:rPr>
      </w:pPr>
      <w:r w:rsidRPr="00482064">
        <w:rPr>
          <w:rFonts w:cs="Arial"/>
          <w:szCs w:val="22"/>
          <w:u w:val="single"/>
        </w:rPr>
        <w:t xml:space="preserve">Motor cycles and motor cycle combinations </w:t>
      </w:r>
    </w:p>
    <w:p w14:paraId="5695D790" w14:textId="77777777" w:rsidR="006D6B62" w:rsidRPr="0015799D" w:rsidRDefault="006D6B62" w:rsidP="00315328">
      <w:pPr>
        <w:pStyle w:val="ListParagraph"/>
        <w:numPr>
          <w:ilvl w:val="0"/>
          <w:numId w:val="35"/>
        </w:numPr>
        <w:ind w:hanging="579"/>
        <w:rPr>
          <w:rFonts w:cs="Arial"/>
          <w:szCs w:val="22"/>
        </w:rPr>
      </w:pPr>
      <w:r w:rsidRPr="0015799D">
        <w:rPr>
          <w:rFonts w:cs="Arial"/>
          <w:szCs w:val="22"/>
        </w:rPr>
        <w:t xml:space="preserve">Motor cycles and motor cycle combinations = 24p per mile </w:t>
      </w:r>
    </w:p>
    <w:p w14:paraId="4D7BA3D3" w14:textId="77777777" w:rsidR="006D6B62" w:rsidRPr="00482064" w:rsidRDefault="006D6B62" w:rsidP="006D6B62">
      <w:pPr>
        <w:rPr>
          <w:rFonts w:cs="Arial"/>
          <w:szCs w:val="22"/>
        </w:rPr>
      </w:pPr>
    </w:p>
    <w:p w14:paraId="1B48C0CD" w14:textId="77777777" w:rsidR="006D6B62" w:rsidRPr="00482064" w:rsidRDefault="006D6B62" w:rsidP="006D6B62">
      <w:pPr>
        <w:rPr>
          <w:rFonts w:cs="Arial"/>
          <w:szCs w:val="22"/>
          <w:u w:val="single"/>
        </w:rPr>
      </w:pPr>
      <w:r w:rsidRPr="00482064">
        <w:rPr>
          <w:rFonts w:cs="Arial"/>
          <w:szCs w:val="22"/>
          <w:u w:val="single"/>
        </w:rPr>
        <w:t xml:space="preserve">Pedal cycle allowance </w:t>
      </w:r>
    </w:p>
    <w:p w14:paraId="51194892" w14:textId="77777777" w:rsidR="006D6B62" w:rsidRPr="00482064" w:rsidRDefault="006D6B62" w:rsidP="006D6B62">
      <w:pPr>
        <w:rPr>
          <w:rFonts w:cs="Arial"/>
          <w:szCs w:val="22"/>
        </w:rPr>
      </w:pPr>
      <w:r w:rsidRPr="00482064">
        <w:rPr>
          <w:rFonts w:cs="Arial"/>
          <w:szCs w:val="22"/>
        </w:rPr>
        <w:t xml:space="preserve">The pedal cycle allowance is 20p per mile </w:t>
      </w:r>
    </w:p>
    <w:p w14:paraId="5201E98C" w14:textId="77777777" w:rsidR="006D6B62" w:rsidRPr="00482064" w:rsidRDefault="006D6B62" w:rsidP="006D6B62">
      <w:pPr>
        <w:rPr>
          <w:rFonts w:cs="Arial"/>
          <w:szCs w:val="22"/>
        </w:rPr>
      </w:pPr>
    </w:p>
    <w:p w14:paraId="2E6977E7" w14:textId="77777777" w:rsidR="006D6B62" w:rsidRPr="00482064" w:rsidRDefault="006D6B62" w:rsidP="006D6B62">
      <w:pPr>
        <w:rPr>
          <w:rFonts w:cs="Arial"/>
          <w:b/>
          <w:szCs w:val="22"/>
        </w:rPr>
      </w:pPr>
      <w:bookmarkStart w:id="181" w:name="_Toc354754749"/>
      <w:r w:rsidRPr="00482064">
        <w:rPr>
          <w:rFonts w:cs="Arial"/>
          <w:b/>
          <w:szCs w:val="22"/>
        </w:rPr>
        <w:t>UK subsistence rates</w:t>
      </w:r>
      <w:bookmarkEnd w:id="181"/>
    </w:p>
    <w:p w14:paraId="1F299CCE" w14:textId="77777777" w:rsidR="006D6B62" w:rsidRPr="00482064" w:rsidRDefault="006D6B62" w:rsidP="006D6B62">
      <w:pPr>
        <w:rPr>
          <w:rFonts w:cs="Arial"/>
          <w:szCs w:val="22"/>
        </w:rPr>
      </w:pPr>
      <w:r w:rsidRPr="00482064">
        <w:rPr>
          <w:rFonts w:cs="Arial"/>
          <w:szCs w:val="22"/>
        </w:rPr>
        <w:t xml:space="preserve">Note: Except where flat rates are paid, you can only claim the actual expenses you incur up to the limits set by indicative ceilings (and you must provide receipts to support your claims). </w:t>
      </w:r>
    </w:p>
    <w:p w14:paraId="1A71540B" w14:textId="77777777" w:rsidR="006D6B62" w:rsidRPr="00482064" w:rsidRDefault="006D6B62" w:rsidP="006D6B62">
      <w:pPr>
        <w:rPr>
          <w:rFonts w:cs="Arial"/>
          <w:szCs w:val="22"/>
        </w:rPr>
      </w:pPr>
    </w:p>
    <w:p w14:paraId="08B1EF3C" w14:textId="77777777" w:rsidR="006D6B62" w:rsidRPr="00482064" w:rsidRDefault="006D6B62" w:rsidP="006D6B62">
      <w:pPr>
        <w:rPr>
          <w:rFonts w:cs="Arial"/>
          <w:szCs w:val="22"/>
          <w:u w:val="single"/>
        </w:rPr>
      </w:pPr>
      <w:r w:rsidRPr="00482064">
        <w:rPr>
          <w:rFonts w:cs="Arial"/>
          <w:szCs w:val="22"/>
          <w:u w:val="single"/>
        </w:rPr>
        <w:t xml:space="preserve">Day subsistence </w:t>
      </w:r>
    </w:p>
    <w:p w14:paraId="2D337DFB" w14:textId="77777777" w:rsidR="006D6B62" w:rsidRPr="00482064" w:rsidRDefault="006D6B62" w:rsidP="006D6B62">
      <w:pPr>
        <w:rPr>
          <w:rFonts w:cs="Arial"/>
          <w:szCs w:val="22"/>
        </w:rPr>
      </w:pPr>
      <w:r w:rsidRPr="00482064">
        <w:rPr>
          <w:rFonts w:cs="Arial"/>
          <w:szCs w:val="22"/>
        </w:rPr>
        <w:t xml:space="preserve">For five to 10 hours, the indicative ceiling is £4.50 </w:t>
      </w:r>
    </w:p>
    <w:p w14:paraId="2B74CDF7" w14:textId="77777777" w:rsidR="006D6B62" w:rsidRPr="00482064" w:rsidRDefault="006D6B62" w:rsidP="006D6B62">
      <w:pPr>
        <w:rPr>
          <w:rFonts w:cs="Arial"/>
          <w:szCs w:val="22"/>
        </w:rPr>
      </w:pPr>
      <w:r w:rsidRPr="00482064">
        <w:rPr>
          <w:rFonts w:cs="Arial"/>
          <w:szCs w:val="22"/>
        </w:rPr>
        <w:t xml:space="preserve">For 10 to 12 hours, the indicative ceiling is £9.50 </w:t>
      </w:r>
    </w:p>
    <w:p w14:paraId="3B0E5705" w14:textId="77777777" w:rsidR="006D6B62" w:rsidRPr="00482064" w:rsidRDefault="006D6B62" w:rsidP="006D6B62">
      <w:pPr>
        <w:rPr>
          <w:rFonts w:cs="Arial"/>
          <w:szCs w:val="22"/>
        </w:rPr>
      </w:pPr>
    </w:p>
    <w:p w14:paraId="302D2FF0" w14:textId="77777777" w:rsidR="006D6B62" w:rsidRPr="00482064" w:rsidRDefault="006D6B62" w:rsidP="006D6B62">
      <w:pPr>
        <w:rPr>
          <w:rFonts w:cs="Arial"/>
          <w:szCs w:val="22"/>
        </w:rPr>
      </w:pPr>
      <w:r w:rsidRPr="00482064">
        <w:rPr>
          <w:rFonts w:cs="Arial"/>
          <w:szCs w:val="22"/>
        </w:rPr>
        <w:t>The Greater London Area is defined as the area covered by the Greater London Authority.</w:t>
      </w:r>
    </w:p>
    <w:p w14:paraId="5094CADA" w14:textId="77777777" w:rsidR="006D6B62" w:rsidRPr="00482064" w:rsidRDefault="006D6B62" w:rsidP="006D6B62">
      <w:pPr>
        <w:pStyle w:val="Heading2"/>
        <w:numPr>
          <w:ilvl w:val="0"/>
          <w:numId w:val="0"/>
        </w:numPr>
        <w:ind w:left="720"/>
        <w:rPr>
          <w:szCs w:val="22"/>
        </w:rPr>
      </w:pPr>
    </w:p>
    <w:p w14:paraId="7736DDAA" w14:textId="77777777" w:rsidR="006D6B62" w:rsidRPr="00482064" w:rsidRDefault="006D6B62" w:rsidP="006D6B62">
      <w:pPr>
        <w:pStyle w:val="Heading2"/>
        <w:numPr>
          <w:ilvl w:val="0"/>
          <w:numId w:val="0"/>
        </w:numPr>
        <w:spacing w:after="120"/>
        <w:rPr>
          <w:szCs w:val="22"/>
        </w:rPr>
      </w:pPr>
    </w:p>
    <w:p w14:paraId="0EE2C61C" w14:textId="77777777" w:rsidR="006D6B62" w:rsidRPr="00482064" w:rsidRDefault="006D6B62" w:rsidP="006D6B62">
      <w:pPr>
        <w:pStyle w:val="Heading1"/>
        <w:numPr>
          <w:ilvl w:val="0"/>
          <w:numId w:val="0"/>
        </w:numPr>
        <w:ind w:left="720" w:hanging="720"/>
        <w:jc w:val="center"/>
        <w:rPr>
          <w:szCs w:val="22"/>
        </w:rPr>
      </w:pPr>
    </w:p>
    <w:p w14:paraId="2CD6E3AF" w14:textId="77777777" w:rsidR="006D6B62" w:rsidRPr="00482064" w:rsidRDefault="006D6B62" w:rsidP="006D6B62">
      <w:pPr>
        <w:pStyle w:val="Heading1"/>
        <w:numPr>
          <w:ilvl w:val="0"/>
          <w:numId w:val="0"/>
        </w:numPr>
        <w:ind w:left="720" w:hanging="720"/>
        <w:rPr>
          <w:szCs w:val="22"/>
        </w:rPr>
      </w:pPr>
    </w:p>
    <w:p w14:paraId="4AE97D4D" w14:textId="77777777" w:rsidR="006D6B62" w:rsidRPr="00A74FE3" w:rsidRDefault="006D6B62" w:rsidP="006D6B62">
      <w:pPr>
        <w:tabs>
          <w:tab w:val="left" w:pos="1392"/>
        </w:tabs>
        <w:rPr>
          <w:rFonts w:eastAsia="STZhongsong"/>
          <w:szCs w:val="20"/>
        </w:rPr>
      </w:pPr>
    </w:p>
    <w:p w14:paraId="5AAED2FE" w14:textId="1A3AC398" w:rsidR="00A649DF" w:rsidRPr="00174DC0" w:rsidRDefault="00A649DF" w:rsidP="00174DC0">
      <w:pPr>
        <w:pStyle w:val="ScheduleLevel1"/>
        <w:numPr>
          <w:ilvl w:val="0"/>
          <w:numId w:val="0"/>
        </w:numPr>
        <w:spacing w:after="120"/>
        <w:jc w:val="center"/>
        <w:rPr>
          <w:rFonts w:cs="Arial"/>
          <w:szCs w:val="22"/>
        </w:rPr>
      </w:pP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82" w:name="_Toc444688624"/>
      <w:r w:rsidRPr="001167A3">
        <w:rPr>
          <w:rFonts w:eastAsia="Times New Roman"/>
          <w:b/>
          <w:szCs w:val="22"/>
          <w:lang w:eastAsia="en-US"/>
        </w:rPr>
        <w:lastRenderedPageBreak/>
        <w:t>ANNEX 4 – SUPPLIERS RESPONSE</w:t>
      </w:r>
      <w:bookmarkEnd w:id="182"/>
    </w:p>
    <w:p w14:paraId="4D5AF130" w14:textId="29A3F42C"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(As provided within the e-Sourcing event)</w:t>
      </w:r>
    </w:p>
    <w:p w14:paraId="6B8DC66A" w14:textId="6B01227A" w:rsidR="00174DC0" w:rsidRDefault="003D10D3" w:rsidP="00174DC0">
      <w:pPr>
        <w:pStyle w:val="ScheduleLevel1"/>
        <w:numPr>
          <w:ilvl w:val="0"/>
          <w:numId w:val="0"/>
        </w:numPr>
        <w:spacing w:after="120"/>
        <w:jc w:val="center"/>
        <w:rPr>
          <w:rFonts w:cs="Arial"/>
          <w:szCs w:val="22"/>
        </w:rPr>
      </w:pPr>
      <w:r w:rsidRPr="003D10D3">
        <w:rPr>
          <w:rFonts w:cs="Arial"/>
          <w:szCs w:val="22"/>
        </w:rPr>
        <w:t>Mandatory Response</w:t>
      </w:r>
    </w:p>
    <w:p w14:paraId="259491BE" w14:textId="4B3E32DF" w:rsidR="003D10D3" w:rsidRPr="003D10D3" w:rsidRDefault="00D06BD0" w:rsidP="00174DC0">
      <w:pPr>
        <w:pStyle w:val="ScheduleLevel1"/>
        <w:numPr>
          <w:ilvl w:val="0"/>
          <w:numId w:val="0"/>
        </w:numPr>
        <w:spacing w:after="120"/>
        <w:jc w:val="center"/>
        <w:rPr>
          <w:rFonts w:cs="Arial"/>
          <w:szCs w:val="22"/>
        </w:rPr>
      </w:pPr>
      <w:r>
        <w:rPr>
          <w:rFonts w:cs="Arial"/>
          <w:szCs w:val="22"/>
        </w:rPr>
        <w:t>[Redacted]</w:t>
      </w:r>
    </w:p>
    <w:p w14:paraId="40D0A8D3" w14:textId="77777777" w:rsidR="003D10D3" w:rsidRDefault="003D10D3" w:rsidP="00174DC0">
      <w:pPr>
        <w:pStyle w:val="ScheduleLevel1"/>
        <w:numPr>
          <w:ilvl w:val="0"/>
          <w:numId w:val="0"/>
        </w:numPr>
        <w:spacing w:after="120"/>
        <w:jc w:val="center"/>
        <w:rPr>
          <w:rFonts w:cs="Arial"/>
          <w:szCs w:val="22"/>
          <w:highlight w:val="yellow"/>
        </w:rPr>
      </w:pPr>
    </w:p>
    <w:p w14:paraId="39BB3137" w14:textId="77777777" w:rsidR="003D10D3" w:rsidRDefault="003D10D3" w:rsidP="00174DC0">
      <w:pPr>
        <w:pStyle w:val="ScheduleLevel1"/>
        <w:numPr>
          <w:ilvl w:val="0"/>
          <w:numId w:val="0"/>
        </w:numPr>
        <w:spacing w:after="120"/>
        <w:jc w:val="center"/>
        <w:rPr>
          <w:rFonts w:cs="Arial"/>
          <w:szCs w:val="22"/>
          <w:highlight w:val="yellow"/>
        </w:rPr>
      </w:pPr>
    </w:p>
    <w:p w14:paraId="5AA2E293" w14:textId="6C505457" w:rsidR="003D10D3" w:rsidRDefault="003D10D3" w:rsidP="00174DC0">
      <w:pPr>
        <w:pStyle w:val="ScheduleLevel1"/>
        <w:numPr>
          <w:ilvl w:val="0"/>
          <w:numId w:val="0"/>
        </w:numPr>
        <w:spacing w:after="120"/>
        <w:jc w:val="center"/>
        <w:rPr>
          <w:rFonts w:cs="Arial"/>
          <w:szCs w:val="22"/>
        </w:rPr>
      </w:pPr>
      <w:r>
        <w:rPr>
          <w:rFonts w:cs="Arial"/>
          <w:szCs w:val="22"/>
        </w:rPr>
        <w:t xml:space="preserve"> </w:t>
      </w:r>
      <w:r w:rsidRPr="003D10D3">
        <w:rPr>
          <w:rFonts w:cs="Arial"/>
          <w:szCs w:val="22"/>
        </w:rPr>
        <w:t>Quality Response</w:t>
      </w:r>
    </w:p>
    <w:p w14:paraId="60C06E1D" w14:textId="514D2693" w:rsidR="00D06BD0" w:rsidRPr="003D10D3" w:rsidRDefault="00D06BD0" w:rsidP="00174DC0">
      <w:pPr>
        <w:pStyle w:val="ScheduleLevel1"/>
        <w:numPr>
          <w:ilvl w:val="0"/>
          <w:numId w:val="0"/>
        </w:numPr>
        <w:spacing w:after="120"/>
        <w:jc w:val="center"/>
        <w:rPr>
          <w:rFonts w:cs="Arial"/>
          <w:szCs w:val="22"/>
        </w:rPr>
      </w:pPr>
      <w:r>
        <w:rPr>
          <w:rFonts w:cs="Arial"/>
          <w:szCs w:val="22"/>
        </w:rPr>
        <w:t>[Redacted]</w:t>
      </w:r>
    </w:p>
    <w:p w14:paraId="3901D31C" w14:textId="572C8314" w:rsidR="00174DC0" w:rsidRDefault="00174DC0">
      <w:pPr>
        <w:rPr>
          <w:rFonts w:eastAsia="Times New Roman"/>
          <w:b/>
          <w:szCs w:val="22"/>
          <w:lang w:eastAsia="en-US"/>
        </w:rPr>
      </w:pPr>
      <w:bookmarkStart w:id="183" w:name="_Toc437243999"/>
      <w:r>
        <w:rPr>
          <w:rFonts w:eastAsia="Times New Roman"/>
          <w:b/>
          <w:szCs w:val="22"/>
          <w:lang w:eastAsia="en-US"/>
        </w:rPr>
        <w:br w:type="page"/>
      </w:r>
      <w:bookmarkStart w:id="184" w:name="_GoBack"/>
      <w:bookmarkEnd w:id="184"/>
    </w:p>
    <w:p w14:paraId="30C8D8BD" w14:textId="77777777" w:rsidR="003D10D3" w:rsidRDefault="003D10D3">
      <w:pPr>
        <w:rPr>
          <w:rFonts w:eastAsia="Times New Roman"/>
          <w:b/>
          <w:szCs w:val="22"/>
          <w:lang w:eastAsia="en-US"/>
        </w:rPr>
      </w:pP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1AFC3699"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85" w:name="_Toc444688625"/>
      <w:r w:rsidRPr="00506046">
        <w:rPr>
          <w:rFonts w:eastAsia="Times New Roman"/>
          <w:b/>
          <w:szCs w:val="22"/>
          <w:lang w:eastAsia="en-US"/>
        </w:rPr>
        <w:t>ANNEX 5 – CLARIFICATIONS</w:t>
      </w:r>
      <w:bookmarkEnd w:id="183"/>
      <w:bookmarkEnd w:id="185"/>
    </w:p>
    <w:p w14:paraId="4416EF89" w14:textId="5C2B3A1F" w:rsidR="00174DC0" w:rsidRDefault="000049C2" w:rsidP="00174DC0">
      <w:pPr>
        <w:pStyle w:val="ScheduleLevel1"/>
        <w:numPr>
          <w:ilvl w:val="0"/>
          <w:numId w:val="0"/>
        </w:numPr>
        <w:spacing w:after="120"/>
        <w:jc w:val="center"/>
        <w:rPr>
          <w:rFonts w:cs="Arial"/>
          <w:szCs w:val="22"/>
        </w:rPr>
      </w:pPr>
      <w:r w:rsidRPr="006F6B2F">
        <w:rPr>
          <w:rFonts w:cs="Arial"/>
          <w:szCs w:val="22"/>
        </w:rPr>
        <w:t>Not A</w:t>
      </w:r>
      <w:r w:rsidR="00174DC0" w:rsidRPr="006F6B2F">
        <w:rPr>
          <w:rFonts w:cs="Arial"/>
          <w:szCs w:val="22"/>
        </w:rPr>
        <w:t>pplicable</w:t>
      </w:r>
      <w:r w:rsidR="006F6B2F" w:rsidRPr="006F6B2F">
        <w:rPr>
          <w:rFonts w:cs="Arial"/>
          <w:szCs w:val="22"/>
        </w:rPr>
        <w:t xml:space="preserve">- No Clarifications were received </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139DAE4B"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86" w:name="_Toc439318929"/>
      <w:bookmarkStart w:id="187" w:name="_Toc444688626"/>
      <w:r w:rsidRPr="000F5FE2">
        <w:rPr>
          <w:rFonts w:eastAsia="Times New Roman"/>
          <w:b/>
          <w:szCs w:val="22"/>
          <w:lang w:eastAsia="en-US"/>
        </w:rPr>
        <w:lastRenderedPageBreak/>
        <w:t>ANNEX 6 – ADDITIONAL TERMS &amp; CONDITIONS</w:t>
      </w:r>
      <w:bookmarkEnd w:id="186"/>
      <w:bookmarkEnd w:id="187"/>
    </w:p>
    <w:p w14:paraId="588E43D6" w14:textId="30BD6F93" w:rsidR="000B01FD" w:rsidRPr="006F6B2F" w:rsidRDefault="000049C2" w:rsidP="004B1AF8">
      <w:pPr>
        <w:pStyle w:val="ScheduleLevel1"/>
        <w:numPr>
          <w:ilvl w:val="0"/>
          <w:numId w:val="0"/>
        </w:numPr>
        <w:spacing w:after="120"/>
        <w:jc w:val="center"/>
        <w:rPr>
          <w:rFonts w:cs="Arial"/>
          <w:szCs w:val="22"/>
        </w:rPr>
      </w:pPr>
      <w:r w:rsidRPr="006F6B2F">
        <w:rPr>
          <w:rFonts w:cs="Arial"/>
          <w:szCs w:val="22"/>
        </w:rPr>
        <w:t>N</w:t>
      </w:r>
      <w:r w:rsidR="004B1AF8" w:rsidRPr="006F6B2F">
        <w:rPr>
          <w:rFonts w:cs="Arial"/>
          <w:szCs w:val="22"/>
        </w:rPr>
        <w:t xml:space="preserve">ot </w:t>
      </w:r>
      <w:r w:rsidRPr="006F6B2F">
        <w:rPr>
          <w:rFonts w:cs="Arial"/>
          <w:szCs w:val="22"/>
        </w:rPr>
        <w:t>A</w:t>
      </w:r>
      <w:r w:rsidR="004B1AF8" w:rsidRPr="006F6B2F">
        <w:rPr>
          <w:rFonts w:cs="Arial"/>
          <w:szCs w:val="22"/>
        </w:rPr>
        <w:t>pplicable</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458A1B86" w:rsidR="004B1AF8" w:rsidRDefault="006F6B2F" w:rsidP="006D60CC">
      <w:pPr>
        <w:widowControl w:val="0"/>
        <w:tabs>
          <w:tab w:val="num" w:pos="540"/>
        </w:tabs>
        <w:spacing w:after="100" w:afterAutospacing="1"/>
        <w:ind w:left="851" w:hanging="851"/>
        <w:jc w:val="center"/>
        <w:outlineLvl w:val="0"/>
        <w:rPr>
          <w:rFonts w:eastAsia="Times New Roman"/>
          <w:b/>
          <w:szCs w:val="22"/>
          <w:lang w:eastAsia="en-US"/>
        </w:rPr>
      </w:pPr>
      <w:bookmarkStart w:id="188" w:name="_Toc440457130"/>
      <w:bookmarkStart w:id="189" w:name="_Toc444688627"/>
      <w:r w:rsidRPr="005063A9">
        <w:rPr>
          <w:noProof/>
          <w:lang w:eastAsia="en-GB"/>
        </w:rPr>
        <w:lastRenderedPageBreak/>
        <w:drawing>
          <wp:anchor distT="0" distB="0" distL="114300" distR="114300" simplePos="0" relativeHeight="251664503" behindDoc="1" locked="0" layoutInCell="1" allowOverlap="1" wp14:anchorId="0E1922BB" wp14:editId="200BCF26">
            <wp:simplePos x="0" y="0"/>
            <wp:positionH relativeFrom="column">
              <wp:posOffset>-989462</wp:posOffset>
            </wp:positionH>
            <wp:positionV relativeFrom="paragraph">
              <wp:posOffset>-1327472</wp:posOffset>
            </wp:positionV>
            <wp:extent cx="1712794" cy="1248410"/>
            <wp:effectExtent l="0" t="0" r="1905" b="8890"/>
            <wp:wrapNone/>
            <wp:docPr id="250" name="Picture 250" descr="C:\Users\lesley.harrison\Pictures\Department-for-Transport-DfT-logo-600x3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harrison\Pictures\Department-for-Transport-DfT-logo-600x36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5903" cy="12506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1FD" w:rsidRPr="00D66848">
        <w:rPr>
          <w:rFonts w:eastAsia="Times New Roman"/>
          <w:b/>
          <w:szCs w:val="22"/>
          <w:lang w:eastAsia="en-US"/>
        </w:rPr>
        <w:t>ANNEX 7 – CHANGE CONTROL FORMS</w:t>
      </w:r>
      <w:bookmarkEnd w:id="188"/>
      <w:bookmarkEnd w:id="189"/>
    </w:p>
    <w:p w14:paraId="2019E7DF" w14:textId="77777777" w:rsidR="006F6B2F" w:rsidRPr="0016612A" w:rsidRDefault="006F6B2F" w:rsidP="006F6B2F">
      <w:pPr>
        <w:pStyle w:val="HeadingforScheduleSections"/>
        <w:jc w:val="center"/>
        <w:rPr>
          <w:sz w:val="20"/>
          <w:szCs w:val="20"/>
        </w:rPr>
      </w:pPr>
      <w:r w:rsidRPr="0016612A">
        <w:rPr>
          <w:sz w:val="20"/>
          <w:szCs w:val="20"/>
        </w:rPr>
        <w:t>VARIATION TO CONTRACT FORM</w:t>
      </w:r>
    </w:p>
    <w:p w14:paraId="1CE1291C" w14:textId="77777777" w:rsidR="006F6B2F" w:rsidRPr="0016612A" w:rsidRDefault="006F6B2F" w:rsidP="006F6B2F">
      <w:pPr>
        <w:rPr>
          <w:b/>
          <w:sz w:val="20"/>
        </w:rPr>
      </w:pPr>
    </w:p>
    <w:p w14:paraId="04F2DB83" w14:textId="77777777" w:rsidR="006F6B2F" w:rsidRPr="007D6D9B" w:rsidRDefault="006F6B2F" w:rsidP="006F6B2F">
      <w:pPr>
        <w:rPr>
          <w:rFonts w:cs="Arial"/>
          <w:b/>
          <w:color w:val="000000"/>
        </w:rPr>
      </w:pPr>
      <w:r w:rsidRPr="00762BAF">
        <w:rPr>
          <w:rFonts w:cs="Arial"/>
          <w:b/>
          <w:sz w:val="20"/>
        </w:rPr>
        <w:t xml:space="preserve">Contract Name: </w:t>
      </w:r>
    </w:p>
    <w:p w14:paraId="73DBD6E0" w14:textId="77777777" w:rsidR="006F6B2F" w:rsidRPr="00762BAF" w:rsidRDefault="006F6B2F" w:rsidP="006F6B2F">
      <w:pPr>
        <w:rPr>
          <w:rFonts w:cs="Arial"/>
          <w:b/>
          <w:sz w:val="20"/>
        </w:rPr>
      </w:pPr>
    </w:p>
    <w:p w14:paraId="53CF489C" w14:textId="77777777" w:rsidR="006F6B2F" w:rsidRDefault="006F6B2F" w:rsidP="006F6B2F">
      <w:pPr>
        <w:jc w:val="both"/>
        <w:rPr>
          <w:rFonts w:cs="Arial"/>
          <w:b/>
          <w:sz w:val="20"/>
        </w:rPr>
      </w:pPr>
      <w:r w:rsidRPr="00762BAF">
        <w:rPr>
          <w:rFonts w:cs="Arial"/>
          <w:b/>
          <w:sz w:val="20"/>
        </w:rPr>
        <w:t xml:space="preserve">CONTRACT </w:t>
      </w:r>
      <w:r w:rsidRPr="003C0910">
        <w:rPr>
          <w:rFonts w:cs="Arial"/>
          <w:b/>
          <w:sz w:val="20"/>
        </w:rPr>
        <w:t>REF:</w:t>
      </w:r>
      <w:r>
        <w:rPr>
          <w:rFonts w:cs="Arial"/>
          <w:b/>
          <w:sz w:val="20"/>
        </w:rPr>
        <w:t xml:space="preserve"> </w:t>
      </w:r>
    </w:p>
    <w:p w14:paraId="52215E9D" w14:textId="77777777" w:rsidR="006F6B2F" w:rsidRDefault="006F6B2F" w:rsidP="006F6B2F">
      <w:pPr>
        <w:jc w:val="both"/>
        <w:rPr>
          <w:rFonts w:cs="Arial"/>
          <w:b/>
          <w:sz w:val="20"/>
        </w:rPr>
      </w:pPr>
    </w:p>
    <w:p w14:paraId="653793FC" w14:textId="77777777" w:rsidR="006F6B2F" w:rsidRDefault="006F6B2F" w:rsidP="006F6B2F">
      <w:pPr>
        <w:jc w:val="both"/>
        <w:rPr>
          <w:rFonts w:cs="Arial"/>
          <w:b/>
          <w:sz w:val="20"/>
        </w:rPr>
      </w:pPr>
      <w:r>
        <w:rPr>
          <w:rFonts w:cs="Arial"/>
          <w:b/>
          <w:sz w:val="20"/>
        </w:rPr>
        <w:t xml:space="preserve">Current CCS ref: </w:t>
      </w:r>
    </w:p>
    <w:p w14:paraId="20351A6B" w14:textId="77777777" w:rsidR="006F6B2F" w:rsidRDefault="006F6B2F" w:rsidP="006F6B2F">
      <w:pPr>
        <w:jc w:val="both"/>
        <w:rPr>
          <w:rFonts w:cs="Arial"/>
          <w:b/>
          <w:sz w:val="20"/>
        </w:rPr>
      </w:pPr>
      <w:r w:rsidRPr="003C0910">
        <w:rPr>
          <w:rFonts w:cs="Arial"/>
          <w:color w:val="000000"/>
          <w:sz w:val="20"/>
        </w:rPr>
        <w:tab/>
      </w:r>
      <w:r w:rsidRPr="00762BAF">
        <w:rPr>
          <w:rFonts w:cs="Arial"/>
          <w:b/>
          <w:sz w:val="20"/>
        </w:rPr>
        <w:tab/>
      </w:r>
      <w:r>
        <w:rPr>
          <w:rFonts w:cs="Arial"/>
          <w:b/>
          <w:sz w:val="20"/>
        </w:rPr>
        <w:tab/>
      </w:r>
      <w:r>
        <w:rPr>
          <w:rFonts w:cs="Arial"/>
          <w:b/>
          <w:sz w:val="20"/>
        </w:rPr>
        <w:tab/>
      </w:r>
    </w:p>
    <w:p w14:paraId="3043359E" w14:textId="77777777" w:rsidR="006F6B2F" w:rsidRPr="00762BAF" w:rsidRDefault="006F6B2F" w:rsidP="006F6B2F">
      <w:pPr>
        <w:jc w:val="both"/>
        <w:rPr>
          <w:rFonts w:cs="Arial"/>
          <w:sz w:val="20"/>
        </w:rPr>
      </w:pPr>
      <w:r w:rsidRPr="00762BAF">
        <w:rPr>
          <w:rFonts w:cs="Arial"/>
          <w:b/>
          <w:sz w:val="20"/>
        </w:rPr>
        <w:t>Variation Number</w:t>
      </w:r>
      <w:r>
        <w:rPr>
          <w:rFonts w:cs="Arial"/>
          <w:b/>
          <w:sz w:val="20"/>
        </w:rPr>
        <w:t xml:space="preserve">: </w:t>
      </w:r>
    </w:p>
    <w:p w14:paraId="1D6CB176" w14:textId="77777777" w:rsidR="006F6B2F" w:rsidRPr="00762BAF" w:rsidRDefault="006F6B2F" w:rsidP="006F6B2F">
      <w:pPr>
        <w:rPr>
          <w:rFonts w:cs="Arial"/>
          <w:b/>
          <w:sz w:val="20"/>
        </w:rPr>
      </w:pPr>
    </w:p>
    <w:p w14:paraId="6DE0C525" w14:textId="77777777" w:rsidR="006F6B2F" w:rsidRPr="009F7F4B" w:rsidRDefault="006F6B2F" w:rsidP="006F6B2F">
      <w:pPr>
        <w:ind w:left="900" w:hanging="900"/>
        <w:jc w:val="both"/>
        <w:outlineLvl w:val="2"/>
        <w:rPr>
          <w:rFonts w:cs="Arial"/>
          <w:b/>
          <w:bCs/>
        </w:rPr>
      </w:pPr>
      <w:r w:rsidRPr="009F7F4B">
        <w:rPr>
          <w:rFonts w:cs="Arial"/>
          <w:b/>
          <w:sz w:val="20"/>
        </w:rPr>
        <w:t xml:space="preserve">Effective from:  </w:t>
      </w:r>
    </w:p>
    <w:p w14:paraId="62F80F01" w14:textId="77777777" w:rsidR="006F6B2F" w:rsidRPr="009F7F4B" w:rsidRDefault="006F6B2F" w:rsidP="006F6B2F">
      <w:pPr>
        <w:rPr>
          <w:rFonts w:cs="Arial"/>
          <w:sz w:val="20"/>
        </w:rPr>
      </w:pPr>
    </w:p>
    <w:p w14:paraId="61648F39" w14:textId="77777777" w:rsidR="006F6B2F" w:rsidRPr="009F7F4B" w:rsidRDefault="006F6B2F" w:rsidP="006F6B2F">
      <w:pPr>
        <w:rPr>
          <w:rFonts w:cs="Arial"/>
          <w:sz w:val="20"/>
        </w:rPr>
      </w:pPr>
      <w:r w:rsidRPr="009F7F4B">
        <w:rPr>
          <w:rFonts w:cs="Arial"/>
          <w:sz w:val="20"/>
        </w:rPr>
        <w:t>Between:</w:t>
      </w:r>
    </w:p>
    <w:p w14:paraId="69D77331" w14:textId="77777777" w:rsidR="006F6B2F" w:rsidRPr="009F7F4B" w:rsidRDefault="006F6B2F" w:rsidP="006F6B2F">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F6B2F" w:rsidRPr="009F7F4B" w14:paraId="12B28B3B" w14:textId="77777777" w:rsidTr="00C722CD">
        <w:tc>
          <w:tcPr>
            <w:tcW w:w="8522" w:type="dxa"/>
          </w:tcPr>
          <w:p w14:paraId="096B17D0" w14:textId="77777777" w:rsidR="006F6B2F" w:rsidRPr="009F7F4B" w:rsidRDefault="006F6B2F" w:rsidP="00C722CD">
            <w:pPr>
              <w:rPr>
                <w:sz w:val="20"/>
              </w:rPr>
            </w:pPr>
          </w:p>
          <w:p w14:paraId="6C7D4773" w14:textId="77777777" w:rsidR="006F6B2F" w:rsidRPr="009F7F4B" w:rsidRDefault="006F6B2F" w:rsidP="00C722CD">
            <w:pPr>
              <w:rPr>
                <w:sz w:val="20"/>
              </w:rPr>
            </w:pPr>
            <w:r w:rsidRPr="009F7F4B">
              <w:rPr>
                <w:sz w:val="20"/>
              </w:rPr>
              <w:t xml:space="preserve">The </w:t>
            </w:r>
            <w:r w:rsidRPr="009F7F4B">
              <w:rPr>
                <w:b/>
                <w:sz w:val="20"/>
              </w:rPr>
              <w:t>Department for Transport</w:t>
            </w:r>
            <w:r w:rsidRPr="009F7F4B">
              <w:rPr>
                <w:sz w:val="20"/>
              </w:rPr>
              <w:t xml:space="preserve">  (hereinafter called “the Client”) and </w:t>
            </w:r>
            <w:r>
              <w:rPr>
                <w:b/>
                <w:sz w:val="20"/>
              </w:rPr>
              <w:t>Name of the supplier</w:t>
            </w:r>
            <w:r w:rsidRPr="009F7F4B">
              <w:rPr>
                <w:sz w:val="20"/>
              </w:rPr>
              <w:t xml:space="preserve"> (hereinafter called “the Contractor”)</w:t>
            </w:r>
          </w:p>
          <w:p w14:paraId="1D2AEC28" w14:textId="77777777" w:rsidR="006F6B2F" w:rsidRPr="009F7F4B" w:rsidRDefault="006F6B2F" w:rsidP="00C722CD">
            <w:pPr>
              <w:rPr>
                <w:sz w:val="20"/>
              </w:rPr>
            </w:pPr>
          </w:p>
        </w:tc>
      </w:tr>
    </w:tbl>
    <w:p w14:paraId="669421F6" w14:textId="77777777" w:rsidR="006F6B2F" w:rsidRPr="009F7F4B" w:rsidRDefault="006F6B2F" w:rsidP="006F6B2F">
      <w:pPr>
        <w:rPr>
          <w:sz w:val="20"/>
        </w:rPr>
      </w:pPr>
    </w:p>
    <w:p w14:paraId="5BE7B7CD" w14:textId="77777777" w:rsidR="006F6B2F" w:rsidRPr="009F7F4B" w:rsidRDefault="006F6B2F" w:rsidP="006F6B2F">
      <w:pPr>
        <w:rPr>
          <w:sz w:val="20"/>
        </w:rPr>
      </w:pPr>
      <w:r w:rsidRPr="009F7F4B">
        <w:rPr>
          <w:sz w:val="20"/>
        </w:rPr>
        <w:t>The Contract is varied as follows:</w:t>
      </w:r>
    </w:p>
    <w:p w14:paraId="638320B7" w14:textId="77777777" w:rsidR="006F6B2F" w:rsidRPr="009F7F4B" w:rsidRDefault="006F6B2F" w:rsidP="006F6B2F">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F6B2F" w:rsidRPr="009F7F4B" w14:paraId="0EFEBD11" w14:textId="77777777" w:rsidTr="00C722CD">
        <w:tc>
          <w:tcPr>
            <w:tcW w:w="8296" w:type="dxa"/>
          </w:tcPr>
          <w:p w14:paraId="388B063D" w14:textId="77777777" w:rsidR="006F6B2F" w:rsidRPr="009F7F4B" w:rsidRDefault="006F6B2F" w:rsidP="00C722CD">
            <w:pPr>
              <w:rPr>
                <w:rFonts w:cs="Arial"/>
                <w:sz w:val="20"/>
              </w:rPr>
            </w:pPr>
          </w:p>
          <w:p w14:paraId="487B325E" w14:textId="77777777" w:rsidR="006F6B2F" w:rsidRPr="0056081D" w:rsidRDefault="006F6B2F" w:rsidP="00315328">
            <w:pPr>
              <w:pStyle w:val="ListParagraph"/>
              <w:numPr>
                <w:ilvl w:val="0"/>
                <w:numId w:val="36"/>
              </w:numPr>
              <w:spacing w:after="200" w:line="276" w:lineRule="auto"/>
              <w:contextualSpacing/>
              <w:rPr>
                <w:rFonts w:cs="Arial"/>
                <w:sz w:val="20"/>
              </w:rPr>
            </w:pPr>
            <w:r w:rsidRPr="009F7F4B">
              <w:rPr>
                <w:rFonts w:cs="Arial"/>
                <w:sz w:val="20"/>
              </w:rPr>
              <w:t>This is a variation</w:t>
            </w:r>
            <w:r>
              <w:rPr>
                <w:rFonts w:cs="Arial"/>
                <w:sz w:val="20"/>
              </w:rPr>
              <w:t xml:space="preserve"> and commencement </w:t>
            </w:r>
            <w:r w:rsidRPr="009F7F4B">
              <w:rPr>
                <w:rFonts w:cs="Arial"/>
                <w:sz w:val="20"/>
              </w:rPr>
              <w:t>to the contract between the Client and the Contractor.</w:t>
            </w:r>
          </w:p>
          <w:p w14:paraId="394822AE" w14:textId="77777777" w:rsidR="006F6B2F" w:rsidRPr="009F7F4B" w:rsidRDefault="006F6B2F" w:rsidP="00C722CD">
            <w:pPr>
              <w:ind w:left="738"/>
              <w:rPr>
                <w:rFonts w:cs="Arial"/>
                <w:sz w:val="20"/>
              </w:rPr>
            </w:pPr>
            <w:r w:rsidRPr="009F7F4B">
              <w:rPr>
                <w:rFonts w:cs="Arial"/>
                <w:sz w:val="20"/>
              </w:rPr>
              <w:t>The Terms and Conditions of Contract as previously agreed and amended between the Client and the Contractor will still apply but with the following amendments:</w:t>
            </w:r>
          </w:p>
          <w:p w14:paraId="1F674195" w14:textId="77777777" w:rsidR="006F6B2F" w:rsidRPr="009F7F4B" w:rsidRDefault="006F6B2F" w:rsidP="00C722CD">
            <w:pPr>
              <w:rPr>
                <w:rFonts w:cs="Arial"/>
                <w:sz w:val="20"/>
              </w:rPr>
            </w:pPr>
          </w:p>
          <w:p w14:paraId="574BB8D6" w14:textId="77777777" w:rsidR="006F6B2F" w:rsidRPr="009F7F4B" w:rsidRDefault="006F6B2F" w:rsidP="00315328">
            <w:pPr>
              <w:pStyle w:val="ListParagraph"/>
              <w:numPr>
                <w:ilvl w:val="0"/>
                <w:numId w:val="37"/>
              </w:numPr>
              <w:spacing w:after="200" w:line="276" w:lineRule="auto"/>
              <w:contextualSpacing/>
              <w:rPr>
                <w:rFonts w:cs="Arial"/>
                <w:sz w:val="20"/>
              </w:rPr>
            </w:pPr>
          </w:p>
        </w:tc>
      </w:tr>
    </w:tbl>
    <w:p w14:paraId="5DA7E80D" w14:textId="77777777" w:rsidR="006F6B2F" w:rsidRPr="009F7F4B" w:rsidRDefault="006F6B2F" w:rsidP="006F6B2F">
      <w:pPr>
        <w:rPr>
          <w:sz w:val="20"/>
        </w:rPr>
      </w:pPr>
    </w:p>
    <w:p w14:paraId="0D7E2161" w14:textId="77777777" w:rsidR="006F6B2F" w:rsidRPr="009F7F4B" w:rsidRDefault="006F6B2F" w:rsidP="006F6B2F">
      <w:pPr>
        <w:ind w:left="360" w:hanging="360"/>
        <w:rPr>
          <w:sz w:val="20"/>
        </w:rPr>
      </w:pPr>
      <w:r w:rsidRPr="009F7F4B">
        <w:rPr>
          <w:sz w:val="20"/>
        </w:rPr>
        <w:t xml:space="preserve">2. </w:t>
      </w:r>
      <w:r w:rsidRPr="009F7F4B">
        <w:rPr>
          <w:sz w:val="20"/>
        </w:rPr>
        <w:tab/>
        <w:t>Words and expressions in this Variation shall have the meanings given to them in the Contract.</w:t>
      </w:r>
    </w:p>
    <w:p w14:paraId="3AD333DF" w14:textId="77777777" w:rsidR="006F6B2F" w:rsidRPr="009F7F4B" w:rsidRDefault="006F6B2F" w:rsidP="006F6B2F">
      <w:pPr>
        <w:ind w:left="360" w:hanging="360"/>
        <w:rPr>
          <w:sz w:val="20"/>
        </w:rPr>
      </w:pPr>
    </w:p>
    <w:p w14:paraId="5379BD3D" w14:textId="77777777" w:rsidR="006F6B2F" w:rsidRPr="009F7F4B" w:rsidRDefault="006F6B2F" w:rsidP="006F6B2F">
      <w:pPr>
        <w:ind w:left="360" w:hanging="540"/>
        <w:rPr>
          <w:sz w:val="20"/>
        </w:rPr>
      </w:pPr>
      <w:r w:rsidRPr="009F7F4B">
        <w:rPr>
          <w:sz w:val="20"/>
        </w:rPr>
        <w:t xml:space="preserve">   3. </w:t>
      </w:r>
      <w:r w:rsidRPr="009F7F4B">
        <w:rPr>
          <w:sz w:val="20"/>
        </w:rPr>
        <w:tab/>
        <w:t>The Contract shall remain effective and unaltered except as amended by this Variation.</w:t>
      </w:r>
    </w:p>
    <w:p w14:paraId="005DB517" w14:textId="77777777" w:rsidR="006F6B2F" w:rsidRPr="009F7F4B" w:rsidRDefault="006F6B2F" w:rsidP="006F6B2F">
      <w:pPr>
        <w:rPr>
          <w:sz w:val="20"/>
        </w:rPr>
      </w:pPr>
    </w:p>
    <w:p w14:paraId="25F8E45C" w14:textId="77777777" w:rsidR="006F6B2F" w:rsidRPr="009F7F4B" w:rsidRDefault="006F6B2F" w:rsidP="006F6B2F">
      <w:pPr>
        <w:rPr>
          <w:sz w:val="20"/>
        </w:rPr>
      </w:pPr>
      <w:r w:rsidRPr="009F7F4B">
        <w:rPr>
          <w:sz w:val="20"/>
        </w:rPr>
        <w:t xml:space="preserve">SIGNED </w:t>
      </w:r>
    </w:p>
    <w:p w14:paraId="585D6F52" w14:textId="77777777" w:rsidR="006F6B2F" w:rsidRPr="009F7F4B" w:rsidRDefault="006F6B2F" w:rsidP="006F6B2F">
      <w:pPr>
        <w:rPr>
          <w:sz w:val="20"/>
        </w:rPr>
      </w:pPr>
    </w:p>
    <w:p w14:paraId="1384731C" w14:textId="77777777" w:rsidR="006F6B2F" w:rsidRPr="009F7F4B" w:rsidRDefault="006F6B2F" w:rsidP="006F6B2F">
      <w:pPr>
        <w:rPr>
          <w:sz w:val="20"/>
        </w:rPr>
      </w:pPr>
      <w:r w:rsidRPr="009F7F4B">
        <w:rPr>
          <w:sz w:val="20"/>
        </w:rPr>
        <w:t xml:space="preserve">For the Client:   </w:t>
      </w:r>
      <w:r>
        <w:rPr>
          <w:sz w:val="20"/>
        </w:rPr>
        <w:tab/>
      </w:r>
      <w:r>
        <w:rPr>
          <w:sz w:val="20"/>
        </w:rPr>
        <w:tab/>
      </w:r>
      <w:r>
        <w:rPr>
          <w:sz w:val="20"/>
        </w:rPr>
        <w:tab/>
      </w:r>
      <w:r>
        <w:rPr>
          <w:sz w:val="20"/>
        </w:rPr>
        <w:tab/>
      </w:r>
      <w:r>
        <w:rPr>
          <w:sz w:val="20"/>
        </w:rPr>
        <w:tab/>
      </w:r>
      <w:r w:rsidRPr="009F7F4B">
        <w:rPr>
          <w:sz w:val="20"/>
        </w:rPr>
        <w:t>For the Contractor:</w:t>
      </w:r>
    </w:p>
    <w:p w14:paraId="5B40B63D" w14:textId="77777777" w:rsidR="006F6B2F" w:rsidRDefault="006F6B2F" w:rsidP="006F6B2F">
      <w:pPr>
        <w:rPr>
          <w:sz w:val="20"/>
        </w:rPr>
      </w:pPr>
    </w:p>
    <w:p w14:paraId="5C9C1D6C" w14:textId="77777777" w:rsidR="006F6B2F" w:rsidRPr="009F7F4B" w:rsidRDefault="006F6B2F" w:rsidP="006F6B2F">
      <w:pPr>
        <w:rPr>
          <w:sz w:val="20"/>
        </w:rPr>
      </w:pPr>
    </w:p>
    <w:p w14:paraId="6C219B36" w14:textId="77777777" w:rsidR="006F6B2F" w:rsidRPr="009F7F4B" w:rsidRDefault="006F6B2F" w:rsidP="006F6B2F">
      <w:pPr>
        <w:rPr>
          <w:sz w:val="20"/>
        </w:rPr>
      </w:pPr>
    </w:p>
    <w:p w14:paraId="604C64CB" w14:textId="77777777" w:rsidR="006F6B2F" w:rsidRPr="009F7F4B" w:rsidRDefault="006F6B2F" w:rsidP="006F6B2F">
      <w:pPr>
        <w:rPr>
          <w:sz w:val="20"/>
        </w:rPr>
      </w:pPr>
      <w:r w:rsidRPr="009F7F4B">
        <w:rPr>
          <w:sz w:val="20"/>
        </w:rPr>
        <w:t>Full N</w:t>
      </w:r>
      <w:r>
        <w:rPr>
          <w:sz w:val="20"/>
        </w:rPr>
        <w:t xml:space="preserve">ame:    </w:t>
      </w:r>
      <w:r w:rsidRPr="009F7F4B">
        <w:rPr>
          <w:sz w:val="20"/>
        </w:rPr>
        <w:t xml:space="preserve">                                    </w:t>
      </w:r>
      <w:r>
        <w:rPr>
          <w:sz w:val="20"/>
        </w:rPr>
        <w:t xml:space="preserve">          </w:t>
      </w:r>
      <w:r w:rsidRPr="009F7F4B">
        <w:rPr>
          <w:sz w:val="20"/>
        </w:rPr>
        <w:t xml:space="preserve">  </w:t>
      </w:r>
      <w:r>
        <w:rPr>
          <w:sz w:val="20"/>
        </w:rPr>
        <w:tab/>
      </w:r>
      <w:r w:rsidRPr="009F7F4B">
        <w:rPr>
          <w:sz w:val="20"/>
        </w:rPr>
        <w:t>Full Name:</w:t>
      </w:r>
    </w:p>
    <w:p w14:paraId="6DC3BB73" w14:textId="77777777" w:rsidR="006F6B2F" w:rsidRPr="009F7F4B" w:rsidRDefault="006F6B2F" w:rsidP="006F6B2F">
      <w:pPr>
        <w:rPr>
          <w:sz w:val="20"/>
        </w:rPr>
      </w:pPr>
    </w:p>
    <w:p w14:paraId="08FB26B6" w14:textId="77777777" w:rsidR="006F6B2F" w:rsidRPr="009F7F4B" w:rsidRDefault="006F6B2F" w:rsidP="006F6B2F">
      <w:pPr>
        <w:rPr>
          <w:sz w:val="20"/>
        </w:rPr>
      </w:pPr>
      <w:r w:rsidRPr="009F7F4B">
        <w:rPr>
          <w:sz w:val="20"/>
        </w:rPr>
        <w:t xml:space="preserve">Title:                                                       </w:t>
      </w:r>
      <w:r>
        <w:rPr>
          <w:sz w:val="20"/>
        </w:rPr>
        <w:t xml:space="preserve">        </w:t>
      </w:r>
      <w:r>
        <w:rPr>
          <w:sz w:val="20"/>
        </w:rPr>
        <w:tab/>
      </w:r>
      <w:r w:rsidRPr="009F7F4B">
        <w:rPr>
          <w:sz w:val="20"/>
        </w:rPr>
        <w:t>Title:</w:t>
      </w:r>
    </w:p>
    <w:p w14:paraId="2608D861" w14:textId="77777777" w:rsidR="006F6B2F" w:rsidRPr="009F7F4B" w:rsidRDefault="006F6B2F" w:rsidP="006F6B2F">
      <w:pPr>
        <w:rPr>
          <w:sz w:val="20"/>
        </w:rPr>
      </w:pPr>
    </w:p>
    <w:p w14:paraId="3C61C6EC" w14:textId="77777777" w:rsidR="006F6B2F" w:rsidRPr="009F7F4B" w:rsidRDefault="006F6B2F" w:rsidP="006F6B2F">
      <w:pPr>
        <w:rPr>
          <w:sz w:val="20"/>
        </w:rPr>
      </w:pPr>
      <w:r w:rsidRPr="009F7F4B">
        <w:rPr>
          <w:sz w:val="20"/>
        </w:rPr>
        <w:t xml:space="preserve">Date: </w:t>
      </w:r>
      <w:r>
        <w:rPr>
          <w:sz w:val="20"/>
        </w:rPr>
        <w:t xml:space="preserve"> </w:t>
      </w:r>
      <w:r w:rsidRPr="009F7F4B">
        <w:rPr>
          <w:sz w:val="20"/>
        </w:rPr>
        <w:t xml:space="preserve">                                            </w:t>
      </w:r>
      <w:r>
        <w:rPr>
          <w:sz w:val="20"/>
        </w:rPr>
        <w:t xml:space="preserve">               </w:t>
      </w:r>
      <w:r>
        <w:rPr>
          <w:sz w:val="20"/>
        </w:rPr>
        <w:tab/>
      </w:r>
      <w:r w:rsidRPr="009F7F4B">
        <w:rPr>
          <w:sz w:val="20"/>
        </w:rPr>
        <w:t xml:space="preserve">Date:           </w:t>
      </w: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D7EA6" w14:textId="77777777" w:rsidR="00796E80" w:rsidRDefault="00796E80">
      <w:pPr>
        <w:spacing w:line="20" w:lineRule="exact"/>
      </w:pPr>
    </w:p>
  </w:endnote>
  <w:endnote w:type="continuationSeparator" w:id="0">
    <w:p w14:paraId="3330B381" w14:textId="77777777" w:rsidR="00796E80" w:rsidRDefault="00796E80">
      <w:pPr>
        <w:spacing w:line="20" w:lineRule="exact"/>
      </w:pPr>
      <w:r>
        <w:t xml:space="preserve"> </w:t>
      </w:r>
    </w:p>
  </w:endnote>
  <w:endnote w:type="continuationNotice" w:id="1">
    <w:p w14:paraId="6D9A5CDF" w14:textId="77777777" w:rsidR="00796E80" w:rsidRDefault="00796E8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6D6B62" w:rsidRDefault="006D6B62"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6D6B62" w:rsidRDefault="006D6B62"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6D6B62" w:rsidRDefault="006D6B62"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6D6B62" w:rsidRPr="00C34E12" w:rsidRDefault="006D6B62"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6D6B62" w:rsidRDefault="006D6B62"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6D6B62" w:rsidRPr="00A65391" w:rsidRDefault="006D6B62"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094054"/>
      <w:docPartObj>
        <w:docPartGallery w:val="Page Numbers (Bottom of Page)"/>
        <w:docPartUnique/>
      </w:docPartObj>
    </w:sdtPr>
    <w:sdtEndPr>
      <w:rPr>
        <w:noProof/>
      </w:rPr>
    </w:sdtEndPr>
    <w:sdtContent>
      <w:p w14:paraId="0F0239A2" w14:textId="77777777" w:rsidR="006D6B62" w:rsidRPr="00CE50FE" w:rsidRDefault="006D6B62" w:rsidP="00F70073">
        <w:pPr>
          <w:pStyle w:val="Footer"/>
          <w:pBdr>
            <w:top w:val="single" w:sz="4" w:space="1" w:color="auto"/>
          </w:pBdr>
          <w:jc w:val="center"/>
          <w:rPr>
            <w:sz w:val="20"/>
            <w:szCs w:val="20"/>
          </w:rPr>
        </w:pPr>
        <w:r w:rsidRPr="00CE50FE">
          <w:rPr>
            <w:sz w:val="20"/>
            <w:szCs w:val="20"/>
          </w:rPr>
          <w:t>OFFICIAL</w:t>
        </w:r>
      </w:p>
      <w:p w14:paraId="6AFEBE16" w14:textId="5F7F629C" w:rsidR="006D6B62" w:rsidRDefault="006D6B62" w:rsidP="00F70073">
        <w:pPr>
          <w:pStyle w:val="Footer"/>
          <w:pBdr>
            <w:top w:val="single" w:sz="4" w:space="1" w:color="auto"/>
          </w:pBdr>
          <w:rPr>
            <w:sz w:val="20"/>
            <w:szCs w:val="20"/>
          </w:rPr>
        </w:pPr>
        <w:r w:rsidRPr="00CE50FE">
          <w:rPr>
            <w:sz w:val="20"/>
            <w:szCs w:val="20"/>
          </w:rPr>
          <w:t>Agreement Annexes</w:t>
        </w:r>
        <w:r>
          <w:rPr>
            <w:sz w:val="20"/>
            <w:szCs w:val="20"/>
          </w:rPr>
          <w:t xml:space="preserve"> </w:t>
        </w:r>
        <w:r w:rsidR="00D06BD0">
          <w:rPr>
            <w:sz w:val="20"/>
            <w:szCs w:val="20"/>
          </w:rPr>
          <w:t>–</w:t>
        </w:r>
        <w:r>
          <w:rPr>
            <w:sz w:val="20"/>
            <w:szCs w:val="20"/>
          </w:rPr>
          <w:t xml:space="preserve"> Services</w:t>
        </w:r>
      </w:p>
      <w:p w14:paraId="2DC58873" w14:textId="46DDB91C" w:rsidR="00D06BD0" w:rsidRDefault="00D06BD0" w:rsidP="00F70073">
        <w:pPr>
          <w:pStyle w:val="Footer"/>
          <w:pBdr>
            <w:top w:val="single" w:sz="4" w:space="1" w:color="auto"/>
          </w:pBdr>
          <w:rPr>
            <w:sz w:val="20"/>
            <w:szCs w:val="20"/>
          </w:rPr>
        </w:pPr>
        <w:r>
          <w:rPr>
            <w:sz w:val="20"/>
            <w:szCs w:val="20"/>
          </w:rPr>
          <w:t>[Redacted]</w:t>
        </w:r>
      </w:p>
      <w:p w14:paraId="59D982FD" w14:textId="12802125" w:rsidR="006D6B62" w:rsidRPr="00CE50FE" w:rsidRDefault="006D6B62"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187E2E8F" w:rsidR="006D6B62" w:rsidRPr="00CE50FE" w:rsidRDefault="006D6B62" w:rsidP="00F70073">
        <w:pPr>
          <w:pStyle w:val="Footer"/>
          <w:pBdr>
            <w:top w:val="single" w:sz="4" w:space="1" w:color="auto"/>
          </w:pBdr>
          <w:jc w:val="right"/>
          <w:rPr>
            <w:sz w:val="20"/>
            <w:szCs w:val="20"/>
          </w:rPr>
        </w:pPr>
        <w:r w:rsidRPr="009B2E57">
          <w:rPr>
            <w:sz w:val="20"/>
            <w:szCs w:val="20"/>
          </w:rPr>
          <w:t xml:space="preserve">V1.0 </w:t>
        </w:r>
        <w:r w:rsidR="00026B2E">
          <w:rPr>
            <w:sz w:val="20"/>
            <w:szCs w:val="20"/>
          </w:rPr>
          <w:t>27</w:t>
        </w:r>
        <w:r w:rsidRPr="009B2E57">
          <w:rPr>
            <w:sz w:val="20"/>
            <w:szCs w:val="20"/>
          </w:rPr>
          <w:t>/03/2017</w:t>
        </w:r>
      </w:p>
      <w:p w14:paraId="3085C604" w14:textId="77777777" w:rsidR="006D6B62" w:rsidRDefault="006D6B62"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D06BD0">
          <w:rPr>
            <w:noProof/>
            <w:sz w:val="20"/>
            <w:szCs w:val="20"/>
          </w:rPr>
          <w:t>37</w:t>
        </w:r>
        <w:r w:rsidRPr="00CE50FE">
          <w:rPr>
            <w:noProof/>
            <w:sz w:val="20"/>
            <w:szCs w:val="20"/>
          </w:rPr>
          <w:fldChar w:fldCharType="end"/>
        </w:r>
      </w:p>
    </w:sdtContent>
  </w:sdt>
  <w:p w14:paraId="170A480B" w14:textId="77777777" w:rsidR="006D6B62" w:rsidRPr="00360755" w:rsidRDefault="006D6B62"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FEA85" w14:textId="77777777" w:rsidR="00796E80" w:rsidRDefault="00796E80">
      <w:r>
        <w:separator/>
      </w:r>
    </w:p>
  </w:footnote>
  <w:footnote w:type="continuationSeparator" w:id="0">
    <w:p w14:paraId="6DA4F105" w14:textId="77777777" w:rsidR="00796E80" w:rsidRDefault="00796E80">
      <w:r>
        <w:continuationSeparator/>
      </w:r>
    </w:p>
  </w:footnote>
  <w:footnote w:type="continuationNotice" w:id="1">
    <w:p w14:paraId="241A54A7" w14:textId="77777777" w:rsidR="00796E80" w:rsidRDefault="00796E80"/>
  </w:footnote>
  <w:footnote w:id="2">
    <w:p w14:paraId="7A78CCCF" w14:textId="77777777" w:rsidR="006D6B62" w:rsidRPr="0078678A" w:rsidRDefault="006D6B62" w:rsidP="006D6B62">
      <w:pPr>
        <w:pStyle w:val="FootnoteText"/>
        <w:rPr>
          <w:rFonts w:cs="Arial"/>
        </w:rPr>
      </w:pPr>
      <w:r w:rsidRPr="0078678A">
        <w:rPr>
          <w:rFonts w:cs="Arial"/>
        </w:rPr>
        <w:footnoteRef/>
      </w:r>
      <w:r w:rsidRPr="0078678A">
        <w:rPr>
          <w:rFonts w:cs="Arial"/>
        </w:rPr>
        <w:t xml:space="preserve"> The Greater London area is defined as the area covered by the Greater London Authority.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6D6B62" w:rsidRDefault="006D6B62"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6D6B62" w:rsidRDefault="006D6B62" w:rsidP="00F3190B">
    <w:pPr>
      <w:pStyle w:val="Header"/>
      <w:jc w:val="center"/>
      <w:rPr>
        <w:b/>
      </w:rPr>
    </w:pPr>
  </w:p>
  <w:p w14:paraId="64559850" w14:textId="77777777" w:rsidR="006D6B62" w:rsidRDefault="006D6B62"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6D6B62" w:rsidRDefault="006D6B62"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25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6D6B62" w:rsidRDefault="006D6B62" w:rsidP="00F70073">
    <w:pPr>
      <w:pStyle w:val="Header"/>
      <w:pBdr>
        <w:bottom w:val="single" w:sz="4" w:space="1" w:color="auto"/>
      </w:pBdr>
      <w:jc w:val="center"/>
      <w:rPr>
        <w:rFonts w:cs="Arial"/>
        <w:sz w:val="20"/>
        <w:szCs w:val="20"/>
      </w:rPr>
    </w:pPr>
    <w:r>
      <w:rPr>
        <w:rFonts w:cs="Arial"/>
        <w:sz w:val="20"/>
        <w:szCs w:val="20"/>
      </w:rPr>
      <w:t>Agreement Annexes - Services</w:t>
    </w:r>
  </w:p>
  <w:p w14:paraId="68BF014B" w14:textId="77777777" w:rsidR="006D6B62" w:rsidRPr="009B2E57" w:rsidRDefault="006D6B62" w:rsidP="00F70073">
    <w:pPr>
      <w:pStyle w:val="Header"/>
      <w:pBdr>
        <w:bottom w:val="single" w:sz="4" w:space="1" w:color="auto"/>
      </w:pBdr>
      <w:jc w:val="center"/>
      <w:rPr>
        <w:rFonts w:cs="Arial"/>
        <w:sz w:val="20"/>
        <w:szCs w:val="20"/>
      </w:rPr>
    </w:pPr>
    <w:r w:rsidRPr="009B2E57">
      <w:rPr>
        <w:rFonts w:cs="Arial"/>
        <w:sz w:val="20"/>
        <w:szCs w:val="20"/>
      </w:rPr>
      <w:t xml:space="preserve">The Provision of Legal Advisor Services for the West Coast Continuation Rail Project </w:t>
    </w:r>
  </w:p>
  <w:p w14:paraId="022C7E11" w14:textId="511BF6E9" w:rsidR="006D6B62" w:rsidRPr="009B2E57" w:rsidRDefault="006D6B62" w:rsidP="00F70073">
    <w:pPr>
      <w:pStyle w:val="Header"/>
      <w:pBdr>
        <w:bottom w:val="single" w:sz="4" w:space="1" w:color="auto"/>
      </w:pBdr>
      <w:jc w:val="center"/>
      <w:rPr>
        <w:rFonts w:cs="Arial"/>
        <w:sz w:val="20"/>
        <w:szCs w:val="20"/>
      </w:rPr>
    </w:pPr>
    <w:r w:rsidRPr="009B2E57">
      <w:rPr>
        <w:rFonts w:cs="Arial"/>
        <w:sz w:val="20"/>
        <w:szCs w:val="20"/>
      </w:rPr>
      <w:t xml:space="preserve">for </w:t>
    </w:r>
    <w:r>
      <w:rPr>
        <w:rFonts w:cs="Arial"/>
        <w:sz w:val="20"/>
        <w:szCs w:val="20"/>
      </w:rPr>
      <w:t xml:space="preserve">The </w:t>
    </w:r>
    <w:r w:rsidRPr="009B2E57">
      <w:rPr>
        <w:rFonts w:cs="Arial"/>
        <w:sz w:val="20"/>
        <w:szCs w:val="20"/>
      </w:rPr>
      <w:t>DfT</w:t>
    </w:r>
  </w:p>
  <w:p w14:paraId="7FECFEFB" w14:textId="3D6836D7" w:rsidR="006D6B62" w:rsidRDefault="006D6B62" w:rsidP="00F70073">
    <w:pPr>
      <w:pStyle w:val="Header"/>
      <w:pBdr>
        <w:bottom w:val="single" w:sz="4" w:space="1" w:color="auto"/>
      </w:pBdr>
      <w:jc w:val="center"/>
      <w:rPr>
        <w:rFonts w:cs="Arial"/>
        <w:sz w:val="20"/>
        <w:szCs w:val="20"/>
      </w:rPr>
    </w:pPr>
    <w:r w:rsidRPr="009B2E57">
      <w:rPr>
        <w:rFonts w:cs="Arial"/>
        <w:sz w:val="20"/>
        <w:szCs w:val="20"/>
      </w:rPr>
      <w:t>Contract Reference: CCLL16A22</w:t>
    </w:r>
  </w:p>
  <w:p w14:paraId="41FED4DA" w14:textId="77777777" w:rsidR="006D6B62" w:rsidRDefault="006D6B62" w:rsidP="00F70073">
    <w:pPr>
      <w:pStyle w:val="Header"/>
      <w:pBdr>
        <w:bottom w:val="single" w:sz="4" w:space="1" w:color="auto"/>
      </w:pBdr>
      <w:jc w:val="center"/>
    </w:pPr>
  </w:p>
  <w:p w14:paraId="68388EBA" w14:textId="77777777" w:rsidR="006D6B62" w:rsidRDefault="006D6B62"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834D0D"/>
    <w:multiLevelType w:val="multilevel"/>
    <w:tmpl w:val="22CEC1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6F9312A"/>
    <w:multiLevelType w:val="hybridMultilevel"/>
    <w:tmpl w:val="BDCE32D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5B2156D"/>
    <w:multiLevelType w:val="hybridMultilevel"/>
    <w:tmpl w:val="77D80D96"/>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188F52EA"/>
    <w:multiLevelType w:val="hybridMultilevel"/>
    <w:tmpl w:val="72B6545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2180250"/>
    <w:multiLevelType w:val="hybridMultilevel"/>
    <w:tmpl w:val="AE324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5323A1"/>
    <w:multiLevelType w:val="hybridMultilevel"/>
    <w:tmpl w:val="42D8A8D0"/>
    <w:lvl w:ilvl="0" w:tplc="908CBE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5" w15:restartNumberingAfterBreak="0">
    <w:nsid w:val="3C4279B6"/>
    <w:multiLevelType w:val="hybridMultilevel"/>
    <w:tmpl w:val="C7B2A440"/>
    <w:lvl w:ilvl="0" w:tplc="FFFFFFFF">
      <w:start w:val="1"/>
      <w:numFmt w:val="bullet"/>
      <w:pStyle w:val="22-BulletText"/>
      <w:lvlText w:val=""/>
      <w:lvlJc w:val="left"/>
      <w:pPr>
        <w:tabs>
          <w:tab w:val="num" w:pos="1440"/>
        </w:tabs>
        <w:ind w:left="1440" w:hanging="360"/>
      </w:pPr>
      <w:rPr>
        <w:rFonts w:ascii="Symbol" w:hAnsi="Symbol" w:hint="default"/>
        <w:b/>
        <w:i w:val="0"/>
        <w:color w:val="007161"/>
      </w:rPr>
    </w:lvl>
    <w:lvl w:ilvl="1" w:tplc="FFFFFFFF">
      <w:start w:val="1"/>
      <w:numFmt w:val="bullet"/>
      <w:pStyle w:val="22-BulletText"/>
      <w:lvlText w:val=""/>
      <w:lvlJc w:val="left"/>
      <w:pPr>
        <w:tabs>
          <w:tab w:val="num" w:pos="1363"/>
        </w:tabs>
        <w:ind w:left="1363" w:hanging="283"/>
      </w:pPr>
      <w:rPr>
        <w:rFonts w:ascii="Arial" w:eastAsia="Times New Roman" w:hAnsi="Arial" w:cs="Arial" w:hint="default"/>
        <w:b/>
        <w:i w:val="0"/>
        <w:noProof w:val="0"/>
        <w:color w:val="007161"/>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8F016A"/>
    <w:multiLevelType w:val="hybridMultilevel"/>
    <w:tmpl w:val="D200C672"/>
    <w:lvl w:ilvl="0" w:tplc="502C2E6E">
      <w:start w:val="1"/>
      <w:numFmt w:val="decimal"/>
      <w:pStyle w:val="Number3"/>
      <w:lvlText w:val="3.%1"/>
      <w:lvlJc w:val="left"/>
      <w:pPr>
        <w:tabs>
          <w:tab w:val="num" w:pos="1131"/>
        </w:tabs>
        <w:ind w:left="1131" w:hanging="774"/>
      </w:pPr>
      <w:rPr>
        <w:rFonts w:ascii="Arial" w:hAnsi="Arial" w:hint="default"/>
        <w:b/>
        <w:i w:val="0"/>
        <w:color w:val="007161"/>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1573918"/>
    <w:multiLevelType w:val="hybridMultilevel"/>
    <w:tmpl w:val="3A0AF6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62C7CF0"/>
    <w:multiLevelType w:val="hybridMultilevel"/>
    <w:tmpl w:val="99E0A914"/>
    <w:lvl w:ilvl="0" w:tplc="08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7"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8" w15:restartNumberingAfterBreak="0">
    <w:nsid w:val="7B0D6FBC"/>
    <w:multiLevelType w:val="hybridMultilevel"/>
    <w:tmpl w:val="91446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18"/>
  </w:num>
  <w:num w:numId="4">
    <w:abstractNumId w:val="19"/>
  </w:num>
  <w:num w:numId="5">
    <w:abstractNumId w:val="6"/>
  </w:num>
  <w:num w:numId="6">
    <w:abstractNumId w:val="28"/>
  </w:num>
  <w:num w:numId="7">
    <w:abstractNumId w:val="23"/>
  </w:num>
  <w:num w:numId="8">
    <w:abstractNumId w:val="16"/>
  </w:num>
  <w:num w:numId="9">
    <w:abstractNumId w:val="4"/>
  </w:num>
  <w:num w:numId="10">
    <w:abstractNumId w:val="3"/>
  </w:num>
  <w:num w:numId="11">
    <w:abstractNumId w:val="2"/>
  </w:num>
  <w:num w:numId="12">
    <w:abstractNumId w:val="1"/>
  </w:num>
  <w:num w:numId="13">
    <w:abstractNumId w:val="0"/>
  </w:num>
  <w:num w:numId="14">
    <w:abstractNumId w:val="37"/>
  </w:num>
  <w:num w:numId="15">
    <w:abstractNumId w:val="11"/>
  </w:num>
  <w:num w:numId="16">
    <w:abstractNumId w:val="34"/>
  </w:num>
  <w:num w:numId="17">
    <w:abstractNumId w:val="10"/>
  </w:num>
  <w:num w:numId="18">
    <w:abstractNumId w:val="26"/>
  </w:num>
  <w:num w:numId="19">
    <w:abstractNumId w:val="21"/>
  </w:num>
  <w:num w:numId="20">
    <w:abstractNumId w:val="33"/>
  </w:num>
  <w:num w:numId="21">
    <w:abstractNumId w:val="15"/>
  </w:num>
  <w:num w:numId="22">
    <w:abstractNumId w:val="36"/>
  </w:num>
  <w:num w:numId="23">
    <w:abstractNumId w:val="17"/>
  </w:num>
  <w:num w:numId="24">
    <w:abstractNumId w:val="32"/>
  </w:num>
  <w:num w:numId="25">
    <w:abstractNumId w:val="24"/>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5"/>
  </w:num>
  <w:num w:numId="29">
    <w:abstractNumId w:val="5"/>
  </w:num>
  <w:num w:numId="30">
    <w:abstractNumId w:val="31"/>
  </w:num>
  <w:num w:numId="31">
    <w:abstractNumId w:val="14"/>
  </w:num>
  <w:num w:numId="32">
    <w:abstractNumId w:val="22"/>
  </w:num>
  <w:num w:numId="33">
    <w:abstractNumId w:val="7"/>
  </w:num>
  <w:num w:numId="34">
    <w:abstractNumId w:val="35"/>
  </w:num>
  <w:num w:numId="35">
    <w:abstractNumId w:val="13"/>
  </w:num>
  <w:num w:numId="36">
    <w:abstractNumId w:val="20"/>
  </w:num>
  <w:num w:numId="37">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562"/>
    <w:rsid w:val="000067FA"/>
    <w:rsid w:val="00007A30"/>
    <w:rsid w:val="000110CC"/>
    <w:rsid w:val="00011988"/>
    <w:rsid w:val="00012987"/>
    <w:rsid w:val="0001386E"/>
    <w:rsid w:val="00014A44"/>
    <w:rsid w:val="00014CA3"/>
    <w:rsid w:val="000159AC"/>
    <w:rsid w:val="00020611"/>
    <w:rsid w:val="0002117B"/>
    <w:rsid w:val="00021640"/>
    <w:rsid w:val="00022304"/>
    <w:rsid w:val="0002409B"/>
    <w:rsid w:val="00024B2F"/>
    <w:rsid w:val="00026B2E"/>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827"/>
    <w:rsid w:val="000B7AFA"/>
    <w:rsid w:val="000C1CC0"/>
    <w:rsid w:val="000C2484"/>
    <w:rsid w:val="000C2E05"/>
    <w:rsid w:val="000C5EC7"/>
    <w:rsid w:val="000C68BF"/>
    <w:rsid w:val="000C7C2B"/>
    <w:rsid w:val="000D569C"/>
    <w:rsid w:val="000E3471"/>
    <w:rsid w:val="000E4007"/>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15328"/>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0D3"/>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6B62"/>
    <w:rsid w:val="006D7362"/>
    <w:rsid w:val="006E28A2"/>
    <w:rsid w:val="006E4A65"/>
    <w:rsid w:val="006E5B51"/>
    <w:rsid w:val="006E5FFB"/>
    <w:rsid w:val="006F098A"/>
    <w:rsid w:val="006F0C06"/>
    <w:rsid w:val="006F490F"/>
    <w:rsid w:val="006F6878"/>
    <w:rsid w:val="006F6B2F"/>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E80"/>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271E"/>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B2E57"/>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0B3"/>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06BD0"/>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0EAF"/>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6242"/>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3">
    <w:name w:val="Number 3"/>
    <w:link w:val="Number3Char"/>
    <w:rsid w:val="006D6B62"/>
    <w:pPr>
      <w:numPr>
        <w:numId w:val="27"/>
      </w:numPr>
      <w:tabs>
        <w:tab w:val="left" w:pos="851"/>
      </w:tabs>
      <w:spacing w:before="120" w:after="120"/>
      <w:jc w:val="both"/>
    </w:pPr>
    <w:rPr>
      <w:rFonts w:ascii="Arial" w:hAnsi="Arial"/>
      <w:color w:val="000000"/>
      <w:sz w:val="24"/>
      <w:lang w:eastAsia="en-US"/>
    </w:rPr>
  </w:style>
  <w:style w:type="character" w:customStyle="1" w:styleId="Number3Char">
    <w:name w:val="Number 3 Char"/>
    <w:link w:val="Number3"/>
    <w:rsid w:val="006D6B62"/>
    <w:rPr>
      <w:rFonts w:ascii="Arial" w:hAnsi="Arial"/>
      <w:color w:val="000000"/>
      <w:sz w:val="24"/>
      <w:lang w:eastAsia="en-US"/>
    </w:rPr>
  </w:style>
  <w:style w:type="paragraph" w:customStyle="1" w:styleId="22-BulletText">
    <w:name w:val="22 - Bullet Text"/>
    <w:rsid w:val="006D6B62"/>
    <w:pPr>
      <w:numPr>
        <w:ilvl w:val="1"/>
        <w:numId w:val="28"/>
      </w:numPr>
      <w:tabs>
        <w:tab w:val="left" w:pos="1134"/>
      </w:tabs>
      <w:spacing w:after="120"/>
      <w:jc w:val="both"/>
    </w:pPr>
    <w:rPr>
      <w:rFonts w:ascii="Arial" w:hAnsi="Arial" w:cs="Arial"/>
      <w:color w:val="000000"/>
      <w:sz w:val="24"/>
      <w:lang w:eastAsia="en-US"/>
    </w:rPr>
  </w:style>
  <w:style w:type="character" w:customStyle="1" w:styleId="Bold0">
    <w:name w:val="Bold"/>
    <w:rsid w:val="006D6B62"/>
    <w:rPr>
      <w:b/>
      <w:bCs/>
    </w:rPr>
  </w:style>
  <w:style w:type="paragraph" w:customStyle="1" w:styleId="HeadingforScheduleSections">
    <w:name w:val="Heading for Schedule Sections"/>
    <w:basedOn w:val="Normal"/>
    <w:rsid w:val="006F6B2F"/>
    <w:pPr>
      <w:spacing w:line="360" w:lineRule="auto"/>
      <w:jc w:val="both"/>
    </w:pPr>
    <w:rPr>
      <w:rFonts w:eastAsia="Times New Roman"/>
      <w:b/>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gov.uk/government/uploads/system/uploads/attachment_data/file/365129/direct-awards-process-guide.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gov.uk/government/speeches/franchise-announcement"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www.gov.uk/government/uploads/system/uploads/attachment_data/file/523791/may-2016-rail-franchise-schedule.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F3AE2530-655B-4578-93F1-3A8274922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1</TotalTime>
  <Pages>37</Pages>
  <Words>11667</Words>
  <Characters>66503</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78014</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Christopher Dier</cp:lastModifiedBy>
  <cp:revision>2</cp:revision>
  <cp:lastPrinted>2012-12-10T12:26:00Z</cp:lastPrinted>
  <dcterms:created xsi:type="dcterms:W3CDTF">2017-07-26T15:51:00Z</dcterms:created>
  <dcterms:modified xsi:type="dcterms:W3CDTF">2017-07-26T15:51:00Z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