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FB0EA8">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Title:  Provision of</w:t>
            </w:r>
            <w:r w:rsidR="00793D42">
              <w:rPr>
                <w:rFonts w:asciiTheme="minorHAnsi" w:hAnsiTheme="minorHAnsi" w:cstheme="minorHAnsi"/>
                <w:b/>
                <w:iCs/>
                <w:color w:val="FFFFFF" w:themeColor="background1"/>
                <w:sz w:val="24"/>
              </w:rPr>
              <w:t xml:space="preserve"> Mechanical Engineering Specialist Resource to S</w:t>
            </w:r>
            <w:r w:rsidR="00FB0EA8">
              <w:rPr>
                <w:rFonts w:asciiTheme="minorHAnsi" w:hAnsiTheme="minorHAnsi" w:cstheme="minorHAnsi"/>
                <w:b/>
                <w:iCs/>
                <w:color w:val="FFFFFF" w:themeColor="background1"/>
                <w:sz w:val="24"/>
              </w:rPr>
              <w:t xml:space="preserve">upport </w:t>
            </w:r>
            <w:r w:rsidR="00793D42">
              <w:rPr>
                <w:rFonts w:asciiTheme="minorHAnsi" w:hAnsiTheme="minorHAnsi" w:cstheme="minorHAnsi"/>
                <w:b/>
                <w:iCs/>
                <w:color w:val="FFFFFF" w:themeColor="background1"/>
                <w:sz w:val="24"/>
              </w:rPr>
              <w:t xml:space="preserve">Step 4 of the </w:t>
            </w:r>
            <w:r w:rsidR="00FB0EA8">
              <w:rPr>
                <w:rFonts w:asciiTheme="minorHAnsi" w:hAnsiTheme="minorHAnsi" w:cstheme="minorHAnsi"/>
                <w:b/>
                <w:iCs/>
                <w:color w:val="FFFFFF" w:themeColor="background1"/>
                <w:sz w:val="24"/>
              </w:rPr>
              <w:t>UK HPR1000 GDA</w:t>
            </w:r>
          </w:p>
        </w:tc>
      </w:tr>
      <w:tr w:rsidR="00AF4C0F" w:rsidTr="00971BA8">
        <w:trPr>
          <w:jc w:val="center"/>
        </w:trPr>
        <w:tc>
          <w:tcPr>
            <w:tcW w:w="9709" w:type="dxa"/>
          </w:tcPr>
          <w:p w:rsidR="00AF4C0F" w:rsidRPr="00E74FAB" w:rsidRDefault="00AF4C0F" w:rsidP="00971BA8">
            <w:pPr>
              <w:pStyle w:val="TSHeadingNumbered1"/>
              <w:tabs>
                <w:tab w:val="left" w:pos="0"/>
              </w:tabs>
              <w:ind w:left="0" w:firstLine="0"/>
              <w:rPr>
                <w:rFonts w:asciiTheme="minorHAnsi" w:hAnsiTheme="minorHAnsi" w:cstheme="minorHAnsi"/>
                <w:szCs w:val="22"/>
              </w:rPr>
            </w:pPr>
            <w:r w:rsidRPr="00E74FAB">
              <w:rPr>
                <w:rFonts w:asciiTheme="minorHAnsi" w:hAnsiTheme="minorHAnsi" w:cstheme="minorHAnsi"/>
                <w:szCs w:val="22"/>
              </w:rPr>
              <w:t>Background to the project</w:t>
            </w:r>
            <w:r w:rsidR="00967579" w:rsidRPr="00E74FAB">
              <w:rPr>
                <w:rFonts w:asciiTheme="minorHAnsi" w:hAnsiTheme="minorHAnsi" w:cstheme="minorHAnsi"/>
                <w:szCs w:val="22"/>
              </w:rPr>
              <w:t xml:space="preserve"> </w:t>
            </w:r>
          </w:p>
          <w:p w:rsidR="00FB0EA8" w:rsidRPr="00FE15C2" w:rsidRDefault="00FB0EA8" w:rsidP="0035755A">
            <w:pPr>
              <w:pStyle w:val="TSNumberedParagraph11"/>
              <w:overflowPunct w:val="0"/>
              <w:autoSpaceDE w:val="0"/>
              <w:autoSpaceDN w:val="0"/>
              <w:adjustRightInd w:val="0"/>
              <w:ind w:left="698" w:hanging="698"/>
              <w:jc w:val="both"/>
              <w:textAlignment w:val="baseline"/>
              <w:rPr>
                <w:rFonts w:asciiTheme="minorHAnsi" w:hAnsiTheme="minorHAnsi" w:cs="Arial"/>
                <w:szCs w:val="22"/>
              </w:rPr>
            </w:pPr>
            <w:r w:rsidRPr="00FE15C2">
              <w:rPr>
                <w:rFonts w:asciiTheme="minorHAnsi" w:hAnsiTheme="minorHAnsi" w:cs="Arial"/>
                <w:szCs w:val="22"/>
              </w:rPr>
              <w:t>ONR is undertaking a phased Generic Design Assessment (GDA) of the UK Hualong Pressurised Water Reactor (UK HPR1000). The Requesting Party (RP) for this reactor design is General Nuclear System Limited (GNS</w:t>
            </w:r>
            <w:r w:rsidR="00FC1B4C" w:rsidRPr="00FE15C2">
              <w:rPr>
                <w:rFonts w:asciiTheme="minorHAnsi" w:hAnsiTheme="minorHAnsi" w:cs="Arial"/>
                <w:szCs w:val="22"/>
              </w:rPr>
              <w:t>L</w:t>
            </w:r>
            <w:r w:rsidRPr="00FE15C2">
              <w:rPr>
                <w:rFonts w:asciiTheme="minorHAnsi" w:hAnsiTheme="minorHAnsi" w:cs="Arial"/>
                <w:szCs w:val="22"/>
              </w:rPr>
              <w:t>). GNS</w:t>
            </w:r>
            <w:r w:rsidR="00FC1B4C" w:rsidRPr="00FE15C2">
              <w:rPr>
                <w:rFonts w:asciiTheme="minorHAnsi" w:hAnsiTheme="minorHAnsi" w:cs="Arial"/>
                <w:szCs w:val="22"/>
              </w:rPr>
              <w:t>L</w:t>
            </w:r>
            <w:r w:rsidRPr="00FE15C2">
              <w:rPr>
                <w:rFonts w:asciiTheme="minorHAnsi" w:hAnsiTheme="minorHAnsi" w:cs="Arial"/>
                <w:szCs w:val="22"/>
              </w:rPr>
              <w:t xml:space="preserve"> is a</w:t>
            </w:r>
            <w:r w:rsidR="00FC1B4C" w:rsidRPr="00FE15C2">
              <w:rPr>
                <w:rFonts w:asciiTheme="minorHAnsi" w:hAnsiTheme="minorHAnsi" w:cs="Arial"/>
                <w:szCs w:val="22"/>
              </w:rPr>
              <w:t xml:space="preserve"> UK-registered company established to implement the UK HPR1000 GDA on behalf of three joint requesting parties, i.e. </w:t>
            </w:r>
            <w:r w:rsidRPr="00FE15C2">
              <w:rPr>
                <w:rFonts w:asciiTheme="minorHAnsi" w:hAnsiTheme="minorHAnsi" w:cs="Arial"/>
                <w:szCs w:val="22"/>
              </w:rPr>
              <w:t xml:space="preserve"> EDF</w:t>
            </w:r>
            <w:r w:rsidR="00FC1B4C" w:rsidRPr="00FE15C2">
              <w:rPr>
                <w:rFonts w:asciiTheme="minorHAnsi" w:hAnsiTheme="minorHAnsi" w:cs="Arial"/>
                <w:szCs w:val="22"/>
              </w:rPr>
              <w:t xml:space="preserve">, </w:t>
            </w:r>
            <w:r w:rsidRPr="00FE15C2">
              <w:rPr>
                <w:rFonts w:asciiTheme="minorHAnsi" w:hAnsiTheme="minorHAnsi" w:cs="Arial"/>
                <w:szCs w:val="22"/>
              </w:rPr>
              <w:t>China General Nuclear Power Corporation (CGN)</w:t>
            </w:r>
            <w:r w:rsidR="00FC1B4C" w:rsidRPr="00FE15C2">
              <w:rPr>
                <w:rFonts w:asciiTheme="minorHAnsi" w:hAnsiTheme="minorHAnsi" w:cs="Arial"/>
                <w:szCs w:val="22"/>
              </w:rPr>
              <w:t xml:space="preserve"> and General Nuclear International (GNI)</w:t>
            </w:r>
            <w:r w:rsidRPr="00FE15C2">
              <w:rPr>
                <w:rFonts w:asciiTheme="minorHAnsi" w:hAnsiTheme="minorHAnsi" w:cs="Arial"/>
                <w:szCs w:val="22"/>
              </w:rPr>
              <w:t>. The RP’s submissions to ONR over the course of GDA will provide increasing detail and evidence as the UK HPR1000 generic design is developed and finalised in line with UK regulatory expectations. In February 2020 the UK HPR1000 GDA enter</w:t>
            </w:r>
            <w:r w:rsidR="00FC1B4C" w:rsidRPr="00FE15C2">
              <w:rPr>
                <w:rFonts w:asciiTheme="minorHAnsi" w:hAnsiTheme="minorHAnsi" w:cs="Arial"/>
                <w:szCs w:val="22"/>
              </w:rPr>
              <w:t>ed</w:t>
            </w:r>
            <w:r w:rsidRPr="00FE15C2">
              <w:rPr>
                <w:rFonts w:asciiTheme="minorHAnsi" w:hAnsiTheme="minorHAnsi" w:cs="Arial"/>
                <w:szCs w:val="22"/>
              </w:rPr>
              <w:t xml:space="preserve"> its fourth step, which mainly focuses on an examination of the evidence put forward by the RP to establish the basis of the safety case for the reactor.</w:t>
            </w:r>
          </w:p>
          <w:p w:rsidR="00FC1B4C" w:rsidRPr="00FE15C2" w:rsidRDefault="00FC1B4C" w:rsidP="0035755A">
            <w:pPr>
              <w:pStyle w:val="TSNumberedParagraph11"/>
              <w:overflowPunct w:val="0"/>
              <w:autoSpaceDE w:val="0"/>
              <w:autoSpaceDN w:val="0"/>
              <w:adjustRightInd w:val="0"/>
              <w:ind w:left="698" w:hanging="698"/>
              <w:jc w:val="both"/>
              <w:textAlignment w:val="baseline"/>
              <w:rPr>
                <w:rFonts w:asciiTheme="minorHAnsi" w:hAnsiTheme="minorHAnsi" w:cs="Arial"/>
                <w:szCs w:val="22"/>
              </w:rPr>
            </w:pPr>
            <w:r w:rsidRPr="00E74FAB">
              <w:rPr>
                <w:rFonts w:asciiTheme="minorHAnsi" w:hAnsiTheme="minorHAnsi" w:cstheme="minorHAnsi"/>
                <w:szCs w:val="22"/>
              </w:rPr>
              <w:t xml:space="preserve">In undertaking assessment activities, </w:t>
            </w:r>
            <w:r w:rsidRPr="00E74FAB">
              <w:rPr>
                <w:rFonts w:asciiTheme="minorHAnsi" w:hAnsiTheme="minorHAnsi"/>
                <w:szCs w:val="22"/>
              </w:rPr>
              <w:t>ONR often calls upon technical support contractors (TSCs) to provide expert, independent advice in specialised areas, in support of its overall judgements regarding the acceptability of the design or supporting safety case presented by an RP during GDA.  ONR have identified that such support is required for Step 4 of GDA in the mechanical engineering (ME) topic, to support our assessment of the UK HPR1000 design.</w:t>
            </w:r>
          </w:p>
          <w:p w:rsidR="008D5C1F" w:rsidRPr="00FE15C2" w:rsidRDefault="00FC1B4C" w:rsidP="00AD7429">
            <w:pPr>
              <w:pStyle w:val="TSNumberedParagraph11"/>
              <w:overflowPunct w:val="0"/>
              <w:autoSpaceDE w:val="0"/>
              <w:autoSpaceDN w:val="0"/>
              <w:adjustRightInd w:val="0"/>
              <w:ind w:left="698" w:hanging="698"/>
              <w:textAlignment w:val="baseline"/>
              <w:rPr>
                <w:rFonts w:asciiTheme="minorHAnsi" w:hAnsiTheme="minorHAnsi" w:cs="Arial"/>
                <w:szCs w:val="22"/>
              </w:rPr>
            </w:pPr>
            <w:r w:rsidRPr="00FE15C2">
              <w:rPr>
                <w:rFonts w:asciiTheme="minorHAnsi" w:hAnsiTheme="minorHAnsi"/>
                <w:szCs w:val="22"/>
              </w:rPr>
              <w:t xml:space="preserve">More detail on the exact nature of the scope of the services required is provided in Section 2, below. However, the overall purposes of this work are for </w:t>
            </w:r>
            <w:r w:rsidR="004C57C5" w:rsidRPr="00FE15C2">
              <w:rPr>
                <w:rFonts w:asciiTheme="minorHAnsi" w:hAnsiTheme="minorHAnsi" w:cs="Arial"/>
                <w:szCs w:val="22"/>
              </w:rPr>
              <w:t>the TSC</w:t>
            </w:r>
            <w:r w:rsidRPr="00FE15C2">
              <w:rPr>
                <w:rFonts w:asciiTheme="minorHAnsi" w:hAnsiTheme="minorHAnsi" w:cs="Arial"/>
                <w:szCs w:val="22"/>
              </w:rPr>
              <w:t xml:space="preserve"> to</w:t>
            </w:r>
            <w:r w:rsidR="008D5C1F" w:rsidRPr="00FE15C2">
              <w:rPr>
                <w:rFonts w:asciiTheme="minorHAnsi" w:hAnsiTheme="minorHAnsi" w:cs="Arial"/>
                <w:szCs w:val="22"/>
              </w:rPr>
              <w:t>:</w:t>
            </w:r>
          </w:p>
          <w:p w:rsidR="008D5C1F" w:rsidRPr="00FE15C2" w:rsidRDefault="00FC1B4C" w:rsidP="008D6E13">
            <w:pPr>
              <w:pStyle w:val="TSBullet1Square"/>
              <w:rPr>
                <w:rFonts w:asciiTheme="minorHAnsi" w:hAnsiTheme="minorHAnsi"/>
              </w:rPr>
            </w:pPr>
            <w:r w:rsidRPr="00FE15C2">
              <w:rPr>
                <w:rFonts w:asciiTheme="minorHAnsi" w:hAnsiTheme="minorHAnsi"/>
              </w:rPr>
              <w:t>U</w:t>
            </w:r>
            <w:r w:rsidR="00A0259B" w:rsidRPr="00FE15C2">
              <w:rPr>
                <w:rFonts w:asciiTheme="minorHAnsi" w:hAnsiTheme="minorHAnsi"/>
              </w:rPr>
              <w:t xml:space="preserve">ndertake an independent sample </w:t>
            </w:r>
            <w:r w:rsidR="008D5C1F" w:rsidRPr="00FE15C2">
              <w:rPr>
                <w:rFonts w:asciiTheme="minorHAnsi" w:hAnsiTheme="minorHAnsi"/>
              </w:rPr>
              <w:t xml:space="preserve">assessment of the </w:t>
            </w:r>
            <w:r w:rsidR="004332BD" w:rsidRPr="00FE15C2">
              <w:rPr>
                <w:rFonts w:asciiTheme="minorHAnsi" w:hAnsiTheme="minorHAnsi"/>
              </w:rPr>
              <w:t xml:space="preserve">UK HPR1000 </w:t>
            </w:r>
            <w:r w:rsidR="008D5C1F" w:rsidRPr="00FE15C2">
              <w:rPr>
                <w:rFonts w:asciiTheme="minorHAnsi" w:hAnsiTheme="minorHAnsi"/>
              </w:rPr>
              <w:t>ME safety case submissions</w:t>
            </w:r>
            <w:r w:rsidRPr="00FE15C2">
              <w:rPr>
                <w:rFonts w:asciiTheme="minorHAnsi" w:hAnsiTheme="minorHAnsi"/>
              </w:rPr>
              <w:t xml:space="preserve"> against relevant ONR standards and guidance; and to</w:t>
            </w:r>
            <w:r w:rsidR="008D5C1F" w:rsidRPr="00FE15C2">
              <w:rPr>
                <w:rFonts w:asciiTheme="minorHAnsi" w:hAnsiTheme="minorHAnsi"/>
              </w:rPr>
              <w:t xml:space="preserve"> </w:t>
            </w:r>
          </w:p>
          <w:p w:rsidR="008D5C1F" w:rsidRPr="00FE15C2" w:rsidRDefault="00FC1B4C" w:rsidP="008D6E13">
            <w:pPr>
              <w:pStyle w:val="TSBullet1Square"/>
              <w:rPr>
                <w:rFonts w:asciiTheme="minorHAnsi" w:hAnsiTheme="minorHAnsi"/>
              </w:rPr>
            </w:pPr>
            <w:r w:rsidRPr="00FE15C2">
              <w:rPr>
                <w:rFonts w:asciiTheme="minorHAnsi" w:hAnsiTheme="minorHAnsi"/>
              </w:rPr>
              <w:t>D</w:t>
            </w:r>
            <w:r w:rsidR="004332BD" w:rsidRPr="00FE15C2">
              <w:rPr>
                <w:rFonts w:asciiTheme="minorHAnsi" w:hAnsiTheme="minorHAnsi"/>
              </w:rPr>
              <w:t>eliver</w:t>
            </w:r>
            <w:r w:rsidR="004C57C5" w:rsidRPr="00FE15C2">
              <w:rPr>
                <w:rFonts w:asciiTheme="minorHAnsi" w:hAnsiTheme="minorHAnsi"/>
              </w:rPr>
              <w:t xml:space="preserve"> </w:t>
            </w:r>
            <w:r w:rsidRPr="00FE15C2">
              <w:rPr>
                <w:rFonts w:asciiTheme="minorHAnsi" w:hAnsiTheme="minorHAnsi"/>
              </w:rPr>
              <w:t xml:space="preserve">report(s) </w:t>
            </w:r>
            <w:r w:rsidR="000340D7" w:rsidRPr="00FE15C2">
              <w:rPr>
                <w:rFonts w:asciiTheme="minorHAnsi" w:hAnsiTheme="minorHAnsi"/>
              </w:rPr>
              <w:t xml:space="preserve">to ONR </w:t>
            </w:r>
            <w:r w:rsidRPr="00FE15C2">
              <w:rPr>
                <w:rFonts w:asciiTheme="minorHAnsi" w:hAnsiTheme="minorHAnsi"/>
              </w:rPr>
              <w:t>summarising th</w:t>
            </w:r>
            <w:r w:rsidR="0025007D" w:rsidRPr="00E74FAB">
              <w:rPr>
                <w:rFonts w:asciiTheme="minorHAnsi" w:hAnsiTheme="minorHAnsi"/>
              </w:rPr>
              <w:t>e outcome of these</w:t>
            </w:r>
            <w:r w:rsidRPr="00FE15C2">
              <w:rPr>
                <w:rFonts w:asciiTheme="minorHAnsi" w:hAnsiTheme="minorHAnsi"/>
              </w:rPr>
              <w:t xml:space="preserve"> </w:t>
            </w:r>
            <w:r w:rsidR="004C57C5" w:rsidRPr="00FE15C2">
              <w:rPr>
                <w:rFonts w:asciiTheme="minorHAnsi" w:hAnsiTheme="minorHAnsi"/>
              </w:rPr>
              <w:t>assessment</w:t>
            </w:r>
            <w:r w:rsidR="004332BD" w:rsidRPr="00FE15C2">
              <w:rPr>
                <w:rFonts w:asciiTheme="minorHAnsi" w:hAnsiTheme="minorHAnsi"/>
              </w:rPr>
              <w:t>s</w:t>
            </w:r>
            <w:r w:rsidR="0025007D" w:rsidRPr="00E74FAB">
              <w:rPr>
                <w:rFonts w:asciiTheme="minorHAnsi" w:hAnsiTheme="minorHAnsi"/>
              </w:rPr>
              <w:t xml:space="preserve"> and provide advice to ONR</w:t>
            </w:r>
            <w:r w:rsidR="004C57C5" w:rsidRPr="00FE15C2">
              <w:rPr>
                <w:rFonts w:asciiTheme="minorHAnsi" w:hAnsiTheme="minorHAnsi"/>
              </w:rPr>
              <w:t>.</w:t>
            </w:r>
          </w:p>
          <w:p w:rsidR="004C57C5" w:rsidRPr="00E74FAB" w:rsidRDefault="004C57C5" w:rsidP="008E1FED">
            <w:pPr>
              <w:pStyle w:val="TSNumberedParagraph11"/>
              <w:overflowPunct w:val="0"/>
              <w:autoSpaceDE w:val="0"/>
              <w:autoSpaceDN w:val="0"/>
              <w:adjustRightInd w:val="0"/>
              <w:ind w:left="698" w:hanging="698"/>
              <w:textAlignment w:val="baseline"/>
              <w:rPr>
                <w:rFonts w:asciiTheme="minorHAnsi" w:hAnsiTheme="minorHAnsi" w:cstheme="minorHAnsi"/>
                <w:szCs w:val="22"/>
              </w:rPr>
            </w:pPr>
            <w:r w:rsidRPr="00FE15C2">
              <w:rPr>
                <w:rFonts w:asciiTheme="minorHAnsi" w:hAnsiTheme="minorHAnsi" w:cs="Arial"/>
                <w:szCs w:val="22"/>
              </w:rPr>
              <w:t>ONR will use the output of this contract to:</w:t>
            </w:r>
          </w:p>
          <w:p w:rsidR="004C57C5" w:rsidRPr="00FE15C2" w:rsidRDefault="004C57C5" w:rsidP="008D6E13">
            <w:pPr>
              <w:pStyle w:val="TSBullet1Square"/>
              <w:rPr>
                <w:rFonts w:asciiTheme="minorHAnsi" w:hAnsiTheme="minorHAnsi"/>
              </w:rPr>
            </w:pPr>
            <w:r w:rsidRPr="00FE15C2">
              <w:rPr>
                <w:rFonts w:asciiTheme="minorHAnsi" w:hAnsiTheme="minorHAnsi"/>
              </w:rPr>
              <w:t xml:space="preserve">Judge if the claims and arguments </w:t>
            </w:r>
            <w:r w:rsidR="00BD7DC8" w:rsidRPr="00FE15C2">
              <w:rPr>
                <w:rFonts w:asciiTheme="minorHAnsi" w:hAnsiTheme="minorHAnsi"/>
              </w:rPr>
              <w:t xml:space="preserve">regarding the ME aspects of the UK HPR1000 </w:t>
            </w:r>
            <w:r w:rsidR="000340D7" w:rsidRPr="00FE15C2">
              <w:rPr>
                <w:rFonts w:asciiTheme="minorHAnsi" w:hAnsiTheme="minorHAnsi"/>
              </w:rPr>
              <w:t xml:space="preserve">generic design and safety case </w:t>
            </w:r>
            <w:r w:rsidR="00BD7DC8" w:rsidRPr="00FE15C2">
              <w:rPr>
                <w:rFonts w:asciiTheme="minorHAnsi" w:hAnsiTheme="minorHAnsi"/>
              </w:rPr>
              <w:t xml:space="preserve">are </w:t>
            </w:r>
            <w:r w:rsidRPr="00FE15C2">
              <w:rPr>
                <w:rFonts w:asciiTheme="minorHAnsi" w:hAnsiTheme="minorHAnsi"/>
              </w:rPr>
              <w:t>adequate</w:t>
            </w:r>
            <w:r w:rsidR="00BD7DC8" w:rsidRPr="00FE15C2">
              <w:rPr>
                <w:rFonts w:asciiTheme="minorHAnsi" w:hAnsiTheme="minorHAnsi"/>
              </w:rPr>
              <w:t>;</w:t>
            </w:r>
          </w:p>
          <w:p w:rsidR="00AB5BEA" w:rsidRPr="00AB5BEA" w:rsidRDefault="00BD7DC8" w:rsidP="00AB5BEA">
            <w:pPr>
              <w:pStyle w:val="TSBullet1Square"/>
              <w:tabs>
                <w:tab w:val="clear" w:pos="-31680"/>
              </w:tabs>
            </w:pPr>
            <w:r w:rsidRPr="00FE15C2">
              <w:rPr>
                <w:rFonts w:asciiTheme="minorHAnsi" w:hAnsiTheme="minorHAnsi"/>
              </w:rPr>
              <w:t>Determi</w:t>
            </w:r>
            <w:r w:rsidR="00E9747F" w:rsidRPr="00FE15C2">
              <w:rPr>
                <w:rFonts w:asciiTheme="minorHAnsi" w:hAnsiTheme="minorHAnsi"/>
              </w:rPr>
              <w:t xml:space="preserve">ne whether the </w:t>
            </w:r>
            <w:r w:rsidRPr="00FE15C2">
              <w:rPr>
                <w:rFonts w:asciiTheme="minorHAnsi" w:hAnsiTheme="minorHAnsi"/>
              </w:rPr>
              <w:t>RP</w:t>
            </w:r>
            <w:r w:rsidR="00E9747F" w:rsidRPr="00FE15C2">
              <w:rPr>
                <w:rFonts w:asciiTheme="minorHAnsi" w:hAnsiTheme="minorHAnsi"/>
              </w:rPr>
              <w:t>’s</w:t>
            </w:r>
            <w:r w:rsidR="000340D7" w:rsidRPr="00FE15C2">
              <w:rPr>
                <w:rFonts w:asciiTheme="minorHAnsi" w:hAnsiTheme="minorHAnsi"/>
              </w:rPr>
              <w:t xml:space="preserve"> generic </w:t>
            </w:r>
            <w:r w:rsidRPr="00FE15C2">
              <w:rPr>
                <w:rFonts w:asciiTheme="minorHAnsi" w:hAnsiTheme="minorHAnsi"/>
              </w:rPr>
              <w:t xml:space="preserve">safety case has identified the most safety significant aspects </w:t>
            </w:r>
            <w:r w:rsidR="000340D7" w:rsidRPr="00FE15C2">
              <w:rPr>
                <w:rFonts w:asciiTheme="minorHAnsi" w:hAnsiTheme="minorHAnsi"/>
              </w:rPr>
              <w:t xml:space="preserve">concerned with making the “ME safety case” for </w:t>
            </w:r>
            <w:r w:rsidRPr="00FE15C2">
              <w:rPr>
                <w:rFonts w:asciiTheme="minorHAnsi" w:hAnsiTheme="minorHAnsi"/>
              </w:rPr>
              <w:t xml:space="preserve">the </w:t>
            </w:r>
            <w:r w:rsidR="00E9747F" w:rsidRPr="00FE15C2">
              <w:rPr>
                <w:rFonts w:asciiTheme="minorHAnsi" w:hAnsiTheme="minorHAnsi"/>
              </w:rPr>
              <w:t xml:space="preserve">UK HPR1000 design </w:t>
            </w:r>
            <w:r w:rsidR="00020675" w:rsidRPr="00FE15C2">
              <w:rPr>
                <w:rFonts w:asciiTheme="minorHAnsi" w:hAnsiTheme="minorHAnsi"/>
              </w:rPr>
              <w:t>and confirm that</w:t>
            </w:r>
            <w:r w:rsidR="000340D7" w:rsidRPr="00FE15C2">
              <w:rPr>
                <w:rFonts w:asciiTheme="minorHAnsi" w:hAnsiTheme="minorHAnsi"/>
              </w:rPr>
              <w:t xml:space="preserve"> relevant</w:t>
            </w:r>
            <w:r w:rsidR="00020675" w:rsidRPr="00FE15C2">
              <w:rPr>
                <w:rFonts w:asciiTheme="minorHAnsi" w:hAnsiTheme="minorHAnsi"/>
              </w:rPr>
              <w:t xml:space="preserve"> risks </w:t>
            </w:r>
            <w:r w:rsidR="000340D7" w:rsidRPr="00FE15C2">
              <w:rPr>
                <w:rFonts w:asciiTheme="minorHAnsi" w:hAnsiTheme="minorHAnsi"/>
              </w:rPr>
              <w:t xml:space="preserve">will </w:t>
            </w:r>
            <w:r w:rsidR="00020675" w:rsidRPr="00FE15C2">
              <w:rPr>
                <w:rFonts w:asciiTheme="minorHAnsi" w:hAnsiTheme="minorHAnsi"/>
              </w:rPr>
              <w:t xml:space="preserve"> be reduced so far as is reasonably practicable (SFAIRP).</w:t>
            </w:r>
          </w:p>
        </w:tc>
      </w:tr>
      <w:tr w:rsidR="00AF4C0F" w:rsidTr="00971BA8">
        <w:trPr>
          <w:jc w:val="center"/>
        </w:trPr>
        <w:tc>
          <w:tcPr>
            <w:tcW w:w="9709" w:type="dxa"/>
          </w:tcPr>
          <w:p w:rsidR="00AF4C0F" w:rsidRPr="00E74FAB" w:rsidRDefault="00AF4C0F" w:rsidP="00971BA8">
            <w:pPr>
              <w:pStyle w:val="TSHeadingNumbered1"/>
              <w:tabs>
                <w:tab w:val="left" w:pos="0"/>
              </w:tabs>
              <w:ind w:left="0" w:firstLine="0"/>
              <w:rPr>
                <w:rFonts w:asciiTheme="minorHAnsi" w:hAnsiTheme="minorHAnsi" w:cstheme="minorHAnsi"/>
                <w:szCs w:val="22"/>
              </w:rPr>
            </w:pPr>
            <w:r w:rsidRPr="00E74FAB">
              <w:rPr>
                <w:rFonts w:asciiTheme="minorHAnsi" w:hAnsiTheme="minorHAnsi" w:cstheme="minorHAnsi"/>
                <w:szCs w:val="22"/>
              </w:rPr>
              <w:t>SCOPE OF THE SERVICES REQUIRED</w:t>
            </w:r>
          </w:p>
          <w:p w:rsidR="0025007D" w:rsidRPr="00E74FAB" w:rsidRDefault="005E1B0E" w:rsidP="0035755A">
            <w:pPr>
              <w:pStyle w:val="TSNumberedParagraph11"/>
              <w:overflowPunct w:val="0"/>
              <w:autoSpaceDE w:val="0"/>
              <w:autoSpaceDN w:val="0"/>
              <w:adjustRightInd w:val="0"/>
              <w:ind w:left="698" w:hanging="698"/>
              <w:jc w:val="both"/>
              <w:textAlignment w:val="baseline"/>
              <w:rPr>
                <w:rFonts w:asciiTheme="minorHAnsi" w:hAnsiTheme="minorHAnsi" w:cs="Arial"/>
                <w:szCs w:val="22"/>
              </w:rPr>
            </w:pPr>
            <w:r w:rsidRPr="00FE15C2">
              <w:rPr>
                <w:rFonts w:asciiTheme="minorHAnsi" w:hAnsiTheme="minorHAnsi" w:cs="Arial"/>
                <w:szCs w:val="22"/>
              </w:rPr>
              <w:t>To enable</w:t>
            </w:r>
            <w:r w:rsidR="00E9747F" w:rsidRPr="00FE15C2">
              <w:rPr>
                <w:rFonts w:asciiTheme="minorHAnsi" w:hAnsiTheme="minorHAnsi" w:cs="Arial"/>
                <w:szCs w:val="22"/>
              </w:rPr>
              <w:t xml:space="preserve"> delivery of the required services, </w:t>
            </w:r>
            <w:r w:rsidRPr="00FE15C2">
              <w:rPr>
                <w:rFonts w:asciiTheme="minorHAnsi" w:hAnsiTheme="minorHAnsi" w:cs="Arial"/>
                <w:szCs w:val="22"/>
              </w:rPr>
              <w:t>t</w:t>
            </w:r>
            <w:r w:rsidR="008E1FED" w:rsidRPr="00FE15C2">
              <w:rPr>
                <w:rFonts w:asciiTheme="minorHAnsi" w:hAnsiTheme="minorHAnsi" w:cs="Arial"/>
                <w:szCs w:val="22"/>
              </w:rPr>
              <w:t>he</w:t>
            </w:r>
            <w:r w:rsidRPr="00FE15C2">
              <w:rPr>
                <w:rFonts w:asciiTheme="minorHAnsi" w:hAnsiTheme="minorHAnsi" w:cs="Arial"/>
                <w:szCs w:val="22"/>
              </w:rPr>
              <w:t xml:space="preserve"> TSC will need to develop an adequate understanding of the UK HPR1000 generic design and safety case. This will </w:t>
            </w:r>
            <w:r w:rsidR="00E9747F" w:rsidRPr="00FE15C2">
              <w:rPr>
                <w:rFonts w:asciiTheme="minorHAnsi" w:hAnsiTheme="minorHAnsi" w:cs="Arial"/>
                <w:szCs w:val="22"/>
              </w:rPr>
              <w:t>require</w:t>
            </w:r>
            <w:r w:rsidRPr="00FE15C2">
              <w:rPr>
                <w:rFonts w:asciiTheme="minorHAnsi" w:hAnsiTheme="minorHAnsi" w:cs="Arial"/>
                <w:szCs w:val="22"/>
              </w:rPr>
              <w:t xml:space="preserve"> the TSC </w:t>
            </w:r>
            <w:r w:rsidR="00E9747F" w:rsidRPr="00FE15C2">
              <w:rPr>
                <w:rFonts w:asciiTheme="minorHAnsi" w:hAnsiTheme="minorHAnsi" w:cs="Arial"/>
                <w:szCs w:val="22"/>
              </w:rPr>
              <w:t xml:space="preserve">to </w:t>
            </w:r>
            <w:r w:rsidRPr="00FE15C2">
              <w:rPr>
                <w:rFonts w:asciiTheme="minorHAnsi" w:hAnsiTheme="minorHAnsi" w:cs="Arial"/>
                <w:szCs w:val="22"/>
              </w:rPr>
              <w:t>revi</w:t>
            </w:r>
            <w:r w:rsidR="00E9747F" w:rsidRPr="00FE15C2">
              <w:rPr>
                <w:rFonts w:asciiTheme="minorHAnsi" w:hAnsiTheme="minorHAnsi" w:cs="Arial"/>
                <w:szCs w:val="22"/>
              </w:rPr>
              <w:t>e</w:t>
            </w:r>
            <w:r w:rsidRPr="00FE15C2">
              <w:rPr>
                <w:rFonts w:asciiTheme="minorHAnsi" w:hAnsiTheme="minorHAnsi" w:cs="Arial"/>
                <w:szCs w:val="22"/>
              </w:rPr>
              <w:t>w a sample of the RP’s submissions which provide general design information pertinent to the ME design. ONR will advise the successful TSC which documents to revie</w:t>
            </w:r>
            <w:r w:rsidR="00E9747F" w:rsidRPr="00FE15C2">
              <w:rPr>
                <w:rFonts w:asciiTheme="minorHAnsi" w:hAnsiTheme="minorHAnsi" w:cs="Arial"/>
                <w:szCs w:val="22"/>
              </w:rPr>
              <w:t>w</w:t>
            </w:r>
            <w:r w:rsidRPr="00FE15C2">
              <w:rPr>
                <w:rFonts w:asciiTheme="minorHAnsi" w:hAnsiTheme="minorHAnsi" w:cs="Arial"/>
                <w:szCs w:val="22"/>
              </w:rPr>
              <w:t xml:space="preserve">. </w:t>
            </w:r>
            <w:r w:rsidR="00E434E8" w:rsidRPr="00FE15C2">
              <w:rPr>
                <w:rFonts w:asciiTheme="minorHAnsi" w:hAnsiTheme="minorHAnsi" w:cs="Arial"/>
                <w:szCs w:val="22"/>
              </w:rPr>
              <w:t>T</w:t>
            </w:r>
            <w:r w:rsidRPr="00FE15C2">
              <w:rPr>
                <w:rFonts w:asciiTheme="minorHAnsi" w:hAnsiTheme="minorHAnsi" w:cs="Arial"/>
                <w:szCs w:val="22"/>
              </w:rPr>
              <w:t xml:space="preserve">he TSC </w:t>
            </w:r>
            <w:r w:rsidR="00E434E8" w:rsidRPr="00FE15C2">
              <w:rPr>
                <w:rFonts w:asciiTheme="minorHAnsi" w:hAnsiTheme="minorHAnsi" w:cs="Arial"/>
                <w:szCs w:val="22"/>
              </w:rPr>
              <w:t>is informed that</w:t>
            </w:r>
            <w:r w:rsidRPr="00FE15C2">
              <w:rPr>
                <w:rFonts w:asciiTheme="minorHAnsi" w:hAnsiTheme="minorHAnsi" w:cs="Arial"/>
                <w:szCs w:val="22"/>
              </w:rPr>
              <w:t xml:space="preserve"> a public version of the UK HPR1000 </w:t>
            </w:r>
            <w:r w:rsidR="00E9747F" w:rsidRPr="00FE15C2">
              <w:rPr>
                <w:rFonts w:asciiTheme="minorHAnsi" w:hAnsiTheme="minorHAnsi" w:cs="Arial"/>
                <w:szCs w:val="22"/>
              </w:rPr>
              <w:t xml:space="preserve">pre-construction </w:t>
            </w:r>
            <w:r w:rsidRPr="00FE15C2">
              <w:rPr>
                <w:rFonts w:asciiTheme="minorHAnsi" w:hAnsiTheme="minorHAnsi" w:cs="Arial"/>
                <w:szCs w:val="22"/>
              </w:rPr>
              <w:t xml:space="preserve">safety report </w:t>
            </w:r>
            <w:r w:rsidR="001D5FDD" w:rsidRPr="00FE15C2">
              <w:rPr>
                <w:rFonts w:asciiTheme="minorHAnsi" w:hAnsiTheme="minorHAnsi" w:cs="Arial"/>
                <w:szCs w:val="22"/>
              </w:rPr>
              <w:t xml:space="preserve">(PCSR) is </w:t>
            </w:r>
            <w:r w:rsidRPr="00FE15C2">
              <w:rPr>
                <w:rFonts w:asciiTheme="minorHAnsi" w:hAnsiTheme="minorHAnsi" w:cs="Arial"/>
                <w:szCs w:val="22"/>
              </w:rPr>
              <w:t>available on the RP’s website</w:t>
            </w:r>
            <w:r w:rsidR="0025007D" w:rsidRPr="00E74FAB">
              <w:rPr>
                <w:rFonts w:asciiTheme="minorHAnsi" w:hAnsiTheme="minorHAnsi" w:cs="Arial"/>
                <w:szCs w:val="22"/>
              </w:rPr>
              <w:t>:</w:t>
            </w:r>
          </w:p>
          <w:p w:rsidR="0025007D" w:rsidRPr="00FE15C2" w:rsidRDefault="0071437A" w:rsidP="0025007D">
            <w:pPr>
              <w:pStyle w:val="TSNumberedParagraph11"/>
              <w:numPr>
                <w:ilvl w:val="0"/>
                <w:numId w:val="0"/>
              </w:numPr>
              <w:overflowPunct w:val="0"/>
              <w:autoSpaceDE w:val="0"/>
              <w:autoSpaceDN w:val="0"/>
              <w:adjustRightInd w:val="0"/>
              <w:ind w:left="698"/>
              <w:textAlignment w:val="baseline"/>
              <w:rPr>
                <w:rFonts w:asciiTheme="minorHAnsi" w:hAnsiTheme="minorHAnsi"/>
                <w:szCs w:val="22"/>
              </w:rPr>
            </w:pPr>
            <w:hyperlink r:id="rId9" w:history="1">
              <w:r w:rsidR="005E1B0E" w:rsidRPr="00FE15C2">
                <w:rPr>
                  <w:rFonts w:asciiTheme="minorHAnsi" w:hAnsiTheme="minorHAnsi"/>
                  <w:szCs w:val="22"/>
                </w:rPr>
                <w:t>http://www.ukhpr1000.co.uk/documents-library/step-3/</w:t>
              </w:r>
            </w:hyperlink>
          </w:p>
          <w:p w:rsidR="008A32C9" w:rsidRPr="00FE15C2" w:rsidRDefault="008A32C9" w:rsidP="005E1B0E">
            <w:pPr>
              <w:pStyle w:val="TSNumberedParagraph11"/>
              <w:overflowPunct w:val="0"/>
              <w:autoSpaceDE w:val="0"/>
              <w:autoSpaceDN w:val="0"/>
              <w:adjustRightInd w:val="0"/>
              <w:ind w:left="698" w:hanging="698"/>
              <w:textAlignment w:val="baseline"/>
              <w:rPr>
                <w:rFonts w:asciiTheme="minorHAnsi" w:hAnsiTheme="minorHAnsi" w:cs="Arial"/>
                <w:szCs w:val="22"/>
              </w:rPr>
            </w:pPr>
            <w:r w:rsidRPr="00FE15C2">
              <w:rPr>
                <w:rFonts w:asciiTheme="minorHAnsi" w:hAnsiTheme="minorHAnsi" w:cs="Arial"/>
                <w:szCs w:val="22"/>
              </w:rPr>
              <w:t>ONR w</w:t>
            </w:r>
            <w:r w:rsidR="007E0568" w:rsidRPr="00FE15C2">
              <w:rPr>
                <w:rFonts w:asciiTheme="minorHAnsi" w:hAnsiTheme="minorHAnsi" w:cs="Arial"/>
                <w:szCs w:val="22"/>
              </w:rPr>
              <w:t>ould not expect the TSC to plan</w:t>
            </w:r>
            <w:r w:rsidRPr="00FE15C2">
              <w:rPr>
                <w:rFonts w:asciiTheme="minorHAnsi" w:hAnsiTheme="minorHAnsi" w:cs="Arial"/>
                <w:szCs w:val="22"/>
              </w:rPr>
              <w:t xml:space="preserve"> for a significant amount of time to be spent on this part of the work. </w:t>
            </w:r>
          </w:p>
          <w:p w:rsidR="00A4675B" w:rsidRPr="00FE15C2" w:rsidRDefault="00DD2DD8" w:rsidP="005E1B0E">
            <w:pPr>
              <w:pStyle w:val="TSNumberedParagraph11"/>
              <w:overflowPunct w:val="0"/>
              <w:autoSpaceDE w:val="0"/>
              <w:autoSpaceDN w:val="0"/>
              <w:adjustRightInd w:val="0"/>
              <w:ind w:left="698" w:hanging="698"/>
              <w:textAlignment w:val="baseline"/>
              <w:rPr>
                <w:rFonts w:asciiTheme="minorHAnsi" w:hAnsiTheme="minorHAnsi" w:cs="Arial"/>
                <w:szCs w:val="22"/>
              </w:rPr>
            </w:pPr>
            <w:r w:rsidRPr="00FE15C2">
              <w:rPr>
                <w:rFonts w:asciiTheme="minorHAnsi" w:hAnsiTheme="minorHAnsi"/>
                <w:szCs w:val="22"/>
              </w:rPr>
              <w:t xml:space="preserve">The TSC will require </w:t>
            </w:r>
            <w:r w:rsidR="00E434E8" w:rsidRPr="00FE15C2">
              <w:rPr>
                <w:rFonts w:asciiTheme="minorHAnsi" w:hAnsiTheme="minorHAnsi"/>
                <w:szCs w:val="22"/>
              </w:rPr>
              <w:t>specific</w:t>
            </w:r>
            <w:r w:rsidRPr="00FE15C2">
              <w:rPr>
                <w:rFonts w:asciiTheme="minorHAnsi" w:hAnsiTheme="minorHAnsi"/>
                <w:szCs w:val="22"/>
              </w:rPr>
              <w:t xml:space="preserve"> </w:t>
            </w:r>
            <w:r w:rsidR="00E434E8" w:rsidRPr="00FE15C2">
              <w:rPr>
                <w:rFonts w:asciiTheme="minorHAnsi" w:hAnsiTheme="minorHAnsi"/>
                <w:szCs w:val="22"/>
              </w:rPr>
              <w:t xml:space="preserve">nuclear ME </w:t>
            </w:r>
            <w:r w:rsidRPr="00FE15C2">
              <w:rPr>
                <w:rFonts w:asciiTheme="minorHAnsi" w:hAnsiTheme="minorHAnsi"/>
                <w:szCs w:val="22"/>
              </w:rPr>
              <w:t>expertise</w:t>
            </w:r>
            <w:r w:rsidR="008A32C9" w:rsidRPr="00FE15C2">
              <w:rPr>
                <w:rFonts w:asciiTheme="minorHAnsi" w:hAnsiTheme="minorHAnsi"/>
                <w:szCs w:val="22"/>
              </w:rPr>
              <w:t>, knowledge and skills</w:t>
            </w:r>
            <w:r w:rsidRPr="00FE15C2">
              <w:rPr>
                <w:rFonts w:asciiTheme="minorHAnsi" w:hAnsiTheme="minorHAnsi"/>
                <w:szCs w:val="22"/>
              </w:rPr>
              <w:t xml:space="preserve"> in the following areas:</w:t>
            </w:r>
          </w:p>
          <w:p w:rsidR="00DD2DD8" w:rsidRPr="00FE15C2" w:rsidRDefault="00DD2DD8" w:rsidP="008D6E13">
            <w:pPr>
              <w:pStyle w:val="TSBullet1Square"/>
              <w:rPr>
                <w:rFonts w:asciiTheme="minorHAnsi" w:hAnsiTheme="minorHAnsi"/>
              </w:rPr>
            </w:pPr>
            <w:r w:rsidRPr="00FE15C2">
              <w:rPr>
                <w:rFonts w:asciiTheme="minorHAnsi" w:hAnsiTheme="minorHAnsi"/>
              </w:rPr>
              <w:t>Pumps</w:t>
            </w:r>
            <w:r w:rsidR="008A32C9" w:rsidRPr="00FE15C2">
              <w:rPr>
                <w:rFonts w:asciiTheme="minorHAnsi" w:hAnsiTheme="minorHAnsi"/>
              </w:rPr>
              <w:t>;</w:t>
            </w:r>
          </w:p>
          <w:p w:rsidR="00DD2DD8" w:rsidRPr="00FE15C2" w:rsidRDefault="00DD2DD8" w:rsidP="008D6E13">
            <w:pPr>
              <w:pStyle w:val="TSBullet1Square"/>
              <w:rPr>
                <w:rFonts w:asciiTheme="minorHAnsi" w:hAnsiTheme="minorHAnsi"/>
              </w:rPr>
            </w:pPr>
            <w:r w:rsidRPr="00FE15C2">
              <w:rPr>
                <w:rFonts w:asciiTheme="minorHAnsi" w:hAnsiTheme="minorHAnsi"/>
              </w:rPr>
              <w:t>Valves</w:t>
            </w:r>
            <w:r w:rsidR="008A32C9" w:rsidRPr="00FE15C2">
              <w:rPr>
                <w:rFonts w:asciiTheme="minorHAnsi" w:hAnsiTheme="minorHAnsi"/>
              </w:rPr>
              <w:t>;</w:t>
            </w:r>
          </w:p>
          <w:p w:rsidR="00DD2DD8" w:rsidRPr="00FE15C2" w:rsidRDefault="00DD2DD8" w:rsidP="008D6E13">
            <w:pPr>
              <w:pStyle w:val="TSBullet1Square"/>
              <w:rPr>
                <w:rFonts w:asciiTheme="minorHAnsi" w:hAnsiTheme="minorHAnsi"/>
              </w:rPr>
            </w:pPr>
            <w:r w:rsidRPr="00FE15C2">
              <w:rPr>
                <w:rFonts w:asciiTheme="minorHAnsi" w:hAnsiTheme="minorHAnsi"/>
              </w:rPr>
              <w:t>Heating, Ventilation and Air Conditioning (HVAC) systems</w:t>
            </w:r>
            <w:r w:rsidR="008A32C9" w:rsidRPr="00FE15C2">
              <w:rPr>
                <w:rFonts w:asciiTheme="minorHAnsi" w:hAnsiTheme="minorHAnsi"/>
              </w:rPr>
              <w:t>;</w:t>
            </w:r>
          </w:p>
          <w:p w:rsidR="00DD2DD8" w:rsidRPr="00FE15C2" w:rsidRDefault="00DD2DD8" w:rsidP="008D6E13">
            <w:pPr>
              <w:pStyle w:val="TSBullet1Square"/>
              <w:rPr>
                <w:rFonts w:asciiTheme="minorHAnsi" w:hAnsiTheme="minorHAnsi"/>
              </w:rPr>
            </w:pPr>
            <w:r w:rsidRPr="00FE15C2">
              <w:rPr>
                <w:rFonts w:asciiTheme="minorHAnsi" w:hAnsiTheme="minorHAnsi"/>
              </w:rPr>
              <w:t>Heat Exchangers</w:t>
            </w:r>
            <w:r w:rsidR="002E5EDE" w:rsidRPr="00E74FAB">
              <w:rPr>
                <w:rFonts w:asciiTheme="minorHAnsi" w:hAnsiTheme="minorHAnsi"/>
              </w:rPr>
              <w:t xml:space="preserve"> (including condensers)</w:t>
            </w:r>
            <w:r w:rsidR="008A32C9" w:rsidRPr="00FE15C2">
              <w:rPr>
                <w:rFonts w:asciiTheme="minorHAnsi" w:hAnsiTheme="minorHAnsi"/>
              </w:rPr>
              <w:t>;</w:t>
            </w:r>
            <w:r w:rsidRPr="00FE15C2">
              <w:rPr>
                <w:rFonts w:asciiTheme="minorHAnsi" w:hAnsiTheme="minorHAnsi"/>
              </w:rPr>
              <w:t xml:space="preserve"> </w:t>
            </w:r>
          </w:p>
          <w:p w:rsidR="00F15BA5" w:rsidRPr="00FE15C2" w:rsidRDefault="00F15BA5" w:rsidP="008D6E13">
            <w:pPr>
              <w:pStyle w:val="TSBullet1Square"/>
              <w:rPr>
                <w:rFonts w:asciiTheme="minorHAnsi" w:hAnsiTheme="minorHAnsi"/>
              </w:rPr>
            </w:pPr>
            <w:r w:rsidRPr="00FE15C2">
              <w:rPr>
                <w:rFonts w:asciiTheme="minorHAnsi" w:hAnsiTheme="minorHAnsi"/>
              </w:rPr>
              <w:t>Control Rod Drive Mechanisms</w:t>
            </w:r>
            <w:r w:rsidR="001F76D5" w:rsidRPr="00FE15C2">
              <w:rPr>
                <w:rFonts w:asciiTheme="minorHAnsi" w:hAnsiTheme="minorHAnsi"/>
              </w:rPr>
              <w:t xml:space="preserve"> (CRDMs)</w:t>
            </w:r>
            <w:r w:rsidR="008A32C9" w:rsidRPr="00FE15C2">
              <w:rPr>
                <w:rFonts w:asciiTheme="minorHAnsi" w:hAnsiTheme="minorHAnsi"/>
              </w:rPr>
              <w:t>; and</w:t>
            </w:r>
          </w:p>
          <w:p w:rsidR="00EA3544" w:rsidRPr="00FE15C2" w:rsidRDefault="00EA3544" w:rsidP="008D6E13">
            <w:pPr>
              <w:pStyle w:val="TSBullet1Square"/>
              <w:rPr>
                <w:rFonts w:asciiTheme="minorHAnsi" w:hAnsiTheme="minorHAnsi"/>
              </w:rPr>
            </w:pPr>
            <w:r w:rsidRPr="00FE15C2">
              <w:rPr>
                <w:rFonts w:asciiTheme="minorHAnsi" w:hAnsiTheme="minorHAnsi"/>
              </w:rPr>
              <w:t>Lifting and</w:t>
            </w:r>
            <w:r w:rsidR="00F66793" w:rsidRPr="00FE15C2">
              <w:rPr>
                <w:rFonts w:asciiTheme="minorHAnsi" w:hAnsiTheme="minorHAnsi"/>
              </w:rPr>
              <w:t xml:space="preserve"> H</w:t>
            </w:r>
            <w:r w:rsidRPr="00FE15C2">
              <w:rPr>
                <w:rFonts w:asciiTheme="minorHAnsi" w:hAnsiTheme="minorHAnsi"/>
              </w:rPr>
              <w:t xml:space="preserve">andling </w:t>
            </w:r>
            <w:r w:rsidR="00F66793" w:rsidRPr="00FE15C2">
              <w:rPr>
                <w:rFonts w:asciiTheme="minorHAnsi" w:hAnsiTheme="minorHAnsi"/>
              </w:rPr>
              <w:t>E</w:t>
            </w:r>
            <w:r w:rsidRPr="00FE15C2">
              <w:rPr>
                <w:rFonts w:asciiTheme="minorHAnsi" w:hAnsiTheme="minorHAnsi"/>
              </w:rPr>
              <w:t>quipment</w:t>
            </w:r>
            <w:r w:rsidR="0025007D" w:rsidRPr="00E74FAB">
              <w:rPr>
                <w:rFonts w:asciiTheme="minorHAnsi" w:hAnsiTheme="minorHAnsi"/>
              </w:rPr>
              <w:t>.</w:t>
            </w:r>
          </w:p>
          <w:p w:rsidR="0066152A" w:rsidRPr="00FE15C2" w:rsidRDefault="00E143F3" w:rsidP="0035755A">
            <w:pPr>
              <w:pStyle w:val="TSNumberedParagraph11"/>
              <w:jc w:val="both"/>
              <w:rPr>
                <w:rFonts w:asciiTheme="minorHAnsi" w:hAnsiTheme="minorHAnsi"/>
                <w:szCs w:val="22"/>
              </w:rPr>
            </w:pPr>
            <w:r w:rsidRPr="00FE15C2">
              <w:rPr>
                <w:rFonts w:asciiTheme="minorHAnsi" w:hAnsiTheme="minorHAnsi"/>
                <w:szCs w:val="22"/>
              </w:rPr>
              <w:t xml:space="preserve">The successful TSC </w:t>
            </w:r>
            <w:r w:rsidR="00BF4064" w:rsidRPr="00FE15C2">
              <w:rPr>
                <w:rFonts w:asciiTheme="minorHAnsi" w:hAnsiTheme="minorHAnsi"/>
                <w:szCs w:val="22"/>
              </w:rPr>
              <w:t>will be expected to</w:t>
            </w:r>
            <w:r w:rsidRPr="00FE15C2">
              <w:rPr>
                <w:rFonts w:asciiTheme="minorHAnsi" w:hAnsiTheme="minorHAnsi"/>
                <w:szCs w:val="22"/>
              </w:rPr>
              <w:t xml:space="preserve"> undertake </w:t>
            </w:r>
            <w:r w:rsidR="006D3A7B" w:rsidRPr="00FE15C2">
              <w:rPr>
                <w:rFonts w:asciiTheme="minorHAnsi" w:hAnsiTheme="minorHAnsi"/>
                <w:szCs w:val="22"/>
              </w:rPr>
              <w:t>proportiona</w:t>
            </w:r>
            <w:r w:rsidR="00EA3544" w:rsidRPr="00FE15C2">
              <w:rPr>
                <w:rFonts w:asciiTheme="minorHAnsi" w:hAnsiTheme="minorHAnsi"/>
                <w:szCs w:val="22"/>
              </w:rPr>
              <w:t>te</w:t>
            </w:r>
            <w:r w:rsidR="006D3A7B" w:rsidRPr="00FE15C2">
              <w:rPr>
                <w:rFonts w:asciiTheme="minorHAnsi" w:hAnsiTheme="minorHAnsi"/>
                <w:szCs w:val="22"/>
              </w:rPr>
              <w:t xml:space="preserve"> </w:t>
            </w:r>
            <w:r w:rsidRPr="00FE15C2">
              <w:rPr>
                <w:rFonts w:asciiTheme="minorHAnsi" w:hAnsiTheme="minorHAnsi"/>
                <w:szCs w:val="22"/>
              </w:rPr>
              <w:t>assessment</w:t>
            </w:r>
            <w:r w:rsidR="00E3653B" w:rsidRPr="00FE15C2">
              <w:rPr>
                <w:rFonts w:asciiTheme="minorHAnsi" w:hAnsiTheme="minorHAnsi"/>
                <w:szCs w:val="22"/>
              </w:rPr>
              <w:t>s</w:t>
            </w:r>
            <w:r w:rsidRPr="00FE15C2">
              <w:rPr>
                <w:rFonts w:asciiTheme="minorHAnsi" w:hAnsiTheme="minorHAnsi"/>
                <w:szCs w:val="22"/>
              </w:rPr>
              <w:t xml:space="preserve"> of a sample of the RP’s </w:t>
            </w:r>
            <w:r w:rsidR="003C4FBB" w:rsidRPr="00FE15C2">
              <w:rPr>
                <w:rFonts w:asciiTheme="minorHAnsi" w:hAnsiTheme="minorHAnsi"/>
                <w:szCs w:val="22"/>
              </w:rPr>
              <w:t xml:space="preserve">UK HPR1000 </w:t>
            </w:r>
            <w:r w:rsidRPr="00FE15C2">
              <w:rPr>
                <w:rFonts w:asciiTheme="minorHAnsi" w:hAnsiTheme="minorHAnsi"/>
                <w:szCs w:val="22"/>
              </w:rPr>
              <w:t xml:space="preserve">ME </w:t>
            </w:r>
            <w:r w:rsidR="00E3653B" w:rsidRPr="00FE15C2">
              <w:rPr>
                <w:rFonts w:asciiTheme="minorHAnsi" w:hAnsiTheme="minorHAnsi"/>
                <w:szCs w:val="22"/>
              </w:rPr>
              <w:t xml:space="preserve">safety case </w:t>
            </w:r>
            <w:r w:rsidRPr="00FE15C2">
              <w:rPr>
                <w:rFonts w:asciiTheme="minorHAnsi" w:hAnsiTheme="minorHAnsi"/>
                <w:szCs w:val="22"/>
              </w:rPr>
              <w:t>submissions</w:t>
            </w:r>
            <w:r w:rsidR="00BF4064" w:rsidRPr="00FE15C2">
              <w:rPr>
                <w:rFonts w:asciiTheme="minorHAnsi" w:hAnsiTheme="minorHAnsi"/>
                <w:szCs w:val="22"/>
              </w:rPr>
              <w:t xml:space="preserve"> relating to the above areas</w:t>
            </w:r>
            <w:r w:rsidRPr="00FE15C2">
              <w:rPr>
                <w:rFonts w:asciiTheme="minorHAnsi" w:hAnsiTheme="minorHAnsi"/>
                <w:szCs w:val="22"/>
              </w:rPr>
              <w:t>.</w:t>
            </w:r>
            <w:r w:rsidR="00BF4064" w:rsidRPr="00FE15C2">
              <w:rPr>
                <w:rFonts w:asciiTheme="minorHAnsi" w:hAnsiTheme="minorHAnsi"/>
                <w:szCs w:val="22"/>
              </w:rPr>
              <w:t xml:space="preserve"> The breadth and depth of that sample will need to be agr</w:t>
            </w:r>
            <w:r w:rsidR="007E0568" w:rsidRPr="00FE15C2">
              <w:rPr>
                <w:rFonts w:asciiTheme="minorHAnsi" w:hAnsiTheme="minorHAnsi"/>
                <w:szCs w:val="22"/>
              </w:rPr>
              <w:t>eed with ONR upon contract award</w:t>
            </w:r>
            <w:r w:rsidR="00BF4064" w:rsidRPr="00FE15C2">
              <w:rPr>
                <w:rFonts w:asciiTheme="minorHAnsi" w:hAnsiTheme="minorHAnsi"/>
                <w:szCs w:val="22"/>
              </w:rPr>
              <w:t xml:space="preserve"> and will be informed by ONR’s ME Assessment Scope Planner. </w:t>
            </w:r>
            <w:r w:rsidRPr="00FE15C2">
              <w:rPr>
                <w:rFonts w:asciiTheme="minorHAnsi" w:hAnsiTheme="minorHAnsi"/>
                <w:szCs w:val="22"/>
              </w:rPr>
              <w:t xml:space="preserve"> </w:t>
            </w:r>
          </w:p>
          <w:p w:rsidR="00BA02DC" w:rsidRPr="00FE15C2" w:rsidRDefault="00BF4064" w:rsidP="0035755A">
            <w:pPr>
              <w:pStyle w:val="TSNumberedParagraph11"/>
              <w:overflowPunct w:val="0"/>
              <w:autoSpaceDE w:val="0"/>
              <w:autoSpaceDN w:val="0"/>
              <w:adjustRightInd w:val="0"/>
              <w:ind w:left="698" w:hanging="698"/>
              <w:jc w:val="both"/>
              <w:textAlignment w:val="baseline"/>
              <w:rPr>
                <w:rFonts w:asciiTheme="minorHAnsi" w:hAnsiTheme="minorHAnsi" w:cs="Arial"/>
                <w:szCs w:val="22"/>
              </w:rPr>
            </w:pPr>
            <w:r w:rsidRPr="00FE15C2">
              <w:rPr>
                <w:rFonts w:asciiTheme="minorHAnsi" w:hAnsiTheme="minorHAnsi" w:cs="Arial"/>
                <w:szCs w:val="22"/>
              </w:rPr>
              <w:t xml:space="preserve">As well as the specific technical knowledge, skills and experience identified above, ONR will also expect the successful TSC to have a good understanding and working knowledge of UK context nuclear safety cases. </w:t>
            </w:r>
            <w:r w:rsidR="00E143F3" w:rsidRPr="00FE15C2">
              <w:rPr>
                <w:rFonts w:asciiTheme="minorHAnsi" w:hAnsiTheme="minorHAnsi" w:cs="Arial"/>
                <w:szCs w:val="22"/>
              </w:rPr>
              <w:t xml:space="preserve">The </w:t>
            </w:r>
            <w:r w:rsidR="006D3A7B" w:rsidRPr="00FE15C2">
              <w:rPr>
                <w:rFonts w:asciiTheme="minorHAnsi" w:hAnsiTheme="minorHAnsi" w:cs="Arial"/>
                <w:szCs w:val="22"/>
              </w:rPr>
              <w:t>TSC</w:t>
            </w:r>
            <w:r w:rsidR="00F906F6" w:rsidRPr="00FE15C2">
              <w:rPr>
                <w:rFonts w:asciiTheme="minorHAnsi" w:hAnsiTheme="minorHAnsi" w:cs="Arial"/>
                <w:szCs w:val="22"/>
              </w:rPr>
              <w:t>’</w:t>
            </w:r>
            <w:r w:rsidR="00EA3544" w:rsidRPr="00FE15C2">
              <w:rPr>
                <w:rFonts w:asciiTheme="minorHAnsi" w:hAnsiTheme="minorHAnsi" w:cs="Arial"/>
                <w:szCs w:val="22"/>
              </w:rPr>
              <w:t>s</w:t>
            </w:r>
            <w:r w:rsidR="006D3A7B" w:rsidRPr="00FE15C2">
              <w:rPr>
                <w:rFonts w:asciiTheme="minorHAnsi" w:hAnsiTheme="minorHAnsi" w:cs="Arial"/>
                <w:szCs w:val="22"/>
              </w:rPr>
              <w:t xml:space="preserve"> </w:t>
            </w:r>
            <w:r w:rsidR="00EA3544" w:rsidRPr="00FE15C2">
              <w:rPr>
                <w:rFonts w:asciiTheme="minorHAnsi" w:hAnsiTheme="minorHAnsi" w:cs="Arial"/>
                <w:szCs w:val="22"/>
              </w:rPr>
              <w:t>assessment of</w:t>
            </w:r>
            <w:r w:rsidR="008E1FED" w:rsidRPr="00FE15C2">
              <w:rPr>
                <w:rFonts w:asciiTheme="minorHAnsi" w:hAnsiTheme="minorHAnsi" w:cs="Arial"/>
                <w:szCs w:val="22"/>
              </w:rPr>
              <w:t xml:space="preserve"> the </w:t>
            </w:r>
            <w:r w:rsidR="00BA02DC" w:rsidRPr="00FE15C2">
              <w:rPr>
                <w:rFonts w:asciiTheme="minorHAnsi" w:hAnsiTheme="minorHAnsi" w:cs="Arial"/>
                <w:szCs w:val="22"/>
              </w:rPr>
              <w:t>docume</w:t>
            </w:r>
            <w:r w:rsidR="00972CA2" w:rsidRPr="00FE15C2">
              <w:rPr>
                <w:rFonts w:asciiTheme="minorHAnsi" w:hAnsiTheme="minorHAnsi" w:cs="Arial"/>
                <w:szCs w:val="22"/>
              </w:rPr>
              <w:t>ntation</w:t>
            </w:r>
            <w:r w:rsidR="00DD2418" w:rsidRPr="00FE15C2">
              <w:rPr>
                <w:rFonts w:asciiTheme="minorHAnsi" w:hAnsiTheme="minorHAnsi" w:cs="Arial"/>
                <w:szCs w:val="22"/>
              </w:rPr>
              <w:t xml:space="preserve"> </w:t>
            </w:r>
            <w:r w:rsidR="00AB04D8" w:rsidRPr="00FE15C2">
              <w:rPr>
                <w:rFonts w:asciiTheme="minorHAnsi" w:hAnsiTheme="minorHAnsi" w:cs="Arial"/>
                <w:szCs w:val="22"/>
              </w:rPr>
              <w:t xml:space="preserve">sampled as part of this contract </w:t>
            </w:r>
            <w:r w:rsidR="00DD2418" w:rsidRPr="00FE15C2">
              <w:rPr>
                <w:rFonts w:asciiTheme="minorHAnsi" w:hAnsiTheme="minorHAnsi" w:cs="Arial"/>
                <w:szCs w:val="22"/>
              </w:rPr>
              <w:t xml:space="preserve">should </w:t>
            </w:r>
            <w:r w:rsidR="0025007D" w:rsidRPr="00E74FAB">
              <w:rPr>
                <w:rFonts w:asciiTheme="minorHAnsi" w:hAnsiTheme="minorHAnsi" w:cs="Arial"/>
                <w:szCs w:val="22"/>
              </w:rPr>
              <w:t xml:space="preserve">also </w:t>
            </w:r>
            <w:r w:rsidR="00972CA2" w:rsidRPr="00FE15C2">
              <w:rPr>
                <w:rFonts w:asciiTheme="minorHAnsi" w:hAnsiTheme="minorHAnsi" w:cs="Arial"/>
                <w:szCs w:val="22"/>
              </w:rPr>
              <w:t>judge</w:t>
            </w:r>
            <w:r w:rsidR="00924D6F" w:rsidRPr="00FE15C2">
              <w:rPr>
                <w:rFonts w:asciiTheme="minorHAnsi" w:hAnsiTheme="minorHAnsi" w:cs="Arial"/>
                <w:szCs w:val="22"/>
              </w:rPr>
              <w:t xml:space="preserve"> whether the safety case</w:t>
            </w:r>
            <w:r w:rsidR="00884E6A" w:rsidRPr="00FE15C2">
              <w:rPr>
                <w:rFonts w:asciiTheme="minorHAnsi" w:hAnsiTheme="minorHAnsi" w:cs="Arial"/>
                <w:szCs w:val="22"/>
              </w:rPr>
              <w:t xml:space="preserve"> is</w:t>
            </w:r>
            <w:r w:rsidR="00BA02DC" w:rsidRPr="00FE15C2">
              <w:rPr>
                <w:rFonts w:asciiTheme="minorHAnsi" w:hAnsiTheme="minorHAnsi" w:cs="Arial"/>
                <w:szCs w:val="22"/>
              </w:rPr>
              <w:t>:</w:t>
            </w:r>
          </w:p>
          <w:p w:rsidR="00F15BA5" w:rsidRPr="00FE15C2" w:rsidRDefault="00F15BA5" w:rsidP="008D6E13">
            <w:pPr>
              <w:pStyle w:val="TSBullet1Square"/>
              <w:rPr>
                <w:rFonts w:asciiTheme="minorHAnsi" w:hAnsiTheme="minorHAnsi"/>
              </w:rPr>
            </w:pPr>
            <w:r w:rsidRPr="00FE15C2">
              <w:rPr>
                <w:rFonts w:asciiTheme="minorHAnsi" w:hAnsiTheme="minorHAnsi"/>
              </w:rPr>
              <w:t>intelligible;</w:t>
            </w:r>
          </w:p>
          <w:p w:rsidR="00F15BA5" w:rsidRPr="00FE15C2" w:rsidRDefault="00F15BA5" w:rsidP="008D6E13">
            <w:pPr>
              <w:pStyle w:val="TSBullet1Square"/>
              <w:rPr>
                <w:rFonts w:asciiTheme="minorHAnsi" w:hAnsiTheme="minorHAnsi"/>
              </w:rPr>
            </w:pPr>
            <w:r w:rsidRPr="00FE15C2">
              <w:rPr>
                <w:rFonts w:asciiTheme="minorHAnsi" w:hAnsiTheme="minorHAnsi"/>
              </w:rPr>
              <w:t>valid;</w:t>
            </w:r>
          </w:p>
          <w:p w:rsidR="00F15BA5" w:rsidRPr="00FE15C2" w:rsidRDefault="00F15BA5" w:rsidP="008D6E13">
            <w:pPr>
              <w:pStyle w:val="TSBullet1Square"/>
              <w:rPr>
                <w:rFonts w:asciiTheme="minorHAnsi" w:hAnsiTheme="minorHAnsi"/>
              </w:rPr>
            </w:pPr>
            <w:r w:rsidRPr="00FE15C2">
              <w:rPr>
                <w:rFonts w:asciiTheme="minorHAnsi" w:hAnsiTheme="minorHAnsi"/>
              </w:rPr>
              <w:t>evidential;</w:t>
            </w:r>
          </w:p>
          <w:p w:rsidR="00F15BA5" w:rsidRPr="00FE15C2" w:rsidRDefault="00F15BA5" w:rsidP="008D6E13">
            <w:pPr>
              <w:pStyle w:val="TSBullet1Square"/>
              <w:rPr>
                <w:rFonts w:asciiTheme="minorHAnsi" w:hAnsiTheme="minorHAnsi"/>
              </w:rPr>
            </w:pPr>
            <w:r w:rsidRPr="00FE15C2">
              <w:rPr>
                <w:rFonts w:asciiTheme="minorHAnsi" w:hAnsiTheme="minorHAnsi"/>
              </w:rPr>
              <w:t>robust;</w:t>
            </w:r>
          </w:p>
          <w:p w:rsidR="00F15BA5" w:rsidRPr="00FE15C2" w:rsidRDefault="00F15BA5" w:rsidP="008D6E13">
            <w:pPr>
              <w:pStyle w:val="TSBullet1Square"/>
              <w:rPr>
                <w:rFonts w:asciiTheme="minorHAnsi" w:hAnsiTheme="minorHAnsi"/>
              </w:rPr>
            </w:pPr>
            <w:r w:rsidRPr="00FE15C2">
              <w:rPr>
                <w:rFonts w:asciiTheme="minorHAnsi" w:hAnsiTheme="minorHAnsi"/>
              </w:rPr>
              <w:t>integrated;</w:t>
            </w:r>
          </w:p>
          <w:p w:rsidR="00F15BA5" w:rsidRPr="00FE15C2" w:rsidRDefault="00F15BA5" w:rsidP="008D6E13">
            <w:pPr>
              <w:pStyle w:val="TSBullet1Square"/>
              <w:rPr>
                <w:rFonts w:asciiTheme="minorHAnsi" w:hAnsiTheme="minorHAnsi"/>
              </w:rPr>
            </w:pPr>
            <w:r w:rsidRPr="00FE15C2">
              <w:rPr>
                <w:rFonts w:asciiTheme="minorHAnsi" w:hAnsiTheme="minorHAnsi"/>
              </w:rPr>
              <w:t>balanced;</w:t>
            </w:r>
          </w:p>
          <w:p w:rsidR="00924D6F" w:rsidRPr="00FE15C2" w:rsidRDefault="008A32C9" w:rsidP="008D6E13">
            <w:pPr>
              <w:pStyle w:val="TSBullet1Square"/>
              <w:rPr>
                <w:rFonts w:asciiTheme="minorHAnsi" w:hAnsiTheme="minorHAnsi"/>
              </w:rPr>
            </w:pPr>
            <w:r w:rsidRPr="00FE15C2">
              <w:rPr>
                <w:rFonts w:asciiTheme="minorHAnsi" w:hAnsiTheme="minorHAnsi"/>
              </w:rPr>
              <w:t xml:space="preserve">the degree to which </w:t>
            </w:r>
            <w:r w:rsidR="00E434E8" w:rsidRPr="00FE15C2">
              <w:rPr>
                <w:rFonts w:asciiTheme="minorHAnsi" w:hAnsiTheme="minorHAnsi"/>
              </w:rPr>
              <w:t>relevant good practice (</w:t>
            </w:r>
            <w:r w:rsidR="00924D6F" w:rsidRPr="00FE15C2">
              <w:rPr>
                <w:rFonts w:asciiTheme="minorHAnsi" w:hAnsiTheme="minorHAnsi"/>
              </w:rPr>
              <w:t>RGP</w:t>
            </w:r>
            <w:r w:rsidR="00E434E8" w:rsidRPr="00FE15C2">
              <w:rPr>
                <w:rFonts w:asciiTheme="minorHAnsi" w:hAnsiTheme="minorHAnsi"/>
              </w:rPr>
              <w:t>)</w:t>
            </w:r>
            <w:r w:rsidRPr="00FE15C2">
              <w:rPr>
                <w:rFonts w:asciiTheme="minorHAnsi" w:hAnsiTheme="minorHAnsi"/>
              </w:rPr>
              <w:t xml:space="preserve"> is adopted</w:t>
            </w:r>
            <w:r w:rsidR="00924D6F" w:rsidRPr="00FE15C2">
              <w:rPr>
                <w:rFonts w:asciiTheme="minorHAnsi" w:hAnsiTheme="minorHAnsi"/>
              </w:rPr>
              <w:t>;</w:t>
            </w:r>
          </w:p>
          <w:p w:rsidR="00BA02DC" w:rsidRPr="00FE15C2" w:rsidRDefault="00924D6F" w:rsidP="008D6E13">
            <w:pPr>
              <w:pStyle w:val="TSBullet1Square"/>
              <w:rPr>
                <w:rFonts w:asciiTheme="minorHAnsi" w:hAnsiTheme="minorHAnsi"/>
              </w:rPr>
            </w:pPr>
            <w:r w:rsidRPr="00FE15C2">
              <w:rPr>
                <w:rFonts w:asciiTheme="minorHAnsi" w:hAnsiTheme="minorHAnsi"/>
              </w:rPr>
              <w:t>c</w:t>
            </w:r>
            <w:r w:rsidR="00BA02DC" w:rsidRPr="00FE15C2">
              <w:rPr>
                <w:rFonts w:asciiTheme="minorHAnsi" w:hAnsiTheme="minorHAnsi"/>
              </w:rPr>
              <w:t>lear</w:t>
            </w:r>
            <w:r w:rsidRPr="00FE15C2">
              <w:rPr>
                <w:rFonts w:asciiTheme="minorHAnsi" w:hAnsiTheme="minorHAnsi"/>
              </w:rPr>
              <w:t>ly</w:t>
            </w:r>
            <w:r w:rsidR="00BA02DC" w:rsidRPr="00FE15C2">
              <w:rPr>
                <w:rFonts w:asciiTheme="minorHAnsi" w:hAnsiTheme="minorHAnsi"/>
              </w:rPr>
              <w:t xml:space="preserve"> present</w:t>
            </w:r>
            <w:r w:rsidR="0025007D" w:rsidRPr="00E74FAB">
              <w:rPr>
                <w:rFonts w:asciiTheme="minorHAnsi" w:hAnsiTheme="minorHAnsi"/>
              </w:rPr>
              <w:t>ing the</w:t>
            </w:r>
            <w:r w:rsidR="00BA02DC" w:rsidRPr="00FE15C2">
              <w:rPr>
                <w:rFonts w:asciiTheme="minorHAnsi" w:hAnsiTheme="minorHAnsi"/>
              </w:rPr>
              <w:t xml:space="preserve"> purpose, standards and expectations of each </w:t>
            </w:r>
            <w:r w:rsidR="0025007D" w:rsidRPr="00E74FAB">
              <w:rPr>
                <w:rFonts w:asciiTheme="minorHAnsi" w:hAnsiTheme="minorHAnsi"/>
              </w:rPr>
              <w:t>structure, system or component (S</w:t>
            </w:r>
            <w:r w:rsidR="007E0568" w:rsidRPr="00FE15C2">
              <w:rPr>
                <w:rFonts w:asciiTheme="minorHAnsi" w:hAnsiTheme="minorHAnsi"/>
              </w:rPr>
              <w:t>S</w:t>
            </w:r>
            <w:r w:rsidR="00522031" w:rsidRPr="00E74FAB">
              <w:rPr>
                <w:rFonts w:asciiTheme="minorHAnsi" w:hAnsiTheme="minorHAnsi"/>
              </w:rPr>
              <w:t>C</w:t>
            </w:r>
            <w:r w:rsidR="0025007D" w:rsidRPr="00E74FAB">
              <w:rPr>
                <w:rFonts w:asciiTheme="minorHAnsi" w:hAnsiTheme="minorHAnsi"/>
              </w:rPr>
              <w:t>)</w:t>
            </w:r>
            <w:r w:rsidR="00BA02DC" w:rsidRPr="00FE15C2">
              <w:rPr>
                <w:rFonts w:asciiTheme="minorHAnsi" w:hAnsiTheme="minorHAnsi"/>
              </w:rPr>
              <w:t>;</w:t>
            </w:r>
          </w:p>
          <w:p w:rsidR="00BA02DC" w:rsidRPr="00FE15C2" w:rsidRDefault="00924D6F" w:rsidP="008D6E13">
            <w:pPr>
              <w:pStyle w:val="TSBullet1Square"/>
              <w:rPr>
                <w:rFonts w:asciiTheme="minorHAnsi" w:hAnsiTheme="minorHAnsi"/>
              </w:rPr>
            </w:pPr>
            <w:r w:rsidRPr="00FE15C2">
              <w:rPr>
                <w:rFonts w:asciiTheme="minorHAnsi" w:hAnsiTheme="minorHAnsi"/>
              </w:rPr>
              <w:t>e</w:t>
            </w:r>
            <w:r w:rsidR="00BA02DC" w:rsidRPr="00FE15C2">
              <w:rPr>
                <w:rFonts w:asciiTheme="minorHAnsi" w:hAnsiTheme="minorHAnsi"/>
              </w:rPr>
              <w:t>xplicitly set</w:t>
            </w:r>
            <w:r w:rsidR="0025007D" w:rsidRPr="00E74FAB">
              <w:rPr>
                <w:rFonts w:asciiTheme="minorHAnsi" w:hAnsiTheme="minorHAnsi"/>
              </w:rPr>
              <w:t>ting out why risks will be</w:t>
            </w:r>
            <w:r w:rsidR="00BA02DC" w:rsidRPr="00FE15C2">
              <w:rPr>
                <w:rFonts w:asciiTheme="minorHAnsi" w:hAnsiTheme="minorHAnsi"/>
              </w:rPr>
              <w:t xml:space="preserve"> reduced</w:t>
            </w:r>
            <w:r w:rsidR="008A32C9" w:rsidRPr="00FE15C2">
              <w:rPr>
                <w:rFonts w:asciiTheme="minorHAnsi" w:hAnsiTheme="minorHAnsi"/>
              </w:rPr>
              <w:t xml:space="preserve"> </w:t>
            </w:r>
            <w:r w:rsidR="00BA02DC" w:rsidRPr="00FE15C2">
              <w:rPr>
                <w:rFonts w:asciiTheme="minorHAnsi" w:hAnsiTheme="minorHAnsi"/>
              </w:rPr>
              <w:t>SFAIRP;</w:t>
            </w:r>
          </w:p>
          <w:p w:rsidR="00BA02DC" w:rsidRPr="00FE15C2" w:rsidRDefault="00924D6F" w:rsidP="008D6E13">
            <w:pPr>
              <w:pStyle w:val="TSBullet1Square"/>
              <w:rPr>
                <w:rFonts w:asciiTheme="minorHAnsi" w:hAnsiTheme="minorHAnsi"/>
              </w:rPr>
            </w:pPr>
            <w:r w:rsidRPr="00FE15C2">
              <w:rPr>
                <w:rFonts w:asciiTheme="minorHAnsi" w:hAnsiTheme="minorHAnsi"/>
              </w:rPr>
              <w:t>s</w:t>
            </w:r>
            <w:r w:rsidR="00BA02DC" w:rsidRPr="00FE15C2">
              <w:rPr>
                <w:rFonts w:asciiTheme="minorHAnsi" w:hAnsiTheme="minorHAnsi"/>
              </w:rPr>
              <w:t>upport</w:t>
            </w:r>
            <w:r w:rsidR="0025007D" w:rsidRPr="00E74FAB">
              <w:rPr>
                <w:rFonts w:asciiTheme="minorHAnsi" w:hAnsiTheme="minorHAnsi"/>
              </w:rPr>
              <w:t>ing</w:t>
            </w:r>
            <w:r w:rsidR="00BA02DC" w:rsidRPr="00FE15C2">
              <w:rPr>
                <w:rFonts w:asciiTheme="minorHAnsi" w:hAnsiTheme="minorHAnsi"/>
              </w:rPr>
              <w:t xml:space="preserve"> </w:t>
            </w:r>
            <w:r w:rsidR="00E434E8" w:rsidRPr="00FE15C2">
              <w:rPr>
                <w:rFonts w:asciiTheme="minorHAnsi" w:hAnsiTheme="minorHAnsi"/>
              </w:rPr>
              <w:t xml:space="preserve">the safety case </w:t>
            </w:r>
            <w:r w:rsidR="00BA02DC" w:rsidRPr="00FE15C2">
              <w:rPr>
                <w:rFonts w:asciiTheme="minorHAnsi" w:hAnsiTheme="minorHAnsi"/>
              </w:rPr>
              <w:t xml:space="preserve">claims and arguments with </w:t>
            </w:r>
            <w:r w:rsidR="007E0568" w:rsidRPr="00FE15C2">
              <w:rPr>
                <w:rFonts w:asciiTheme="minorHAnsi" w:hAnsiTheme="minorHAnsi"/>
              </w:rPr>
              <w:t xml:space="preserve">suitable and </w:t>
            </w:r>
            <w:r w:rsidR="00E434E8" w:rsidRPr="00FE15C2">
              <w:rPr>
                <w:rFonts w:asciiTheme="minorHAnsi" w:hAnsiTheme="minorHAnsi"/>
              </w:rPr>
              <w:t xml:space="preserve">sufficient </w:t>
            </w:r>
            <w:r w:rsidR="00BA02DC" w:rsidRPr="00FE15C2">
              <w:rPr>
                <w:rFonts w:asciiTheme="minorHAnsi" w:hAnsiTheme="minorHAnsi"/>
              </w:rPr>
              <w:t>evidence;</w:t>
            </w:r>
          </w:p>
          <w:p w:rsidR="00BA02DC" w:rsidRPr="00FE15C2" w:rsidRDefault="00924D6F" w:rsidP="008D6E13">
            <w:pPr>
              <w:pStyle w:val="TSBullet1Square"/>
              <w:rPr>
                <w:rFonts w:asciiTheme="minorHAnsi" w:hAnsiTheme="minorHAnsi"/>
              </w:rPr>
            </w:pPr>
            <w:r w:rsidRPr="00FE15C2">
              <w:rPr>
                <w:rFonts w:asciiTheme="minorHAnsi" w:hAnsiTheme="minorHAnsi"/>
              </w:rPr>
              <w:t>i</w:t>
            </w:r>
            <w:r w:rsidR="00BA02DC" w:rsidRPr="00FE15C2">
              <w:rPr>
                <w:rFonts w:asciiTheme="minorHAnsi" w:hAnsiTheme="minorHAnsi"/>
              </w:rPr>
              <w:t>dentif</w:t>
            </w:r>
            <w:r w:rsidR="0025007D" w:rsidRPr="00E74FAB">
              <w:rPr>
                <w:rFonts w:asciiTheme="minorHAnsi" w:hAnsiTheme="minorHAnsi"/>
              </w:rPr>
              <w:t>ying</w:t>
            </w:r>
            <w:r w:rsidR="00E434E8" w:rsidRPr="00FE15C2">
              <w:rPr>
                <w:rFonts w:asciiTheme="minorHAnsi" w:hAnsiTheme="minorHAnsi"/>
              </w:rPr>
              <w:t xml:space="preserve"> operating</w:t>
            </w:r>
            <w:r w:rsidR="00BA02DC" w:rsidRPr="00FE15C2">
              <w:rPr>
                <w:rFonts w:asciiTheme="minorHAnsi" w:hAnsiTheme="minorHAnsi"/>
              </w:rPr>
              <w:t xml:space="preserve"> limits and conditions necessary in the interest of safety;</w:t>
            </w:r>
            <w:r w:rsidR="00E434E8" w:rsidRPr="00FE15C2">
              <w:rPr>
                <w:rFonts w:asciiTheme="minorHAnsi" w:hAnsiTheme="minorHAnsi"/>
              </w:rPr>
              <w:t xml:space="preserve"> and </w:t>
            </w:r>
          </w:p>
          <w:p w:rsidR="00BA02DC" w:rsidRPr="00FE15C2" w:rsidRDefault="0025007D" w:rsidP="008D6E13">
            <w:pPr>
              <w:pStyle w:val="TSBullet1Square"/>
              <w:rPr>
                <w:rFonts w:asciiTheme="minorHAnsi" w:hAnsiTheme="minorHAnsi"/>
              </w:rPr>
            </w:pPr>
            <w:r w:rsidRPr="00E74FAB">
              <w:rPr>
                <w:rFonts w:asciiTheme="minorHAnsi" w:hAnsiTheme="minorHAnsi"/>
              </w:rPr>
              <w:t>identifying</w:t>
            </w:r>
            <w:r w:rsidR="00BA02DC" w:rsidRPr="00FE15C2">
              <w:rPr>
                <w:rFonts w:asciiTheme="minorHAnsi" w:hAnsiTheme="minorHAnsi"/>
              </w:rPr>
              <w:t xml:space="preserve"> all other </w:t>
            </w:r>
            <w:r w:rsidR="007E0568" w:rsidRPr="00FE15C2">
              <w:rPr>
                <w:rFonts w:asciiTheme="minorHAnsi" w:hAnsiTheme="minorHAnsi"/>
              </w:rPr>
              <w:t xml:space="preserve">relevant </w:t>
            </w:r>
            <w:r w:rsidR="00BA02DC" w:rsidRPr="00FE15C2">
              <w:rPr>
                <w:rFonts w:asciiTheme="minorHAnsi" w:hAnsiTheme="minorHAnsi"/>
              </w:rPr>
              <w:t xml:space="preserve">requirements necessary to </w:t>
            </w:r>
            <w:r w:rsidR="007E0568" w:rsidRPr="00FE15C2">
              <w:rPr>
                <w:rFonts w:asciiTheme="minorHAnsi" w:hAnsiTheme="minorHAnsi"/>
              </w:rPr>
              <w:t xml:space="preserve">enable the future implementation of </w:t>
            </w:r>
            <w:r w:rsidR="00BA02DC" w:rsidRPr="00FE15C2">
              <w:rPr>
                <w:rFonts w:asciiTheme="minorHAnsi" w:hAnsiTheme="minorHAnsi"/>
              </w:rPr>
              <w:t>the safety case.</w:t>
            </w:r>
          </w:p>
          <w:p w:rsidR="007E0568" w:rsidRPr="00FE15C2" w:rsidRDefault="007E0568" w:rsidP="0035755A">
            <w:pPr>
              <w:pStyle w:val="TSNumberedParagraph11"/>
              <w:overflowPunct w:val="0"/>
              <w:autoSpaceDE w:val="0"/>
              <w:autoSpaceDN w:val="0"/>
              <w:adjustRightInd w:val="0"/>
              <w:ind w:left="698" w:hanging="698"/>
              <w:jc w:val="both"/>
              <w:textAlignment w:val="baseline"/>
              <w:rPr>
                <w:rFonts w:asciiTheme="minorHAnsi" w:hAnsiTheme="minorHAnsi" w:cs="Arial"/>
                <w:szCs w:val="22"/>
              </w:rPr>
            </w:pPr>
            <w:r w:rsidRPr="00FE15C2">
              <w:rPr>
                <w:rFonts w:asciiTheme="minorHAnsi" w:hAnsiTheme="minorHAnsi" w:cs="Arial"/>
                <w:szCs w:val="22"/>
              </w:rPr>
              <w:t xml:space="preserve">ONR recognises that the skills, knowledge and experience listed above are relatively broad. It may therefore be necessary for the TSC to suggest a range of individuals that may be suitable to deliver the work, as part of their tender responses.  </w:t>
            </w:r>
          </w:p>
          <w:p w:rsidR="00AF4C0F" w:rsidRPr="00FE15C2" w:rsidRDefault="0025007D" w:rsidP="00E3653B">
            <w:pPr>
              <w:pStyle w:val="TSNumberedParagraph11"/>
              <w:overflowPunct w:val="0"/>
              <w:autoSpaceDE w:val="0"/>
              <w:autoSpaceDN w:val="0"/>
              <w:adjustRightInd w:val="0"/>
              <w:ind w:left="698" w:hanging="698"/>
              <w:textAlignment w:val="baseline"/>
              <w:rPr>
                <w:rFonts w:asciiTheme="minorHAnsi" w:hAnsiTheme="minorHAnsi" w:cs="Arial"/>
                <w:szCs w:val="22"/>
              </w:rPr>
            </w:pPr>
            <w:r w:rsidRPr="00E74FAB">
              <w:rPr>
                <w:rFonts w:asciiTheme="minorHAnsi" w:hAnsiTheme="minorHAnsi" w:cs="Arial"/>
                <w:szCs w:val="22"/>
              </w:rPr>
              <w:t xml:space="preserve">For all </w:t>
            </w:r>
            <w:r w:rsidR="00E3653B" w:rsidRPr="00FE15C2">
              <w:rPr>
                <w:rFonts w:asciiTheme="minorHAnsi" w:hAnsiTheme="minorHAnsi" w:cs="Arial"/>
                <w:szCs w:val="22"/>
              </w:rPr>
              <w:t>SSCs</w:t>
            </w:r>
            <w:r w:rsidRPr="00E74FAB">
              <w:rPr>
                <w:rFonts w:asciiTheme="minorHAnsi" w:hAnsiTheme="minorHAnsi" w:cs="Arial"/>
                <w:szCs w:val="22"/>
              </w:rPr>
              <w:t xml:space="preserve"> </w:t>
            </w:r>
            <w:r w:rsidR="00884E6A" w:rsidRPr="00FE15C2">
              <w:rPr>
                <w:rFonts w:asciiTheme="minorHAnsi" w:hAnsiTheme="minorHAnsi" w:cs="Arial"/>
                <w:szCs w:val="22"/>
              </w:rPr>
              <w:t>assessed</w:t>
            </w:r>
            <w:r w:rsidR="00E434E8" w:rsidRPr="00FE15C2">
              <w:rPr>
                <w:rFonts w:asciiTheme="minorHAnsi" w:hAnsiTheme="minorHAnsi" w:cs="Arial"/>
                <w:szCs w:val="22"/>
              </w:rPr>
              <w:t xml:space="preserve">, </w:t>
            </w:r>
            <w:r w:rsidR="00485A06" w:rsidRPr="00FE15C2">
              <w:rPr>
                <w:rFonts w:asciiTheme="minorHAnsi" w:hAnsiTheme="minorHAnsi" w:cs="Arial"/>
                <w:szCs w:val="22"/>
              </w:rPr>
              <w:t xml:space="preserve">the TSC </w:t>
            </w:r>
            <w:r w:rsidR="00DD2418" w:rsidRPr="00FE15C2">
              <w:rPr>
                <w:rFonts w:asciiTheme="minorHAnsi" w:hAnsiTheme="minorHAnsi" w:cs="Arial"/>
                <w:szCs w:val="22"/>
              </w:rPr>
              <w:t>should</w:t>
            </w:r>
            <w:r w:rsidR="00485A06" w:rsidRPr="00FE15C2">
              <w:rPr>
                <w:rFonts w:asciiTheme="minorHAnsi" w:hAnsiTheme="minorHAnsi" w:cs="Arial"/>
                <w:szCs w:val="22"/>
              </w:rPr>
              <w:t>:</w:t>
            </w:r>
          </w:p>
          <w:p w:rsidR="00485A06" w:rsidRPr="00FE15C2" w:rsidRDefault="00E434E8" w:rsidP="008D6E13">
            <w:pPr>
              <w:pStyle w:val="TSBullet1Square"/>
              <w:rPr>
                <w:rFonts w:asciiTheme="minorHAnsi" w:hAnsiTheme="minorHAnsi"/>
              </w:rPr>
            </w:pPr>
            <w:r w:rsidRPr="00FE15C2">
              <w:rPr>
                <w:rFonts w:asciiTheme="minorHAnsi" w:hAnsiTheme="minorHAnsi"/>
              </w:rPr>
              <w:t xml:space="preserve">produce </w:t>
            </w:r>
            <w:r w:rsidR="00485A06" w:rsidRPr="00FE15C2">
              <w:rPr>
                <w:rFonts w:asciiTheme="minorHAnsi" w:hAnsiTheme="minorHAnsi"/>
              </w:rPr>
              <w:t>a judgement on the adequacy of the underpinning safety case</w:t>
            </w:r>
            <w:r w:rsidRPr="00FE15C2">
              <w:rPr>
                <w:rFonts w:asciiTheme="minorHAnsi" w:hAnsiTheme="minorHAnsi"/>
              </w:rPr>
              <w:t>;</w:t>
            </w:r>
          </w:p>
          <w:p w:rsidR="00F07706" w:rsidRPr="00FE15C2" w:rsidRDefault="00A356C7" w:rsidP="008D6E13">
            <w:pPr>
              <w:pStyle w:val="TSBullet1Square"/>
              <w:rPr>
                <w:rFonts w:asciiTheme="minorHAnsi" w:hAnsiTheme="minorHAnsi"/>
              </w:rPr>
            </w:pPr>
            <w:r w:rsidRPr="00FE15C2">
              <w:rPr>
                <w:rFonts w:asciiTheme="minorHAnsi" w:hAnsiTheme="minorHAnsi"/>
              </w:rPr>
              <w:t>u</w:t>
            </w:r>
            <w:r w:rsidR="00F07706" w:rsidRPr="00FE15C2">
              <w:rPr>
                <w:rFonts w:asciiTheme="minorHAnsi" w:hAnsiTheme="minorHAnsi"/>
              </w:rPr>
              <w:t xml:space="preserve">nderpin judgements </w:t>
            </w:r>
            <w:r w:rsidR="0066152A" w:rsidRPr="00FE15C2">
              <w:rPr>
                <w:rFonts w:asciiTheme="minorHAnsi" w:hAnsiTheme="minorHAnsi"/>
              </w:rPr>
              <w:t>by identifying</w:t>
            </w:r>
            <w:r w:rsidR="00F07706" w:rsidRPr="00FE15C2">
              <w:rPr>
                <w:rFonts w:asciiTheme="minorHAnsi" w:hAnsiTheme="minorHAnsi"/>
              </w:rPr>
              <w:t xml:space="preserve"> </w:t>
            </w:r>
            <w:r w:rsidR="00884E6A" w:rsidRPr="00FE15C2">
              <w:rPr>
                <w:rFonts w:asciiTheme="minorHAnsi" w:hAnsiTheme="minorHAnsi"/>
              </w:rPr>
              <w:t xml:space="preserve">suitable sources of </w:t>
            </w:r>
            <w:r w:rsidR="00F07706" w:rsidRPr="00FE15C2">
              <w:rPr>
                <w:rFonts w:asciiTheme="minorHAnsi" w:hAnsiTheme="minorHAnsi"/>
              </w:rPr>
              <w:t>RGP</w:t>
            </w:r>
            <w:r w:rsidR="00884E6A" w:rsidRPr="00FE15C2">
              <w:rPr>
                <w:rFonts w:asciiTheme="minorHAnsi" w:hAnsiTheme="minorHAnsi"/>
              </w:rPr>
              <w:t>, supplemented by the TSC’</w:t>
            </w:r>
            <w:r w:rsidR="007E0568" w:rsidRPr="00FE15C2">
              <w:rPr>
                <w:rFonts w:asciiTheme="minorHAnsi" w:hAnsiTheme="minorHAnsi"/>
              </w:rPr>
              <w:t xml:space="preserve">s own knowledge, </w:t>
            </w:r>
            <w:r w:rsidR="00884E6A" w:rsidRPr="00FE15C2">
              <w:rPr>
                <w:rFonts w:asciiTheme="minorHAnsi" w:hAnsiTheme="minorHAnsi"/>
              </w:rPr>
              <w:t>skills and experience. Where the RP’s approach may not satisfy RGP, provide recommendations to ONR where further justification may be required</w:t>
            </w:r>
            <w:r w:rsidR="007E0568" w:rsidRPr="00FE15C2">
              <w:rPr>
                <w:rFonts w:asciiTheme="minorHAnsi" w:hAnsiTheme="minorHAnsi"/>
              </w:rPr>
              <w:t xml:space="preserve">. Sources of RGP should include ONR’s Safety Assessment </w:t>
            </w:r>
            <w:r w:rsidR="0025007D" w:rsidRPr="00E74FAB">
              <w:rPr>
                <w:rFonts w:asciiTheme="minorHAnsi" w:hAnsiTheme="minorHAnsi"/>
              </w:rPr>
              <w:t>P</w:t>
            </w:r>
            <w:r w:rsidR="007E0568" w:rsidRPr="00FE15C2">
              <w:rPr>
                <w:rFonts w:asciiTheme="minorHAnsi" w:hAnsiTheme="minorHAnsi"/>
              </w:rPr>
              <w:t>rinciples (SAPs) and Technical Assessment Guides (TAGs)</w:t>
            </w:r>
            <w:r w:rsidR="0066152A" w:rsidRPr="00FE15C2">
              <w:rPr>
                <w:rFonts w:asciiTheme="minorHAnsi" w:hAnsiTheme="minorHAnsi"/>
              </w:rPr>
              <w:t>;</w:t>
            </w:r>
          </w:p>
          <w:p w:rsidR="00EA33CF" w:rsidRPr="00FE15C2" w:rsidRDefault="0066152A" w:rsidP="008D6E13">
            <w:pPr>
              <w:pStyle w:val="TSBullet1Square"/>
              <w:rPr>
                <w:rFonts w:asciiTheme="minorHAnsi" w:hAnsiTheme="minorHAnsi"/>
              </w:rPr>
            </w:pPr>
            <w:r w:rsidRPr="00FE15C2">
              <w:rPr>
                <w:rFonts w:asciiTheme="minorHAnsi" w:hAnsiTheme="minorHAnsi"/>
              </w:rPr>
              <w:t xml:space="preserve">draft </w:t>
            </w:r>
            <w:r w:rsidR="00EA33CF" w:rsidRPr="00FE15C2">
              <w:rPr>
                <w:rFonts w:asciiTheme="minorHAnsi" w:hAnsiTheme="minorHAnsi"/>
              </w:rPr>
              <w:t>Regula</w:t>
            </w:r>
            <w:r w:rsidR="00074E55" w:rsidRPr="00FE15C2">
              <w:rPr>
                <w:rFonts w:asciiTheme="minorHAnsi" w:hAnsiTheme="minorHAnsi"/>
              </w:rPr>
              <w:t>tory Queries (RQ</w:t>
            </w:r>
            <w:r w:rsidRPr="00FE15C2">
              <w:rPr>
                <w:rFonts w:asciiTheme="minorHAnsi" w:hAnsiTheme="minorHAnsi"/>
              </w:rPr>
              <w:t>s</w:t>
            </w:r>
            <w:r w:rsidR="00074E55" w:rsidRPr="00FE15C2">
              <w:rPr>
                <w:rFonts w:asciiTheme="minorHAnsi" w:hAnsiTheme="minorHAnsi"/>
              </w:rPr>
              <w:t xml:space="preserve">) where clarification </w:t>
            </w:r>
            <w:r w:rsidRPr="00FE15C2">
              <w:rPr>
                <w:rFonts w:asciiTheme="minorHAnsi" w:hAnsiTheme="minorHAnsi"/>
              </w:rPr>
              <w:t xml:space="preserve">or further information is required </w:t>
            </w:r>
            <w:r w:rsidR="0069320D" w:rsidRPr="00FE15C2">
              <w:rPr>
                <w:rFonts w:asciiTheme="minorHAnsi" w:hAnsiTheme="minorHAnsi"/>
              </w:rPr>
              <w:t>from the RP</w:t>
            </w:r>
            <w:r w:rsidR="008A32C9" w:rsidRPr="00FE15C2">
              <w:rPr>
                <w:rFonts w:asciiTheme="minorHAnsi" w:hAnsiTheme="minorHAnsi"/>
              </w:rPr>
              <w:t>, and assess the RP’s RQ responses</w:t>
            </w:r>
            <w:r w:rsidR="00884E6A" w:rsidRPr="00FE15C2">
              <w:rPr>
                <w:rFonts w:asciiTheme="minorHAnsi" w:hAnsiTheme="minorHAnsi"/>
              </w:rPr>
              <w:t xml:space="preserve">. </w:t>
            </w:r>
            <w:r w:rsidR="00884E6A" w:rsidRPr="00E74FAB">
              <w:rPr>
                <w:rFonts w:asciiTheme="minorHAnsi" w:hAnsiTheme="minorHAnsi" w:cstheme="minorHAnsi"/>
              </w:rPr>
              <w:t xml:space="preserve">RQs are the primary vehicle by which additional, more routine information, can be obtained from the RP. They are in the form of simple written queries that outline the information required and the reasoning for the requirement.  The TSC should plan on the RP providing a response to any RQs raised to </w:t>
            </w:r>
            <w:r w:rsidR="00884E6A" w:rsidRPr="00E74FAB">
              <w:rPr>
                <w:rFonts w:asciiTheme="minorHAnsi" w:hAnsiTheme="minorHAnsi" w:cstheme="minorHAnsi"/>
              </w:rPr>
              <w:lastRenderedPageBreak/>
              <w:t>complete this part of the work normally within 4-6 weeks</w:t>
            </w:r>
            <w:r w:rsidRPr="00FE15C2">
              <w:rPr>
                <w:rFonts w:asciiTheme="minorHAnsi" w:hAnsiTheme="minorHAnsi"/>
              </w:rPr>
              <w:t>;</w:t>
            </w:r>
          </w:p>
          <w:p w:rsidR="00F07706" w:rsidRPr="00FE15C2" w:rsidRDefault="0066152A" w:rsidP="008D6E13">
            <w:pPr>
              <w:pStyle w:val="TSBullet1Square"/>
              <w:rPr>
                <w:rFonts w:asciiTheme="minorHAnsi" w:hAnsiTheme="minorHAnsi"/>
              </w:rPr>
            </w:pPr>
            <w:r w:rsidRPr="00FE15C2">
              <w:rPr>
                <w:rFonts w:asciiTheme="minorHAnsi" w:hAnsiTheme="minorHAnsi"/>
              </w:rPr>
              <w:t xml:space="preserve">provide input </w:t>
            </w:r>
            <w:r w:rsidR="008A32C9" w:rsidRPr="00FE15C2">
              <w:rPr>
                <w:rFonts w:asciiTheme="minorHAnsi" w:hAnsiTheme="minorHAnsi"/>
              </w:rPr>
              <w:t>in</w:t>
            </w:r>
            <w:r w:rsidRPr="00FE15C2">
              <w:rPr>
                <w:rFonts w:asciiTheme="minorHAnsi" w:hAnsiTheme="minorHAnsi"/>
              </w:rPr>
              <w:t>to</w:t>
            </w:r>
            <w:r w:rsidR="008A32C9" w:rsidRPr="00FE15C2">
              <w:rPr>
                <w:rFonts w:asciiTheme="minorHAnsi" w:hAnsiTheme="minorHAnsi"/>
              </w:rPr>
              <w:t xml:space="preserve"> any</w:t>
            </w:r>
            <w:r w:rsidR="00EA33CF" w:rsidRPr="00FE15C2">
              <w:rPr>
                <w:rFonts w:asciiTheme="minorHAnsi" w:hAnsiTheme="minorHAnsi"/>
              </w:rPr>
              <w:t xml:space="preserve"> Regulatory Observations (RO</w:t>
            </w:r>
            <w:r w:rsidR="008A32C9" w:rsidRPr="00FE15C2">
              <w:rPr>
                <w:rFonts w:asciiTheme="minorHAnsi" w:hAnsiTheme="minorHAnsi"/>
              </w:rPr>
              <w:t>s</w:t>
            </w:r>
            <w:r w:rsidR="00EA33CF" w:rsidRPr="00FE15C2">
              <w:rPr>
                <w:rFonts w:asciiTheme="minorHAnsi" w:hAnsiTheme="minorHAnsi"/>
              </w:rPr>
              <w:t xml:space="preserve">) </w:t>
            </w:r>
            <w:r w:rsidR="008A32C9" w:rsidRPr="00FE15C2">
              <w:rPr>
                <w:rFonts w:asciiTheme="minorHAnsi" w:hAnsiTheme="minorHAnsi"/>
              </w:rPr>
              <w:t xml:space="preserve">which may need to be raised where ONR identifies a potential regulatory shortfall in the UK HPR1000 generic design and/or safety case. </w:t>
            </w:r>
          </w:p>
          <w:p w:rsidR="0009173F" w:rsidRPr="00FE15C2" w:rsidRDefault="0009173F" w:rsidP="0035755A">
            <w:pPr>
              <w:pStyle w:val="TSNumberedParagraph11"/>
              <w:overflowPunct w:val="0"/>
              <w:autoSpaceDE w:val="0"/>
              <w:autoSpaceDN w:val="0"/>
              <w:adjustRightInd w:val="0"/>
              <w:ind w:left="698" w:hanging="698"/>
              <w:jc w:val="both"/>
              <w:textAlignment w:val="baseline"/>
              <w:rPr>
                <w:rFonts w:asciiTheme="minorHAnsi" w:hAnsiTheme="minorHAnsi" w:cs="Arial"/>
                <w:szCs w:val="22"/>
              </w:rPr>
            </w:pPr>
            <w:r w:rsidRPr="00FE15C2">
              <w:rPr>
                <w:rFonts w:asciiTheme="minorHAnsi" w:hAnsiTheme="minorHAnsi" w:cs="Arial"/>
                <w:szCs w:val="22"/>
              </w:rPr>
              <w:t xml:space="preserve">The overall objective of Step 4 of a GDA is to undertake an in-depth assessment of the RP’s safety case evidence. Importantly, </w:t>
            </w:r>
            <w:r w:rsidRPr="00FE15C2">
              <w:rPr>
                <w:rFonts w:asciiTheme="minorHAnsi" w:hAnsiTheme="minorHAnsi" w:cs="Arial"/>
                <w:szCs w:val="22"/>
                <w:u w:val="single"/>
              </w:rPr>
              <w:t>regulatory decisions on the adequacy of the RP’s submissions will ultimately be made by the ONR. The main outcome of the TSC’s assessment/review should be to make recommendations to ONR where the RP’s approach may not satisfy RGP and/or where further justification may be required by the RP</w:t>
            </w:r>
            <w:r w:rsidRPr="00FE15C2">
              <w:rPr>
                <w:rFonts w:asciiTheme="minorHAnsi" w:hAnsiTheme="minorHAnsi" w:cs="Arial"/>
                <w:szCs w:val="22"/>
              </w:rPr>
              <w:t>.</w:t>
            </w:r>
          </w:p>
          <w:p w:rsidR="0009173F" w:rsidRPr="00FE15C2" w:rsidRDefault="0009173F" w:rsidP="0035755A">
            <w:pPr>
              <w:pStyle w:val="TSNumberedParagraph11"/>
              <w:overflowPunct w:val="0"/>
              <w:autoSpaceDE w:val="0"/>
              <w:autoSpaceDN w:val="0"/>
              <w:adjustRightInd w:val="0"/>
              <w:ind w:left="698" w:hanging="698"/>
              <w:jc w:val="both"/>
              <w:textAlignment w:val="baseline"/>
              <w:rPr>
                <w:rFonts w:asciiTheme="minorHAnsi" w:hAnsiTheme="minorHAnsi" w:cs="Arial"/>
                <w:szCs w:val="22"/>
              </w:rPr>
            </w:pPr>
            <w:r w:rsidRPr="00FE15C2">
              <w:rPr>
                <w:rFonts w:asciiTheme="minorHAnsi" w:hAnsiTheme="minorHAnsi" w:cs="Arial"/>
                <w:szCs w:val="22"/>
              </w:rPr>
              <w:t xml:space="preserve">To be able to deliver this work the scope may also include providing support to ONR during technical meetings with the RP. This might include, for example, explaining information requirements. These meetings will be held either in the RP’s offices in Liverpool or London and could be face-to-face or via video video/tele-conference, For planning purposes, assume nine separate full day meetings with the RP may be necessary during the course of the contract. </w:t>
            </w:r>
          </w:p>
          <w:p w:rsidR="008B7253" w:rsidRPr="00FE15C2" w:rsidRDefault="0009173F" w:rsidP="00473357">
            <w:pPr>
              <w:pStyle w:val="TSNumberedParagraph11"/>
              <w:overflowPunct w:val="0"/>
              <w:autoSpaceDE w:val="0"/>
              <w:autoSpaceDN w:val="0"/>
              <w:adjustRightInd w:val="0"/>
              <w:ind w:left="698" w:hanging="698"/>
              <w:textAlignment w:val="baseline"/>
              <w:rPr>
                <w:rFonts w:asciiTheme="minorHAnsi" w:hAnsiTheme="minorHAnsi" w:cs="Arial"/>
                <w:szCs w:val="22"/>
              </w:rPr>
            </w:pPr>
            <w:r w:rsidRPr="00FE15C2">
              <w:rPr>
                <w:rFonts w:asciiTheme="minorHAnsi" w:hAnsiTheme="minorHAnsi" w:cs="Arial"/>
                <w:szCs w:val="22"/>
              </w:rPr>
              <w:t>The TSC may also be required to travel to China to support ONR during technical workshops/exchanges with the RP</w:t>
            </w:r>
            <w:r w:rsidR="0021726C" w:rsidRPr="00E74FAB">
              <w:rPr>
                <w:rFonts w:asciiTheme="minorHAnsi" w:hAnsiTheme="minorHAnsi" w:cs="Arial"/>
                <w:szCs w:val="22"/>
              </w:rPr>
              <w:t xml:space="preserve">. </w:t>
            </w:r>
            <w:r w:rsidRPr="00FE15C2">
              <w:rPr>
                <w:rFonts w:asciiTheme="minorHAnsi" w:hAnsiTheme="minorHAnsi" w:cs="Arial"/>
                <w:szCs w:val="22"/>
              </w:rPr>
              <w:t xml:space="preserve">For planning purposes, assume attendance at two separate five day long workshops in China may be required.   </w:t>
            </w:r>
          </w:p>
          <w:p w:rsidR="00A23743" w:rsidRPr="008F4B33" w:rsidRDefault="008B7253" w:rsidP="0035755A">
            <w:pPr>
              <w:pStyle w:val="TSNumberedParagraph11"/>
              <w:overflowPunct w:val="0"/>
              <w:autoSpaceDE w:val="0"/>
              <w:autoSpaceDN w:val="0"/>
              <w:adjustRightInd w:val="0"/>
              <w:ind w:left="698" w:hanging="698"/>
              <w:jc w:val="both"/>
              <w:textAlignment w:val="baseline"/>
              <w:rPr>
                <w:rFonts w:asciiTheme="minorHAnsi" w:hAnsiTheme="minorHAnsi" w:cs="Arial"/>
                <w:szCs w:val="22"/>
              </w:rPr>
            </w:pPr>
            <w:r w:rsidRPr="00E74FAB">
              <w:rPr>
                <w:rFonts w:asciiTheme="minorHAnsi" w:hAnsiTheme="minorHAnsi" w:cstheme="minorHAnsi"/>
                <w:szCs w:val="22"/>
              </w:rPr>
              <w:t xml:space="preserve">The planned work should also include regular engagements (either by telephone and/or face-to-face) with ONR, to </w:t>
            </w:r>
            <w:r w:rsidRPr="00DA674D">
              <w:rPr>
                <w:rFonts w:asciiTheme="minorHAnsi" w:hAnsiTheme="minorHAnsi" w:cstheme="minorHAnsi"/>
                <w:szCs w:val="22"/>
              </w:rPr>
              <w:t>di</w:t>
            </w:r>
            <w:r w:rsidRPr="008F4B33">
              <w:rPr>
                <w:rFonts w:asciiTheme="minorHAnsi" w:hAnsiTheme="minorHAnsi" w:cstheme="minorHAnsi"/>
                <w:szCs w:val="22"/>
              </w:rPr>
              <w:t>scuss any emergent, significant shortfalls, that have been identified, in a timely manner.</w:t>
            </w:r>
            <w:r w:rsidR="00A23743" w:rsidRPr="008F4B33">
              <w:rPr>
                <w:rFonts w:asciiTheme="minorHAnsi" w:hAnsiTheme="minorHAnsi" w:cstheme="minorHAnsi"/>
                <w:szCs w:val="22"/>
              </w:rPr>
              <w:t xml:space="preserve"> In addition, brief monthly progress meetings should also be assumed for the duration of the contract. For planning purposes, also assume two further separate half-day meetings with ONR may be required during the course of the contract. These should be assumed to be by teleconference or videoconference.</w:t>
            </w:r>
          </w:p>
          <w:p w:rsidR="0009173F" w:rsidRPr="00FE15C2" w:rsidRDefault="00A23743" w:rsidP="0035755A">
            <w:pPr>
              <w:pStyle w:val="TSNumberedParagraph11"/>
              <w:tabs>
                <w:tab w:val="clear" w:pos="-31680"/>
              </w:tabs>
              <w:jc w:val="both"/>
              <w:rPr>
                <w:rFonts w:asciiTheme="minorHAnsi" w:hAnsiTheme="minorHAnsi" w:cstheme="minorHAnsi"/>
                <w:iCs/>
                <w:szCs w:val="22"/>
              </w:rPr>
            </w:pPr>
            <w:r w:rsidRPr="00E74FAB">
              <w:rPr>
                <w:rFonts w:asciiTheme="minorHAnsi" w:hAnsiTheme="minorHAnsi" w:cstheme="minorHAnsi"/>
                <w:iCs/>
                <w:szCs w:val="22"/>
              </w:rPr>
              <w:t>ONR expect a kick-off meeting to be held between ONR and the TSC on contract award. This should include an introduction of the Contractor’s team, background in ME, and their view of the scope of information that will be considered. The TSC will arrange for this meeting to take place either at the ONR offices in Bootle, or the contractor’s offices. A close-out meeting will also be held upon completion of the contract. This meeting will take place either at the ONR offices in Cheltenham or Bootle, or the contractor offices. Videoconference facilities are also available if necessary.</w:t>
            </w:r>
          </w:p>
          <w:p w:rsidR="00986AE2" w:rsidRPr="00E74FAB" w:rsidRDefault="005622DA" w:rsidP="00473357">
            <w:pPr>
              <w:pStyle w:val="TSNumberedParagraph11"/>
              <w:overflowPunct w:val="0"/>
              <w:autoSpaceDE w:val="0"/>
              <w:autoSpaceDN w:val="0"/>
              <w:adjustRightInd w:val="0"/>
              <w:ind w:left="698" w:hanging="698"/>
              <w:textAlignment w:val="baseline"/>
              <w:rPr>
                <w:rFonts w:asciiTheme="minorHAnsi" w:hAnsiTheme="minorHAnsi" w:cs="Arial"/>
                <w:szCs w:val="22"/>
              </w:rPr>
            </w:pPr>
            <w:r w:rsidRPr="00E74FAB">
              <w:rPr>
                <w:rFonts w:asciiTheme="minorHAnsi" w:hAnsiTheme="minorHAnsi" w:cs="Arial"/>
                <w:szCs w:val="22"/>
              </w:rPr>
              <w:t>For the purpose of this tender</w:t>
            </w:r>
            <w:r w:rsidR="00541549" w:rsidRPr="00E74FAB">
              <w:rPr>
                <w:rFonts w:asciiTheme="minorHAnsi" w:hAnsiTheme="minorHAnsi" w:cs="Arial"/>
                <w:szCs w:val="22"/>
              </w:rPr>
              <w:t>,</w:t>
            </w:r>
            <w:r w:rsidRPr="00E74FAB">
              <w:rPr>
                <w:rFonts w:asciiTheme="minorHAnsi" w:hAnsiTheme="minorHAnsi" w:cs="Arial"/>
                <w:szCs w:val="22"/>
              </w:rPr>
              <w:t xml:space="preserve"> the TSC are requested to scope for reviewing the following</w:t>
            </w:r>
            <w:r w:rsidR="00986AE2" w:rsidRPr="00E74FAB">
              <w:rPr>
                <w:rFonts w:asciiTheme="minorHAnsi" w:hAnsiTheme="minorHAnsi" w:cs="Arial"/>
                <w:szCs w:val="22"/>
              </w:rPr>
              <w:t xml:space="preserve"> documents:</w:t>
            </w:r>
          </w:p>
          <w:p w:rsidR="00986AE2" w:rsidRPr="00E74FAB" w:rsidRDefault="00DA6197" w:rsidP="00986AE2">
            <w:pPr>
              <w:pStyle w:val="TSBullet1Square"/>
              <w:rPr>
                <w:rFonts w:asciiTheme="minorHAnsi" w:hAnsiTheme="minorHAnsi"/>
              </w:rPr>
            </w:pPr>
            <w:r w:rsidRPr="00E74FAB">
              <w:rPr>
                <w:rFonts w:asciiTheme="minorHAnsi" w:hAnsiTheme="minorHAnsi"/>
              </w:rPr>
              <w:t>Pre-</w:t>
            </w:r>
            <w:r w:rsidR="00DF55EB" w:rsidRPr="00E74FAB">
              <w:rPr>
                <w:rFonts w:asciiTheme="minorHAnsi" w:hAnsiTheme="minorHAnsi"/>
              </w:rPr>
              <w:t>Construction Safety Report (PCSR)</w:t>
            </w:r>
            <w:r w:rsidR="00D40C26" w:rsidRPr="00E74FAB">
              <w:rPr>
                <w:rFonts w:asciiTheme="minorHAnsi" w:hAnsiTheme="minorHAnsi"/>
              </w:rPr>
              <w:t xml:space="preserve"> –</w:t>
            </w:r>
            <w:r w:rsidRPr="00E74FAB">
              <w:rPr>
                <w:rFonts w:asciiTheme="minorHAnsi" w:hAnsiTheme="minorHAnsi"/>
              </w:rPr>
              <w:t xml:space="preserve"> </w:t>
            </w:r>
            <w:r w:rsidR="00986AE2" w:rsidRPr="00E74FAB">
              <w:rPr>
                <w:rFonts w:asciiTheme="minorHAnsi" w:hAnsiTheme="minorHAnsi"/>
              </w:rPr>
              <w:t>t</w:t>
            </w:r>
            <w:r w:rsidR="00F001A6" w:rsidRPr="00E74FAB">
              <w:rPr>
                <w:rFonts w:asciiTheme="minorHAnsi" w:hAnsiTheme="minorHAnsi"/>
              </w:rPr>
              <w:t xml:space="preserve">he PCSRs present the safety aspects of the </w:t>
            </w:r>
            <w:r w:rsidR="00986AE2" w:rsidRPr="00E74FAB">
              <w:rPr>
                <w:rFonts w:asciiTheme="minorHAnsi" w:hAnsiTheme="minorHAnsi"/>
              </w:rPr>
              <w:t xml:space="preserve">UK HPR1000. </w:t>
            </w:r>
            <w:r w:rsidRPr="00E74FAB">
              <w:rPr>
                <w:rFonts w:asciiTheme="minorHAnsi" w:hAnsiTheme="minorHAnsi"/>
              </w:rPr>
              <w:t xml:space="preserve">There are six </w:t>
            </w:r>
            <w:r w:rsidR="00986AE2" w:rsidRPr="00E74FAB">
              <w:rPr>
                <w:rFonts w:asciiTheme="minorHAnsi" w:hAnsiTheme="minorHAnsi"/>
              </w:rPr>
              <w:t xml:space="preserve">applicable </w:t>
            </w:r>
            <w:r w:rsidRPr="00E74FAB">
              <w:rPr>
                <w:rFonts w:asciiTheme="minorHAnsi" w:hAnsiTheme="minorHAnsi"/>
              </w:rPr>
              <w:t>PCSR chapters</w:t>
            </w:r>
            <w:r w:rsidR="00986AE2" w:rsidRPr="00E74FAB">
              <w:rPr>
                <w:rFonts w:asciiTheme="minorHAnsi" w:hAnsiTheme="minorHAnsi"/>
              </w:rPr>
              <w:t xml:space="preserve"> for the ME assessment</w:t>
            </w:r>
            <w:r w:rsidRPr="00E74FAB">
              <w:rPr>
                <w:rFonts w:asciiTheme="minorHAnsi" w:hAnsiTheme="minorHAnsi"/>
              </w:rPr>
              <w:t xml:space="preserve"> (</w:t>
            </w:r>
            <w:r w:rsidR="00986AE2" w:rsidRPr="00E74FAB">
              <w:rPr>
                <w:rFonts w:asciiTheme="minorHAnsi" w:hAnsiTheme="minorHAnsi"/>
              </w:rPr>
              <w:t xml:space="preserve">each </w:t>
            </w:r>
            <w:r w:rsidRPr="00E74FAB">
              <w:rPr>
                <w:rFonts w:asciiTheme="minorHAnsi" w:hAnsiTheme="minorHAnsi"/>
              </w:rPr>
              <w:t>with an average of 200 pages) and the TSC a</w:t>
            </w:r>
            <w:r w:rsidR="00986AE2" w:rsidRPr="00E74FAB">
              <w:rPr>
                <w:rFonts w:asciiTheme="minorHAnsi" w:hAnsiTheme="minorHAnsi"/>
              </w:rPr>
              <w:t>re asked to quote for a review of</w:t>
            </w:r>
            <w:r w:rsidRPr="00E74FAB">
              <w:rPr>
                <w:rFonts w:asciiTheme="minorHAnsi" w:hAnsiTheme="minorHAnsi"/>
              </w:rPr>
              <w:t xml:space="preserve"> the documents </w:t>
            </w:r>
            <w:r w:rsidR="00F001A6" w:rsidRPr="00E74FAB">
              <w:rPr>
                <w:rFonts w:asciiTheme="minorHAnsi" w:hAnsiTheme="minorHAnsi"/>
              </w:rPr>
              <w:t>to identify saf</w:t>
            </w:r>
            <w:r w:rsidRPr="00E74FAB">
              <w:rPr>
                <w:rFonts w:asciiTheme="minorHAnsi" w:hAnsiTheme="minorHAnsi"/>
              </w:rPr>
              <w:t>ety claims or limits of operation.</w:t>
            </w:r>
          </w:p>
          <w:p w:rsidR="00DA6197" w:rsidRPr="00E74FAB" w:rsidRDefault="00E27BFE" w:rsidP="00986AE2">
            <w:pPr>
              <w:pStyle w:val="TSBullet1Square"/>
              <w:rPr>
                <w:rFonts w:asciiTheme="minorHAnsi" w:hAnsiTheme="minorHAnsi"/>
              </w:rPr>
            </w:pPr>
            <w:r w:rsidRPr="00E74FAB">
              <w:rPr>
                <w:rFonts w:asciiTheme="minorHAnsi" w:hAnsiTheme="minorHAnsi"/>
              </w:rPr>
              <w:t>System Design M</w:t>
            </w:r>
            <w:r w:rsidR="00986AE2" w:rsidRPr="00E74FAB">
              <w:rPr>
                <w:rFonts w:asciiTheme="minorHAnsi" w:hAnsiTheme="minorHAnsi"/>
              </w:rPr>
              <w:t xml:space="preserve">anuals (SDMs) - the SDMs provide underpinning for the </w:t>
            </w:r>
            <w:r w:rsidRPr="00E74FAB">
              <w:rPr>
                <w:rFonts w:asciiTheme="minorHAnsi" w:hAnsiTheme="minorHAnsi"/>
              </w:rPr>
              <w:t xml:space="preserve">safety </w:t>
            </w:r>
            <w:r w:rsidR="00986AE2" w:rsidRPr="00E74FAB">
              <w:rPr>
                <w:rFonts w:asciiTheme="minorHAnsi" w:hAnsiTheme="minorHAnsi"/>
              </w:rPr>
              <w:t>claims</w:t>
            </w:r>
            <w:r w:rsidRPr="00E74FAB">
              <w:rPr>
                <w:rFonts w:asciiTheme="minorHAnsi" w:hAnsiTheme="minorHAnsi"/>
              </w:rPr>
              <w:t xml:space="preserve"> along with other supporting documents. There are 136 documents applicable to the ME assessment (each with an average of 50 pages). The TSC are asked to quote for a review of the evidence presented in the system design manuals and supporting documents.</w:t>
            </w:r>
          </w:p>
          <w:p w:rsidR="00986AE2" w:rsidRPr="00E74FAB" w:rsidRDefault="00986AE2" w:rsidP="00986AE2">
            <w:pPr>
              <w:pStyle w:val="TSBullet1Square"/>
              <w:numPr>
                <w:ilvl w:val="0"/>
                <w:numId w:val="0"/>
              </w:numPr>
              <w:ind w:left="1440"/>
              <w:rPr>
                <w:rFonts w:asciiTheme="minorHAnsi" w:hAnsiTheme="minorHAnsi"/>
              </w:rPr>
            </w:pPr>
          </w:p>
          <w:p w:rsidR="00CD3858" w:rsidRPr="00FE15C2" w:rsidRDefault="00CD3858" w:rsidP="008D6E13">
            <w:pPr>
              <w:pStyle w:val="TSNumberedParagraph11"/>
              <w:numPr>
                <w:ilvl w:val="0"/>
                <w:numId w:val="0"/>
              </w:numPr>
              <w:overflowPunct w:val="0"/>
              <w:autoSpaceDE w:val="0"/>
              <w:autoSpaceDN w:val="0"/>
              <w:adjustRightInd w:val="0"/>
              <w:textAlignment w:val="baseline"/>
              <w:rPr>
                <w:rFonts w:asciiTheme="minorHAnsi" w:hAnsiTheme="minorHAnsi" w:cs="Arial"/>
                <w:szCs w:val="22"/>
              </w:rPr>
            </w:pPr>
          </w:p>
        </w:tc>
      </w:tr>
      <w:tr w:rsidR="00AF4C0F" w:rsidRPr="002C62C2" w:rsidTr="00971BA8">
        <w:trPr>
          <w:jc w:val="center"/>
        </w:trPr>
        <w:tc>
          <w:tcPr>
            <w:tcW w:w="9709" w:type="dxa"/>
          </w:tcPr>
          <w:p w:rsidR="00AF4C0F" w:rsidRPr="00E74FAB" w:rsidRDefault="00AF4C0F" w:rsidP="00971BA8">
            <w:pPr>
              <w:pStyle w:val="TSHeadingNumbered1"/>
              <w:tabs>
                <w:tab w:val="left" w:pos="0"/>
              </w:tabs>
              <w:ind w:left="0" w:firstLine="0"/>
              <w:rPr>
                <w:rFonts w:asciiTheme="minorHAnsi" w:hAnsiTheme="minorHAnsi" w:cstheme="minorHAnsi"/>
                <w:szCs w:val="22"/>
              </w:rPr>
            </w:pPr>
            <w:r w:rsidRPr="00E74FAB">
              <w:rPr>
                <w:rFonts w:asciiTheme="minorHAnsi" w:hAnsiTheme="minorHAnsi" w:cstheme="minorHAnsi"/>
                <w:szCs w:val="22"/>
              </w:rPr>
              <w:lastRenderedPageBreak/>
              <w:t>OBJECTIVES</w:t>
            </w:r>
            <w:r w:rsidR="006558B7" w:rsidRPr="00E74FAB">
              <w:rPr>
                <w:rFonts w:asciiTheme="minorHAnsi" w:hAnsiTheme="minorHAnsi" w:cstheme="minorHAnsi"/>
                <w:szCs w:val="22"/>
              </w:rPr>
              <w:t xml:space="preserve"> and deliverables</w:t>
            </w:r>
          </w:p>
          <w:p w:rsidR="00DD2418" w:rsidRPr="00FE15C2" w:rsidRDefault="00F07706" w:rsidP="0035755A">
            <w:pPr>
              <w:pStyle w:val="TSNumberedParagraph11"/>
              <w:overflowPunct w:val="0"/>
              <w:autoSpaceDE w:val="0"/>
              <w:autoSpaceDN w:val="0"/>
              <w:adjustRightInd w:val="0"/>
              <w:ind w:left="698" w:hanging="698"/>
              <w:jc w:val="both"/>
              <w:textAlignment w:val="baseline"/>
              <w:rPr>
                <w:rFonts w:asciiTheme="minorHAnsi" w:hAnsiTheme="minorHAnsi" w:cs="Arial"/>
                <w:szCs w:val="22"/>
              </w:rPr>
            </w:pPr>
            <w:r w:rsidRPr="00FE15C2">
              <w:rPr>
                <w:rFonts w:asciiTheme="minorHAnsi" w:hAnsiTheme="minorHAnsi" w:cs="Arial"/>
                <w:szCs w:val="22"/>
              </w:rPr>
              <w:t xml:space="preserve">The </w:t>
            </w:r>
            <w:r w:rsidR="008B7253" w:rsidRPr="00FE15C2">
              <w:rPr>
                <w:rFonts w:asciiTheme="minorHAnsi" w:hAnsiTheme="minorHAnsi" w:cs="Arial"/>
                <w:szCs w:val="22"/>
              </w:rPr>
              <w:t xml:space="preserve">overall </w:t>
            </w:r>
            <w:r w:rsidR="006D3A7B" w:rsidRPr="00FE15C2">
              <w:rPr>
                <w:rFonts w:asciiTheme="minorHAnsi" w:hAnsiTheme="minorHAnsi" w:cs="Arial"/>
                <w:szCs w:val="22"/>
              </w:rPr>
              <w:t xml:space="preserve">objective of this technical support contract </w:t>
            </w:r>
            <w:r w:rsidR="00DD2418" w:rsidRPr="00FE15C2">
              <w:rPr>
                <w:rFonts w:asciiTheme="minorHAnsi" w:hAnsiTheme="minorHAnsi" w:cs="Arial"/>
                <w:szCs w:val="22"/>
              </w:rPr>
              <w:t>is</w:t>
            </w:r>
            <w:r w:rsidR="006D3A7B" w:rsidRPr="00FE15C2">
              <w:rPr>
                <w:rFonts w:asciiTheme="minorHAnsi" w:hAnsiTheme="minorHAnsi" w:cs="Arial"/>
                <w:szCs w:val="22"/>
              </w:rPr>
              <w:t xml:space="preserve"> </w:t>
            </w:r>
            <w:r w:rsidR="00DD2418" w:rsidRPr="00FE15C2">
              <w:rPr>
                <w:rFonts w:asciiTheme="minorHAnsi" w:hAnsiTheme="minorHAnsi" w:cs="Arial"/>
                <w:szCs w:val="22"/>
              </w:rPr>
              <w:t>to</w:t>
            </w:r>
            <w:r w:rsidR="008B7253" w:rsidRPr="00FE15C2">
              <w:rPr>
                <w:rFonts w:asciiTheme="minorHAnsi" w:hAnsiTheme="minorHAnsi" w:cs="Arial"/>
                <w:szCs w:val="22"/>
              </w:rPr>
              <w:t xml:space="preserve"> independently assess</w:t>
            </w:r>
            <w:r w:rsidR="00DD2418" w:rsidRPr="00FE15C2">
              <w:rPr>
                <w:rFonts w:asciiTheme="minorHAnsi" w:hAnsiTheme="minorHAnsi" w:cs="Arial"/>
                <w:szCs w:val="22"/>
              </w:rPr>
              <w:t xml:space="preserve"> the adequacy of a sample of UK HPR1000 </w:t>
            </w:r>
            <w:r w:rsidR="00F66793" w:rsidRPr="00FE15C2">
              <w:rPr>
                <w:rFonts w:asciiTheme="minorHAnsi" w:hAnsiTheme="minorHAnsi" w:cs="Arial"/>
                <w:szCs w:val="22"/>
              </w:rPr>
              <w:t>ME safety case</w:t>
            </w:r>
            <w:r w:rsidR="00DD2418" w:rsidRPr="00FE15C2">
              <w:rPr>
                <w:rFonts w:asciiTheme="minorHAnsi" w:hAnsiTheme="minorHAnsi" w:cs="Arial"/>
                <w:szCs w:val="22"/>
              </w:rPr>
              <w:t xml:space="preserve"> submission</w:t>
            </w:r>
            <w:r w:rsidR="008B7253" w:rsidRPr="00FE15C2">
              <w:rPr>
                <w:rFonts w:asciiTheme="minorHAnsi" w:hAnsiTheme="minorHAnsi" w:cs="Arial"/>
                <w:szCs w:val="22"/>
              </w:rPr>
              <w:t xml:space="preserve">s, write that assessment up in an appropriate format, and to provide support, advice and recommendations to ONR to underpin robust regulatory decision making. </w:t>
            </w:r>
          </w:p>
          <w:p w:rsidR="00CA35A2" w:rsidRPr="00FE15C2" w:rsidRDefault="00CA35A2" w:rsidP="0035755A">
            <w:pPr>
              <w:pStyle w:val="TSNumberedParagraph11"/>
              <w:overflowPunct w:val="0"/>
              <w:autoSpaceDE w:val="0"/>
              <w:autoSpaceDN w:val="0"/>
              <w:adjustRightInd w:val="0"/>
              <w:ind w:left="698" w:hanging="698"/>
              <w:jc w:val="both"/>
              <w:textAlignment w:val="baseline"/>
              <w:rPr>
                <w:rFonts w:asciiTheme="minorHAnsi" w:hAnsiTheme="minorHAnsi" w:cs="Arial"/>
                <w:szCs w:val="22"/>
              </w:rPr>
            </w:pPr>
            <w:r w:rsidRPr="00FE15C2">
              <w:rPr>
                <w:rFonts w:asciiTheme="minorHAnsi" w:hAnsiTheme="minorHAnsi" w:cs="Arial"/>
                <w:szCs w:val="22"/>
              </w:rPr>
              <w:t xml:space="preserve">The TSC will be expected to document the outcome of its assessment of RP submissions in </w:t>
            </w:r>
            <w:r w:rsidR="008B7253" w:rsidRPr="00FE15C2">
              <w:rPr>
                <w:rFonts w:asciiTheme="minorHAnsi" w:hAnsiTheme="minorHAnsi" w:cs="Arial"/>
                <w:szCs w:val="22"/>
              </w:rPr>
              <w:t xml:space="preserve">an </w:t>
            </w:r>
            <w:r w:rsidRPr="00FE15C2">
              <w:rPr>
                <w:rFonts w:asciiTheme="minorHAnsi" w:hAnsiTheme="minorHAnsi" w:cs="Arial"/>
                <w:szCs w:val="22"/>
              </w:rPr>
              <w:t xml:space="preserve">appropriate format. </w:t>
            </w:r>
            <w:r w:rsidRPr="00FE15C2">
              <w:rPr>
                <w:rFonts w:asciiTheme="minorHAnsi" w:hAnsiTheme="minorHAnsi" w:cs="Arial"/>
                <w:szCs w:val="22"/>
                <w:u w:val="single"/>
              </w:rPr>
              <w:t>The output should be produced in a format that can be directly referenced from ONR’s formal Step 4 assessment report (which will be published on the ONR’s website) and must include a clear rationale for the conclusions reached and advice/recommendations provided to</w:t>
            </w:r>
            <w:r w:rsidR="001D5FDD" w:rsidRPr="00FE15C2">
              <w:rPr>
                <w:rFonts w:asciiTheme="minorHAnsi" w:hAnsiTheme="minorHAnsi" w:cs="Arial"/>
                <w:szCs w:val="22"/>
                <w:u w:val="single"/>
              </w:rPr>
              <w:t xml:space="preserve"> </w:t>
            </w:r>
            <w:r w:rsidRPr="00FE15C2">
              <w:rPr>
                <w:rFonts w:asciiTheme="minorHAnsi" w:hAnsiTheme="minorHAnsi" w:cs="Arial"/>
                <w:szCs w:val="22"/>
                <w:u w:val="single"/>
              </w:rPr>
              <w:t>ONR</w:t>
            </w:r>
            <w:r w:rsidR="008B7253" w:rsidRPr="00FE15C2">
              <w:rPr>
                <w:rFonts w:asciiTheme="minorHAnsi" w:hAnsiTheme="minorHAnsi" w:cs="Arial"/>
                <w:szCs w:val="22"/>
                <w:u w:val="single"/>
              </w:rPr>
              <w:t xml:space="preserve">. </w:t>
            </w:r>
            <w:r w:rsidR="008B7253" w:rsidRPr="00E74FAB">
              <w:rPr>
                <w:rFonts w:asciiTheme="minorHAnsi" w:hAnsiTheme="minorHAnsi" w:cstheme="minorHAnsi"/>
                <w:iCs/>
                <w:szCs w:val="22"/>
              </w:rPr>
              <w:t>The report(s) should contain full details of the work undertaken, discussion and summary, conclusions and a full reference list.</w:t>
            </w:r>
            <w:r w:rsidR="008B7253" w:rsidRPr="00FE15C2">
              <w:rPr>
                <w:rFonts w:asciiTheme="minorHAnsi" w:hAnsiTheme="minorHAnsi" w:cs="Arial"/>
                <w:szCs w:val="22"/>
              </w:rPr>
              <w:t xml:space="preserve"> </w:t>
            </w:r>
            <w:r w:rsidRPr="00FE15C2">
              <w:rPr>
                <w:rFonts w:asciiTheme="minorHAnsi" w:hAnsiTheme="minorHAnsi" w:cs="Arial"/>
                <w:szCs w:val="22"/>
              </w:rPr>
              <w:t>It will be at the TSC’s discretion, with prior agreement from ONR, as to how they decide to report the outcome of the review i.e. one or a series of reports. The TSC should also plan to receive and address ONR’s comments on the reports(s) before they are finalised.</w:t>
            </w:r>
          </w:p>
          <w:p w:rsidR="00A23743" w:rsidRPr="00E74FAB" w:rsidRDefault="00A23743" w:rsidP="0035755A">
            <w:pPr>
              <w:pStyle w:val="TSNumberedParagraph11"/>
              <w:jc w:val="both"/>
              <w:rPr>
                <w:rFonts w:asciiTheme="minorHAnsi" w:hAnsiTheme="minorHAnsi" w:cstheme="minorHAnsi"/>
                <w:iCs/>
                <w:szCs w:val="22"/>
              </w:rPr>
            </w:pPr>
            <w:r w:rsidRPr="00E74FAB">
              <w:rPr>
                <w:rFonts w:asciiTheme="minorHAnsi" w:hAnsiTheme="minorHAnsi" w:cstheme="minorHAnsi"/>
                <w:iCs/>
                <w:szCs w:val="22"/>
              </w:rPr>
              <w:t>During the review the contractor is expected to raise any requests (RQs) for additional information or documents. These should be sent to ONR in a manner that can be forwarded to the RP with minimum changes necessary, and should include details of the background to the question(s), relevant standards and guidance which the response will be judged against (where relevant) and the questions themselves.</w:t>
            </w:r>
          </w:p>
          <w:p w:rsidR="00A23743" w:rsidRPr="00E74FAB" w:rsidRDefault="00A23743" w:rsidP="0035755A">
            <w:pPr>
              <w:pStyle w:val="TSNumberedParagraph11"/>
              <w:jc w:val="both"/>
              <w:rPr>
                <w:rFonts w:asciiTheme="minorHAnsi" w:hAnsiTheme="minorHAnsi"/>
                <w:szCs w:val="22"/>
              </w:rPr>
            </w:pPr>
            <w:r w:rsidRPr="00E74FAB">
              <w:rPr>
                <w:rFonts w:asciiTheme="minorHAnsi" w:hAnsiTheme="minorHAnsi" w:cstheme="minorHAnsi"/>
                <w:iCs/>
                <w:szCs w:val="22"/>
              </w:rPr>
              <w:t>The key project milestones and delivery dates for the reports will be agreed and fixed when the contract is awarded. However, for planning purposes, the TSC should assume the following outline milestones/timescales:</w:t>
            </w:r>
          </w:p>
          <w:p w:rsidR="001D5FDD" w:rsidRPr="00FE15C2" w:rsidRDefault="001D5FDD" w:rsidP="00FE15C2">
            <w:pPr>
              <w:pStyle w:val="TSBullet1Square"/>
              <w:rPr>
                <w:rFonts w:asciiTheme="minorHAnsi" w:hAnsiTheme="minorHAnsi"/>
                <w:szCs w:val="22"/>
              </w:rPr>
            </w:pPr>
            <w:r w:rsidRPr="00FE15C2">
              <w:rPr>
                <w:rFonts w:asciiTheme="minorHAnsi" w:hAnsiTheme="minorHAnsi"/>
                <w:szCs w:val="22"/>
                <w:u w:val="single"/>
              </w:rPr>
              <w:t>May 2020:</w:t>
            </w:r>
            <w:r w:rsidRPr="00FE15C2">
              <w:rPr>
                <w:rFonts w:asciiTheme="minorHAnsi" w:hAnsiTheme="minorHAnsi"/>
                <w:szCs w:val="22"/>
              </w:rPr>
              <w:t xml:space="preserve"> contract award and start of assessment work;</w:t>
            </w:r>
          </w:p>
          <w:p w:rsidR="00A23743" w:rsidRPr="00FE15C2" w:rsidRDefault="001D5FDD" w:rsidP="00FE15C2">
            <w:pPr>
              <w:pStyle w:val="TSBullet1Square"/>
              <w:rPr>
                <w:rFonts w:asciiTheme="minorHAnsi" w:hAnsiTheme="minorHAnsi"/>
                <w:szCs w:val="22"/>
              </w:rPr>
            </w:pPr>
            <w:r w:rsidRPr="00FE15C2">
              <w:rPr>
                <w:rFonts w:asciiTheme="minorHAnsi" w:hAnsiTheme="minorHAnsi"/>
                <w:szCs w:val="22"/>
                <w:u w:val="single"/>
              </w:rPr>
              <w:t>December 2020:</w:t>
            </w:r>
            <w:r w:rsidRPr="00FE15C2">
              <w:rPr>
                <w:rFonts w:asciiTheme="minorHAnsi" w:hAnsiTheme="minorHAnsi"/>
                <w:szCs w:val="22"/>
              </w:rPr>
              <w:t xml:space="preserve"> draft final report(s) available for ONR comment;</w:t>
            </w:r>
          </w:p>
          <w:p w:rsidR="00A23743" w:rsidRPr="00FE15C2" w:rsidRDefault="001D5FDD" w:rsidP="00FE15C2">
            <w:pPr>
              <w:pStyle w:val="TSBullet1Square"/>
              <w:rPr>
                <w:rFonts w:asciiTheme="minorHAnsi" w:hAnsiTheme="minorHAnsi"/>
                <w:szCs w:val="22"/>
              </w:rPr>
            </w:pPr>
            <w:r w:rsidRPr="00FE15C2">
              <w:rPr>
                <w:rFonts w:asciiTheme="minorHAnsi" w:hAnsiTheme="minorHAnsi"/>
                <w:szCs w:val="22"/>
                <w:u w:val="single"/>
              </w:rPr>
              <w:t>March 2020:</w:t>
            </w:r>
            <w:r w:rsidRPr="00FE15C2">
              <w:rPr>
                <w:rFonts w:asciiTheme="minorHAnsi" w:hAnsiTheme="minorHAnsi"/>
                <w:szCs w:val="22"/>
              </w:rPr>
              <w:t xml:space="preserve"> final report(s), incorporating ONR comments, delivered to ONR; and</w:t>
            </w:r>
          </w:p>
          <w:p w:rsidR="00CA35A2" w:rsidRPr="00FE15C2" w:rsidRDefault="001D5FDD" w:rsidP="00FE15C2">
            <w:pPr>
              <w:pStyle w:val="TSBullet1Square"/>
              <w:rPr>
                <w:rFonts w:cstheme="minorHAnsi"/>
                <w:iCs/>
              </w:rPr>
            </w:pPr>
            <w:r w:rsidRPr="00FE15C2">
              <w:rPr>
                <w:rFonts w:asciiTheme="minorHAnsi" w:hAnsiTheme="minorHAnsi"/>
                <w:szCs w:val="22"/>
                <w:u w:val="single"/>
              </w:rPr>
              <w:t>May 2021:</w:t>
            </w:r>
            <w:r w:rsidRPr="00FE15C2">
              <w:rPr>
                <w:rFonts w:asciiTheme="minorHAnsi" w:hAnsiTheme="minorHAnsi"/>
                <w:szCs w:val="22"/>
              </w:rPr>
              <w:t xml:space="preserve"> end of contract</w:t>
            </w:r>
            <w:r w:rsidR="00AB5BEA" w:rsidRPr="00E74FAB">
              <w:rPr>
                <w:rFonts w:asciiTheme="minorHAnsi" w:hAnsiTheme="minorHAnsi"/>
                <w:szCs w:val="22"/>
              </w:rPr>
              <w:t>.</w:t>
            </w:r>
          </w:p>
        </w:tc>
      </w:tr>
      <w:tr w:rsidR="00AF4C0F" w:rsidRPr="002C62C2" w:rsidTr="00971BA8">
        <w:trPr>
          <w:jc w:val="center"/>
        </w:trPr>
        <w:tc>
          <w:tcPr>
            <w:tcW w:w="9709" w:type="dxa"/>
          </w:tcPr>
          <w:p w:rsidR="00AF4C0F" w:rsidRPr="00E74FAB" w:rsidRDefault="00AF4C0F" w:rsidP="008D6E13">
            <w:pPr>
              <w:pStyle w:val="TSHeadingNumbered1"/>
              <w:rPr>
                <w:rFonts w:asciiTheme="minorHAnsi" w:hAnsiTheme="minorHAnsi"/>
                <w:szCs w:val="22"/>
              </w:rPr>
            </w:pPr>
            <w:r w:rsidRPr="00E74FAB">
              <w:rPr>
                <w:rFonts w:asciiTheme="minorHAnsi" w:hAnsiTheme="minorHAnsi"/>
                <w:szCs w:val="22"/>
              </w:rPr>
              <w:t xml:space="preserve">CONSTRAINTS </w:t>
            </w:r>
          </w:p>
          <w:p w:rsidR="001D5FDD" w:rsidRPr="00FE15C2" w:rsidRDefault="001D5FDD" w:rsidP="00FE15C2">
            <w:pPr>
              <w:pStyle w:val="TSNumberedParagraph11"/>
              <w:rPr>
                <w:rFonts w:asciiTheme="minorHAnsi" w:hAnsiTheme="minorHAnsi"/>
                <w:szCs w:val="22"/>
              </w:rPr>
            </w:pPr>
            <w:r w:rsidRPr="00E74FAB">
              <w:rPr>
                <w:rFonts w:asciiTheme="minorHAnsi" w:hAnsiTheme="minorHAnsi"/>
                <w:szCs w:val="22"/>
              </w:rPr>
              <w:t>The following may constrain the ability of potential TSCs to meet the requirements set out above:</w:t>
            </w:r>
          </w:p>
          <w:p w:rsidR="001D5FDD" w:rsidRPr="00FE15C2" w:rsidRDefault="001D5FDD" w:rsidP="00FE15C2">
            <w:pPr>
              <w:pStyle w:val="TSBullet1Square"/>
              <w:rPr>
                <w:rFonts w:asciiTheme="minorHAnsi" w:hAnsiTheme="minorHAnsi"/>
                <w:szCs w:val="22"/>
              </w:rPr>
            </w:pPr>
            <w:r w:rsidRPr="00FE15C2">
              <w:rPr>
                <w:rFonts w:asciiTheme="minorHAnsi" w:hAnsiTheme="minorHAnsi"/>
                <w:szCs w:val="22"/>
              </w:rPr>
              <w:t>The work is expected to start and conclude in accordance with the overall timescales given above, and a project programme will be agreed with the contractor upon contract award.</w:t>
            </w:r>
          </w:p>
          <w:p w:rsidR="001D5FDD" w:rsidRPr="00E74FAB" w:rsidRDefault="001D5FDD" w:rsidP="00FE15C2">
            <w:pPr>
              <w:pStyle w:val="TSBullet1Square"/>
              <w:rPr>
                <w:rFonts w:asciiTheme="minorHAnsi" w:hAnsiTheme="minorHAnsi"/>
              </w:rPr>
            </w:pPr>
            <w:r w:rsidRPr="00E74FAB">
              <w:rPr>
                <w:rFonts w:asciiTheme="minorHAnsi" w:hAnsiTheme="minorHAnsi"/>
              </w:rPr>
              <w:t>ONR will provide the latest versions of relevant documentation submitted by the RP. Further information will need to be identified and requested by the contractor through Regulatory Queries (RQs) via ONR. The timescales for both of these processes are largely outside of ONR’s direct control and therefore delays to the receipt of information may occur.  The TSC should also be aware that in some limited cases, the information requested may only be available in Chinese and translation into English (undertaken by the RP) may be required. Similarly, the quality of any response cannot be guaranteed. A pragmatic and flexible approach will need to be adopted by the contractor to deal with these circumstances, both technically and contractually, should they arise.</w:t>
            </w:r>
          </w:p>
          <w:p w:rsidR="001D5FDD" w:rsidRPr="00FE15C2" w:rsidRDefault="001D5FDD" w:rsidP="008D6E13">
            <w:pPr>
              <w:pStyle w:val="TSBullet1Square"/>
              <w:rPr>
                <w:rFonts w:asciiTheme="minorHAnsi" w:hAnsiTheme="minorHAnsi"/>
                <w:szCs w:val="22"/>
              </w:rPr>
            </w:pPr>
            <w:r w:rsidRPr="00FE15C2">
              <w:rPr>
                <w:rFonts w:asciiTheme="minorHAnsi" w:hAnsiTheme="minorHAnsi"/>
                <w:szCs w:val="22"/>
              </w:rPr>
              <w:t xml:space="preserve">It is expected that the successful contractor will also draw upon their experience, resources and publicly available information to perform this work. The TSCs undertaking the work will be expected to have demonstrable experience in relation to the scope of this contract. </w:t>
            </w:r>
          </w:p>
          <w:p w:rsidR="00390331" w:rsidRPr="00FE15C2" w:rsidRDefault="006A20A8" w:rsidP="00FE15C2">
            <w:pPr>
              <w:pStyle w:val="TSBullet1Square"/>
              <w:rPr>
                <w:rFonts w:asciiTheme="minorHAnsi" w:hAnsiTheme="minorHAnsi"/>
                <w:szCs w:val="22"/>
              </w:rPr>
            </w:pPr>
            <w:r w:rsidRPr="00FE15C2">
              <w:rPr>
                <w:rFonts w:asciiTheme="minorHAnsi" w:hAnsiTheme="minorHAnsi"/>
                <w:szCs w:val="22"/>
              </w:rPr>
              <w:t xml:space="preserve">All information received from the RP will need to be treated in accordance with the ONR </w:t>
            </w:r>
            <w:r w:rsidR="003E3FF1" w:rsidRPr="00FE15C2">
              <w:rPr>
                <w:rFonts w:asciiTheme="minorHAnsi" w:hAnsiTheme="minorHAnsi"/>
                <w:szCs w:val="22"/>
              </w:rPr>
              <w:t>TSC</w:t>
            </w:r>
            <w:r w:rsidRPr="00FE15C2">
              <w:rPr>
                <w:rFonts w:asciiTheme="minorHAnsi" w:hAnsiTheme="minorHAnsi"/>
                <w:szCs w:val="22"/>
              </w:rPr>
              <w:t xml:space="preserve"> Framework agreement and non-disclosure agreement. The information or a certificate of destruction will need to be returned to ONR at the end of the contract.</w:t>
            </w:r>
            <w:r w:rsidR="00390331" w:rsidRPr="00FE15C2">
              <w:rPr>
                <w:rFonts w:asciiTheme="minorHAnsi" w:hAnsiTheme="minorHAnsi"/>
                <w:szCs w:val="22"/>
              </w:rPr>
              <w:t xml:space="preserve">  </w:t>
            </w:r>
          </w:p>
          <w:p w:rsidR="006A20A8" w:rsidRPr="00FE15C2" w:rsidRDefault="006A20A8" w:rsidP="00FE15C2">
            <w:pPr>
              <w:pStyle w:val="TSBullet1Square"/>
              <w:rPr>
                <w:rFonts w:asciiTheme="minorHAnsi" w:hAnsiTheme="minorHAnsi"/>
                <w:szCs w:val="22"/>
              </w:rPr>
            </w:pPr>
            <w:r w:rsidRPr="00FE15C2">
              <w:rPr>
                <w:rFonts w:asciiTheme="minorHAnsi" w:hAnsiTheme="minorHAnsi"/>
                <w:szCs w:val="22"/>
              </w:rPr>
              <w:t xml:space="preserve">Information </w:t>
            </w:r>
            <w:r w:rsidR="0042006C" w:rsidRPr="00FE15C2">
              <w:rPr>
                <w:rFonts w:asciiTheme="minorHAnsi" w:hAnsiTheme="minorHAnsi"/>
                <w:szCs w:val="22"/>
              </w:rPr>
              <w:t xml:space="preserve">used during the contract </w:t>
            </w:r>
            <w:r w:rsidRPr="00FE15C2">
              <w:rPr>
                <w:rFonts w:asciiTheme="minorHAnsi" w:hAnsiTheme="minorHAnsi"/>
                <w:szCs w:val="22"/>
              </w:rPr>
              <w:t xml:space="preserve">will contain protectively marked information and will need to be handled accordingly. </w:t>
            </w:r>
          </w:p>
          <w:p w:rsidR="006A20A8" w:rsidRPr="00FE15C2" w:rsidRDefault="006A20A8" w:rsidP="00FE15C2">
            <w:pPr>
              <w:pStyle w:val="TSBullet1Square"/>
              <w:rPr>
                <w:rFonts w:asciiTheme="minorHAnsi" w:hAnsiTheme="minorHAnsi"/>
                <w:szCs w:val="22"/>
              </w:rPr>
            </w:pPr>
            <w:r w:rsidRPr="00FE15C2">
              <w:rPr>
                <w:rFonts w:asciiTheme="minorHAnsi" w:hAnsiTheme="minorHAnsi"/>
                <w:szCs w:val="22"/>
              </w:rPr>
              <w:t>Information in this contract may contain Sensitive Nuclear Information (SNI). No information with a security markin</w:t>
            </w:r>
            <w:r w:rsidR="0042006C" w:rsidRPr="00FE15C2">
              <w:rPr>
                <w:rFonts w:asciiTheme="minorHAnsi" w:hAnsiTheme="minorHAnsi"/>
                <w:szCs w:val="22"/>
              </w:rPr>
              <w:t>g above UK OFFICAL - SENSITIVE should be anticipated.</w:t>
            </w:r>
          </w:p>
          <w:p w:rsidR="006A20A8" w:rsidRPr="00FE15C2" w:rsidRDefault="006A20A8" w:rsidP="00FE15C2">
            <w:pPr>
              <w:pStyle w:val="TSBullet1Square"/>
              <w:rPr>
                <w:rFonts w:asciiTheme="minorHAnsi" w:hAnsiTheme="minorHAnsi"/>
                <w:szCs w:val="22"/>
              </w:rPr>
            </w:pPr>
            <w:r w:rsidRPr="00FE15C2">
              <w:rPr>
                <w:rFonts w:asciiTheme="minorHAnsi" w:hAnsiTheme="minorHAnsi"/>
                <w:szCs w:val="22"/>
              </w:rPr>
              <w:t>The TSC will need to provide assurances that it has all necessary export control licences to exchange information with ONR.</w:t>
            </w:r>
          </w:p>
          <w:p w:rsidR="006A20A8" w:rsidRPr="00FE15C2" w:rsidRDefault="006A20A8" w:rsidP="00FE15C2">
            <w:pPr>
              <w:pStyle w:val="TSBullet1Square"/>
              <w:rPr>
                <w:rFonts w:asciiTheme="minorHAnsi" w:hAnsiTheme="minorHAnsi"/>
                <w:szCs w:val="22"/>
              </w:rPr>
            </w:pPr>
            <w:r w:rsidRPr="00FE15C2">
              <w:rPr>
                <w:rFonts w:asciiTheme="minorHAnsi" w:hAnsiTheme="minorHAnsi"/>
                <w:szCs w:val="22"/>
              </w:rPr>
              <w:t xml:space="preserve">The transmittal of all documents between ONR and the contractor will be through ONR's Joint Programme Office (JPO). This will use the </w:t>
            </w:r>
            <w:r w:rsidR="009164C7" w:rsidRPr="00FE15C2">
              <w:rPr>
                <w:rFonts w:asciiTheme="minorHAnsi" w:hAnsiTheme="minorHAnsi"/>
                <w:szCs w:val="22"/>
              </w:rPr>
              <w:t>‘</w:t>
            </w:r>
            <w:r w:rsidR="003E3FF1" w:rsidRPr="00FE15C2">
              <w:rPr>
                <w:rFonts w:asciiTheme="minorHAnsi" w:hAnsiTheme="minorHAnsi"/>
                <w:szCs w:val="22"/>
              </w:rPr>
              <w:t xml:space="preserve">Egress’ </w:t>
            </w:r>
            <w:r w:rsidRPr="00FE15C2">
              <w:rPr>
                <w:rFonts w:asciiTheme="minorHAnsi" w:hAnsiTheme="minorHAnsi"/>
                <w:szCs w:val="22"/>
              </w:rPr>
              <w:t xml:space="preserve">system, regardless of the security marking (unless the documents are publicly available on the internet). </w:t>
            </w:r>
          </w:p>
          <w:p w:rsidR="006A20A8" w:rsidRPr="00FE15C2" w:rsidRDefault="006A20A8" w:rsidP="00FE15C2">
            <w:pPr>
              <w:pStyle w:val="TSBullet1Square"/>
              <w:rPr>
                <w:rFonts w:asciiTheme="minorHAnsi" w:hAnsiTheme="minorHAnsi"/>
                <w:szCs w:val="22"/>
              </w:rPr>
            </w:pPr>
            <w:r w:rsidRPr="00FE15C2">
              <w:rPr>
                <w:rFonts w:asciiTheme="minorHAnsi" w:hAnsiTheme="minorHAnsi"/>
                <w:szCs w:val="22"/>
              </w:rPr>
              <w:t>The contractor may be asked to sign Export Control End User Undertakings (EUU) to receive controlled technology.</w:t>
            </w:r>
          </w:p>
          <w:p w:rsidR="006A20A8" w:rsidRPr="00FE15C2" w:rsidRDefault="006A20A8" w:rsidP="00FE15C2">
            <w:pPr>
              <w:pStyle w:val="TSBullet1Square"/>
              <w:rPr>
                <w:rFonts w:asciiTheme="minorHAnsi" w:hAnsiTheme="minorHAnsi"/>
                <w:szCs w:val="22"/>
              </w:rPr>
            </w:pPr>
            <w:r w:rsidRPr="00FE15C2">
              <w:rPr>
                <w:rFonts w:asciiTheme="minorHAnsi" w:hAnsiTheme="minorHAnsi"/>
                <w:szCs w:val="22"/>
              </w:rPr>
              <w:t>The contractor will be required to work in accordance with ONR’s Export Control Instruction in order to facilitate engagement with the GDA RP.</w:t>
            </w:r>
          </w:p>
          <w:p w:rsidR="006A20A8" w:rsidRPr="00FE15C2" w:rsidRDefault="006A20A8" w:rsidP="00FE15C2">
            <w:pPr>
              <w:pStyle w:val="TSBullet1Square"/>
              <w:rPr>
                <w:rFonts w:asciiTheme="minorHAnsi" w:hAnsiTheme="minorHAnsi"/>
                <w:szCs w:val="22"/>
              </w:rPr>
            </w:pPr>
            <w:r w:rsidRPr="00FE15C2">
              <w:rPr>
                <w:rFonts w:asciiTheme="minorHAnsi" w:hAnsiTheme="minorHAnsi"/>
                <w:szCs w:val="22"/>
              </w:rPr>
              <w:t>The contractor shall not utilise any additional third party support not named in the bid documentation without ONR’s prior written consent.</w:t>
            </w:r>
          </w:p>
          <w:p w:rsidR="00374E46" w:rsidRPr="00FE15C2" w:rsidRDefault="00374E46" w:rsidP="00FE15C2">
            <w:pPr>
              <w:pStyle w:val="TSBullet1Square"/>
              <w:rPr>
                <w:rFonts w:asciiTheme="minorHAnsi" w:hAnsiTheme="minorHAnsi"/>
                <w:szCs w:val="22"/>
              </w:rPr>
            </w:pPr>
            <w:r w:rsidRPr="00FE15C2">
              <w:rPr>
                <w:rFonts w:asciiTheme="minorHAnsi" w:hAnsiTheme="minorHAnsi"/>
                <w:szCs w:val="22"/>
              </w:rPr>
              <w:t xml:space="preserve">The aim of this work package is to inform and advise ONR. However, it is ONR’s intention to brief the RP on the conclusions of the work. The RP will be provided with copies of any reports produced for information and will be invited to comment on their factual accuracy. </w:t>
            </w:r>
          </w:p>
          <w:p w:rsidR="00374E46" w:rsidRPr="00FE15C2" w:rsidRDefault="00374E46" w:rsidP="00FE15C2">
            <w:pPr>
              <w:pStyle w:val="TSBullet1Square"/>
              <w:rPr>
                <w:rFonts w:asciiTheme="minorHAnsi" w:hAnsiTheme="minorHAnsi"/>
                <w:szCs w:val="22"/>
              </w:rPr>
            </w:pPr>
            <w:r w:rsidRPr="00FE15C2">
              <w:rPr>
                <w:rFonts w:asciiTheme="minorHAnsi" w:hAnsiTheme="minorHAnsi"/>
                <w:szCs w:val="22"/>
              </w:rPr>
              <w:t>It is not ONR’s intention to publish the reports produced through this contract. However, it is likely they will be referenced in publicly available reports and therefore subject to freedom of information requests. This should not constrain or limit the produced reports but should be taken into account with the style and format.</w:t>
            </w:r>
          </w:p>
          <w:p w:rsidR="00374E46" w:rsidRPr="00FE15C2" w:rsidRDefault="00374E46" w:rsidP="00FE15C2">
            <w:pPr>
              <w:pStyle w:val="TSBullet1Square"/>
              <w:rPr>
                <w:rFonts w:asciiTheme="minorHAnsi" w:hAnsiTheme="minorHAnsi"/>
                <w:szCs w:val="22"/>
              </w:rPr>
            </w:pPr>
            <w:r w:rsidRPr="00FE15C2">
              <w:rPr>
                <w:rFonts w:asciiTheme="minorHAnsi" w:hAnsiTheme="minorHAnsi"/>
                <w:szCs w:val="22"/>
              </w:rPr>
              <w:t xml:space="preserve">The contractor shall ensure they have the relevant permissions for all codes, standards, technology, software and/or information required to deliver the scope of work. </w:t>
            </w:r>
          </w:p>
          <w:p w:rsidR="006A20A8" w:rsidRPr="00FE15C2" w:rsidRDefault="006A20A8" w:rsidP="00FE15C2">
            <w:pPr>
              <w:pStyle w:val="TSBullet1Square"/>
              <w:rPr>
                <w:rFonts w:asciiTheme="minorHAnsi" w:hAnsiTheme="minorHAnsi"/>
                <w:szCs w:val="22"/>
              </w:rPr>
            </w:pPr>
            <w:r w:rsidRPr="00FE15C2">
              <w:rPr>
                <w:rFonts w:asciiTheme="minorHAnsi" w:hAnsiTheme="minorHAnsi"/>
                <w:szCs w:val="22"/>
              </w:rPr>
              <w:t>Any conflict of interest should be declared. Where a potential conflict exists, the contractor should describe how this will be managed.</w:t>
            </w:r>
          </w:p>
          <w:p w:rsidR="00AF4C0F" w:rsidRPr="00E74FAB" w:rsidRDefault="006A20A8" w:rsidP="00FE15C2">
            <w:pPr>
              <w:pStyle w:val="TSBullet1Square"/>
              <w:rPr>
                <w:rFonts w:asciiTheme="minorHAnsi" w:hAnsiTheme="minorHAnsi"/>
                <w:szCs w:val="22"/>
              </w:rPr>
            </w:pPr>
            <w:r w:rsidRPr="00FE15C2">
              <w:rPr>
                <w:rFonts w:asciiTheme="minorHAnsi" w:hAnsiTheme="minorHAnsi"/>
                <w:szCs w:val="22"/>
              </w:rPr>
              <w:t xml:space="preserve">The contractor should identify any constraints that may impact delivery of the intended scope of work. </w:t>
            </w:r>
          </w:p>
          <w:p w:rsidR="007A2DFD" w:rsidRPr="00FE15C2" w:rsidRDefault="007A2DFD" w:rsidP="007A2DFD">
            <w:pPr>
              <w:pStyle w:val="TSBullet1Square"/>
              <w:rPr>
                <w:rFonts w:asciiTheme="minorHAnsi" w:hAnsiTheme="minorHAnsi"/>
                <w:szCs w:val="22"/>
              </w:rPr>
            </w:pPr>
            <w:r w:rsidRPr="00E74FAB">
              <w:rPr>
                <w:rFonts w:ascii="Calibri" w:hAnsi="Calibri"/>
              </w:rPr>
              <w:t>The contractor is responsible for making all arrangements required to support meetings in China. However, ONR will facilitate the provision of invitation letters.</w:t>
            </w:r>
          </w:p>
        </w:tc>
      </w:tr>
      <w:tr w:rsidR="00AF4C0F" w:rsidRPr="002C62C2" w:rsidTr="00971BA8">
        <w:trPr>
          <w:jc w:val="center"/>
        </w:trPr>
        <w:tc>
          <w:tcPr>
            <w:tcW w:w="9709" w:type="dxa"/>
          </w:tcPr>
          <w:p w:rsidR="00AF4C0F" w:rsidRPr="00E74FAB" w:rsidRDefault="00AF4C0F" w:rsidP="00971BA8">
            <w:pPr>
              <w:pStyle w:val="TSHeadingNumbered1"/>
              <w:tabs>
                <w:tab w:val="left" w:pos="0"/>
              </w:tabs>
              <w:ind w:left="0" w:firstLine="0"/>
              <w:rPr>
                <w:rFonts w:asciiTheme="minorHAnsi" w:hAnsiTheme="minorHAnsi" w:cstheme="minorHAnsi"/>
                <w:szCs w:val="22"/>
              </w:rPr>
            </w:pPr>
            <w:r w:rsidRPr="00E74FAB">
              <w:rPr>
                <w:rFonts w:asciiTheme="minorHAnsi" w:hAnsiTheme="minorHAnsi" w:cstheme="minorHAnsi"/>
                <w:szCs w:val="22"/>
              </w:rPr>
              <w:t>CONTRACT MANAGEMENT</w:t>
            </w:r>
          </w:p>
          <w:p w:rsidR="006A20A8" w:rsidRPr="00FE15C2" w:rsidRDefault="006A20A8" w:rsidP="006A20A8">
            <w:pPr>
              <w:pStyle w:val="TSNumberedParagraph11"/>
              <w:overflowPunct w:val="0"/>
              <w:autoSpaceDE w:val="0"/>
              <w:autoSpaceDN w:val="0"/>
              <w:adjustRightInd w:val="0"/>
              <w:ind w:left="698" w:hanging="698"/>
              <w:textAlignment w:val="baseline"/>
              <w:rPr>
                <w:rFonts w:asciiTheme="minorHAnsi" w:hAnsiTheme="minorHAnsi" w:cs="Arial"/>
                <w:szCs w:val="22"/>
              </w:rPr>
            </w:pPr>
            <w:r w:rsidRPr="00FE15C2">
              <w:rPr>
                <w:rFonts w:asciiTheme="minorHAnsi" w:hAnsiTheme="minorHAnsi" w:cs="Arial"/>
                <w:szCs w:val="22"/>
              </w:rPr>
              <w:t xml:space="preserve">The </w:t>
            </w:r>
            <w:r w:rsidR="003A19FE" w:rsidRPr="00FE15C2">
              <w:rPr>
                <w:rFonts w:asciiTheme="minorHAnsi" w:hAnsiTheme="minorHAnsi" w:cs="Arial"/>
                <w:szCs w:val="22"/>
              </w:rPr>
              <w:t xml:space="preserve">ONR </w:t>
            </w:r>
            <w:r w:rsidRPr="00FE15C2">
              <w:rPr>
                <w:rFonts w:asciiTheme="minorHAnsi" w:hAnsiTheme="minorHAnsi" w:cs="Arial"/>
                <w:szCs w:val="22"/>
              </w:rPr>
              <w:t>Procurement Unit will provide contractors with details of:</w:t>
            </w:r>
          </w:p>
          <w:p w:rsidR="006A20A8" w:rsidRPr="00E74FAB" w:rsidRDefault="007A2DFD" w:rsidP="007A2DFD">
            <w:pPr>
              <w:pStyle w:val="TSBullet1Square"/>
              <w:rPr>
                <w:rFonts w:asciiTheme="minorHAnsi" w:hAnsiTheme="minorHAnsi"/>
              </w:rPr>
            </w:pPr>
            <w:r w:rsidRPr="00E74FAB">
              <w:rPr>
                <w:rFonts w:asciiTheme="minorHAnsi" w:hAnsiTheme="minorHAnsi"/>
              </w:rPr>
              <w:t>W</w:t>
            </w:r>
            <w:r w:rsidR="006A20A8" w:rsidRPr="00E74FAB">
              <w:rPr>
                <w:rFonts w:asciiTheme="minorHAnsi" w:hAnsiTheme="minorHAnsi"/>
              </w:rPr>
              <w:t>ho in ONR will be responsible for managing delivery and certifying comp</w:t>
            </w:r>
            <w:r w:rsidRPr="00E74FAB">
              <w:rPr>
                <w:rFonts w:asciiTheme="minorHAnsi" w:hAnsiTheme="minorHAnsi"/>
              </w:rPr>
              <w:t>letion of the required work;</w:t>
            </w:r>
          </w:p>
          <w:p w:rsidR="006A20A8" w:rsidRPr="00E74FAB" w:rsidRDefault="007A2DFD" w:rsidP="007A2DFD">
            <w:pPr>
              <w:pStyle w:val="TSBullet1Square"/>
              <w:rPr>
                <w:rFonts w:asciiTheme="minorHAnsi" w:hAnsiTheme="minorHAnsi"/>
              </w:rPr>
            </w:pPr>
            <w:r w:rsidRPr="00E74FAB">
              <w:rPr>
                <w:rFonts w:asciiTheme="minorHAnsi" w:hAnsiTheme="minorHAnsi"/>
              </w:rPr>
              <w:t>ONR's</w:t>
            </w:r>
            <w:r w:rsidR="006A20A8" w:rsidRPr="00E74FAB">
              <w:rPr>
                <w:rFonts w:asciiTheme="minorHAnsi" w:hAnsiTheme="minorHAnsi"/>
              </w:rPr>
              <w:t xml:space="preserve"> expectations in terms of being kept updated about delivery of the required work including review meetings, interim/final reporting arrangements, and management information requirements</w:t>
            </w:r>
            <w:r w:rsidR="003A19FE" w:rsidRPr="00E74FAB">
              <w:rPr>
                <w:rFonts w:asciiTheme="minorHAnsi" w:hAnsiTheme="minorHAnsi"/>
              </w:rPr>
              <w:t>.</w:t>
            </w:r>
          </w:p>
          <w:p w:rsidR="00AF4C0F" w:rsidRPr="00E74FAB" w:rsidRDefault="006A20A8" w:rsidP="007A2DFD">
            <w:pPr>
              <w:pStyle w:val="TSBullet1Square"/>
              <w:rPr>
                <w:iCs/>
              </w:rPr>
            </w:pPr>
            <w:r w:rsidRPr="00E74FAB">
              <w:rPr>
                <w:rFonts w:asciiTheme="minorHAnsi" w:hAnsiTheme="minorHAnsi"/>
                <w:iCs/>
              </w:rPr>
              <w:t>ONR will require to be kept updated about progress and delivery of the required work via monthly meetings, to include a contract start-up meeting at ONR’s offices at Bootle. Subsequent progress meeting should be arranged with the ONR Project Office and can be held at ONR’s office in Bootle, the contractor’s premises</w:t>
            </w:r>
            <w:r w:rsidR="00E46043" w:rsidRPr="00E74FAB">
              <w:rPr>
                <w:rFonts w:asciiTheme="minorHAnsi" w:hAnsiTheme="minorHAnsi"/>
                <w:iCs/>
              </w:rPr>
              <w:t xml:space="preserve"> or via video</w:t>
            </w:r>
            <w:r w:rsidR="0048683D">
              <w:rPr>
                <w:rFonts w:asciiTheme="minorHAnsi" w:hAnsiTheme="minorHAnsi"/>
                <w:iCs/>
              </w:rPr>
              <w:t>/telephone</w:t>
            </w:r>
            <w:r w:rsidR="00E46043" w:rsidRPr="00E74FAB">
              <w:rPr>
                <w:rFonts w:asciiTheme="minorHAnsi" w:hAnsiTheme="minorHAnsi"/>
                <w:iCs/>
              </w:rPr>
              <w:t xml:space="preserve"> conference</w:t>
            </w:r>
            <w:r w:rsidR="00800B03" w:rsidRPr="00E74FAB">
              <w:rPr>
                <w:rFonts w:asciiTheme="minorHAnsi" w:hAnsiTheme="minorHAnsi"/>
                <w:iCs/>
              </w:rPr>
              <w:t xml:space="preserve"> with prior agreement from ONR</w:t>
            </w:r>
            <w:r w:rsidRPr="00E74FAB">
              <w:rPr>
                <w:rFonts w:asciiTheme="minorHAnsi" w:hAnsiTheme="minorHAnsi"/>
                <w:iCs/>
              </w:rPr>
              <w:t>.</w:t>
            </w:r>
            <w:r w:rsidR="00D37A50" w:rsidRPr="00E74FAB">
              <w:rPr>
                <w:iCs/>
              </w:rPr>
              <w:t xml:space="preserve"> </w:t>
            </w:r>
          </w:p>
        </w:tc>
      </w:tr>
      <w:tr w:rsidR="00863CDC" w:rsidRPr="002C62C2" w:rsidTr="00971BA8">
        <w:trPr>
          <w:jc w:val="center"/>
        </w:trPr>
        <w:tc>
          <w:tcPr>
            <w:tcW w:w="9709" w:type="dxa"/>
            <w:tcBorders>
              <w:bottom w:val="single" w:sz="4" w:space="0" w:color="auto"/>
            </w:tcBorders>
            <w:shd w:val="clear" w:color="auto" w:fill="006D68"/>
          </w:tcPr>
          <w:p w:rsidR="00863CDC" w:rsidRPr="00E74FAB" w:rsidRDefault="00863CDC" w:rsidP="00971BA8">
            <w:pPr>
              <w:pStyle w:val="Header"/>
              <w:tabs>
                <w:tab w:val="left" w:pos="0"/>
              </w:tabs>
              <w:spacing w:before="120" w:after="120"/>
              <w:jc w:val="both"/>
              <w:rPr>
                <w:rFonts w:asciiTheme="minorHAnsi" w:hAnsiTheme="minorHAnsi" w:cstheme="minorHAnsi"/>
                <w:szCs w:val="22"/>
              </w:rPr>
            </w:pPr>
            <w:r w:rsidRPr="00FE15C2">
              <w:rPr>
                <w:rFonts w:asciiTheme="minorHAnsi" w:hAnsiTheme="minorHAnsi" w:cstheme="minorHAnsi"/>
                <w:b/>
                <w:iCs/>
                <w:color w:val="FFFFFF" w:themeColor="background1"/>
                <w:szCs w:val="22"/>
              </w:rPr>
              <w:t>TECHNICAL RESPONSE</w:t>
            </w:r>
          </w:p>
        </w:tc>
      </w:tr>
      <w:tr w:rsidR="00971BA8" w:rsidRPr="002C62C2" w:rsidTr="00971BA8">
        <w:trPr>
          <w:jc w:val="center"/>
        </w:trPr>
        <w:tc>
          <w:tcPr>
            <w:tcW w:w="9709" w:type="dxa"/>
            <w:shd w:val="clear" w:color="auto" w:fill="auto"/>
          </w:tcPr>
          <w:p w:rsidR="00971BA8" w:rsidRPr="00E74FAB" w:rsidRDefault="00971BA8" w:rsidP="00971BA8">
            <w:pPr>
              <w:pStyle w:val="TSHeadingNumbered1"/>
              <w:tabs>
                <w:tab w:val="left" w:pos="0"/>
              </w:tabs>
              <w:ind w:left="0" w:firstLine="0"/>
              <w:rPr>
                <w:rFonts w:asciiTheme="minorHAnsi" w:hAnsiTheme="minorHAnsi" w:cstheme="minorHAnsi"/>
                <w:szCs w:val="22"/>
              </w:rPr>
            </w:pPr>
            <w:r w:rsidRPr="00E74FAB">
              <w:rPr>
                <w:rFonts w:asciiTheme="minorHAnsi" w:hAnsiTheme="minorHAnsi" w:cstheme="minorHAnsi"/>
                <w:szCs w:val="22"/>
              </w:rPr>
              <w:t>Response</w:t>
            </w:r>
          </w:p>
          <w:p w:rsidR="00971BA8" w:rsidRPr="00FE15C2" w:rsidRDefault="00971BA8" w:rsidP="00B30DB6">
            <w:pPr>
              <w:pStyle w:val="TSNumberedParagraph11"/>
              <w:overflowPunct w:val="0"/>
              <w:autoSpaceDE w:val="0"/>
              <w:autoSpaceDN w:val="0"/>
              <w:adjustRightInd w:val="0"/>
              <w:spacing w:before="120" w:after="120"/>
              <w:ind w:left="697" w:hanging="697"/>
              <w:textAlignment w:val="baseline"/>
              <w:rPr>
                <w:rFonts w:asciiTheme="minorHAnsi" w:hAnsiTheme="minorHAnsi" w:cs="Arial"/>
                <w:iCs/>
                <w:szCs w:val="22"/>
              </w:rPr>
            </w:pPr>
            <w:r w:rsidRPr="00FE15C2">
              <w:rPr>
                <w:rFonts w:asciiTheme="minorHAnsi" w:hAnsiTheme="minorHAnsi" w:cs="Arial"/>
                <w:iCs/>
                <w:szCs w:val="22"/>
              </w:rPr>
              <w:t>The Technical Response should demonstrate a clear understanding of the work required.</w:t>
            </w:r>
          </w:p>
          <w:p w:rsidR="00971BA8" w:rsidRPr="00FE15C2" w:rsidRDefault="00B30DB6" w:rsidP="00B30DB6">
            <w:pPr>
              <w:pStyle w:val="TSNumberedParagraph11"/>
              <w:overflowPunct w:val="0"/>
              <w:autoSpaceDE w:val="0"/>
              <w:autoSpaceDN w:val="0"/>
              <w:adjustRightInd w:val="0"/>
              <w:spacing w:before="120" w:after="120"/>
              <w:ind w:left="697" w:hanging="697"/>
              <w:textAlignment w:val="baseline"/>
              <w:rPr>
                <w:rFonts w:asciiTheme="minorHAnsi" w:hAnsiTheme="minorHAnsi" w:cs="Arial"/>
                <w:iCs/>
                <w:szCs w:val="22"/>
              </w:rPr>
            </w:pPr>
            <w:r w:rsidRPr="00FE15C2">
              <w:rPr>
                <w:rFonts w:asciiTheme="minorHAnsi" w:hAnsiTheme="minorHAnsi" w:cs="Arial"/>
                <w:iCs/>
                <w:szCs w:val="22"/>
              </w:rPr>
              <w:t>Please provide:</w:t>
            </w:r>
          </w:p>
          <w:p w:rsidR="00971BA8" w:rsidRPr="00FE15C2" w:rsidRDefault="00971BA8" w:rsidP="0021726C">
            <w:pPr>
              <w:pStyle w:val="TSBullet1Square"/>
              <w:rPr>
                <w:rFonts w:asciiTheme="minorHAnsi" w:hAnsiTheme="minorHAnsi"/>
                <w:szCs w:val="22"/>
              </w:rPr>
            </w:pPr>
            <w:r w:rsidRPr="00FE15C2">
              <w:rPr>
                <w:rFonts w:asciiTheme="minorHAnsi" w:hAnsiTheme="minorHAnsi"/>
                <w:szCs w:val="22"/>
              </w:rPr>
              <w:t>a description of how you will deliver the scope of work (methodology) and the proposed delivery team you will use, clearly signposting to relevant sections within your Capability Prospe</w:t>
            </w:r>
            <w:r w:rsidR="00B30DB6" w:rsidRPr="00FE15C2">
              <w:rPr>
                <w:rFonts w:asciiTheme="minorHAnsi" w:hAnsiTheme="minorHAnsi"/>
                <w:szCs w:val="22"/>
              </w:rPr>
              <w:t>ctus where appropriate/relevant</w:t>
            </w:r>
            <w:r w:rsidRPr="00FE15C2">
              <w:rPr>
                <w:rFonts w:asciiTheme="minorHAnsi" w:hAnsiTheme="minorHAnsi"/>
                <w:szCs w:val="22"/>
              </w:rPr>
              <w:t>;</w:t>
            </w:r>
          </w:p>
          <w:p w:rsidR="00B30DB6" w:rsidRPr="00FE15C2" w:rsidRDefault="00B30DB6" w:rsidP="0021726C">
            <w:pPr>
              <w:pStyle w:val="TSBullet1Square"/>
              <w:rPr>
                <w:rFonts w:asciiTheme="minorHAnsi" w:hAnsiTheme="minorHAnsi"/>
                <w:szCs w:val="22"/>
              </w:rPr>
            </w:pPr>
            <w:r w:rsidRPr="00FE15C2">
              <w:rPr>
                <w:rFonts w:asciiTheme="minorHAnsi" w:hAnsiTheme="minorHAnsi"/>
                <w:szCs w:val="22"/>
              </w:rPr>
              <w:t>a demonstration of up-to-date knowledge of relevant national and international benchmarks, approaches, and standards;</w:t>
            </w:r>
          </w:p>
          <w:p w:rsidR="00B30DB6" w:rsidRPr="00FE15C2" w:rsidRDefault="00B30DB6" w:rsidP="0021726C">
            <w:pPr>
              <w:pStyle w:val="TSBullet1Square"/>
              <w:rPr>
                <w:rFonts w:asciiTheme="minorHAnsi" w:hAnsiTheme="minorHAnsi"/>
                <w:szCs w:val="22"/>
              </w:rPr>
            </w:pPr>
            <w:r w:rsidRPr="00FE15C2">
              <w:rPr>
                <w:rFonts w:asciiTheme="minorHAnsi" w:hAnsiTheme="minorHAnsi"/>
                <w:szCs w:val="22"/>
              </w:rPr>
              <w:t>an overview of any prior experience with the HPR1000  or other pressurised water reactors (PWRs);</w:t>
            </w:r>
          </w:p>
          <w:p w:rsidR="00971BA8" w:rsidRPr="00FE15C2" w:rsidRDefault="00971BA8" w:rsidP="0021726C">
            <w:pPr>
              <w:pStyle w:val="TSBullet1Square"/>
              <w:rPr>
                <w:rFonts w:asciiTheme="minorHAnsi" w:hAnsiTheme="minorHAnsi"/>
                <w:szCs w:val="22"/>
              </w:rPr>
            </w:pPr>
            <w:r w:rsidRPr="00FE15C2">
              <w:rPr>
                <w:rFonts w:asciiTheme="minorHAnsi" w:hAnsiTheme="minorHAnsi"/>
                <w:szCs w:val="22"/>
              </w:rPr>
              <w:t>a description of proposed deliverables and/or outputs</w:t>
            </w:r>
            <w:r w:rsidR="006E39EE" w:rsidRPr="00FE15C2">
              <w:rPr>
                <w:rFonts w:asciiTheme="minorHAnsi" w:hAnsiTheme="minorHAnsi"/>
                <w:szCs w:val="22"/>
              </w:rPr>
              <w:t>;</w:t>
            </w:r>
          </w:p>
          <w:p w:rsidR="00971BA8" w:rsidRPr="00FE15C2" w:rsidRDefault="00971BA8" w:rsidP="0021726C">
            <w:pPr>
              <w:pStyle w:val="TSBullet1Square"/>
              <w:rPr>
                <w:rFonts w:asciiTheme="minorHAnsi" w:hAnsiTheme="minorHAnsi"/>
                <w:szCs w:val="22"/>
              </w:rPr>
            </w:pPr>
            <w:r w:rsidRPr="00FE15C2">
              <w:rPr>
                <w:rFonts w:asciiTheme="minorHAnsi" w:hAnsiTheme="minorHAnsi"/>
                <w:szCs w:val="22"/>
              </w:rPr>
              <w:t>an outline of anticipated engagement (project meetings &amp; management)</w:t>
            </w:r>
            <w:r w:rsidR="006E39EE" w:rsidRPr="00FE15C2">
              <w:rPr>
                <w:rFonts w:asciiTheme="minorHAnsi" w:hAnsiTheme="minorHAnsi"/>
                <w:szCs w:val="22"/>
              </w:rPr>
              <w:t>;</w:t>
            </w:r>
          </w:p>
          <w:p w:rsidR="00971BA8" w:rsidRPr="00FE15C2" w:rsidRDefault="00971BA8" w:rsidP="0021726C">
            <w:pPr>
              <w:pStyle w:val="TSBullet1Square"/>
              <w:rPr>
                <w:rFonts w:asciiTheme="minorHAnsi" w:hAnsiTheme="minorHAnsi"/>
                <w:szCs w:val="22"/>
              </w:rPr>
            </w:pPr>
            <w:r w:rsidRPr="00FE15C2">
              <w:rPr>
                <w:rFonts w:asciiTheme="minorHAnsi" w:hAnsiTheme="minorHAnsi"/>
                <w:szCs w:val="22"/>
              </w:rPr>
              <w:t>details of proposed cost and associated effort assumptions</w:t>
            </w:r>
            <w:r w:rsidR="006E39EE" w:rsidRPr="00FE15C2">
              <w:rPr>
                <w:rFonts w:asciiTheme="minorHAnsi" w:hAnsiTheme="minorHAnsi"/>
                <w:szCs w:val="22"/>
              </w:rPr>
              <w:t>;</w:t>
            </w:r>
            <w:r w:rsidRPr="00FE15C2">
              <w:rPr>
                <w:rFonts w:asciiTheme="minorHAnsi" w:hAnsiTheme="minorHAnsi"/>
                <w:szCs w:val="22"/>
              </w:rPr>
              <w:t xml:space="preserve"> </w:t>
            </w:r>
          </w:p>
          <w:p w:rsidR="00971BA8" w:rsidRPr="00FE15C2" w:rsidRDefault="00971BA8" w:rsidP="0021726C">
            <w:pPr>
              <w:pStyle w:val="TSBullet1Square"/>
              <w:rPr>
                <w:rFonts w:asciiTheme="minorHAnsi" w:hAnsiTheme="minorHAnsi"/>
                <w:szCs w:val="22"/>
              </w:rPr>
            </w:pPr>
            <w:r w:rsidRPr="00FE15C2">
              <w:rPr>
                <w:rFonts w:asciiTheme="minorHAnsi" w:hAnsiTheme="minorHAnsi"/>
                <w:szCs w:val="22"/>
              </w:rPr>
              <w:t>a project delivery plan showing activities and milestones</w:t>
            </w:r>
            <w:r w:rsidR="006E39EE" w:rsidRPr="00FE15C2">
              <w:rPr>
                <w:rFonts w:asciiTheme="minorHAnsi" w:hAnsiTheme="minorHAnsi"/>
                <w:szCs w:val="22"/>
              </w:rPr>
              <w:t>;</w:t>
            </w:r>
            <w:r w:rsidRPr="00FE15C2">
              <w:rPr>
                <w:rFonts w:asciiTheme="minorHAnsi" w:hAnsiTheme="minorHAnsi"/>
                <w:szCs w:val="22"/>
              </w:rPr>
              <w:t xml:space="preserve"> </w:t>
            </w:r>
          </w:p>
          <w:p w:rsidR="00971BA8" w:rsidRPr="00FE15C2" w:rsidRDefault="00971BA8" w:rsidP="0021726C">
            <w:pPr>
              <w:pStyle w:val="TSBullet1Square"/>
              <w:rPr>
                <w:rFonts w:asciiTheme="minorHAnsi" w:hAnsiTheme="minorHAnsi"/>
                <w:szCs w:val="22"/>
              </w:rPr>
            </w:pPr>
            <w:r w:rsidRPr="00FE15C2">
              <w:rPr>
                <w:rFonts w:asciiTheme="minorHAnsi" w:hAnsiTheme="minorHAnsi"/>
                <w:szCs w:val="22"/>
              </w:rPr>
              <w:t>a planned invoice schedule</w:t>
            </w:r>
            <w:r w:rsidR="006E39EE" w:rsidRPr="00FE15C2">
              <w:rPr>
                <w:rFonts w:asciiTheme="minorHAnsi" w:hAnsiTheme="minorHAnsi"/>
                <w:szCs w:val="22"/>
              </w:rPr>
              <w:t>;</w:t>
            </w:r>
          </w:p>
          <w:p w:rsidR="00971BA8" w:rsidRPr="00FE15C2" w:rsidRDefault="00971BA8" w:rsidP="0021726C">
            <w:pPr>
              <w:pStyle w:val="TSBullet1Square"/>
              <w:rPr>
                <w:rFonts w:asciiTheme="minorHAnsi" w:hAnsiTheme="minorHAnsi"/>
                <w:szCs w:val="22"/>
              </w:rPr>
            </w:pPr>
            <w:r w:rsidRPr="00FE15C2">
              <w:rPr>
                <w:rFonts w:asciiTheme="minorHAnsi" w:hAnsiTheme="minorHAnsi"/>
                <w:szCs w:val="22"/>
              </w:rPr>
              <w:t>details of any assumptions or constraints</w:t>
            </w:r>
            <w:r w:rsidR="006E39EE" w:rsidRPr="00FE15C2">
              <w:rPr>
                <w:rFonts w:asciiTheme="minorHAnsi" w:hAnsiTheme="minorHAnsi"/>
                <w:szCs w:val="22"/>
              </w:rPr>
              <w:t>;</w:t>
            </w:r>
          </w:p>
          <w:p w:rsidR="00E646CA" w:rsidRPr="00FE15C2" w:rsidRDefault="00E646CA" w:rsidP="00E646CA">
            <w:pPr>
              <w:pStyle w:val="TSNumberedParagraph11"/>
              <w:tabs>
                <w:tab w:val="clear" w:pos="-31680"/>
              </w:tabs>
              <w:overflowPunct w:val="0"/>
              <w:autoSpaceDE w:val="0"/>
              <w:autoSpaceDN w:val="0"/>
              <w:adjustRightInd w:val="0"/>
              <w:spacing w:before="120" w:after="120"/>
              <w:ind w:left="697" w:hanging="697"/>
              <w:textAlignment w:val="baseline"/>
              <w:rPr>
                <w:rFonts w:asciiTheme="minorHAnsi" w:hAnsiTheme="minorHAnsi" w:cs="Arial"/>
                <w:iCs/>
                <w:szCs w:val="22"/>
              </w:rPr>
            </w:pPr>
            <w:r w:rsidRPr="00FE15C2">
              <w:rPr>
                <w:rFonts w:asciiTheme="minorHAnsi" w:hAnsiTheme="minorHAnsi" w:cs="Arial"/>
                <w:iCs/>
                <w:szCs w:val="22"/>
              </w:rPr>
              <w:t>ONR expects individual</w:t>
            </w:r>
            <w:r w:rsidR="007A2DFD" w:rsidRPr="00E74FAB">
              <w:rPr>
                <w:rFonts w:asciiTheme="minorHAnsi" w:hAnsiTheme="minorHAnsi" w:cs="Arial"/>
                <w:iCs/>
                <w:szCs w:val="22"/>
              </w:rPr>
              <w:t>(</w:t>
            </w:r>
            <w:r w:rsidRPr="00FE15C2">
              <w:rPr>
                <w:rFonts w:asciiTheme="minorHAnsi" w:hAnsiTheme="minorHAnsi" w:cs="Arial"/>
                <w:iCs/>
                <w:szCs w:val="22"/>
              </w:rPr>
              <w:t>s</w:t>
            </w:r>
            <w:r w:rsidR="007A2DFD" w:rsidRPr="00E74FAB">
              <w:rPr>
                <w:rFonts w:asciiTheme="minorHAnsi" w:hAnsiTheme="minorHAnsi" w:cs="Arial"/>
                <w:iCs/>
                <w:szCs w:val="22"/>
              </w:rPr>
              <w:t>)</w:t>
            </w:r>
            <w:r w:rsidRPr="00FE15C2">
              <w:rPr>
                <w:rFonts w:asciiTheme="minorHAnsi" w:hAnsiTheme="minorHAnsi" w:cs="Arial"/>
                <w:iCs/>
                <w:szCs w:val="22"/>
              </w:rPr>
              <w:t xml:space="preserve"> providing the technical support to have the following attributes:</w:t>
            </w:r>
          </w:p>
          <w:p w:rsidR="00E646CA" w:rsidRPr="00E74FAB" w:rsidRDefault="00E646CA" w:rsidP="007A2DFD">
            <w:pPr>
              <w:pStyle w:val="TSBullet1Square"/>
              <w:rPr>
                <w:rFonts w:asciiTheme="minorHAnsi" w:hAnsiTheme="minorHAnsi"/>
              </w:rPr>
            </w:pPr>
            <w:r w:rsidRPr="00E74FAB">
              <w:rPr>
                <w:rFonts w:asciiTheme="minorHAnsi" w:hAnsiTheme="minorHAnsi"/>
              </w:rPr>
              <w:t xml:space="preserve">Knowledge and experience of mechanical engineering safety case development for nuclear facilities. Individuals should understand the link between safety analysis and the mechanical engineering </w:t>
            </w:r>
            <w:r w:rsidR="00CF4949" w:rsidRPr="00E74FAB">
              <w:rPr>
                <w:rFonts w:asciiTheme="minorHAnsi" w:hAnsiTheme="minorHAnsi"/>
              </w:rPr>
              <w:t>Structures, Systems and Components (</w:t>
            </w:r>
            <w:r w:rsidRPr="00E74FAB">
              <w:rPr>
                <w:rFonts w:asciiTheme="minorHAnsi" w:hAnsiTheme="minorHAnsi"/>
              </w:rPr>
              <w:t>SSCs</w:t>
            </w:r>
            <w:r w:rsidR="00CF4949" w:rsidRPr="00E74FAB">
              <w:rPr>
                <w:rFonts w:asciiTheme="minorHAnsi" w:hAnsiTheme="minorHAnsi"/>
              </w:rPr>
              <w:t>)</w:t>
            </w:r>
            <w:r w:rsidRPr="00E74FAB">
              <w:rPr>
                <w:rFonts w:asciiTheme="minorHAnsi" w:hAnsiTheme="minorHAnsi"/>
              </w:rPr>
              <w:t xml:space="preserve"> that deliver safety</w:t>
            </w:r>
            <w:r w:rsidR="007A2DFD" w:rsidRPr="00E74FAB">
              <w:rPr>
                <w:rFonts w:asciiTheme="minorHAnsi" w:hAnsiTheme="minorHAnsi"/>
              </w:rPr>
              <w:t xml:space="preserve"> (i.e. the “golden thread”)</w:t>
            </w:r>
            <w:r w:rsidRPr="00E74FAB">
              <w:rPr>
                <w:rFonts w:asciiTheme="minorHAnsi" w:hAnsiTheme="minorHAnsi"/>
              </w:rPr>
              <w:t>.</w:t>
            </w:r>
          </w:p>
          <w:p w:rsidR="006E39EE" w:rsidRPr="00E74FAB" w:rsidRDefault="006E39EE" w:rsidP="007A2DFD">
            <w:pPr>
              <w:pStyle w:val="TSBullet1Square"/>
              <w:rPr>
                <w:rFonts w:asciiTheme="minorHAnsi" w:hAnsiTheme="minorHAnsi"/>
              </w:rPr>
            </w:pPr>
            <w:r w:rsidRPr="00E74FAB">
              <w:rPr>
                <w:rFonts w:asciiTheme="minorHAnsi" w:hAnsiTheme="minorHAnsi"/>
              </w:rPr>
              <w:t>Knowledge and experience in ME design, manufacture, assembly, test and commissioning</w:t>
            </w:r>
            <w:r w:rsidR="00000122" w:rsidRPr="00E74FAB">
              <w:rPr>
                <w:rFonts w:asciiTheme="minorHAnsi" w:hAnsiTheme="minorHAnsi"/>
              </w:rPr>
              <w:t xml:space="preserve"> of</w:t>
            </w:r>
            <w:r w:rsidR="007A2DFD" w:rsidRPr="00E74FAB">
              <w:rPr>
                <w:rFonts w:asciiTheme="minorHAnsi" w:hAnsiTheme="minorHAnsi"/>
              </w:rPr>
              <w:t>:</w:t>
            </w:r>
            <w:r w:rsidR="00000122" w:rsidRPr="00E74FAB">
              <w:rPr>
                <w:rFonts w:asciiTheme="minorHAnsi" w:hAnsiTheme="minorHAnsi"/>
              </w:rPr>
              <w:t xml:space="preserve"> pumps, valves, HVAC systems, C</w:t>
            </w:r>
            <w:r w:rsidR="00CF4949" w:rsidRPr="00E74FAB">
              <w:rPr>
                <w:rFonts w:asciiTheme="minorHAnsi" w:hAnsiTheme="minorHAnsi"/>
              </w:rPr>
              <w:t xml:space="preserve">ontrol </w:t>
            </w:r>
            <w:r w:rsidR="00000122" w:rsidRPr="00E74FAB">
              <w:rPr>
                <w:rFonts w:asciiTheme="minorHAnsi" w:hAnsiTheme="minorHAnsi"/>
              </w:rPr>
              <w:t>R</w:t>
            </w:r>
            <w:r w:rsidR="00CF4949" w:rsidRPr="00E74FAB">
              <w:rPr>
                <w:rFonts w:asciiTheme="minorHAnsi" w:hAnsiTheme="minorHAnsi"/>
              </w:rPr>
              <w:t xml:space="preserve">od </w:t>
            </w:r>
            <w:r w:rsidR="00000122" w:rsidRPr="00E74FAB">
              <w:rPr>
                <w:rFonts w:asciiTheme="minorHAnsi" w:hAnsiTheme="minorHAnsi"/>
              </w:rPr>
              <w:t>D</w:t>
            </w:r>
            <w:r w:rsidR="00CF4949" w:rsidRPr="00E74FAB">
              <w:rPr>
                <w:rFonts w:asciiTheme="minorHAnsi" w:hAnsiTheme="minorHAnsi"/>
              </w:rPr>
              <w:t xml:space="preserve">rive </w:t>
            </w:r>
            <w:r w:rsidR="00000122" w:rsidRPr="00E74FAB">
              <w:rPr>
                <w:rFonts w:asciiTheme="minorHAnsi" w:hAnsiTheme="minorHAnsi"/>
              </w:rPr>
              <w:t>M</w:t>
            </w:r>
            <w:r w:rsidR="00CF4949" w:rsidRPr="00E74FAB">
              <w:rPr>
                <w:rFonts w:asciiTheme="minorHAnsi" w:hAnsiTheme="minorHAnsi"/>
              </w:rPr>
              <w:t>echanism</w:t>
            </w:r>
            <w:r w:rsidR="00000122" w:rsidRPr="00E74FAB">
              <w:rPr>
                <w:rFonts w:asciiTheme="minorHAnsi" w:hAnsiTheme="minorHAnsi"/>
              </w:rPr>
              <w:t>s, heat exchangers</w:t>
            </w:r>
            <w:r w:rsidR="00C525C8" w:rsidRPr="00E74FAB">
              <w:rPr>
                <w:rFonts w:asciiTheme="minorHAnsi" w:hAnsiTheme="minorHAnsi"/>
              </w:rPr>
              <w:t>, lifting, handling</w:t>
            </w:r>
            <w:r w:rsidR="00000122" w:rsidRPr="00E74FAB">
              <w:rPr>
                <w:rFonts w:asciiTheme="minorHAnsi" w:hAnsiTheme="minorHAnsi"/>
              </w:rPr>
              <w:t xml:space="preserve"> and general mechanical </w:t>
            </w:r>
            <w:r w:rsidR="00CF4949" w:rsidRPr="00E74FAB">
              <w:rPr>
                <w:rFonts w:asciiTheme="minorHAnsi" w:hAnsiTheme="minorHAnsi"/>
              </w:rPr>
              <w:t>SSCs</w:t>
            </w:r>
            <w:r w:rsidRPr="00E74FAB">
              <w:rPr>
                <w:rFonts w:asciiTheme="minorHAnsi" w:hAnsiTheme="minorHAnsi"/>
              </w:rPr>
              <w:t>;</w:t>
            </w:r>
          </w:p>
          <w:p w:rsidR="00E646CA" w:rsidRPr="00E74FAB" w:rsidRDefault="00E646CA" w:rsidP="007A2DFD">
            <w:pPr>
              <w:pStyle w:val="TSBullet1Square"/>
              <w:rPr>
                <w:rFonts w:asciiTheme="minorHAnsi" w:hAnsiTheme="minorHAnsi"/>
              </w:rPr>
            </w:pPr>
            <w:r w:rsidRPr="00E74FAB">
              <w:rPr>
                <w:rFonts w:asciiTheme="minorHAnsi" w:hAnsiTheme="minorHAnsi"/>
              </w:rPr>
              <w:t>Knowledge and experience of mechanical engineering</w:t>
            </w:r>
            <w:r w:rsidR="007A2DFD" w:rsidRPr="00E74FAB">
              <w:rPr>
                <w:rFonts w:asciiTheme="minorHAnsi" w:hAnsiTheme="minorHAnsi"/>
              </w:rPr>
              <w:t xml:space="preserve"> substantiation of nuclear SSCs;</w:t>
            </w:r>
          </w:p>
          <w:p w:rsidR="00E646CA" w:rsidRPr="00E74FAB" w:rsidRDefault="00E646CA" w:rsidP="007A2DFD">
            <w:pPr>
              <w:pStyle w:val="TSBullet1Square"/>
              <w:rPr>
                <w:rFonts w:asciiTheme="minorHAnsi" w:hAnsiTheme="minorHAnsi"/>
              </w:rPr>
            </w:pPr>
            <w:r w:rsidRPr="00E74FAB">
              <w:rPr>
                <w:rFonts w:asciiTheme="minorHAnsi" w:hAnsiTheme="minorHAnsi"/>
              </w:rPr>
              <w:t xml:space="preserve">Knowledge and experience of </w:t>
            </w:r>
            <w:r w:rsidR="007A2DFD" w:rsidRPr="00E74FAB">
              <w:rPr>
                <w:rFonts w:asciiTheme="minorHAnsi" w:hAnsiTheme="minorHAnsi"/>
              </w:rPr>
              <w:t xml:space="preserve">identifying and </w:t>
            </w:r>
            <w:r w:rsidRPr="00E74FAB">
              <w:rPr>
                <w:rFonts w:asciiTheme="minorHAnsi" w:hAnsiTheme="minorHAnsi"/>
              </w:rPr>
              <w:t>applying</w:t>
            </w:r>
            <w:r w:rsidR="007A2DFD" w:rsidRPr="00E74FAB">
              <w:rPr>
                <w:rFonts w:asciiTheme="minorHAnsi" w:hAnsiTheme="minorHAnsi"/>
              </w:rPr>
              <w:t xml:space="preserve"> RGP to mechanical nuclear SSCs;</w:t>
            </w:r>
          </w:p>
          <w:p w:rsidR="00E646CA" w:rsidRPr="00E74FAB" w:rsidRDefault="00E646CA" w:rsidP="007A2DFD">
            <w:pPr>
              <w:pStyle w:val="TSBullet1Square"/>
              <w:rPr>
                <w:rFonts w:asciiTheme="minorHAnsi" w:hAnsiTheme="minorHAnsi"/>
              </w:rPr>
            </w:pPr>
            <w:r w:rsidRPr="00E74FAB">
              <w:rPr>
                <w:rFonts w:asciiTheme="minorHAnsi" w:hAnsiTheme="minorHAnsi"/>
              </w:rPr>
              <w:t xml:space="preserve">Knowledge and understanding of relevant </w:t>
            </w:r>
            <w:r w:rsidR="007A2DFD" w:rsidRPr="00E74FAB">
              <w:rPr>
                <w:rFonts w:asciiTheme="minorHAnsi" w:hAnsiTheme="minorHAnsi"/>
              </w:rPr>
              <w:t>UK health and safety legislation</w:t>
            </w:r>
            <w:r w:rsidRPr="00E74FAB">
              <w:rPr>
                <w:rFonts w:asciiTheme="minorHAnsi" w:hAnsiTheme="minorHAnsi"/>
              </w:rPr>
              <w:t xml:space="preserve"> applicable to the design, installation and</w:t>
            </w:r>
            <w:r w:rsidR="007A2DFD" w:rsidRPr="00E74FAB">
              <w:rPr>
                <w:rFonts w:asciiTheme="minorHAnsi" w:hAnsiTheme="minorHAnsi"/>
              </w:rPr>
              <w:t xml:space="preserve"> use of mechanical, nuclear SSCs;</w:t>
            </w:r>
          </w:p>
          <w:p w:rsidR="00C313B7" w:rsidRPr="00E74FAB" w:rsidRDefault="00E646CA" w:rsidP="007A2DFD">
            <w:pPr>
              <w:pStyle w:val="TSBullet1Square"/>
              <w:rPr>
                <w:rFonts w:asciiTheme="minorHAnsi" w:hAnsiTheme="minorHAnsi"/>
              </w:rPr>
            </w:pPr>
            <w:r w:rsidRPr="00E74FAB">
              <w:rPr>
                <w:rFonts w:asciiTheme="minorHAnsi" w:hAnsiTheme="minorHAnsi"/>
              </w:rPr>
              <w:t>Knowledge and und</w:t>
            </w:r>
            <w:r w:rsidR="007A2DFD" w:rsidRPr="00E74FAB">
              <w:rPr>
                <w:rFonts w:asciiTheme="minorHAnsi" w:hAnsiTheme="minorHAnsi"/>
              </w:rPr>
              <w:t>erstanding of relevant ONR SAPs; and</w:t>
            </w:r>
          </w:p>
          <w:p w:rsidR="00971BA8" w:rsidRPr="00E74FAB" w:rsidRDefault="00E646CA" w:rsidP="007A2DFD">
            <w:pPr>
              <w:pStyle w:val="TSBullet1Square"/>
            </w:pPr>
            <w:r w:rsidRPr="00E74FAB">
              <w:rPr>
                <w:rFonts w:asciiTheme="minorHAnsi" w:hAnsiTheme="minorHAnsi"/>
              </w:rPr>
              <w:t>Knowledge and understanding of relevant ONR TAGs.</w:t>
            </w:r>
          </w:p>
        </w:tc>
      </w:tr>
    </w:tbl>
    <w:p w:rsidR="00D75DA2" w:rsidRPr="002C62C2" w:rsidRDefault="00D75DA2" w:rsidP="00457068">
      <w:pPr>
        <w:ind w:left="567" w:hanging="567"/>
        <w:rPr>
          <w:rFonts w:asciiTheme="minorHAnsi" w:hAnsiTheme="minorHAnsi" w:cstheme="minorHAnsi"/>
        </w:rPr>
      </w:pPr>
    </w:p>
    <w:sectPr w:rsidR="00D75DA2" w:rsidRPr="002C62C2" w:rsidSect="0045706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A07" w:rsidRDefault="00367A07">
      <w:r>
        <w:separator/>
      </w:r>
    </w:p>
  </w:endnote>
  <w:endnote w:type="continuationSeparator" w:id="0">
    <w:p w:rsidR="00367A07" w:rsidRDefault="0036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37A" w:rsidRDefault="00714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FDD" w:rsidRDefault="001D5FDD" w:rsidP="00BC5FC8">
    <w:pPr>
      <w:pStyle w:val="Header"/>
      <w:jc w:val="center"/>
      <w:rPr>
        <w:b/>
        <w:color w:val="006D68"/>
        <w:sz w:val="14"/>
        <w:szCs w:val="14"/>
      </w:rPr>
    </w:pPr>
  </w:p>
  <w:p w:rsidR="001D5FDD" w:rsidRDefault="001D5FDD" w:rsidP="00BC5FC8">
    <w:pPr>
      <w:pStyle w:val="Footer"/>
      <w:tabs>
        <w:tab w:val="clear" w:pos="4153"/>
        <w:tab w:val="clear" w:pos="8306"/>
        <w:tab w:val="right" w:pos="9214"/>
      </w:tabs>
      <w:jc w:val="center"/>
      <w:rPr>
        <w:color w:val="006D68"/>
        <w:sz w:val="14"/>
        <w:szCs w:val="14"/>
      </w:rPr>
    </w:pPr>
  </w:p>
  <w:p w:rsidR="001D5FDD" w:rsidRPr="00487A22" w:rsidRDefault="001D5FDD"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660F60">
      <w:rPr>
        <w:b/>
        <w:noProof/>
        <w:color w:val="006D68"/>
        <w:sz w:val="14"/>
        <w:szCs w:val="14"/>
      </w:rPr>
      <w:t>6</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660F60">
      <w:rPr>
        <w:b/>
        <w:noProof/>
        <w:color w:val="006D68"/>
        <w:sz w:val="14"/>
        <w:szCs w:val="14"/>
      </w:rPr>
      <w:t>6</w:t>
    </w:r>
    <w:r w:rsidRPr="00487A22">
      <w:rPr>
        <w:b/>
        <w:color w:val="006D6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FDD" w:rsidRDefault="001D5FDD" w:rsidP="00BC5FC8">
    <w:pPr>
      <w:pStyle w:val="Header"/>
      <w:jc w:val="center"/>
      <w:rPr>
        <w:b/>
        <w:color w:val="006D68"/>
        <w:sz w:val="14"/>
        <w:szCs w:val="14"/>
      </w:rPr>
    </w:pPr>
  </w:p>
  <w:p w:rsidR="001D5FDD" w:rsidRDefault="001D5FDD" w:rsidP="00BC5FC8">
    <w:pPr>
      <w:pStyle w:val="Footer"/>
      <w:tabs>
        <w:tab w:val="clear" w:pos="4153"/>
        <w:tab w:val="clear" w:pos="8306"/>
        <w:tab w:val="right" w:pos="9214"/>
      </w:tabs>
      <w:jc w:val="center"/>
      <w:rPr>
        <w:color w:val="006D68"/>
        <w:sz w:val="14"/>
        <w:szCs w:val="14"/>
      </w:rPr>
    </w:pPr>
  </w:p>
  <w:p w:rsidR="001D5FDD" w:rsidRPr="00B56CCE" w:rsidRDefault="001D5FDD" w:rsidP="00B56CCE">
    <w:pPr>
      <w:pStyle w:val="Footer"/>
      <w:tabs>
        <w:tab w:val="clear" w:pos="4153"/>
        <w:tab w:val="clear" w:pos="8306"/>
        <w:tab w:val="right" w:pos="9214"/>
      </w:tabs>
      <w:rPr>
        <w:b/>
        <w:color w:val="006D68"/>
        <w:sz w:val="14"/>
        <w:szCs w:val="14"/>
      </w:rPr>
    </w:pPr>
    <w:r>
      <w:rPr>
        <w:color w:val="006D68"/>
        <w:sz w:val="14"/>
        <w:szCs w:val="14"/>
      </w:rPr>
      <w:t>Template Ref:</w:t>
    </w: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660F60">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660F60">
      <w:rPr>
        <w:b/>
        <w:noProof/>
        <w:color w:val="006D68"/>
        <w:sz w:val="14"/>
        <w:szCs w:val="14"/>
      </w:rPr>
      <w:t>6</w:t>
    </w:r>
    <w:r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A07" w:rsidRDefault="00367A07">
      <w:r>
        <w:separator/>
      </w:r>
    </w:p>
  </w:footnote>
  <w:footnote w:type="continuationSeparator" w:id="0">
    <w:p w:rsidR="00367A07" w:rsidRDefault="00367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37A" w:rsidRDefault="00714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FDD" w:rsidRDefault="001D5FDD">
    <w:pPr>
      <w:pStyle w:val="Header"/>
      <w:rPr>
        <w:b/>
        <w:color w:val="006D68"/>
        <w:sz w:val="14"/>
        <w:szCs w:val="14"/>
      </w:rPr>
    </w:pPr>
    <w:r w:rsidRPr="00487A22">
      <w:rPr>
        <w:color w:val="006D68"/>
        <w:sz w:val="14"/>
        <w:szCs w:val="14"/>
      </w:rPr>
      <w:t>Office for Nuclear Regulation</w:t>
    </w:r>
  </w:p>
  <w:p w:rsidR="001D5FDD" w:rsidRDefault="001D5FDD">
    <w:pPr>
      <w:pStyle w:val="Header"/>
      <w:rPr>
        <w:b/>
        <w:color w:val="006D68"/>
        <w:sz w:val="14"/>
        <w:szCs w:val="14"/>
      </w:rPr>
    </w:pPr>
  </w:p>
  <w:p w:rsidR="001D5FDD" w:rsidRDefault="001D5FDD" w:rsidP="007D545C">
    <w:pPr>
      <w:pStyle w:val="Header"/>
      <w:jc w:val="center"/>
      <w:rPr>
        <w:b/>
        <w:color w:val="006D68"/>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FDD" w:rsidRDefault="001D5FDD" w:rsidP="00457068">
    <w:pPr>
      <w:pStyle w:val="Header"/>
      <w:rPr>
        <w:b/>
        <w:sz w:val="20"/>
        <w:szCs w:val="20"/>
      </w:rPr>
    </w:pPr>
    <w:r>
      <w:rPr>
        <w:b/>
        <w:noProof/>
        <w:sz w:val="20"/>
        <w:szCs w:val="20"/>
        <w:lang w:eastAsia="en-GB"/>
      </w:rPr>
      <w:drawing>
        <wp:inline distT="0" distB="0" distL="0" distR="0" wp14:anchorId="05EB3CBD" wp14:editId="2C85D92E">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660F60" w:rsidRDefault="00660F60" w:rsidP="00457068">
    <w:pPr>
      <w:pStyle w:val="Header"/>
      <w:jc w:val="right"/>
      <w:rPr>
        <w:b/>
        <w:sz w:val="20"/>
        <w:szCs w:val="20"/>
      </w:rPr>
    </w:pPr>
    <w:r>
      <w:rPr>
        <w:b/>
        <w:sz w:val="20"/>
        <w:szCs w:val="20"/>
      </w:rPr>
      <w:t>Schedule A</w:t>
    </w:r>
  </w:p>
  <w:p w:rsidR="001D5FDD" w:rsidRPr="00C754D7" w:rsidRDefault="0035755A" w:rsidP="00457068">
    <w:pPr>
      <w:pStyle w:val="Header"/>
      <w:jc w:val="right"/>
      <w:rPr>
        <w:b/>
        <w:sz w:val="20"/>
        <w:szCs w:val="20"/>
      </w:rPr>
    </w:pPr>
    <w:r>
      <w:rPr>
        <w:b/>
        <w:sz w:val="20"/>
        <w:szCs w:val="20"/>
      </w:rPr>
      <w:t>ONR</w:t>
    </w:r>
    <w:r w:rsidR="0071437A">
      <w:rPr>
        <w:b/>
        <w:sz w:val="20"/>
        <w:szCs w:val="20"/>
      </w:rPr>
      <w:t>633</w:t>
    </w:r>
    <w:bookmarkStart w:id="0" w:name="_GoBack"/>
    <w:bookmarkEnd w:id="0"/>
  </w:p>
  <w:p w:rsidR="001D5FDD" w:rsidRPr="00D55197" w:rsidRDefault="001D5FDD"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731B"/>
    <w:multiLevelType w:val="hybridMultilevel"/>
    <w:tmpl w:val="31EA5374"/>
    <w:lvl w:ilvl="0" w:tplc="0809000F">
      <w:start w:val="1"/>
      <w:numFmt w:val="decimal"/>
      <w:lvlText w:val="%1."/>
      <w:lvlJc w:val="left"/>
      <w:pPr>
        <w:ind w:left="1418" w:hanging="360"/>
      </w:p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1" w15:restartNumberingAfterBreak="0">
    <w:nsid w:val="0B32244D"/>
    <w:multiLevelType w:val="hybridMultilevel"/>
    <w:tmpl w:val="BDD63810"/>
    <w:lvl w:ilvl="0" w:tplc="08090001">
      <w:start w:val="1"/>
      <w:numFmt w:val="bullet"/>
      <w:lvlText w:val=""/>
      <w:lvlJc w:val="left"/>
      <w:pPr>
        <w:ind w:left="1058" w:hanging="360"/>
      </w:pPr>
      <w:rPr>
        <w:rFonts w:ascii="Symbol" w:hAnsi="Symbol"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2"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4"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2EEF3455"/>
    <w:multiLevelType w:val="hybridMultilevel"/>
    <w:tmpl w:val="91DC3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D1156"/>
    <w:multiLevelType w:val="hybridMultilevel"/>
    <w:tmpl w:val="7D4069C8"/>
    <w:lvl w:ilvl="0" w:tplc="08090001">
      <w:start w:val="1"/>
      <w:numFmt w:val="bullet"/>
      <w:lvlText w:val=""/>
      <w:lvlJc w:val="left"/>
      <w:pPr>
        <w:ind w:left="1058" w:hanging="360"/>
      </w:pPr>
      <w:rPr>
        <w:rFonts w:ascii="Symbol" w:hAnsi="Symbol"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7" w15:restartNumberingAfterBreak="0">
    <w:nsid w:val="637245AD"/>
    <w:multiLevelType w:val="hybridMultilevel"/>
    <w:tmpl w:val="79D2FB36"/>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8" w15:restartNumberingAfterBreak="0">
    <w:nsid w:val="6AA163AB"/>
    <w:multiLevelType w:val="hybridMultilevel"/>
    <w:tmpl w:val="A57AB8DC"/>
    <w:lvl w:ilvl="0" w:tplc="08090001">
      <w:start w:val="1"/>
      <w:numFmt w:val="bullet"/>
      <w:lvlText w:val=""/>
      <w:lvlJc w:val="left"/>
      <w:pPr>
        <w:ind w:left="1058" w:hanging="360"/>
      </w:pPr>
      <w:rPr>
        <w:rFonts w:ascii="Symbol" w:hAnsi="Symbol" w:hint="default"/>
      </w:rPr>
    </w:lvl>
    <w:lvl w:ilvl="1" w:tplc="08090003">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9" w15:restartNumberingAfterBreak="0">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171D0A"/>
    <w:multiLevelType w:val="hybridMultilevel"/>
    <w:tmpl w:val="5ECA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1"/>
  </w:num>
  <w:num w:numId="5">
    <w:abstractNumId w:val="8"/>
  </w:num>
  <w:num w:numId="6">
    <w:abstractNumId w:val="5"/>
  </w:num>
  <w:num w:numId="7">
    <w:abstractNumId w:val="11"/>
  </w:num>
  <w:num w:numId="8">
    <w:abstractNumId w:val="6"/>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0"/>
  </w:num>
  <w:num w:numId="30">
    <w:abstractNumId w:val="4"/>
  </w:num>
  <w:num w:numId="31">
    <w:abstractNumId w:val="4"/>
  </w:num>
  <w:num w:numId="32">
    <w:abstractNumId w:val="4"/>
  </w:num>
  <w:num w:numId="33">
    <w:abstractNumId w:val="3"/>
  </w:num>
  <w:num w:numId="34">
    <w:abstractNumId w:val="10"/>
  </w:num>
  <w:num w:numId="35">
    <w:abstractNumId w:val="7"/>
  </w:num>
  <w:num w:numId="3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0122"/>
    <w:rsid w:val="0001187B"/>
    <w:rsid w:val="00020675"/>
    <w:rsid w:val="00030B0F"/>
    <w:rsid w:val="00030D3C"/>
    <w:rsid w:val="000312D3"/>
    <w:rsid w:val="000340D7"/>
    <w:rsid w:val="000375D1"/>
    <w:rsid w:val="000508D9"/>
    <w:rsid w:val="000715BD"/>
    <w:rsid w:val="00074E55"/>
    <w:rsid w:val="0009173F"/>
    <w:rsid w:val="00096F71"/>
    <w:rsid w:val="000B1830"/>
    <w:rsid w:val="000B4E40"/>
    <w:rsid w:val="000D6244"/>
    <w:rsid w:val="000D75FC"/>
    <w:rsid w:val="000F752A"/>
    <w:rsid w:val="00121C8F"/>
    <w:rsid w:val="00122F15"/>
    <w:rsid w:val="00131ECC"/>
    <w:rsid w:val="00144CEA"/>
    <w:rsid w:val="00164F4F"/>
    <w:rsid w:val="0019204A"/>
    <w:rsid w:val="00193B43"/>
    <w:rsid w:val="00193C9A"/>
    <w:rsid w:val="001A4AB5"/>
    <w:rsid w:val="001A58B1"/>
    <w:rsid w:val="001C3DB8"/>
    <w:rsid w:val="001D5FDD"/>
    <w:rsid w:val="001D78A1"/>
    <w:rsid w:val="001F76D5"/>
    <w:rsid w:val="00200CB7"/>
    <w:rsid w:val="0021074A"/>
    <w:rsid w:val="00216018"/>
    <w:rsid w:val="0021726C"/>
    <w:rsid w:val="0022359C"/>
    <w:rsid w:val="0022643E"/>
    <w:rsid w:val="00226D69"/>
    <w:rsid w:val="0024448E"/>
    <w:rsid w:val="0025007D"/>
    <w:rsid w:val="00261344"/>
    <w:rsid w:val="0028011F"/>
    <w:rsid w:val="0028356A"/>
    <w:rsid w:val="00296CB1"/>
    <w:rsid w:val="00297401"/>
    <w:rsid w:val="002B7764"/>
    <w:rsid w:val="002C62C2"/>
    <w:rsid w:val="002D589D"/>
    <w:rsid w:val="002E5EDE"/>
    <w:rsid w:val="0031706E"/>
    <w:rsid w:val="0035755A"/>
    <w:rsid w:val="00367A07"/>
    <w:rsid w:val="00374E46"/>
    <w:rsid w:val="00390331"/>
    <w:rsid w:val="00390F3D"/>
    <w:rsid w:val="00392CC9"/>
    <w:rsid w:val="003A19FE"/>
    <w:rsid w:val="003A5AB1"/>
    <w:rsid w:val="003B4AA2"/>
    <w:rsid w:val="003C4FBB"/>
    <w:rsid w:val="003D005E"/>
    <w:rsid w:val="003E2CA6"/>
    <w:rsid w:val="003E3FF1"/>
    <w:rsid w:val="003E452E"/>
    <w:rsid w:val="0042006C"/>
    <w:rsid w:val="004332BD"/>
    <w:rsid w:val="00440DF1"/>
    <w:rsid w:val="00457068"/>
    <w:rsid w:val="00473357"/>
    <w:rsid w:val="004750A2"/>
    <w:rsid w:val="00485A06"/>
    <w:rsid w:val="0048683D"/>
    <w:rsid w:val="00487A22"/>
    <w:rsid w:val="004A7B1B"/>
    <w:rsid w:val="004B2C42"/>
    <w:rsid w:val="004B74D6"/>
    <w:rsid w:val="004C57C5"/>
    <w:rsid w:val="004D64F5"/>
    <w:rsid w:val="004E5971"/>
    <w:rsid w:val="004F24BC"/>
    <w:rsid w:val="004F7F61"/>
    <w:rsid w:val="005003AD"/>
    <w:rsid w:val="00505F6E"/>
    <w:rsid w:val="005124FF"/>
    <w:rsid w:val="00522031"/>
    <w:rsid w:val="005322E6"/>
    <w:rsid w:val="00541549"/>
    <w:rsid w:val="005556C6"/>
    <w:rsid w:val="005622DA"/>
    <w:rsid w:val="00562F2F"/>
    <w:rsid w:val="005800CE"/>
    <w:rsid w:val="00581054"/>
    <w:rsid w:val="005A1570"/>
    <w:rsid w:val="005A5A87"/>
    <w:rsid w:val="005D05F9"/>
    <w:rsid w:val="005D6740"/>
    <w:rsid w:val="005D6C2C"/>
    <w:rsid w:val="005E1B0E"/>
    <w:rsid w:val="005E4B4D"/>
    <w:rsid w:val="005F0722"/>
    <w:rsid w:val="00604F23"/>
    <w:rsid w:val="00611B09"/>
    <w:rsid w:val="00640E57"/>
    <w:rsid w:val="00647EA8"/>
    <w:rsid w:val="00653910"/>
    <w:rsid w:val="006558B7"/>
    <w:rsid w:val="00660F60"/>
    <w:rsid w:val="0066152A"/>
    <w:rsid w:val="006850BD"/>
    <w:rsid w:val="0068555A"/>
    <w:rsid w:val="0069320D"/>
    <w:rsid w:val="006A20A8"/>
    <w:rsid w:val="006A667F"/>
    <w:rsid w:val="006B2DA6"/>
    <w:rsid w:val="006C519A"/>
    <w:rsid w:val="006D2674"/>
    <w:rsid w:val="006D3A7B"/>
    <w:rsid w:val="006E39EE"/>
    <w:rsid w:val="006F1199"/>
    <w:rsid w:val="006F5420"/>
    <w:rsid w:val="006F7652"/>
    <w:rsid w:val="007009A4"/>
    <w:rsid w:val="007014DD"/>
    <w:rsid w:val="0071437A"/>
    <w:rsid w:val="00715C62"/>
    <w:rsid w:val="0072164C"/>
    <w:rsid w:val="00725D05"/>
    <w:rsid w:val="007271B3"/>
    <w:rsid w:val="00742CB2"/>
    <w:rsid w:val="00752FDC"/>
    <w:rsid w:val="0078154A"/>
    <w:rsid w:val="00793D42"/>
    <w:rsid w:val="007A2DFD"/>
    <w:rsid w:val="007A4AA4"/>
    <w:rsid w:val="007B17CB"/>
    <w:rsid w:val="007B2807"/>
    <w:rsid w:val="007B4EE0"/>
    <w:rsid w:val="007D3F82"/>
    <w:rsid w:val="007D545C"/>
    <w:rsid w:val="007E0568"/>
    <w:rsid w:val="007F7246"/>
    <w:rsid w:val="00800B03"/>
    <w:rsid w:val="00822F31"/>
    <w:rsid w:val="00842FD6"/>
    <w:rsid w:val="008620C4"/>
    <w:rsid w:val="00863936"/>
    <w:rsid w:val="00863CDC"/>
    <w:rsid w:val="008660C9"/>
    <w:rsid w:val="00884E6A"/>
    <w:rsid w:val="00891423"/>
    <w:rsid w:val="008A32C9"/>
    <w:rsid w:val="008A7BDD"/>
    <w:rsid w:val="008B43EF"/>
    <w:rsid w:val="008B7253"/>
    <w:rsid w:val="008C1B71"/>
    <w:rsid w:val="008C62C9"/>
    <w:rsid w:val="008D5C1F"/>
    <w:rsid w:val="008D6E13"/>
    <w:rsid w:val="008D71E9"/>
    <w:rsid w:val="008D7FDA"/>
    <w:rsid w:val="008E1FED"/>
    <w:rsid w:val="008E2640"/>
    <w:rsid w:val="008E67CB"/>
    <w:rsid w:val="008F4B33"/>
    <w:rsid w:val="008F7388"/>
    <w:rsid w:val="0091041C"/>
    <w:rsid w:val="009164C7"/>
    <w:rsid w:val="00924D6F"/>
    <w:rsid w:val="00932851"/>
    <w:rsid w:val="00936522"/>
    <w:rsid w:val="00947CEC"/>
    <w:rsid w:val="00967579"/>
    <w:rsid w:val="009678DE"/>
    <w:rsid w:val="00971BA8"/>
    <w:rsid w:val="00972CA2"/>
    <w:rsid w:val="009765DB"/>
    <w:rsid w:val="00986AE2"/>
    <w:rsid w:val="00987AA6"/>
    <w:rsid w:val="00987C31"/>
    <w:rsid w:val="0099197D"/>
    <w:rsid w:val="009962B1"/>
    <w:rsid w:val="009B2BC9"/>
    <w:rsid w:val="009B5159"/>
    <w:rsid w:val="009D3CD0"/>
    <w:rsid w:val="009E5C50"/>
    <w:rsid w:val="009E7887"/>
    <w:rsid w:val="009F1B6F"/>
    <w:rsid w:val="00A0259B"/>
    <w:rsid w:val="00A23743"/>
    <w:rsid w:val="00A25EB0"/>
    <w:rsid w:val="00A356C7"/>
    <w:rsid w:val="00A36C9B"/>
    <w:rsid w:val="00A41FDA"/>
    <w:rsid w:val="00A442D1"/>
    <w:rsid w:val="00A4675B"/>
    <w:rsid w:val="00A73367"/>
    <w:rsid w:val="00AB04D8"/>
    <w:rsid w:val="00AB2BB0"/>
    <w:rsid w:val="00AB5BEA"/>
    <w:rsid w:val="00AB7147"/>
    <w:rsid w:val="00AB7451"/>
    <w:rsid w:val="00AB7A81"/>
    <w:rsid w:val="00AD5635"/>
    <w:rsid w:val="00AD7429"/>
    <w:rsid w:val="00AE199F"/>
    <w:rsid w:val="00AF4C0F"/>
    <w:rsid w:val="00B255B3"/>
    <w:rsid w:val="00B30DB6"/>
    <w:rsid w:val="00B3394A"/>
    <w:rsid w:val="00B43C54"/>
    <w:rsid w:val="00B504F7"/>
    <w:rsid w:val="00B56CCE"/>
    <w:rsid w:val="00B727D8"/>
    <w:rsid w:val="00B81B18"/>
    <w:rsid w:val="00BA02DC"/>
    <w:rsid w:val="00BC24ED"/>
    <w:rsid w:val="00BC5FC8"/>
    <w:rsid w:val="00BD7DC8"/>
    <w:rsid w:val="00BF4064"/>
    <w:rsid w:val="00C153FE"/>
    <w:rsid w:val="00C25198"/>
    <w:rsid w:val="00C25583"/>
    <w:rsid w:val="00C313B7"/>
    <w:rsid w:val="00C525C8"/>
    <w:rsid w:val="00C75298"/>
    <w:rsid w:val="00C75A1C"/>
    <w:rsid w:val="00CA35A2"/>
    <w:rsid w:val="00CA3B14"/>
    <w:rsid w:val="00CD3858"/>
    <w:rsid w:val="00CD7B5F"/>
    <w:rsid w:val="00CE5958"/>
    <w:rsid w:val="00CE6571"/>
    <w:rsid w:val="00CF4949"/>
    <w:rsid w:val="00D03A0B"/>
    <w:rsid w:val="00D17F12"/>
    <w:rsid w:val="00D3061A"/>
    <w:rsid w:val="00D37A50"/>
    <w:rsid w:val="00D40C26"/>
    <w:rsid w:val="00D47FB6"/>
    <w:rsid w:val="00D55197"/>
    <w:rsid w:val="00D55FE7"/>
    <w:rsid w:val="00D75DA2"/>
    <w:rsid w:val="00D7747E"/>
    <w:rsid w:val="00D8352A"/>
    <w:rsid w:val="00D920A8"/>
    <w:rsid w:val="00DA6197"/>
    <w:rsid w:val="00DA674D"/>
    <w:rsid w:val="00DC6611"/>
    <w:rsid w:val="00DC73FA"/>
    <w:rsid w:val="00DD2418"/>
    <w:rsid w:val="00DD2DD8"/>
    <w:rsid w:val="00DE4417"/>
    <w:rsid w:val="00DE675C"/>
    <w:rsid w:val="00DF3697"/>
    <w:rsid w:val="00DF55EB"/>
    <w:rsid w:val="00E12A39"/>
    <w:rsid w:val="00E143F3"/>
    <w:rsid w:val="00E27BFE"/>
    <w:rsid w:val="00E32988"/>
    <w:rsid w:val="00E32F3B"/>
    <w:rsid w:val="00E3653B"/>
    <w:rsid w:val="00E434E8"/>
    <w:rsid w:val="00E46043"/>
    <w:rsid w:val="00E52DAC"/>
    <w:rsid w:val="00E646CA"/>
    <w:rsid w:val="00E71B0C"/>
    <w:rsid w:val="00E74FAB"/>
    <w:rsid w:val="00E87C8C"/>
    <w:rsid w:val="00E9478E"/>
    <w:rsid w:val="00E969B2"/>
    <w:rsid w:val="00E97293"/>
    <w:rsid w:val="00E9747F"/>
    <w:rsid w:val="00EA33CF"/>
    <w:rsid w:val="00EA3544"/>
    <w:rsid w:val="00EA5EB4"/>
    <w:rsid w:val="00ED5F2B"/>
    <w:rsid w:val="00EE16EA"/>
    <w:rsid w:val="00EF370E"/>
    <w:rsid w:val="00F001A6"/>
    <w:rsid w:val="00F075F7"/>
    <w:rsid w:val="00F07706"/>
    <w:rsid w:val="00F15BA5"/>
    <w:rsid w:val="00F34606"/>
    <w:rsid w:val="00F4724B"/>
    <w:rsid w:val="00F66793"/>
    <w:rsid w:val="00F906F6"/>
    <w:rsid w:val="00FB0EA8"/>
    <w:rsid w:val="00FC1B4C"/>
    <w:rsid w:val="00FC67F7"/>
    <w:rsid w:val="00FD0C4A"/>
    <w:rsid w:val="00FE15C2"/>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0D8F8C1"/>
  <w15:docId w15:val="{925BFD48-3DDE-4F72-8418-A950EC4B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styleId="Revision">
    <w:name w:val="Revision"/>
    <w:hidden/>
    <w:uiPriority w:val="99"/>
    <w:semiHidden/>
    <w:rsid w:val="00EA354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khpr1000.co.uk/documents-library/step-3/"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81695-139F-4409-8C49-C868096F0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2767</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3</cp:revision>
  <cp:lastPrinted>2020-03-11T14:57:00Z</cp:lastPrinted>
  <dcterms:created xsi:type="dcterms:W3CDTF">2020-06-29T12:31:00Z</dcterms:created>
  <dcterms:modified xsi:type="dcterms:W3CDTF">2020-06-29T12:32:00Z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