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Calibri" w:hAnsi="Arial" w:cs="Times New Roman"/>
          <w:color w:val="auto"/>
          <w:sz w:val="20"/>
          <w:szCs w:val="20"/>
          <w:lang w:val="en-GB"/>
        </w:rPr>
        <w:id w:val="121739007"/>
        <w:docPartObj>
          <w:docPartGallery w:val="Table of Contents"/>
          <w:docPartUnique/>
        </w:docPartObj>
      </w:sdtPr>
      <w:sdtEndPr>
        <w:rPr>
          <w:rFonts w:ascii="Times New Roman" w:hAnsi="Times New Roman"/>
          <w:b/>
          <w:bCs/>
          <w:noProof/>
          <w:lang w:eastAsia="en-GB"/>
        </w:rPr>
      </w:sdtEndPr>
      <w:sdtContent>
        <w:p w:rsidR="006F4442" w:rsidRPr="006512DB" w:rsidRDefault="006F4442" w:rsidP="006F4442">
          <w:pPr>
            <w:pStyle w:val="TOCHeading"/>
            <w:jc w:val="both"/>
            <w:rPr>
              <w:rFonts w:ascii="Arial" w:hAnsi="Arial" w:cs="Arial"/>
              <w:b/>
              <w:bCs/>
              <w:color w:val="auto"/>
              <w:sz w:val="24"/>
              <w:szCs w:val="24"/>
            </w:rPr>
          </w:pPr>
          <w:r w:rsidRPr="006512DB">
            <w:rPr>
              <w:rFonts w:ascii="Arial" w:hAnsi="Arial" w:cs="Arial"/>
              <w:b/>
              <w:bCs/>
              <w:color w:val="auto"/>
              <w:sz w:val="24"/>
              <w:szCs w:val="24"/>
            </w:rPr>
            <w:t>Contents</w:t>
          </w:r>
        </w:p>
        <w:p w:rsidR="0033596C" w:rsidRDefault="006F4442">
          <w:pPr>
            <w:pStyle w:val="TOC1"/>
            <w:rPr>
              <w:rFonts w:asciiTheme="minorHAnsi" w:eastAsiaTheme="minorEastAsia" w:hAnsiTheme="minorHAnsi" w:cstheme="minorBidi"/>
              <w:noProof/>
              <w:sz w:val="22"/>
              <w:lang w:eastAsia="en-GB"/>
            </w:rPr>
          </w:pPr>
          <w:r w:rsidRPr="008E0AEA">
            <w:rPr>
              <w:sz w:val="20"/>
              <w:szCs w:val="20"/>
            </w:rPr>
            <w:fldChar w:fldCharType="begin"/>
          </w:r>
          <w:r w:rsidRPr="008E0AEA">
            <w:rPr>
              <w:sz w:val="20"/>
              <w:szCs w:val="20"/>
            </w:rPr>
            <w:instrText xml:space="preserve"> TOC \o "1-3" \h \z \u </w:instrText>
          </w:r>
          <w:r w:rsidRPr="008E0AEA">
            <w:rPr>
              <w:sz w:val="20"/>
              <w:szCs w:val="20"/>
            </w:rPr>
            <w:fldChar w:fldCharType="separate"/>
          </w:r>
          <w:hyperlink w:anchor="_Toc116548838" w:history="1">
            <w:r w:rsidR="0033596C" w:rsidRPr="008442C4">
              <w:rPr>
                <w:rStyle w:val="Hyperlink"/>
                <w:rFonts w:cs="Arial"/>
                <w:bCs/>
                <w:noProof/>
              </w:rPr>
              <w:t>Agency’s COPES (Code of Practice for Electrical Safety) -  drawings and documentation</w:t>
            </w:r>
            <w:r w:rsidR="0033596C">
              <w:rPr>
                <w:noProof/>
                <w:webHidden/>
              </w:rPr>
              <w:tab/>
            </w:r>
            <w:r w:rsidR="0033596C">
              <w:rPr>
                <w:noProof/>
                <w:webHidden/>
              </w:rPr>
              <w:fldChar w:fldCharType="begin"/>
            </w:r>
            <w:r w:rsidR="0033596C">
              <w:rPr>
                <w:noProof/>
                <w:webHidden/>
              </w:rPr>
              <w:instrText xml:space="preserve"> PAGEREF _Toc116548838 \h </w:instrText>
            </w:r>
            <w:r w:rsidR="0033596C">
              <w:rPr>
                <w:noProof/>
                <w:webHidden/>
              </w:rPr>
            </w:r>
            <w:r w:rsidR="0033596C">
              <w:rPr>
                <w:noProof/>
                <w:webHidden/>
              </w:rPr>
              <w:fldChar w:fldCharType="separate"/>
            </w:r>
            <w:r w:rsidR="0033596C">
              <w:rPr>
                <w:noProof/>
                <w:webHidden/>
              </w:rPr>
              <w:t>2</w:t>
            </w:r>
            <w:r w:rsidR="0033596C">
              <w:rPr>
                <w:noProof/>
                <w:webHidden/>
              </w:rPr>
              <w:fldChar w:fldCharType="end"/>
            </w:r>
          </w:hyperlink>
        </w:p>
        <w:p w:rsidR="0033596C" w:rsidRDefault="00D55377">
          <w:pPr>
            <w:pStyle w:val="TOC1"/>
            <w:rPr>
              <w:rFonts w:asciiTheme="minorHAnsi" w:eastAsiaTheme="minorEastAsia" w:hAnsiTheme="minorHAnsi" w:cstheme="minorBidi"/>
              <w:noProof/>
              <w:sz w:val="22"/>
              <w:lang w:eastAsia="en-GB"/>
            </w:rPr>
          </w:pPr>
          <w:hyperlink w:anchor="_Toc116548839" w:history="1">
            <w:r w:rsidR="0033596C" w:rsidRPr="008442C4">
              <w:rPr>
                <w:rStyle w:val="Hyperlink"/>
                <w:rFonts w:cs="Arial"/>
                <w:bCs/>
                <w:noProof/>
              </w:rPr>
              <w:t>Agency COPES ((Code of Practice for Electrical Safety) – standard specification</w:t>
            </w:r>
            <w:r w:rsidR="0033596C">
              <w:rPr>
                <w:noProof/>
                <w:webHidden/>
              </w:rPr>
              <w:tab/>
            </w:r>
            <w:r w:rsidR="0033596C">
              <w:rPr>
                <w:noProof/>
                <w:webHidden/>
              </w:rPr>
              <w:fldChar w:fldCharType="begin"/>
            </w:r>
            <w:r w:rsidR="0033596C">
              <w:rPr>
                <w:noProof/>
                <w:webHidden/>
              </w:rPr>
              <w:instrText xml:space="preserve"> PAGEREF _Toc116548839 \h </w:instrText>
            </w:r>
            <w:r w:rsidR="0033596C">
              <w:rPr>
                <w:noProof/>
                <w:webHidden/>
              </w:rPr>
            </w:r>
            <w:r w:rsidR="0033596C">
              <w:rPr>
                <w:noProof/>
                <w:webHidden/>
              </w:rPr>
              <w:fldChar w:fldCharType="separate"/>
            </w:r>
            <w:r w:rsidR="0033596C">
              <w:rPr>
                <w:noProof/>
                <w:webHidden/>
              </w:rPr>
              <w:t>2</w:t>
            </w:r>
            <w:r w:rsidR="0033596C">
              <w:rPr>
                <w:noProof/>
                <w:webHidden/>
              </w:rPr>
              <w:fldChar w:fldCharType="end"/>
            </w:r>
          </w:hyperlink>
        </w:p>
        <w:p w:rsidR="0033596C" w:rsidRDefault="00D55377">
          <w:pPr>
            <w:pStyle w:val="TOC1"/>
            <w:rPr>
              <w:rFonts w:asciiTheme="minorHAnsi" w:eastAsiaTheme="minorEastAsia" w:hAnsiTheme="minorHAnsi" w:cstheme="minorBidi"/>
              <w:noProof/>
              <w:sz w:val="22"/>
              <w:lang w:eastAsia="en-GB"/>
            </w:rPr>
          </w:pPr>
          <w:hyperlink w:anchor="_Toc116548840" w:history="1">
            <w:r w:rsidR="0033596C" w:rsidRPr="008442C4">
              <w:rPr>
                <w:rStyle w:val="Hyperlink"/>
                <w:rFonts w:cs="Arial"/>
                <w:bCs/>
                <w:noProof/>
              </w:rPr>
              <w:t>AQ H&amp;S UK air guide</w:t>
            </w:r>
            <w:r w:rsidR="0033596C">
              <w:rPr>
                <w:noProof/>
                <w:webHidden/>
              </w:rPr>
              <w:tab/>
            </w:r>
            <w:r w:rsidR="0033596C">
              <w:rPr>
                <w:noProof/>
                <w:webHidden/>
              </w:rPr>
              <w:fldChar w:fldCharType="begin"/>
            </w:r>
            <w:r w:rsidR="0033596C">
              <w:rPr>
                <w:noProof/>
                <w:webHidden/>
              </w:rPr>
              <w:instrText xml:space="preserve"> PAGEREF _Toc116548840 \h </w:instrText>
            </w:r>
            <w:r w:rsidR="0033596C">
              <w:rPr>
                <w:noProof/>
                <w:webHidden/>
              </w:rPr>
            </w:r>
            <w:r w:rsidR="0033596C">
              <w:rPr>
                <w:noProof/>
                <w:webHidden/>
              </w:rPr>
              <w:fldChar w:fldCharType="separate"/>
            </w:r>
            <w:r w:rsidR="0033596C">
              <w:rPr>
                <w:noProof/>
                <w:webHidden/>
              </w:rPr>
              <w:t>2</w:t>
            </w:r>
            <w:r w:rsidR="0033596C">
              <w:rPr>
                <w:noProof/>
                <w:webHidden/>
              </w:rPr>
              <w:fldChar w:fldCharType="end"/>
            </w:r>
          </w:hyperlink>
        </w:p>
        <w:p w:rsidR="0033596C" w:rsidRDefault="00D55377">
          <w:pPr>
            <w:pStyle w:val="TOC1"/>
            <w:rPr>
              <w:rFonts w:asciiTheme="minorHAnsi" w:eastAsiaTheme="minorEastAsia" w:hAnsiTheme="minorHAnsi" w:cstheme="minorBidi"/>
              <w:noProof/>
              <w:sz w:val="22"/>
              <w:lang w:eastAsia="en-GB"/>
            </w:rPr>
          </w:pPr>
          <w:hyperlink w:anchor="_Toc116548841" w:history="1">
            <w:r w:rsidR="0033596C" w:rsidRPr="008442C4">
              <w:rPr>
                <w:rStyle w:val="Hyperlink"/>
                <w:rFonts w:cs="Arial"/>
                <w:bCs/>
                <w:noProof/>
              </w:rPr>
              <w:t>Standard Supplier Questionnaire</w:t>
            </w:r>
            <w:r w:rsidR="0033596C">
              <w:rPr>
                <w:noProof/>
                <w:webHidden/>
              </w:rPr>
              <w:tab/>
            </w:r>
            <w:r w:rsidR="0033596C">
              <w:rPr>
                <w:noProof/>
                <w:webHidden/>
              </w:rPr>
              <w:fldChar w:fldCharType="begin"/>
            </w:r>
            <w:r w:rsidR="0033596C">
              <w:rPr>
                <w:noProof/>
                <w:webHidden/>
              </w:rPr>
              <w:instrText xml:space="preserve"> PAGEREF _Toc116548841 \h </w:instrText>
            </w:r>
            <w:r w:rsidR="0033596C">
              <w:rPr>
                <w:noProof/>
                <w:webHidden/>
              </w:rPr>
            </w:r>
            <w:r w:rsidR="0033596C">
              <w:rPr>
                <w:noProof/>
                <w:webHidden/>
              </w:rPr>
              <w:fldChar w:fldCharType="separate"/>
            </w:r>
            <w:r w:rsidR="0033596C">
              <w:rPr>
                <w:noProof/>
                <w:webHidden/>
              </w:rPr>
              <w:t>2</w:t>
            </w:r>
            <w:r w:rsidR="0033596C">
              <w:rPr>
                <w:noProof/>
                <w:webHidden/>
              </w:rPr>
              <w:fldChar w:fldCharType="end"/>
            </w:r>
          </w:hyperlink>
        </w:p>
        <w:p w:rsidR="0033596C" w:rsidRDefault="00D55377">
          <w:pPr>
            <w:pStyle w:val="TOC1"/>
            <w:rPr>
              <w:rFonts w:asciiTheme="minorHAnsi" w:eastAsiaTheme="minorEastAsia" w:hAnsiTheme="minorHAnsi" w:cstheme="minorBidi"/>
              <w:noProof/>
              <w:sz w:val="22"/>
              <w:lang w:eastAsia="en-GB"/>
            </w:rPr>
          </w:pPr>
          <w:hyperlink w:anchor="_Toc116548842" w:history="1">
            <w:r w:rsidR="0033596C" w:rsidRPr="008442C4">
              <w:rPr>
                <w:rStyle w:val="Hyperlink"/>
                <w:rFonts w:cs="Arial"/>
                <w:bCs/>
                <w:noProof/>
              </w:rPr>
              <w:t>Delivery Checklist</w:t>
            </w:r>
            <w:r w:rsidR="0033596C">
              <w:rPr>
                <w:noProof/>
                <w:webHidden/>
              </w:rPr>
              <w:tab/>
            </w:r>
            <w:r w:rsidR="0033596C">
              <w:rPr>
                <w:noProof/>
                <w:webHidden/>
              </w:rPr>
              <w:fldChar w:fldCharType="begin"/>
            </w:r>
            <w:r w:rsidR="0033596C">
              <w:rPr>
                <w:noProof/>
                <w:webHidden/>
              </w:rPr>
              <w:instrText xml:space="preserve"> PAGEREF _Toc116548842 \h </w:instrText>
            </w:r>
            <w:r w:rsidR="0033596C">
              <w:rPr>
                <w:noProof/>
                <w:webHidden/>
              </w:rPr>
            </w:r>
            <w:r w:rsidR="0033596C">
              <w:rPr>
                <w:noProof/>
                <w:webHidden/>
              </w:rPr>
              <w:fldChar w:fldCharType="separate"/>
            </w:r>
            <w:r w:rsidR="0033596C">
              <w:rPr>
                <w:noProof/>
                <w:webHidden/>
              </w:rPr>
              <w:t>2</w:t>
            </w:r>
            <w:r w:rsidR="0033596C">
              <w:rPr>
                <w:noProof/>
                <w:webHidden/>
              </w:rPr>
              <w:fldChar w:fldCharType="end"/>
            </w:r>
          </w:hyperlink>
        </w:p>
        <w:p w:rsidR="0033596C" w:rsidRDefault="00D55377">
          <w:pPr>
            <w:pStyle w:val="TOC1"/>
            <w:rPr>
              <w:rFonts w:asciiTheme="minorHAnsi" w:eastAsiaTheme="minorEastAsia" w:hAnsiTheme="minorHAnsi" w:cstheme="minorBidi"/>
              <w:noProof/>
              <w:sz w:val="22"/>
              <w:lang w:eastAsia="en-GB"/>
            </w:rPr>
          </w:pPr>
          <w:hyperlink w:anchor="_Toc116548843" w:history="1">
            <w:r w:rsidR="0033596C" w:rsidRPr="008442C4">
              <w:rPr>
                <w:rStyle w:val="Hyperlink"/>
                <w:rFonts w:cs="Arial"/>
                <w:bCs/>
                <w:noProof/>
              </w:rPr>
              <w:t>Commissioning Checklist</w:t>
            </w:r>
            <w:r w:rsidR="0033596C">
              <w:rPr>
                <w:noProof/>
                <w:webHidden/>
              </w:rPr>
              <w:tab/>
            </w:r>
            <w:r w:rsidR="0033596C">
              <w:rPr>
                <w:noProof/>
                <w:webHidden/>
              </w:rPr>
              <w:fldChar w:fldCharType="begin"/>
            </w:r>
            <w:r w:rsidR="0033596C">
              <w:rPr>
                <w:noProof/>
                <w:webHidden/>
              </w:rPr>
              <w:instrText xml:space="preserve"> PAGEREF _Toc116548843 \h </w:instrText>
            </w:r>
            <w:r w:rsidR="0033596C">
              <w:rPr>
                <w:noProof/>
                <w:webHidden/>
              </w:rPr>
            </w:r>
            <w:r w:rsidR="0033596C">
              <w:rPr>
                <w:noProof/>
                <w:webHidden/>
              </w:rPr>
              <w:fldChar w:fldCharType="separate"/>
            </w:r>
            <w:r w:rsidR="0033596C">
              <w:rPr>
                <w:noProof/>
                <w:webHidden/>
              </w:rPr>
              <w:t>2</w:t>
            </w:r>
            <w:r w:rsidR="0033596C">
              <w:rPr>
                <w:noProof/>
                <w:webHidden/>
              </w:rPr>
              <w:fldChar w:fldCharType="end"/>
            </w:r>
          </w:hyperlink>
        </w:p>
        <w:p w:rsidR="0033596C" w:rsidRDefault="00D55377">
          <w:pPr>
            <w:pStyle w:val="TOC1"/>
            <w:rPr>
              <w:rFonts w:asciiTheme="minorHAnsi" w:eastAsiaTheme="minorEastAsia" w:hAnsiTheme="minorHAnsi" w:cstheme="minorBidi"/>
              <w:noProof/>
              <w:sz w:val="22"/>
              <w:lang w:eastAsia="en-GB"/>
            </w:rPr>
          </w:pPr>
          <w:hyperlink w:anchor="_Toc116548844" w:history="1">
            <w:r w:rsidR="0033596C" w:rsidRPr="008442C4">
              <w:rPr>
                <w:rStyle w:val="Hyperlink"/>
                <w:rFonts w:cs="Arial"/>
                <w:bCs/>
                <w:noProof/>
              </w:rPr>
              <w:t>Questions for Tender</w:t>
            </w:r>
            <w:r w:rsidR="0033596C">
              <w:rPr>
                <w:noProof/>
                <w:webHidden/>
              </w:rPr>
              <w:tab/>
            </w:r>
            <w:r w:rsidR="0033596C">
              <w:rPr>
                <w:noProof/>
                <w:webHidden/>
              </w:rPr>
              <w:fldChar w:fldCharType="begin"/>
            </w:r>
            <w:r w:rsidR="0033596C">
              <w:rPr>
                <w:noProof/>
                <w:webHidden/>
              </w:rPr>
              <w:instrText xml:space="preserve"> PAGEREF _Toc116548844 \h </w:instrText>
            </w:r>
            <w:r w:rsidR="0033596C">
              <w:rPr>
                <w:noProof/>
                <w:webHidden/>
              </w:rPr>
            </w:r>
            <w:r w:rsidR="0033596C">
              <w:rPr>
                <w:noProof/>
                <w:webHidden/>
              </w:rPr>
              <w:fldChar w:fldCharType="separate"/>
            </w:r>
            <w:r w:rsidR="0033596C">
              <w:rPr>
                <w:noProof/>
                <w:webHidden/>
              </w:rPr>
              <w:t>2</w:t>
            </w:r>
            <w:r w:rsidR="0033596C">
              <w:rPr>
                <w:noProof/>
                <w:webHidden/>
              </w:rPr>
              <w:fldChar w:fldCharType="end"/>
            </w:r>
          </w:hyperlink>
        </w:p>
        <w:p w:rsidR="0033596C" w:rsidRDefault="00D55377">
          <w:pPr>
            <w:pStyle w:val="TOC1"/>
            <w:rPr>
              <w:rFonts w:asciiTheme="minorHAnsi" w:eastAsiaTheme="minorEastAsia" w:hAnsiTheme="minorHAnsi" w:cstheme="minorBidi"/>
              <w:noProof/>
              <w:sz w:val="22"/>
              <w:lang w:eastAsia="en-GB"/>
            </w:rPr>
          </w:pPr>
          <w:hyperlink w:anchor="_Toc116548845" w:history="1">
            <w:r w:rsidR="0033596C" w:rsidRPr="008442C4">
              <w:rPr>
                <w:rStyle w:val="Hyperlink"/>
                <w:rFonts w:cs="Arial"/>
                <w:bCs/>
                <w:noProof/>
              </w:rPr>
              <w:t>Commercial Response Sheet</w:t>
            </w:r>
            <w:r w:rsidR="0033596C">
              <w:rPr>
                <w:noProof/>
                <w:webHidden/>
              </w:rPr>
              <w:tab/>
            </w:r>
            <w:r w:rsidR="0033596C">
              <w:rPr>
                <w:noProof/>
                <w:webHidden/>
              </w:rPr>
              <w:fldChar w:fldCharType="begin"/>
            </w:r>
            <w:r w:rsidR="0033596C">
              <w:rPr>
                <w:noProof/>
                <w:webHidden/>
              </w:rPr>
              <w:instrText xml:space="preserve"> PAGEREF _Toc116548845 \h </w:instrText>
            </w:r>
            <w:r w:rsidR="0033596C">
              <w:rPr>
                <w:noProof/>
                <w:webHidden/>
              </w:rPr>
            </w:r>
            <w:r w:rsidR="0033596C">
              <w:rPr>
                <w:noProof/>
                <w:webHidden/>
              </w:rPr>
              <w:fldChar w:fldCharType="separate"/>
            </w:r>
            <w:r w:rsidR="0033596C">
              <w:rPr>
                <w:noProof/>
                <w:webHidden/>
              </w:rPr>
              <w:t>2</w:t>
            </w:r>
            <w:r w:rsidR="0033596C">
              <w:rPr>
                <w:noProof/>
                <w:webHidden/>
              </w:rPr>
              <w:fldChar w:fldCharType="end"/>
            </w:r>
          </w:hyperlink>
        </w:p>
        <w:p w:rsidR="0033596C" w:rsidRDefault="00D55377">
          <w:pPr>
            <w:pStyle w:val="TOC1"/>
            <w:rPr>
              <w:rFonts w:asciiTheme="minorHAnsi" w:eastAsiaTheme="minorEastAsia" w:hAnsiTheme="minorHAnsi" w:cstheme="minorBidi"/>
              <w:noProof/>
              <w:sz w:val="22"/>
              <w:lang w:eastAsia="en-GB"/>
            </w:rPr>
          </w:pPr>
          <w:hyperlink w:anchor="_Toc116548846" w:history="1">
            <w:r w:rsidR="0033596C" w:rsidRPr="008442C4">
              <w:rPr>
                <w:rStyle w:val="Hyperlink"/>
                <w:rFonts w:cs="Arial"/>
                <w:bCs/>
                <w:noProof/>
              </w:rPr>
              <w:t>Terms and Conditions</w:t>
            </w:r>
            <w:r w:rsidR="0033596C">
              <w:rPr>
                <w:noProof/>
                <w:webHidden/>
              </w:rPr>
              <w:tab/>
            </w:r>
            <w:r w:rsidR="0033596C">
              <w:rPr>
                <w:noProof/>
                <w:webHidden/>
              </w:rPr>
              <w:fldChar w:fldCharType="begin"/>
            </w:r>
            <w:r w:rsidR="0033596C">
              <w:rPr>
                <w:noProof/>
                <w:webHidden/>
              </w:rPr>
              <w:instrText xml:space="preserve"> PAGEREF _Toc116548846 \h </w:instrText>
            </w:r>
            <w:r w:rsidR="0033596C">
              <w:rPr>
                <w:noProof/>
                <w:webHidden/>
              </w:rPr>
            </w:r>
            <w:r w:rsidR="0033596C">
              <w:rPr>
                <w:noProof/>
                <w:webHidden/>
              </w:rPr>
              <w:fldChar w:fldCharType="separate"/>
            </w:r>
            <w:r w:rsidR="0033596C">
              <w:rPr>
                <w:noProof/>
                <w:webHidden/>
              </w:rPr>
              <w:t>2</w:t>
            </w:r>
            <w:r w:rsidR="0033596C">
              <w:rPr>
                <w:noProof/>
                <w:webHidden/>
              </w:rPr>
              <w:fldChar w:fldCharType="end"/>
            </w:r>
          </w:hyperlink>
        </w:p>
        <w:p w:rsidR="0033596C" w:rsidRDefault="00D55377">
          <w:pPr>
            <w:pStyle w:val="TOC1"/>
            <w:rPr>
              <w:rFonts w:asciiTheme="minorHAnsi" w:eastAsiaTheme="minorEastAsia" w:hAnsiTheme="minorHAnsi" w:cstheme="minorBidi"/>
              <w:noProof/>
              <w:sz w:val="22"/>
              <w:lang w:eastAsia="en-GB"/>
            </w:rPr>
          </w:pPr>
          <w:hyperlink w:anchor="_Toc116548847" w:history="1">
            <w:r w:rsidR="0033596C" w:rsidRPr="008442C4">
              <w:rPr>
                <w:rStyle w:val="Hyperlink"/>
                <w:rFonts w:cs="Arial"/>
                <w:noProof/>
              </w:rPr>
              <w:t>Schedule 1 Specification</w:t>
            </w:r>
            <w:r w:rsidR="0033596C">
              <w:rPr>
                <w:noProof/>
                <w:webHidden/>
              </w:rPr>
              <w:tab/>
            </w:r>
            <w:r w:rsidR="0033596C">
              <w:rPr>
                <w:noProof/>
                <w:webHidden/>
              </w:rPr>
              <w:fldChar w:fldCharType="begin"/>
            </w:r>
            <w:r w:rsidR="0033596C">
              <w:rPr>
                <w:noProof/>
                <w:webHidden/>
              </w:rPr>
              <w:instrText xml:space="preserve"> PAGEREF _Toc116548847 \h </w:instrText>
            </w:r>
            <w:r w:rsidR="0033596C">
              <w:rPr>
                <w:noProof/>
                <w:webHidden/>
              </w:rPr>
            </w:r>
            <w:r w:rsidR="0033596C">
              <w:rPr>
                <w:noProof/>
                <w:webHidden/>
              </w:rPr>
              <w:fldChar w:fldCharType="separate"/>
            </w:r>
            <w:r w:rsidR="0033596C">
              <w:rPr>
                <w:noProof/>
                <w:webHidden/>
              </w:rPr>
              <w:t>4</w:t>
            </w:r>
            <w:r w:rsidR="0033596C">
              <w:rPr>
                <w:noProof/>
                <w:webHidden/>
              </w:rPr>
              <w:fldChar w:fldCharType="end"/>
            </w:r>
          </w:hyperlink>
        </w:p>
        <w:p w:rsidR="0033596C" w:rsidRDefault="00D55377">
          <w:pPr>
            <w:pStyle w:val="TOC1"/>
            <w:rPr>
              <w:rFonts w:asciiTheme="minorHAnsi" w:eastAsiaTheme="minorEastAsia" w:hAnsiTheme="minorHAnsi" w:cstheme="minorBidi"/>
              <w:noProof/>
              <w:sz w:val="22"/>
              <w:lang w:eastAsia="en-GB"/>
            </w:rPr>
          </w:pPr>
          <w:hyperlink w:anchor="_Toc116548848" w:history="1">
            <w:r w:rsidR="0033596C" w:rsidRPr="008442C4">
              <w:rPr>
                <w:rStyle w:val="Hyperlink"/>
                <w:rFonts w:cs="Arial"/>
                <w:noProof/>
              </w:rPr>
              <w:t>This schedule details the goods and the location, and delivery, installation and commissioning requirements.</w:t>
            </w:r>
            <w:r w:rsidR="0033596C">
              <w:rPr>
                <w:noProof/>
                <w:webHidden/>
              </w:rPr>
              <w:tab/>
            </w:r>
            <w:r w:rsidR="0033596C">
              <w:rPr>
                <w:noProof/>
                <w:webHidden/>
              </w:rPr>
              <w:fldChar w:fldCharType="begin"/>
            </w:r>
            <w:r w:rsidR="0033596C">
              <w:rPr>
                <w:noProof/>
                <w:webHidden/>
              </w:rPr>
              <w:instrText xml:space="preserve"> PAGEREF _Toc116548848 \h </w:instrText>
            </w:r>
            <w:r w:rsidR="0033596C">
              <w:rPr>
                <w:noProof/>
                <w:webHidden/>
              </w:rPr>
            </w:r>
            <w:r w:rsidR="0033596C">
              <w:rPr>
                <w:noProof/>
                <w:webHidden/>
              </w:rPr>
              <w:fldChar w:fldCharType="separate"/>
            </w:r>
            <w:r w:rsidR="0033596C">
              <w:rPr>
                <w:noProof/>
                <w:webHidden/>
              </w:rPr>
              <w:t>4</w:t>
            </w:r>
            <w:r w:rsidR="0033596C">
              <w:rPr>
                <w:noProof/>
                <w:webHidden/>
              </w:rPr>
              <w:fldChar w:fldCharType="end"/>
            </w:r>
          </w:hyperlink>
        </w:p>
        <w:p w:rsidR="0033596C" w:rsidRDefault="00D55377">
          <w:pPr>
            <w:pStyle w:val="TOC1"/>
            <w:rPr>
              <w:rFonts w:asciiTheme="minorHAnsi" w:eastAsiaTheme="minorEastAsia" w:hAnsiTheme="minorHAnsi" w:cstheme="minorBidi"/>
              <w:noProof/>
              <w:sz w:val="22"/>
              <w:lang w:eastAsia="en-GB"/>
            </w:rPr>
          </w:pPr>
          <w:hyperlink w:anchor="_Toc116548849" w:history="1">
            <w:r w:rsidR="0033596C" w:rsidRPr="008442C4">
              <w:rPr>
                <w:rStyle w:val="Hyperlink"/>
                <w:noProof/>
              </w:rPr>
              <w:t>Company and Product Certifications</w:t>
            </w:r>
            <w:r w:rsidR="0033596C">
              <w:rPr>
                <w:noProof/>
                <w:webHidden/>
              </w:rPr>
              <w:tab/>
            </w:r>
            <w:r w:rsidR="0033596C">
              <w:rPr>
                <w:noProof/>
                <w:webHidden/>
              </w:rPr>
              <w:fldChar w:fldCharType="begin"/>
            </w:r>
            <w:r w:rsidR="0033596C">
              <w:rPr>
                <w:noProof/>
                <w:webHidden/>
              </w:rPr>
              <w:instrText xml:space="preserve"> PAGEREF _Toc116548849 \h </w:instrText>
            </w:r>
            <w:r w:rsidR="0033596C">
              <w:rPr>
                <w:noProof/>
                <w:webHidden/>
              </w:rPr>
            </w:r>
            <w:r w:rsidR="0033596C">
              <w:rPr>
                <w:noProof/>
                <w:webHidden/>
              </w:rPr>
              <w:fldChar w:fldCharType="separate"/>
            </w:r>
            <w:r w:rsidR="0033596C">
              <w:rPr>
                <w:noProof/>
                <w:webHidden/>
              </w:rPr>
              <w:t>4</w:t>
            </w:r>
            <w:r w:rsidR="0033596C">
              <w:rPr>
                <w:noProof/>
                <w:webHidden/>
              </w:rPr>
              <w:fldChar w:fldCharType="end"/>
            </w:r>
          </w:hyperlink>
        </w:p>
        <w:p w:rsidR="0033596C" w:rsidRDefault="00D55377">
          <w:pPr>
            <w:pStyle w:val="TOC1"/>
            <w:rPr>
              <w:rFonts w:asciiTheme="minorHAnsi" w:eastAsiaTheme="minorEastAsia" w:hAnsiTheme="minorHAnsi" w:cstheme="minorBidi"/>
              <w:noProof/>
              <w:sz w:val="22"/>
              <w:lang w:eastAsia="en-GB"/>
            </w:rPr>
          </w:pPr>
          <w:hyperlink w:anchor="_Toc116548850" w:history="1">
            <w:r w:rsidR="0033596C" w:rsidRPr="008442C4">
              <w:rPr>
                <w:rStyle w:val="Hyperlink"/>
                <w:noProof/>
              </w:rPr>
              <w:t>Sampling resolution, response times, limits of detection and stability on baseline</w:t>
            </w:r>
            <w:r w:rsidR="0033596C">
              <w:rPr>
                <w:noProof/>
                <w:webHidden/>
              </w:rPr>
              <w:tab/>
            </w:r>
            <w:r w:rsidR="0033596C">
              <w:rPr>
                <w:noProof/>
                <w:webHidden/>
              </w:rPr>
              <w:fldChar w:fldCharType="begin"/>
            </w:r>
            <w:r w:rsidR="0033596C">
              <w:rPr>
                <w:noProof/>
                <w:webHidden/>
              </w:rPr>
              <w:instrText xml:space="preserve"> PAGEREF _Toc116548850 \h </w:instrText>
            </w:r>
            <w:r w:rsidR="0033596C">
              <w:rPr>
                <w:noProof/>
                <w:webHidden/>
              </w:rPr>
            </w:r>
            <w:r w:rsidR="0033596C">
              <w:rPr>
                <w:noProof/>
                <w:webHidden/>
              </w:rPr>
              <w:fldChar w:fldCharType="separate"/>
            </w:r>
            <w:r w:rsidR="0033596C">
              <w:rPr>
                <w:noProof/>
                <w:webHidden/>
              </w:rPr>
              <w:t>5</w:t>
            </w:r>
            <w:r w:rsidR="0033596C">
              <w:rPr>
                <w:noProof/>
                <w:webHidden/>
              </w:rPr>
              <w:fldChar w:fldCharType="end"/>
            </w:r>
          </w:hyperlink>
        </w:p>
        <w:p w:rsidR="0033596C" w:rsidRDefault="00D55377">
          <w:pPr>
            <w:pStyle w:val="TOC1"/>
            <w:rPr>
              <w:rFonts w:asciiTheme="minorHAnsi" w:eastAsiaTheme="minorEastAsia" w:hAnsiTheme="minorHAnsi" w:cstheme="minorBidi"/>
              <w:noProof/>
              <w:sz w:val="22"/>
              <w:lang w:eastAsia="en-GB"/>
            </w:rPr>
          </w:pPr>
          <w:hyperlink w:anchor="_Toc116548851" w:history="1">
            <w:r w:rsidR="0033596C" w:rsidRPr="008442C4">
              <w:rPr>
                <w:rStyle w:val="Hyperlink"/>
                <w:noProof/>
              </w:rPr>
              <w:t>Calibration requirements</w:t>
            </w:r>
            <w:r w:rsidR="0033596C">
              <w:rPr>
                <w:noProof/>
                <w:webHidden/>
              </w:rPr>
              <w:tab/>
            </w:r>
            <w:r w:rsidR="0033596C">
              <w:rPr>
                <w:noProof/>
                <w:webHidden/>
              </w:rPr>
              <w:fldChar w:fldCharType="begin"/>
            </w:r>
            <w:r w:rsidR="0033596C">
              <w:rPr>
                <w:noProof/>
                <w:webHidden/>
              </w:rPr>
              <w:instrText xml:space="preserve"> PAGEREF _Toc116548851 \h </w:instrText>
            </w:r>
            <w:r w:rsidR="0033596C">
              <w:rPr>
                <w:noProof/>
                <w:webHidden/>
              </w:rPr>
            </w:r>
            <w:r w:rsidR="0033596C">
              <w:rPr>
                <w:noProof/>
                <w:webHidden/>
              </w:rPr>
              <w:fldChar w:fldCharType="separate"/>
            </w:r>
            <w:r w:rsidR="0033596C">
              <w:rPr>
                <w:noProof/>
                <w:webHidden/>
              </w:rPr>
              <w:t>5</w:t>
            </w:r>
            <w:r w:rsidR="0033596C">
              <w:rPr>
                <w:noProof/>
                <w:webHidden/>
              </w:rPr>
              <w:fldChar w:fldCharType="end"/>
            </w:r>
          </w:hyperlink>
        </w:p>
        <w:p w:rsidR="0033596C" w:rsidRDefault="00D55377">
          <w:pPr>
            <w:pStyle w:val="TOC1"/>
            <w:rPr>
              <w:rFonts w:asciiTheme="minorHAnsi" w:eastAsiaTheme="minorEastAsia" w:hAnsiTheme="minorHAnsi" w:cstheme="minorBidi"/>
              <w:noProof/>
              <w:sz w:val="22"/>
              <w:lang w:eastAsia="en-GB"/>
            </w:rPr>
          </w:pPr>
          <w:hyperlink w:anchor="_Toc116548852" w:history="1">
            <w:r w:rsidR="0033596C" w:rsidRPr="008442C4">
              <w:rPr>
                <w:rStyle w:val="Hyperlink"/>
                <w:noProof/>
              </w:rPr>
              <w:t>Operational Needs</w:t>
            </w:r>
            <w:r w:rsidR="0033596C">
              <w:rPr>
                <w:noProof/>
                <w:webHidden/>
              </w:rPr>
              <w:tab/>
            </w:r>
            <w:r w:rsidR="0033596C">
              <w:rPr>
                <w:noProof/>
                <w:webHidden/>
              </w:rPr>
              <w:fldChar w:fldCharType="begin"/>
            </w:r>
            <w:r w:rsidR="0033596C">
              <w:rPr>
                <w:noProof/>
                <w:webHidden/>
              </w:rPr>
              <w:instrText xml:space="preserve"> PAGEREF _Toc116548852 \h </w:instrText>
            </w:r>
            <w:r w:rsidR="0033596C">
              <w:rPr>
                <w:noProof/>
                <w:webHidden/>
              </w:rPr>
            </w:r>
            <w:r w:rsidR="0033596C">
              <w:rPr>
                <w:noProof/>
                <w:webHidden/>
              </w:rPr>
              <w:fldChar w:fldCharType="separate"/>
            </w:r>
            <w:r w:rsidR="0033596C">
              <w:rPr>
                <w:noProof/>
                <w:webHidden/>
              </w:rPr>
              <w:t>5</w:t>
            </w:r>
            <w:r w:rsidR="0033596C">
              <w:rPr>
                <w:noProof/>
                <w:webHidden/>
              </w:rPr>
              <w:fldChar w:fldCharType="end"/>
            </w:r>
          </w:hyperlink>
        </w:p>
        <w:p w:rsidR="0033596C" w:rsidRDefault="00D55377">
          <w:pPr>
            <w:pStyle w:val="TOC1"/>
            <w:rPr>
              <w:rFonts w:asciiTheme="minorHAnsi" w:eastAsiaTheme="minorEastAsia" w:hAnsiTheme="minorHAnsi" w:cstheme="minorBidi"/>
              <w:noProof/>
              <w:sz w:val="22"/>
              <w:lang w:eastAsia="en-GB"/>
            </w:rPr>
          </w:pPr>
          <w:hyperlink w:anchor="_Toc116548853" w:history="1">
            <w:r w:rsidR="0033596C" w:rsidRPr="008442C4">
              <w:rPr>
                <w:rStyle w:val="Hyperlink"/>
                <w:noProof/>
              </w:rPr>
              <w:t>Dimensions – size and existing infrastructure alignment</w:t>
            </w:r>
            <w:r w:rsidR="0033596C">
              <w:rPr>
                <w:noProof/>
                <w:webHidden/>
              </w:rPr>
              <w:tab/>
            </w:r>
            <w:r w:rsidR="0033596C">
              <w:rPr>
                <w:noProof/>
                <w:webHidden/>
              </w:rPr>
              <w:fldChar w:fldCharType="begin"/>
            </w:r>
            <w:r w:rsidR="0033596C">
              <w:rPr>
                <w:noProof/>
                <w:webHidden/>
              </w:rPr>
              <w:instrText xml:space="preserve"> PAGEREF _Toc116548853 \h </w:instrText>
            </w:r>
            <w:r w:rsidR="0033596C">
              <w:rPr>
                <w:noProof/>
                <w:webHidden/>
              </w:rPr>
            </w:r>
            <w:r w:rsidR="0033596C">
              <w:rPr>
                <w:noProof/>
                <w:webHidden/>
              </w:rPr>
              <w:fldChar w:fldCharType="separate"/>
            </w:r>
            <w:r w:rsidR="0033596C">
              <w:rPr>
                <w:noProof/>
                <w:webHidden/>
              </w:rPr>
              <w:t>6</w:t>
            </w:r>
            <w:r w:rsidR="0033596C">
              <w:rPr>
                <w:noProof/>
                <w:webHidden/>
              </w:rPr>
              <w:fldChar w:fldCharType="end"/>
            </w:r>
          </w:hyperlink>
        </w:p>
        <w:p w:rsidR="0033596C" w:rsidRDefault="00D55377">
          <w:pPr>
            <w:pStyle w:val="TOC1"/>
            <w:rPr>
              <w:rFonts w:asciiTheme="minorHAnsi" w:eastAsiaTheme="minorEastAsia" w:hAnsiTheme="minorHAnsi" w:cstheme="minorBidi"/>
              <w:noProof/>
              <w:sz w:val="22"/>
              <w:lang w:eastAsia="en-GB"/>
            </w:rPr>
          </w:pPr>
          <w:hyperlink w:anchor="_Toc116548854" w:history="1">
            <w:r w:rsidR="0033596C" w:rsidRPr="008442C4">
              <w:rPr>
                <w:rStyle w:val="Hyperlink"/>
                <w:noProof/>
              </w:rPr>
              <w:t>Alignment with AURN standards – comms; software, electrical safety; operating manuals; etc</w:t>
            </w:r>
            <w:r w:rsidR="0033596C">
              <w:rPr>
                <w:noProof/>
                <w:webHidden/>
              </w:rPr>
              <w:tab/>
            </w:r>
            <w:r w:rsidR="0033596C">
              <w:rPr>
                <w:noProof/>
                <w:webHidden/>
              </w:rPr>
              <w:fldChar w:fldCharType="begin"/>
            </w:r>
            <w:r w:rsidR="0033596C">
              <w:rPr>
                <w:noProof/>
                <w:webHidden/>
              </w:rPr>
              <w:instrText xml:space="preserve"> PAGEREF _Toc116548854 \h </w:instrText>
            </w:r>
            <w:r w:rsidR="0033596C">
              <w:rPr>
                <w:noProof/>
                <w:webHidden/>
              </w:rPr>
            </w:r>
            <w:r w:rsidR="0033596C">
              <w:rPr>
                <w:noProof/>
                <w:webHidden/>
              </w:rPr>
              <w:fldChar w:fldCharType="separate"/>
            </w:r>
            <w:r w:rsidR="0033596C">
              <w:rPr>
                <w:noProof/>
                <w:webHidden/>
              </w:rPr>
              <w:t>7</w:t>
            </w:r>
            <w:r w:rsidR="0033596C">
              <w:rPr>
                <w:noProof/>
                <w:webHidden/>
              </w:rPr>
              <w:fldChar w:fldCharType="end"/>
            </w:r>
          </w:hyperlink>
        </w:p>
        <w:p w:rsidR="0033596C" w:rsidRDefault="00D55377">
          <w:pPr>
            <w:pStyle w:val="TOC1"/>
            <w:rPr>
              <w:rFonts w:asciiTheme="minorHAnsi" w:eastAsiaTheme="minorEastAsia" w:hAnsiTheme="minorHAnsi" w:cstheme="minorBidi"/>
              <w:noProof/>
              <w:sz w:val="22"/>
              <w:lang w:eastAsia="en-GB"/>
            </w:rPr>
          </w:pPr>
          <w:hyperlink w:anchor="_Toc116548855" w:history="1">
            <w:r w:rsidR="0033596C" w:rsidRPr="008442C4">
              <w:rPr>
                <w:rStyle w:val="Hyperlink"/>
                <w:noProof/>
              </w:rPr>
              <w:t>1 Month Trial Test before Purchase</w:t>
            </w:r>
            <w:r w:rsidR="0033596C">
              <w:rPr>
                <w:noProof/>
                <w:webHidden/>
              </w:rPr>
              <w:tab/>
            </w:r>
            <w:r w:rsidR="0033596C">
              <w:rPr>
                <w:noProof/>
                <w:webHidden/>
              </w:rPr>
              <w:fldChar w:fldCharType="begin"/>
            </w:r>
            <w:r w:rsidR="0033596C">
              <w:rPr>
                <w:noProof/>
                <w:webHidden/>
              </w:rPr>
              <w:instrText xml:space="preserve"> PAGEREF _Toc116548855 \h </w:instrText>
            </w:r>
            <w:r w:rsidR="0033596C">
              <w:rPr>
                <w:noProof/>
                <w:webHidden/>
              </w:rPr>
            </w:r>
            <w:r w:rsidR="0033596C">
              <w:rPr>
                <w:noProof/>
                <w:webHidden/>
              </w:rPr>
              <w:fldChar w:fldCharType="separate"/>
            </w:r>
            <w:r w:rsidR="0033596C">
              <w:rPr>
                <w:noProof/>
                <w:webHidden/>
              </w:rPr>
              <w:t>9</w:t>
            </w:r>
            <w:r w:rsidR="0033596C">
              <w:rPr>
                <w:noProof/>
                <w:webHidden/>
              </w:rPr>
              <w:fldChar w:fldCharType="end"/>
            </w:r>
          </w:hyperlink>
        </w:p>
        <w:p w:rsidR="0033596C" w:rsidRDefault="00D55377">
          <w:pPr>
            <w:pStyle w:val="TOC1"/>
            <w:rPr>
              <w:rFonts w:asciiTheme="minorHAnsi" w:eastAsiaTheme="minorEastAsia" w:hAnsiTheme="minorHAnsi" w:cstheme="minorBidi"/>
              <w:noProof/>
              <w:sz w:val="22"/>
              <w:lang w:eastAsia="en-GB"/>
            </w:rPr>
          </w:pPr>
          <w:hyperlink w:anchor="_Toc116548856" w:history="1">
            <w:r w:rsidR="0033596C" w:rsidRPr="008442C4">
              <w:rPr>
                <w:rStyle w:val="Hyperlink"/>
                <w:noProof/>
              </w:rPr>
              <w:t>Spare Parts, Consumables, Warranty Guarantees and Service Capability</w:t>
            </w:r>
            <w:r w:rsidR="0033596C">
              <w:rPr>
                <w:noProof/>
                <w:webHidden/>
              </w:rPr>
              <w:tab/>
            </w:r>
            <w:r w:rsidR="0033596C">
              <w:rPr>
                <w:noProof/>
                <w:webHidden/>
              </w:rPr>
              <w:fldChar w:fldCharType="begin"/>
            </w:r>
            <w:r w:rsidR="0033596C">
              <w:rPr>
                <w:noProof/>
                <w:webHidden/>
              </w:rPr>
              <w:instrText xml:space="preserve"> PAGEREF _Toc116548856 \h </w:instrText>
            </w:r>
            <w:r w:rsidR="0033596C">
              <w:rPr>
                <w:noProof/>
                <w:webHidden/>
              </w:rPr>
            </w:r>
            <w:r w:rsidR="0033596C">
              <w:rPr>
                <w:noProof/>
                <w:webHidden/>
              </w:rPr>
              <w:fldChar w:fldCharType="separate"/>
            </w:r>
            <w:r w:rsidR="0033596C">
              <w:rPr>
                <w:noProof/>
                <w:webHidden/>
              </w:rPr>
              <w:t>10</w:t>
            </w:r>
            <w:r w:rsidR="0033596C">
              <w:rPr>
                <w:noProof/>
                <w:webHidden/>
              </w:rPr>
              <w:fldChar w:fldCharType="end"/>
            </w:r>
          </w:hyperlink>
        </w:p>
        <w:p w:rsidR="0033596C" w:rsidRDefault="00D55377">
          <w:pPr>
            <w:pStyle w:val="TOC1"/>
            <w:rPr>
              <w:rFonts w:asciiTheme="minorHAnsi" w:eastAsiaTheme="minorEastAsia" w:hAnsiTheme="minorHAnsi" w:cstheme="minorBidi"/>
              <w:noProof/>
              <w:sz w:val="22"/>
              <w:lang w:eastAsia="en-GB"/>
            </w:rPr>
          </w:pPr>
          <w:hyperlink w:anchor="_Toc116548857" w:history="1">
            <w:r w:rsidR="0033596C" w:rsidRPr="008442C4">
              <w:rPr>
                <w:rStyle w:val="Hyperlink"/>
                <w:noProof/>
              </w:rPr>
              <w:t>Health and Safety</w:t>
            </w:r>
            <w:r w:rsidR="0033596C">
              <w:rPr>
                <w:noProof/>
                <w:webHidden/>
              </w:rPr>
              <w:tab/>
            </w:r>
            <w:r w:rsidR="0033596C">
              <w:rPr>
                <w:noProof/>
                <w:webHidden/>
              </w:rPr>
              <w:fldChar w:fldCharType="begin"/>
            </w:r>
            <w:r w:rsidR="0033596C">
              <w:rPr>
                <w:noProof/>
                <w:webHidden/>
              </w:rPr>
              <w:instrText xml:space="preserve"> PAGEREF _Toc116548857 \h </w:instrText>
            </w:r>
            <w:r w:rsidR="0033596C">
              <w:rPr>
                <w:noProof/>
                <w:webHidden/>
              </w:rPr>
            </w:r>
            <w:r w:rsidR="0033596C">
              <w:rPr>
                <w:noProof/>
                <w:webHidden/>
              </w:rPr>
              <w:fldChar w:fldCharType="separate"/>
            </w:r>
            <w:r w:rsidR="0033596C">
              <w:rPr>
                <w:noProof/>
                <w:webHidden/>
              </w:rPr>
              <w:t>11</w:t>
            </w:r>
            <w:r w:rsidR="0033596C">
              <w:rPr>
                <w:noProof/>
                <w:webHidden/>
              </w:rPr>
              <w:fldChar w:fldCharType="end"/>
            </w:r>
          </w:hyperlink>
        </w:p>
        <w:p w:rsidR="0033596C" w:rsidRDefault="00D55377">
          <w:pPr>
            <w:pStyle w:val="TOC1"/>
            <w:rPr>
              <w:rFonts w:asciiTheme="minorHAnsi" w:eastAsiaTheme="minorEastAsia" w:hAnsiTheme="minorHAnsi" w:cstheme="minorBidi"/>
              <w:noProof/>
              <w:sz w:val="22"/>
              <w:lang w:eastAsia="en-GB"/>
            </w:rPr>
          </w:pPr>
          <w:hyperlink w:anchor="_Toc116548858" w:history="1">
            <w:r w:rsidR="0033596C" w:rsidRPr="008442C4">
              <w:rPr>
                <w:rStyle w:val="Hyperlink"/>
                <w:bCs/>
                <w:noProof/>
              </w:rPr>
              <w:t>Specifics of Payment</w:t>
            </w:r>
            <w:r w:rsidR="0033596C">
              <w:rPr>
                <w:noProof/>
                <w:webHidden/>
              </w:rPr>
              <w:tab/>
            </w:r>
            <w:r w:rsidR="0033596C">
              <w:rPr>
                <w:noProof/>
                <w:webHidden/>
              </w:rPr>
              <w:fldChar w:fldCharType="begin"/>
            </w:r>
            <w:r w:rsidR="0033596C">
              <w:rPr>
                <w:noProof/>
                <w:webHidden/>
              </w:rPr>
              <w:instrText xml:space="preserve"> PAGEREF _Toc116548858 \h </w:instrText>
            </w:r>
            <w:r w:rsidR="0033596C">
              <w:rPr>
                <w:noProof/>
                <w:webHidden/>
              </w:rPr>
            </w:r>
            <w:r w:rsidR="0033596C">
              <w:rPr>
                <w:noProof/>
                <w:webHidden/>
              </w:rPr>
              <w:fldChar w:fldCharType="separate"/>
            </w:r>
            <w:r w:rsidR="0033596C">
              <w:rPr>
                <w:noProof/>
                <w:webHidden/>
              </w:rPr>
              <w:t>12</w:t>
            </w:r>
            <w:r w:rsidR="0033596C">
              <w:rPr>
                <w:noProof/>
                <w:webHidden/>
              </w:rPr>
              <w:fldChar w:fldCharType="end"/>
            </w:r>
          </w:hyperlink>
        </w:p>
        <w:p w:rsidR="006F4442" w:rsidRPr="008E0AEA" w:rsidRDefault="006F4442" w:rsidP="006F4442">
          <w:pPr>
            <w:jc w:val="both"/>
            <w:rPr>
              <w:b/>
              <w:bCs/>
              <w:noProof/>
              <w:sz w:val="20"/>
              <w:szCs w:val="20"/>
            </w:rPr>
          </w:pPr>
          <w:r w:rsidRPr="008E0AEA">
            <w:rPr>
              <w:b/>
              <w:bCs/>
              <w:noProof/>
              <w:sz w:val="20"/>
              <w:szCs w:val="20"/>
            </w:rPr>
            <w:fldChar w:fldCharType="end"/>
          </w:r>
        </w:p>
      </w:sdtContent>
    </w:sdt>
    <w:tbl>
      <w:tblPr>
        <w:tblStyle w:val="TableGrid"/>
        <w:tblW w:w="0" w:type="auto"/>
        <w:tblInd w:w="360" w:type="dxa"/>
        <w:tblLook w:val="04A0" w:firstRow="1" w:lastRow="0" w:firstColumn="1" w:lastColumn="0" w:noHBand="0" w:noVBand="1"/>
      </w:tblPr>
      <w:tblGrid>
        <w:gridCol w:w="2329"/>
        <w:gridCol w:w="6327"/>
      </w:tblGrid>
      <w:tr w:rsidR="00587794" w:rsidTr="009C0913">
        <w:tc>
          <w:tcPr>
            <w:tcW w:w="2329" w:type="dxa"/>
          </w:tcPr>
          <w:p w:rsidR="00587794" w:rsidRPr="0033596C" w:rsidRDefault="00587794" w:rsidP="0033596C">
            <w:pPr>
              <w:rPr>
                <w:rFonts w:ascii="Arial" w:hAnsi="Arial" w:cs="Arial"/>
                <w:b/>
                <w:bCs/>
                <w:sz w:val="28"/>
                <w:szCs w:val="28"/>
              </w:rPr>
            </w:pPr>
            <w:r w:rsidRPr="0033596C">
              <w:rPr>
                <w:rFonts w:ascii="Arial" w:hAnsi="Arial" w:cs="Arial"/>
                <w:b/>
                <w:bCs/>
                <w:sz w:val="28"/>
                <w:szCs w:val="28"/>
              </w:rPr>
              <w:t>Appendix Number</w:t>
            </w:r>
          </w:p>
        </w:tc>
        <w:tc>
          <w:tcPr>
            <w:tcW w:w="6327" w:type="dxa"/>
          </w:tcPr>
          <w:p w:rsidR="00587794" w:rsidRPr="0033596C" w:rsidRDefault="00587794" w:rsidP="0033596C">
            <w:pPr>
              <w:rPr>
                <w:rFonts w:ascii="Arial" w:hAnsi="Arial" w:cs="Arial"/>
                <w:b/>
                <w:bCs/>
                <w:sz w:val="28"/>
                <w:szCs w:val="28"/>
              </w:rPr>
            </w:pPr>
            <w:r w:rsidRPr="0033596C">
              <w:rPr>
                <w:rFonts w:ascii="Arial" w:hAnsi="Arial" w:cs="Arial"/>
                <w:b/>
                <w:bCs/>
                <w:sz w:val="28"/>
                <w:szCs w:val="28"/>
              </w:rPr>
              <w:t>Title</w:t>
            </w:r>
          </w:p>
        </w:tc>
      </w:tr>
      <w:tr w:rsidR="00587794" w:rsidTr="009C0913">
        <w:tc>
          <w:tcPr>
            <w:tcW w:w="2329" w:type="dxa"/>
          </w:tcPr>
          <w:p w:rsidR="00587794" w:rsidRPr="00AE72E3" w:rsidRDefault="00587794" w:rsidP="009C0913">
            <w:pPr>
              <w:pStyle w:val="Caption"/>
              <w:jc w:val="both"/>
              <w:rPr>
                <w:rFonts w:ascii="Arial" w:hAnsi="Arial" w:cs="Arial"/>
                <w:b/>
                <w:bCs/>
                <w:sz w:val="22"/>
                <w:szCs w:val="22"/>
              </w:rPr>
            </w:pPr>
            <w:bookmarkStart w:id="0" w:name="_Ref116482351"/>
            <w:r w:rsidRPr="00AE72E3">
              <w:rPr>
                <w:rFonts w:ascii="Arial" w:hAnsi="Arial" w:cs="Arial"/>
                <w:b/>
                <w:bCs/>
                <w:i w:val="0"/>
                <w:iCs w:val="0"/>
                <w:color w:val="auto"/>
                <w:sz w:val="22"/>
                <w:szCs w:val="22"/>
                <w:lang w:eastAsia="en-US"/>
              </w:rPr>
              <w:t xml:space="preserve">Appendix </w:t>
            </w:r>
            <w:r w:rsidRPr="00AE72E3">
              <w:rPr>
                <w:rFonts w:cs="Arial"/>
                <w:b/>
                <w:bCs/>
                <w:i w:val="0"/>
                <w:iCs w:val="0"/>
                <w:color w:val="auto"/>
                <w:sz w:val="22"/>
                <w:szCs w:val="22"/>
              </w:rPr>
              <w:fldChar w:fldCharType="begin"/>
            </w:r>
            <w:r w:rsidRPr="00AE72E3">
              <w:rPr>
                <w:rFonts w:ascii="Arial" w:hAnsi="Arial" w:cs="Arial"/>
                <w:b/>
                <w:bCs/>
                <w:i w:val="0"/>
                <w:iCs w:val="0"/>
                <w:color w:val="auto"/>
                <w:sz w:val="22"/>
                <w:szCs w:val="22"/>
                <w:lang w:eastAsia="en-US"/>
              </w:rPr>
              <w:instrText xml:space="preserve"> SEQ Appendix \* ARABIC </w:instrText>
            </w:r>
            <w:r w:rsidRPr="00AE72E3">
              <w:rPr>
                <w:rFonts w:cs="Arial"/>
                <w:b/>
                <w:bCs/>
                <w:i w:val="0"/>
                <w:iCs w:val="0"/>
                <w:color w:val="auto"/>
                <w:sz w:val="22"/>
                <w:szCs w:val="22"/>
              </w:rPr>
              <w:fldChar w:fldCharType="separate"/>
            </w:r>
            <w:r w:rsidR="006512DB">
              <w:rPr>
                <w:rFonts w:ascii="Arial" w:hAnsi="Arial" w:cs="Arial"/>
                <w:b/>
                <w:bCs/>
                <w:i w:val="0"/>
                <w:iCs w:val="0"/>
                <w:noProof/>
                <w:color w:val="auto"/>
                <w:sz w:val="22"/>
                <w:szCs w:val="22"/>
                <w:lang w:eastAsia="en-US"/>
              </w:rPr>
              <w:t>1</w:t>
            </w:r>
            <w:r w:rsidRPr="00AE72E3">
              <w:rPr>
                <w:rFonts w:cs="Arial"/>
                <w:b/>
                <w:bCs/>
                <w:i w:val="0"/>
                <w:iCs w:val="0"/>
                <w:color w:val="auto"/>
                <w:sz w:val="22"/>
                <w:szCs w:val="22"/>
              </w:rPr>
              <w:fldChar w:fldCharType="end"/>
            </w:r>
            <w:bookmarkEnd w:id="0"/>
          </w:p>
        </w:tc>
        <w:tc>
          <w:tcPr>
            <w:tcW w:w="6327" w:type="dxa"/>
          </w:tcPr>
          <w:p w:rsidR="00587794" w:rsidRPr="00AE72E3" w:rsidRDefault="00891409" w:rsidP="006F4442">
            <w:pPr>
              <w:pStyle w:val="Heading1"/>
              <w:ind w:left="0"/>
              <w:outlineLvl w:val="0"/>
              <w:rPr>
                <w:rFonts w:ascii="Arial" w:hAnsi="Arial" w:cs="Arial"/>
                <w:bCs/>
                <w:sz w:val="22"/>
              </w:rPr>
            </w:pPr>
            <w:bookmarkStart w:id="1" w:name="_Toc116548838"/>
            <w:r>
              <w:rPr>
                <w:rFonts w:ascii="Arial" w:hAnsi="Arial" w:cs="Arial"/>
                <w:bCs/>
                <w:sz w:val="22"/>
              </w:rPr>
              <w:t xml:space="preserve">Environment </w:t>
            </w:r>
            <w:r w:rsidR="00587794" w:rsidRPr="00AE72E3">
              <w:rPr>
                <w:rFonts w:ascii="Arial" w:hAnsi="Arial" w:cs="Arial"/>
                <w:bCs/>
                <w:sz w:val="22"/>
              </w:rPr>
              <w:t>Agency</w:t>
            </w:r>
            <w:r>
              <w:rPr>
                <w:rFonts w:ascii="Arial" w:hAnsi="Arial" w:cs="Arial"/>
                <w:bCs/>
                <w:sz w:val="22"/>
              </w:rPr>
              <w:t xml:space="preserve"> - MEICA - D</w:t>
            </w:r>
            <w:r w:rsidR="00587794" w:rsidRPr="00AE72E3">
              <w:rPr>
                <w:rFonts w:ascii="Arial" w:hAnsi="Arial" w:cs="Arial"/>
                <w:bCs/>
                <w:sz w:val="22"/>
              </w:rPr>
              <w:t>ocumentation</w:t>
            </w:r>
            <w:bookmarkEnd w:id="1"/>
            <w:r w:rsidR="00587794" w:rsidRPr="00AE72E3">
              <w:rPr>
                <w:rFonts w:ascii="Arial" w:hAnsi="Arial" w:cs="Arial"/>
                <w:bCs/>
                <w:sz w:val="22"/>
              </w:rPr>
              <w:t xml:space="preserve"> </w:t>
            </w:r>
          </w:p>
        </w:tc>
      </w:tr>
      <w:tr w:rsidR="00AE72E3" w:rsidTr="009C0913">
        <w:tc>
          <w:tcPr>
            <w:tcW w:w="2329" w:type="dxa"/>
          </w:tcPr>
          <w:p w:rsidR="00AE72E3" w:rsidRPr="00E477D6" w:rsidRDefault="00AE72E3" w:rsidP="00AE72E3">
            <w:pPr>
              <w:pStyle w:val="Caption"/>
              <w:rPr>
                <w:rFonts w:ascii="Arial" w:hAnsi="Arial" w:cs="Arial"/>
                <w:b/>
                <w:bCs/>
                <w:i w:val="0"/>
                <w:iCs w:val="0"/>
                <w:color w:val="auto"/>
                <w:sz w:val="22"/>
                <w:szCs w:val="22"/>
              </w:rPr>
            </w:pPr>
            <w:bookmarkStart w:id="2" w:name="_Ref116478909"/>
            <w:r w:rsidRPr="00E477D6">
              <w:rPr>
                <w:rFonts w:ascii="Arial" w:hAnsi="Arial" w:cs="Arial"/>
                <w:b/>
                <w:bCs/>
                <w:i w:val="0"/>
                <w:iCs w:val="0"/>
                <w:color w:val="auto"/>
                <w:sz w:val="22"/>
                <w:szCs w:val="22"/>
              </w:rPr>
              <w:t xml:space="preserve">Appendix </w:t>
            </w:r>
            <w:r w:rsidRPr="00E477D6">
              <w:rPr>
                <w:rFonts w:cs="Arial"/>
                <w:b/>
                <w:bCs/>
                <w:i w:val="0"/>
                <w:iCs w:val="0"/>
                <w:color w:val="auto"/>
                <w:sz w:val="22"/>
                <w:szCs w:val="22"/>
              </w:rPr>
              <w:fldChar w:fldCharType="begin"/>
            </w:r>
            <w:r w:rsidRPr="00E477D6">
              <w:rPr>
                <w:rFonts w:ascii="Arial" w:hAnsi="Arial" w:cs="Arial"/>
                <w:b/>
                <w:bCs/>
                <w:i w:val="0"/>
                <w:iCs w:val="0"/>
                <w:color w:val="auto"/>
                <w:sz w:val="22"/>
                <w:szCs w:val="22"/>
              </w:rPr>
              <w:instrText xml:space="preserve"> SEQ Appendix \* ARABIC </w:instrText>
            </w:r>
            <w:r w:rsidRPr="00E477D6">
              <w:rPr>
                <w:rFonts w:cs="Arial"/>
                <w:b/>
                <w:bCs/>
                <w:i w:val="0"/>
                <w:iCs w:val="0"/>
                <w:color w:val="auto"/>
                <w:sz w:val="22"/>
                <w:szCs w:val="22"/>
              </w:rPr>
              <w:fldChar w:fldCharType="separate"/>
            </w:r>
            <w:r w:rsidR="006512DB">
              <w:rPr>
                <w:rFonts w:ascii="Arial" w:hAnsi="Arial" w:cs="Arial"/>
                <w:b/>
                <w:bCs/>
                <w:i w:val="0"/>
                <w:iCs w:val="0"/>
                <w:noProof/>
                <w:color w:val="auto"/>
                <w:sz w:val="22"/>
                <w:szCs w:val="22"/>
              </w:rPr>
              <w:t>2</w:t>
            </w:r>
            <w:r w:rsidRPr="00E477D6">
              <w:rPr>
                <w:rFonts w:cs="Arial"/>
                <w:b/>
                <w:bCs/>
                <w:i w:val="0"/>
                <w:iCs w:val="0"/>
                <w:color w:val="auto"/>
                <w:sz w:val="22"/>
                <w:szCs w:val="22"/>
              </w:rPr>
              <w:fldChar w:fldCharType="end"/>
            </w:r>
            <w:bookmarkEnd w:id="2"/>
          </w:p>
        </w:tc>
        <w:tc>
          <w:tcPr>
            <w:tcW w:w="6327" w:type="dxa"/>
          </w:tcPr>
          <w:p w:rsidR="00AE72E3" w:rsidRPr="00AE72E3" w:rsidRDefault="00891409" w:rsidP="00AE72E3">
            <w:pPr>
              <w:pStyle w:val="Heading1"/>
              <w:ind w:left="0"/>
              <w:outlineLvl w:val="0"/>
              <w:rPr>
                <w:rFonts w:ascii="Arial" w:hAnsi="Arial" w:cs="Arial"/>
                <w:bCs/>
                <w:sz w:val="22"/>
              </w:rPr>
            </w:pPr>
            <w:bookmarkStart w:id="3" w:name="_Toc116548839"/>
            <w:r>
              <w:rPr>
                <w:rFonts w:ascii="Arial" w:hAnsi="Arial" w:cs="Arial"/>
                <w:bCs/>
                <w:sz w:val="22"/>
              </w:rPr>
              <w:t xml:space="preserve">Environment </w:t>
            </w:r>
            <w:r w:rsidR="00F16B4B">
              <w:rPr>
                <w:rFonts w:ascii="Arial" w:hAnsi="Arial" w:cs="Arial"/>
                <w:bCs/>
                <w:sz w:val="22"/>
              </w:rPr>
              <w:t>Agency –</w:t>
            </w:r>
            <w:r>
              <w:rPr>
                <w:rFonts w:ascii="Arial" w:hAnsi="Arial" w:cs="Arial"/>
                <w:bCs/>
                <w:sz w:val="22"/>
              </w:rPr>
              <w:t xml:space="preserve"> MEICA - S</w:t>
            </w:r>
            <w:r w:rsidR="00F16B4B">
              <w:rPr>
                <w:rFonts w:ascii="Arial" w:hAnsi="Arial" w:cs="Arial"/>
                <w:bCs/>
                <w:sz w:val="22"/>
              </w:rPr>
              <w:t xml:space="preserve">tandard </w:t>
            </w:r>
            <w:r>
              <w:rPr>
                <w:rFonts w:ascii="Arial" w:hAnsi="Arial" w:cs="Arial"/>
                <w:bCs/>
                <w:sz w:val="22"/>
              </w:rPr>
              <w:t>S</w:t>
            </w:r>
            <w:r w:rsidR="00F16B4B">
              <w:rPr>
                <w:rFonts w:ascii="Arial" w:hAnsi="Arial" w:cs="Arial"/>
                <w:bCs/>
                <w:sz w:val="22"/>
              </w:rPr>
              <w:t>pecification</w:t>
            </w:r>
            <w:bookmarkEnd w:id="3"/>
          </w:p>
        </w:tc>
      </w:tr>
      <w:tr w:rsidR="00AE72E3" w:rsidTr="009C0913">
        <w:tc>
          <w:tcPr>
            <w:tcW w:w="2329" w:type="dxa"/>
          </w:tcPr>
          <w:p w:rsidR="00AE72E3" w:rsidRPr="00E477D6" w:rsidRDefault="00AE72E3" w:rsidP="00AE72E3">
            <w:pPr>
              <w:pStyle w:val="Caption"/>
              <w:rPr>
                <w:rFonts w:ascii="Arial" w:hAnsi="Arial" w:cs="Arial"/>
                <w:b/>
                <w:bCs/>
                <w:i w:val="0"/>
                <w:iCs w:val="0"/>
                <w:color w:val="auto"/>
                <w:sz w:val="22"/>
                <w:szCs w:val="22"/>
              </w:rPr>
            </w:pPr>
            <w:bookmarkStart w:id="4" w:name="_Ref116482196"/>
            <w:r w:rsidRPr="00E477D6">
              <w:rPr>
                <w:rFonts w:ascii="Arial" w:hAnsi="Arial" w:cs="Arial"/>
                <w:b/>
                <w:bCs/>
                <w:i w:val="0"/>
                <w:iCs w:val="0"/>
                <w:color w:val="auto"/>
                <w:sz w:val="22"/>
                <w:szCs w:val="22"/>
              </w:rPr>
              <w:t xml:space="preserve">Appendix </w:t>
            </w:r>
            <w:r w:rsidRPr="00E477D6">
              <w:rPr>
                <w:rFonts w:cs="Arial"/>
                <w:b/>
                <w:bCs/>
                <w:i w:val="0"/>
                <w:iCs w:val="0"/>
                <w:color w:val="auto"/>
                <w:sz w:val="22"/>
                <w:szCs w:val="22"/>
              </w:rPr>
              <w:fldChar w:fldCharType="begin"/>
            </w:r>
            <w:r w:rsidRPr="00E477D6">
              <w:rPr>
                <w:rFonts w:ascii="Arial" w:hAnsi="Arial" w:cs="Arial"/>
                <w:b/>
                <w:bCs/>
                <w:i w:val="0"/>
                <w:iCs w:val="0"/>
                <w:color w:val="auto"/>
                <w:sz w:val="22"/>
                <w:szCs w:val="22"/>
              </w:rPr>
              <w:instrText xml:space="preserve"> SEQ Appendix \* ARABIC </w:instrText>
            </w:r>
            <w:r w:rsidRPr="00E477D6">
              <w:rPr>
                <w:rFonts w:cs="Arial"/>
                <w:b/>
                <w:bCs/>
                <w:i w:val="0"/>
                <w:iCs w:val="0"/>
                <w:color w:val="auto"/>
                <w:sz w:val="22"/>
                <w:szCs w:val="22"/>
              </w:rPr>
              <w:fldChar w:fldCharType="separate"/>
            </w:r>
            <w:r w:rsidR="006512DB">
              <w:rPr>
                <w:rFonts w:ascii="Arial" w:hAnsi="Arial" w:cs="Arial"/>
                <w:b/>
                <w:bCs/>
                <w:i w:val="0"/>
                <w:iCs w:val="0"/>
                <w:noProof/>
                <w:color w:val="auto"/>
                <w:sz w:val="22"/>
                <w:szCs w:val="22"/>
              </w:rPr>
              <w:t>3</w:t>
            </w:r>
            <w:r w:rsidRPr="00E477D6">
              <w:rPr>
                <w:rFonts w:cs="Arial"/>
                <w:b/>
                <w:bCs/>
                <w:i w:val="0"/>
                <w:iCs w:val="0"/>
                <w:color w:val="auto"/>
                <w:sz w:val="22"/>
                <w:szCs w:val="22"/>
              </w:rPr>
              <w:fldChar w:fldCharType="end"/>
            </w:r>
            <w:bookmarkEnd w:id="4"/>
          </w:p>
          <w:p w:rsidR="00AE72E3" w:rsidRPr="00E477D6" w:rsidRDefault="00AE72E3" w:rsidP="00AE72E3">
            <w:pPr>
              <w:pStyle w:val="Heading1"/>
              <w:ind w:left="0"/>
              <w:outlineLvl w:val="0"/>
              <w:rPr>
                <w:rFonts w:ascii="Arial" w:hAnsi="Arial" w:cs="Arial"/>
                <w:bCs/>
                <w:sz w:val="22"/>
              </w:rPr>
            </w:pPr>
          </w:p>
        </w:tc>
        <w:tc>
          <w:tcPr>
            <w:tcW w:w="6327" w:type="dxa"/>
          </w:tcPr>
          <w:p w:rsidR="00AE72E3" w:rsidRPr="00AE72E3" w:rsidRDefault="00AE72E3" w:rsidP="00AE72E3">
            <w:pPr>
              <w:pStyle w:val="Heading1"/>
              <w:ind w:left="0"/>
              <w:outlineLvl w:val="0"/>
              <w:rPr>
                <w:rFonts w:ascii="Arial" w:hAnsi="Arial" w:cs="Arial"/>
                <w:bCs/>
                <w:sz w:val="22"/>
              </w:rPr>
            </w:pPr>
            <w:bookmarkStart w:id="5" w:name="_Toc116548840"/>
            <w:r w:rsidRPr="00AE72E3">
              <w:rPr>
                <w:rFonts w:ascii="Arial" w:hAnsi="Arial" w:cs="Arial"/>
                <w:bCs/>
                <w:sz w:val="22"/>
              </w:rPr>
              <w:t xml:space="preserve">AQ H&amp;S </w:t>
            </w:r>
            <w:bookmarkEnd w:id="5"/>
            <w:r w:rsidR="00891409">
              <w:rPr>
                <w:rFonts w:ascii="Arial" w:hAnsi="Arial" w:cs="Arial"/>
                <w:bCs/>
                <w:sz w:val="22"/>
              </w:rPr>
              <w:t>Guidance – Version 1</w:t>
            </w:r>
          </w:p>
        </w:tc>
      </w:tr>
      <w:tr w:rsidR="00AE72E3" w:rsidTr="009C0913">
        <w:tc>
          <w:tcPr>
            <w:tcW w:w="2329" w:type="dxa"/>
          </w:tcPr>
          <w:p w:rsidR="00E477D6" w:rsidRPr="00E477D6" w:rsidRDefault="00E477D6" w:rsidP="00E477D6">
            <w:pPr>
              <w:pStyle w:val="Caption"/>
              <w:rPr>
                <w:rFonts w:ascii="Arial" w:hAnsi="Arial" w:cs="Arial"/>
                <w:b/>
                <w:bCs/>
                <w:i w:val="0"/>
                <w:iCs w:val="0"/>
                <w:color w:val="auto"/>
                <w:sz w:val="22"/>
                <w:szCs w:val="22"/>
              </w:rPr>
            </w:pPr>
            <w:bookmarkStart w:id="6" w:name="_Ref116482245"/>
            <w:r w:rsidRPr="00E477D6">
              <w:rPr>
                <w:rFonts w:ascii="Arial" w:hAnsi="Arial" w:cs="Arial"/>
                <w:b/>
                <w:bCs/>
                <w:i w:val="0"/>
                <w:iCs w:val="0"/>
                <w:color w:val="auto"/>
                <w:sz w:val="22"/>
                <w:szCs w:val="22"/>
              </w:rPr>
              <w:t xml:space="preserve">Appendix </w:t>
            </w:r>
            <w:r w:rsidRPr="00E477D6">
              <w:rPr>
                <w:rFonts w:cs="Arial"/>
                <w:b/>
                <w:bCs/>
                <w:i w:val="0"/>
                <w:iCs w:val="0"/>
                <w:color w:val="auto"/>
                <w:sz w:val="22"/>
                <w:szCs w:val="22"/>
              </w:rPr>
              <w:fldChar w:fldCharType="begin"/>
            </w:r>
            <w:r w:rsidRPr="00E477D6">
              <w:rPr>
                <w:rFonts w:ascii="Arial" w:hAnsi="Arial" w:cs="Arial"/>
                <w:b/>
                <w:bCs/>
                <w:i w:val="0"/>
                <w:iCs w:val="0"/>
                <w:color w:val="auto"/>
                <w:sz w:val="22"/>
                <w:szCs w:val="22"/>
              </w:rPr>
              <w:instrText xml:space="preserve"> SEQ Appendix \* ARABIC </w:instrText>
            </w:r>
            <w:r w:rsidRPr="00E477D6">
              <w:rPr>
                <w:rFonts w:cs="Arial"/>
                <w:b/>
                <w:bCs/>
                <w:i w:val="0"/>
                <w:iCs w:val="0"/>
                <w:color w:val="auto"/>
                <w:sz w:val="22"/>
                <w:szCs w:val="22"/>
              </w:rPr>
              <w:fldChar w:fldCharType="separate"/>
            </w:r>
            <w:r w:rsidR="006512DB">
              <w:rPr>
                <w:rFonts w:ascii="Arial" w:hAnsi="Arial" w:cs="Arial"/>
                <w:b/>
                <w:bCs/>
                <w:i w:val="0"/>
                <w:iCs w:val="0"/>
                <w:noProof/>
                <w:color w:val="auto"/>
                <w:sz w:val="22"/>
                <w:szCs w:val="22"/>
              </w:rPr>
              <w:t>4</w:t>
            </w:r>
            <w:r w:rsidRPr="00E477D6">
              <w:rPr>
                <w:rFonts w:cs="Arial"/>
                <w:b/>
                <w:bCs/>
                <w:i w:val="0"/>
                <w:iCs w:val="0"/>
                <w:color w:val="auto"/>
                <w:sz w:val="22"/>
                <w:szCs w:val="22"/>
              </w:rPr>
              <w:fldChar w:fldCharType="end"/>
            </w:r>
            <w:bookmarkEnd w:id="6"/>
          </w:p>
          <w:p w:rsidR="00AE72E3" w:rsidRPr="00E477D6" w:rsidRDefault="00AE72E3" w:rsidP="00AE72E3">
            <w:pPr>
              <w:pStyle w:val="Heading1"/>
              <w:ind w:left="0"/>
              <w:outlineLvl w:val="0"/>
              <w:rPr>
                <w:rFonts w:ascii="Arial" w:hAnsi="Arial" w:cs="Arial"/>
                <w:bCs/>
                <w:sz w:val="22"/>
              </w:rPr>
            </w:pPr>
          </w:p>
        </w:tc>
        <w:tc>
          <w:tcPr>
            <w:tcW w:w="6327" w:type="dxa"/>
          </w:tcPr>
          <w:p w:rsidR="00AE72E3" w:rsidRPr="00AE72E3" w:rsidRDefault="00891409" w:rsidP="00AE72E3">
            <w:pPr>
              <w:pStyle w:val="Heading1"/>
              <w:ind w:left="0"/>
              <w:outlineLvl w:val="0"/>
              <w:rPr>
                <w:rFonts w:ascii="Arial" w:hAnsi="Arial" w:cs="Arial"/>
                <w:bCs/>
                <w:sz w:val="22"/>
              </w:rPr>
            </w:pPr>
            <w:bookmarkStart w:id="7" w:name="_Toc116548841"/>
            <w:r>
              <w:rPr>
                <w:rFonts w:ascii="Arial" w:hAnsi="Arial" w:cs="Arial"/>
                <w:bCs/>
                <w:sz w:val="22"/>
              </w:rPr>
              <w:t>Contract Tender</w:t>
            </w:r>
            <w:r w:rsidR="00AE72E3" w:rsidRPr="00AE72E3">
              <w:rPr>
                <w:rFonts w:ascii="Arial" w:hAnsi="Arial" w:cs="Arial"/>
                <w:bCs/>
                <w:sz w:val="22"/>
              </w:rPr>
              <w:t xml:space="preserve"> Questionnaire</w:t>
            </w:r>
            <w:bookmarkEnd w:id="7"/>
          </w:p>
        </w:tc>
      </w:tr>
      <w:tr w:rsidR="00AE72E3" w:rsidTr="009C0913">
        <w:tc>
          <w:tcPr>
            <w:tcW w:w="2329" w:type="dxa"/>
          </w:tcPr>
          <w:p w:rsidR="00E477D6" w:rsidRPr="00E477D6" w:rsidRDefault="00E477D6" w:rsidP="00E477D6">
            <w:pPr>
              <w:pStyle w:val="Caption"/>
              <w:rPr>
                <w:rFonts w:ascii="Arial" w:hAnsi="Arial" w:cs="Arial"/>
                <w:b/>
                <w:bCs/>
                <w:i w:val="0"/>
                <w:iCs w:val="0"/>
                <w:color w:val="auto"/>
                <w:sz w:val="22"/>
                <w:szCs w:val="22"/>
              </w:rPr>
            </w:pPr>
            <w:bookmarkStart w:id="8" w:name="_Ref116478946"/>
            <w:r w:rsidRPr="00E477D6">
              <w:rPr>
                <w:rFonts w:ascii="Arial" w:hAnsi="Arial" w:cs="Arial"/>
                <w:b/>
                <w:bCs/>
                <w:i w:val="0"/>
                <w:iCs w:val="0"/>
                <w:color w:val="auto"/>
                <w:sz w:val="22"/>
                <w:szCs w:val="22"/>
              </w:rPr>
              <w:t xml:space="preserve">Appendix </w:t>
            </w:r>
            <w:r w:rsidRPr="00E477D6">
              <w:rPr>
                <w:rFonts w:cs="Arial"/>
                <w:b/>
                <w:bCs/>
                <w:i w:val="0"/>
                <w:iCs w:val="0"/>
                <w:color w:val="auto"/>
                <w:sz w:val="22"/>
                <w:szCs w:val="22"/>
              </w:rPr>
              <w:fldChar w:fldCharType="begin"/>
            </w:r>
            <w:r w:rsidRPr="00E477D6">
              <w:rPr>
                <w:rFonts w:ascii="Arial" w:hAnsi="Arial" w:cs="Arial"/>
                <w:b/>
                <w:bCs/>
                <w:i w:val="0"/>
                <w:iCs w:val="0"/>
                <w:color w:val="auto"/>
                <w:sz w:val="22"/>
                <w:szCs w:val="22"/>
              </w:rPr>
              <w:instrText xml:space="preserve"> SEQ Appendix \* ARABIC </w:instrText>
            </w:r>
            <w:r w:rsidRPr="00E477D6">
              <w:rPr>
                <w:rFonts w:cs="Arial"/>
                <w:b/>
                <w:bCs/>
                <w:i w:val="0"/>
                <w:iCs w:val="0"/>
                <w:color w:val="auto"/>
                <w:sz w:val="22"/>
                <w:szCs w:val="22"/>
              </w:rPr>
              <w:fldChar w:fldCharType="separate"/>
            </w:r>
            <w:r w:rsidR="006512DB">
              <w:rPr>
                <w:rFonts w:ascii="Arial" w:hAnsi="Arial" w:cs="Arial"/>
                <w:b/>
                <w:bCs/>
                <w:i w:val="0"/>
                <w:iCs w:val="0"/>
                <w:noProof/>
                <w:color w:val="auto"/>
                <w:sz w:val="22"/>
                <w:szCs w:val="22"/>
              </w:rPr>
              <w:t>5</w:t>
            </w:r>
            <w:r w:rsidRPr="00E477D6">
              <w:rPr>
                <w:rFonts w:cs="Arial"/>
                <w:b/>
                <w:bCs/>
                <w:i w:val="0"/>
                <w:iCs w:val="0"/>
                <w:color w:val="auto"/>
                <w:sz w:val="22"/>
                <w:szCs w:val="22"/>
              </w:rPr>
              <w:fldChar w:fldCharType="end"/>
            </w:r>
            <w:bookmarkEnd w:id="8"/>
          </w:p>
          <w:p w:rsidR="00AE72E3" w:rsidRPr="00E477D6" w:rsidRDefault="00AE72E3" w:rsidP="00AE72E3">
            <w:pPr>
              <w:pStyle w:val="Heading1"/>
              <w:ind w:left="0"/>
              <w:outlineLvl w:val="0"/>
              <w:rPr>
                <w:rFonts w:ascii="Arial" w:hAnsi="Arial" w:cs="Arial"/>
                <w:bCs/>
                <w:sz w:val="22"/>
              </w:rPr>
            </w:pPr>
          </w:p>
        </w:tc>
        <w:tc>
          <w:tcPr>
            <w:tcW w:w="6327" w:type="dxa"/>
          </w:tcPr>
          <w:p w:rsidR="00AE72E3" w:rsidRPr="00AE72E3" w:rsidRDefault="00AE72E3" w:rsidP="00AE72E3">
            <w:pPr>
              <w:pStyle w:val="Heading1"/>
              <w:ind w:left="0"/>
              <w:outlineLvl w:val="0"/>
              <w:rPr>
                <w:rFonts w:ascii="Arial" w:hAnsi="Arial" w:cs="Arial"/>
                <w:bCs/>
                <w:sz w:val="22"/>
              </w:rPr>
            </w:pPr>
            <w:bookmarkStart w:id="9" w:name="_Toc116548842"/>
            <w:r w:rsidRPr="00AE72E3">
              <w:rPr>
                <w:rFonts w:ascii="Arial" w:hAnsi="Arial" w:cs="Arial"/>
                <w:bCs/>
                <w:sz w:val="22"/>
              </w:rPr>
              <w:t>Delivery Checklist</w:t>
            </w:r>
            <w:bookmarkEnd w:id="9"/>
            <w:r w:rsidR="00953209">
              <w:rPr>
                <w:rFonts w:ascii="Arial" w:hAnsi="Arial" w:cs="Arial"/>
                <w:bCs/>
                <w:sz w:val="22"/>
              </w:rPr>
              <w:t xml:space="preserve"> </w:t>
            </w:r>
          </w:p>
        </w:tc>
      </w:tr>
      <w:tr w:rsidR="00AE72E3" w:rsidTr="009C0913">
        <w:tc>
          <w:tcPr>
            <w:tcW w:w="2329" w:type="dxa"/>
          </w:tcPr>
          <w:p w:rsidR="00E477D6" w:rsidRPr="00F16B4B" w:rsidRDefault="00E477D6" w:rsidP="00E477D6">
            <w:pPr>
              <w:pStyle w:val="Caption"/>
              <w:rPr>
                <w:rFonts w:ascii="Arial" w:hAnsi="Arial" w:cs="Arial"/>
                <w:b/>
                <w:bCs/>
                <w:i w:val="0"/>
                <w:iCs w:val="0"/>
                <w:color w:val="auto"/>
                <w:sz w:val="22"/>
                <w:szCs w:val="22"/>
              </w:rPr>
            </w:pPr>
            <w:bookmarkStart w:id="10" w:name="_Ref116478952"/>
            <w:r w:rsidRPr="00F16B4B">
              <w:rPr>
                <w:rFonts w:ascii="Arial" w:hAnsi="Arial" w:cs="Arial"/>
                <w:b/>
                <w:bCs/>
                <w:i w:val="0"/>
                <w:iCs w:val="0"/>
                <w:color w:val="auto"/>
                <w:sz w:val="22"/>
                <w:szCs w:val="22"/>
              </w:rPr>
              <w:t xml:space="preserve">Appendix </w:t>
            </w:r>
            <w:r w:rsidRPr="00F16B4B">
              <w:rPr>
                <w:rFonts w:cs="Arial"/>
                <w:b/>
                <w:bCs/>
                <w:i w:val="0"/>
                <w:iCs w:val="0"/>
                <w:color w:val="auto"/>
                <w:sz w:val="22"/>
                <w:szCs w:val="22"/>
              </w:rPr>
              <w:fldChar w:fldCharType="begin"/>
            </w:r>
            <w:r w:rsidRPr="00F16B4B">
              <w:rPr>
                <w:rFonts w:ascii="Arial" w:hAnsi="Arial" w:cs="Arial"/>
                <w:b/>
                <w:bCs/>
                <w:i w:val="0"/>
                <w:iCs w:val="0"/>
                <w:color w:val="auto"/>
                <w:sz w:val="22"/>
                <w:szCs w:val="22"/>
              </w:rPr>
              <w:instrText xml:space="preserve"> SEQ Appendix \* ARABIC </w:instrText>
            </w:r>
            <w:r w:rsidRPr="00F16B4B">
              <w:rPr>
                <w:rFonts w:cs="Arial"/>
                <w:b/>
                <w:bCs/>
                <w:i w:val="0"/>
                <w:iCs w:val="0"/>
                <w:color w:val="auto"/>
                <w:sz w:val="22"/>
                <w:szCs w:val="22"/>
              </w:rPr>
              <w:fldChar w:fldCharType="separate"/>
            </w:r>
            <w:r w:rsidR="006512DB">
              <w:rPr>
                <w:rFonts w:ascii="Arial" w:hAnsi="Arial" w:cs="Arial"/>
                <w:b/>
                <w:bCs/>
                <w:i w:val="0"/>
                <w:iCs w:val="0"/>
                <w:noProof/>
                <w:color w:val="auto"/>
                <w:sz w:val="22"/>
                <w:szCs w:val="22"/>
              </w:rPr>
              <w:t>6</w:t>
            </w:r>
            <w:r w:rsidRPr="00F16B4B">
              <w:rPr>
                <w:rFonts w:cs="Arial"/>
                <w:b/>
                <w:bCs/>
                <w:i w:val="0"/>
                <w:iCs w:val="0"/>
                <w:color w:val="auto"/>
                <w:sz w:val="22"/>
                <w:szCs w:val="22"/>
              </w:rPr>
              <w:fldChar w:fldCharType="end"/>
            </w:r>
            <w:bookmarkEnd w:id="10"/>
          </w:p>
          <w:p w:rsidR="00AE72E3" w:rsidRPr="00F16B4B" w:rsidRDefault="00AE72E3" w:rsidP="00AE72E3">
            <w:pPr>
              <w:pStyle w:val="Heading1"/>
              <w:ind w:left="0"/>
              <w:outlineLvl w:val="0"/>
              <w:rPr>
                <w:rFonts w:ascii="Arial" w:hAnsi="Arial" w:cs="Arial"/>
                <w:bCs/>
                <w:sz w:val="22"/>
              </w:rPr>
            </w:pPr>
          </w:p>
        </w:tc>
        <w:tc>
          <w:tcPr>
            <w:tcW w:w="6327" w:type="dxa"/>
          </w:tcPr>
          <w:p w:rsidR="00AE72E3" w:rsidRPr="00AE72E3" w:rsidRDefault="00AE72E3" w:rsidP="00AE72E3">
            <w:pPr>
              <w:pStyle w:val="Heading1"/>
              <w:keepNext/>
              <w:ind w:left="0"/>
              <w:outlineLvl w:val="0"/>
              <w:rPr>
                <w:rFonts w:ascii="Arial" w:hAnsi="Arial" w:cs="Arial"/>
                <w:bCs/>
                <w:sz w:val="22"/>
              </w:rPr>
            </w:pPr>
            <w:bookmarkStart w:id="11" w:name="_Toc116548843"/>
            <w:r w:rsidRPr="00AE72E3">
              <w:rPr>
                <w:rFonts w:ascii="Arial" w:hAnsi="Arial" w:cs="Arial"/>
                <w:bCs/>
                <w:sz w:val="22"/>
              </w:rPr>
              <w:t>Commissioning Checklist</w:t>
            </w:r>
            <w:bookmarkEnd w:id="11"/>
          </w:p>
        </w:tc>
      </w:tr>
      <w:tr w:rsidR="00F16B4B" w:rsidTr="009C0913">
        <w:tc>
          <w:tcPr>
            <w:tcW w:w="2329" w:type="dxa"/>
          </w:tcPr>
          <w:p w:rsidR="00F16B4B" w:rsidRPr="00E162DE" w:rsidRDefault="00E162DE" w:rsidP="00E477D6">
            <w:pPr>
              <w:pStyle w:val="Caption"/>
              <w:rPr>
                <w:rFonts w:ascii="Arial" w:hAnsi="Arial" w:cs="Arial"/>
                <w:b/>
                <w:bCs/>
                <w:i w:val="0"/>
                <w:iCs w:val="0"/>
                <w:color w:val="auto"/>
                <w:sz w:val="22"/>
                <w:szCs w:val="22"/>
              </w:rPr>
            </w:pPr>
            <w:r w:rsidRPr="00E162DE">
              <w:rPr>
                <w:rFonts w:ascii="Arial" w:hAnsi="Arial" w:cs="Arial"/>
                <w:b/>
                <w:bCs/>
                <w:i w:val="0"/>
                <w:iCs w:val="0"/>
                <w:color w:val="auto"/>
                <w:sz w:val="22"/>
                <w:szCs w:val="22"/>
              </w:rPr>
              <w:t xml:space="preserve">Appendix </w:t>
            </w:r>
            <w:r w:rsidRPr="00E162DE">
              <w:rPr>
                <w:rFonts w:cs="Arial"/>
                <w:b/>
                <w:bCs/>
                <w:i w:val="0"/>
                <w:iCs w:val="0"/>
                <w:color w:val="auto"/>
                <w:sz w:val="22"/>
                <w:szCs w:val="22"/>
              </w:rPr>
              <w:fldChar w:fldCharType="begin"/>
            </w:r>
            <w:r w:rsidRPr="00E162DE">
              <w:rPr>
                <w:rFonts w:ascii="Arial" w:hAnsi="Arial" w:cs="Arial"/>
                <w:b/>
                <w:bCs/>
                <w:i w:val="0"/>
                <w:iCs w:val="0"/>
                <w:color w:val="auto"/>
                <w:sz w:val="22"/>
                <w:szCs w:val="22"/>
              </w:rPr>
              <w:instrText xml:space="preserve"> SEQ Appendix \* ARABIC </w:instrText>
            </w:r>
            <w:r w:rsidRPr="00E162DE">
              <w:rPr>
                <w:rFonts w:cs="Arial"/>
                <w:b/>
                <w:bCs/>
                <w:i w:val="0"/>
                <w:iCs w:val="0"/>
                <w:color w:val="auto"/>
                <w:sz w:val="22"/>
                <w:szCs w:val="22"/>
              </w:rPr>
              <w:fldChar w:fldCharType="separate"/>
            </w:r>
            <w:r w:rsidR="006512DB">
              <w:rPr>
                <w:rFonts w:ascii="Arial" w:hAnsi="Arial" w:cs="Arial"/>
                <w:b/>
                <w:bCs/>
                <w:i w:val="0"/>
                <w:iCs w:val="0"/>
                <w:noProof/>
                <w:color w:val="auto"/>
                <w:sz w:val="22"/>
                <w:szCs w:val="22"/>
              </w:rPr>
              <w:t>7</w:t>
            </w:r>
            <w:r w:rsidRPr="00E162DE">
              <w:rPr>
                <w:rFonts w:cs="Arial"/>
                <w:b/>
                <w:bCs/>
                <w:i w:val="0"/>
                <w:iCs w:val="0"/>
                <w:color w:val="auto"/>
                <w:sz w:val="22"/>
                <w:szCs w:val="22"/>
              </w:rPr>
              <w:fldChar w:fldCharType="end"/>
            </w:r>
          </w:p>
        </w:tc>
        <w:tc>
          <w:tcPr>
            <w:tcW w:w="6327" w:type="dxa"/>
          </w:tcPr>
          <w:p w:rsidR="00F16B4B" w:rsidRPr="00AE72E3" w:rsidRDefault="00F16B4B" w:rsidP="00F16B4B">
            <w:pPr>
              <w:pStyle w:val="Heading1"/>
              <w:keepNext/>
              <w:ind w:left="0"/>
              <w:outlineLvl w:val="0"/>
              <w:rPr>
                <w:rFonts w:ascii="Arial" w:hAnsi="Arial" w:cs="Arial"/>
                <w:bCs/>
                <w:sz w:val="22"/>
              </w:rPr>
            </w:pPr>
            <w:bookmarkStart w:id="12" w:name="_Toc116548844"/>
            <w:r>
              <w:rPr>
                <w:rFonts w:ascii="Arial" w:hAnsi="Arial" w:cs="Arial"/>
                <w:bCs/>
                <w:sz w:val="22"/>
              </w:rPr>
              <w:t>Questions for Tender</w:t>
            </w:r>
            <w:bookmarkEnd w:id="12"/>
          </w:p>
        </w:tc>
      </w:tr>
      <w:tr w:rsidR="00F16B4B" w:rsidTr="009C0913">
        <w:tc>
          <w:tcPr>
            <w:tcW w:w="2329" w:type="dxa"/>
          </w:tcPr>
          <w:p w:rsidR="00E162DE" w:rsidRPr="00E162DE" w:rsidRDefault="00E162DE" w:rsidP="00E162DE">
            <w:pPr>
              <w:pStyle w:val="Caption"/>
              <w:rPr>
                <w:rFonts w:ascii="Arial" w:hAnsi="Arial" w:cs="Arial"/>
                <w:b/>
                <w:bCs/>
                <w:i w:val="0"/>
                <w:iCs w:val="0"/>
                <w:color w:val="auto"/>
                <w:sz w:val="22"/>
                <w:szCs w:val="22"/>
              </w:rPr>
            </w:pPr>
            <w:bookmarkStart w:id="13" w:name="_Ref116483057"/>
            <w:r w:rsidRPr="00E162DE">
              <w:rPr>
                <w:rFonts w:ascii="Arial" w:hAnsi="Arial" w:cs="Arial"/>
                <w:b/>
                <w:bCs/>
                <w:i w:val="0"/>
                <w:iCs w:val="0"/>
                <w:color w:val="auto"/>
                <w:sz w:val="22"/>
                <w:szCs w:val="22"/>
              </w:rPr>
              <w:t xml:space="preserve">Appendix </w:t>
            </w:r>
            <w:r w:rsidRPr="00E162DE">
              <w:rPr>
                <w:rFonts w:cs="Arial"/>
                <w:b/>
                <w:bCs/>
                <w:i w:val="0"/>
                <w:iCs w:val="0"/>
                <w:color w:val="auto"/>
                <w:sz w:val="22"/>
                <w:szCs w:val="22"/>
              </w:rPr>
              <w:fldChar w:fldCharType="begin"/>
            </w:r>
            <w:r w:rsidRPr="00E162DE">
              <w:rPr>
                <w:rFonts w:ascii="Arial" w:hAnsi="Arial" w:cs="Arial"/>
                <w:b/>
                <w:bCs/>
                <w:i w:val="0"/>
                <w:iCs w:val="0"/>
                <w:color w:val="auto"/>
                <w:sz w:val="22"/>
                <w:szCs w:val="22"/>
              </w:rPr>
              <w:instrText xml:space="preserve"> SEQ Appendix \* ARABIC </w:instrText>
            </w:r>
            <w:r w:rsidRPr="00E162DE">
              <w:rPr>
                <w:rFonts w:cs="Arial"/>
                <w:b/>
                <w:bCs/>
                <w:i w:val="0"/>
                <w:iCs w:val="0"/>
                <w:color w:val="auto"/>
                <w:sz w:val="22"/>
                <w:szCs w:val="22"/>
              </w:rPr>
              <w:fldChar w:fldCharType="separate"/>
            </w:r>
            <w:r w:rsidR="006512DB">
              <w:rPr>
                <w:rFonts w:ascii="Arial" w:hAnsi="Arial" w:cs="Arial"/>
                <w:b/>
                <w:bCs/>
                <w:i w:val="0"/>
                <w:iCs w:val="0"/>
                <w:noProof/>
                <w:color w:val="auto"/>
                <w:sz w:val="22"/>
                <w:szCs w:val="22"/>
              </w:rPr>
              <w:t>8</w:t>
            </w:r>
            <w:r w:rsidRPr="00E162DE">
              <w:rPr>
                <w:rFonts w:cs="Arial"/>
                <w:b/>
                <w:bCs/>
                <w:i w:val="0"/>
                <w:iCs w:val="0"/>
                <w:color w:val="auto"/>
                <w:sz w:val="22"/>
                <w:szCs w:val="22"/>
              </w:rPr>
              <w:fldChar w:fldCharType="end"/>
            </w:r>
            <w:bookmarkEnd w:id="13"/>
          </w:p>
          <w:p w:rsidR="00F16B4B" w:rsidRPr="00E162DE" w:rsidRDefault="00F16B4B" w:rsidP="00F16B4B">
            <w:pPr>
              <w:pStyle w:val="Caption"/>
              <w:rPr>
                <w:rFonts w:ascii="Arial" w:hAnsi="Arial" w:cs="Arial"/>
                <w:b/>
                <w:bCs/>
                <w:i w:val="0"/>
                <w:iCs w:val="0"/>
                <w:color w:val="auto"/>
                <w:sz w:val="22"/>
                <w:szCs w:val="22"/>
              </w:rPr>
            </w:pPr>
          </w:p>
          <w:p w:rsidR="00F16B4B" w:rsidRPr="00E162DE" w:rsidRDefault="00F16B4B" w:rsidP="00E162DE">
            <w:pPr>
              <w:pStyle w:val="Caption"/>
              <w:rPr>
                <w:rFonts w:ascii="Arial" w:hAnsi="Arial" w:cs="Arial"/>
                <w:b/>
                <w:bCs/>
                <w:i w:val="0"/>
                <w:iCs w:val="0"/>
                <w:color w:val="auto"/>
                <w:sz w:val="22"/>
                <w:szCs w:val="22"/>
              </w:rPr>
            </w:pPr>
          </w:p>
        </w:tc>
        <w:tc>
          <w:tcPr>
            <w:tcW w:w="6327" w:type="dxa"/>
          </w:tcPr>
          <w:p w:rsidR="00F16B4B" w:rsidRDefault="00891409" w:rsidP="00F16B4B">
            <w:pPr>
              <w:pStyle w:val="Heading1"/>
              <w:keepNext/>
              <w:ind w:left="0"/>
              <w:outlineLvl w:val="0"/>
              <w:rPr>
                <w:rFonts w:ascii="Arial" w:hAnsi="Arial" w:cs="Arial"/>
                <w:bCs/>
                <w:sz w:val="22"/>
              </w:rPr>
            </w:pPr>
            <w:bookmarkStart w:id="14" w:name="_Toc116548845"/>
            <w:r>
              <w:rPr>
                <w:rFonts w:ascii="Arial" w:hAnsi="Arial" w:cs="Arial"/>
                <w:bCs/>
                <w:sz w:val="22"/>
              </w:rPr>
              <w:t xml:space="preserve">Direct NO2 </w:t>
            </w:r>
            <w:r w:rsidR="00F16B4B">
              <w:rPr>
                <w:rFonts w:ascii="Arial" w:hAnsi="Arial" w:cs="Arial"/>
                <w:bCs/>
                <w:sz w:val="22"/>
              </w:rPr>
              <w:t>Commercial Response Sheet</w:t>
            </w:r>
            <w:bookmarkEnd w:id="14"/>
          </w:p>
        </w:tc>
      </w:tr>
      <w:tr w:rsidR="00F16B4B" w:rsidTr="009C0913">
        <w:tc>
          <w:tcPr>
            <w:tcW w:w="2329" w:type="dxa"/>
          </w:tcPr>
          <w:p w:rsidR="00E162DE" w:rsidRPr="00891409" w:rsidRDefault="00E162DE" w:rsidP="00E162DE">
            <w:pPr>
              <w:pStyle w:val="Caption"/>
              <w:rPr>
                <w:rFonts w:ascii="Arial" w:hAnsi="Arial" w:cs="Arial"/>
                <w:b/>
                <w:bCs/>
                <w:i w:val="0"/>
                <w:iCs w:val="0"/>
                <w:color w:val="auto"/>
                <w:sz w:val="22"/>
                <w:szCs w:val="22"/>
              </w:rPr>
            </w:pPr>
            <w:r w:rsidRPr="00891409">
              <w:rPr>
                <w:rFonts w:ascii="Arial" w:hAnsi="Arial" w:cs="Arial"/>
                <w:b/>
                <w:bCs/>
                <w:i w:val="0"/>
                <w:iCs w:val="0"/>
                <w:color w:val="auto"/>
                <w:sz w:val="22"/>
                <w:szCs w:val="22"/>
              </w:rPr>
              <w:t xml:space="preserve">Appendix </w:t>
            </w:r>
            <w:r w:rsidRPr="00891409">
              <w:rPr>
                <w:rFonts w:ascii="Arial" w:hAnsi="Arial" w:cs="Arial"/>
                <w:b/>
                <w:bCs/>
                <w:i w:val="0"/>
                <w:iCs w:val="0"/>
                <w:color w:val="auto"/>
                <w:sz w:val="22"/>
                <w:szCs w:val="22"/>
              </w:rPr>
              <w:fldChar w:fldCharType="begin"/>
            </w:r>
            <w:r w:rsidRPr="00891409">
              <w:rPr>
                <w:rFonts w:ascii="Arial" w:hAnsi="Arial" w:cs="Arial"/>
                <w:b/>
                <w:bCs/>
                <w:i w:val="0"/>
                <w:iCs w:val="0"/>
                <w:color w:val="auto"/>
                <w:sz w:val="22"/>
                <w:szCs w:val="22"/>
              </w:rPr>
              <w:instrText xml:space="preserve"> SEQ Appendix \* ARABIC </w:instrText>
            </w:r>
            <w:r w:rsidRPr="00891409">
              <w:rPr>
                <w:rFonts w:ascii="Arial" w:hAnsi="Arial" w:cs="Arial"/>
                <w:b/>
                <w:bCs/>
                <w:i w:val="0"/>
                <w:iCs w:val="0"/>
                <w:color w:val="auto"/>
                <w:sz w:val="22"/>
                <w:szCs w:val="22"/>
              </w:rPr>
              <w:fldChar w:fldCharType="separate"/>
            </w:r>
            <w:r w:rsidR="006512DB" w:rsidRPr="00891409">
              <w:rPr>
                <w:rFonts w:ascii="Arial" w:hAnsi="Arial" w:cs="Arial"/>
                <w:b/>
                <w:bCs/>
                <w:i w:val="0"/>
                <w:iCs w:val="0"/>
                <w:noProof/>
                <w:color w:val="auto"/>
                <w:sz w:val="22"/>
                <w:szCs w:val="22"/>
              </w:rPr>
              <w:t>9</w:t>
            </w:r>
            <w:r w:rsidRPr="00891409">
              <w:rPr>
                <w:rFonts w:ascii="Arial" w:hAnsi="Arial" w:cs="Arial"/>
                <w:b/>
                <w:bCs/>
                <w:i w:val="0"/>
                <w:iCs w:val="0"/>
                <w:color w:val="auto"/>
                <w:sz w:val="22"/>
                <w:szCs w:val="22"/>
              </w:rPr>
              <w:fldChar w:fldCharType="end"/>
            </w:r>
          </w:p>
          <w:p w:rsidR="00F16B4B" w:rsidRPr="00891409" w:rsidRDefault="00F16B4B" w:rsidP="00E162DE">
            <w:pPr>
              <w:pStyle w:val="Caption"/>
              <w:rPr>
                <w:rFonts w:ascii="Arial" w:hAnsi="Arial" w:cs="Arial"/>
                <w:b/>
                <w:bCs/>
                <w:i w:val="0"/>
                <w:iCs w:val="0"/>
                <w:color w:val="auto"/>
                <w:sz w:val="22"/>
                <w:szCs w:val="22"/>
              </w:rPr>
            </w:pPr>
          </w:p>
        </w:tc>
        <w:tc>
          <w:tcPr>
            <w:tcW w:w="6327" w:type="dxa"/>
          </w:tcPr>
          <w:p w:rsidR="00F16B4B" w:rsidRPr="00891409" w:rsidRDefault="00891409" w:rsidP="00F16B4B">
            <w:pPr>
              <w:pStyle w:val="Heading1"/>
              <w:keepNext/>
              <w:ind w:left="0"/>
              <w:outlineLvl w:val="0"/>
              <w:rPr>
                <w:rFonts w:ascii="Arial" w:hAnsi="Arial" w:cs="Arial"/>
                <w:bCs/>
                <w:sz w:val="22"/>
              </w:rPr>
            </w:pPr>
            <w:bookmarkStart w:id="15" w:name="_Toc116548846"/>
            <w:r w:rsidRPr="00891409">
              <w:rPr>
                <w:rFonts w:ascii="Arial" w:hAnsi="Arial" w:cs="Arial"/>
                <w:bCs/>
                <w:sz w:val="22"/>
              </w:rPr>
              <w:t>Conditions of Contract - EA - Goods</w:t>
            </w:r>
            <w:bookmarkEnd w:id="15"/>
          </w:p>
        </w:tc>
      </w:tr>
      <w:tr w:rsidR="006512DB" w:rsidTr="009C0913">
        <w:tc>
          <w:tcPr>
            <w:tcW w:w="2329" w:type="dxa"/>
          </w:tcPr>
          <w:p w:rsidR="006512DB" w:rsidRPr="00891409" w:rsidRDefault="006512DB" w:rsidP="00E162DE">
            <w:pPr>
              <w:pStyle w:val="Caption"/>
              <w:rPr>
                <w:rFonts w:ascii="Arial" w:hAnsi="Arial" w:cs="Arial"/>
                <w:b/>
                <w:bCs/>
                <w:i w:val="0"/>
                <w:iCs w:val="0"/>
                <w:color w:val="auto"/>
                <w:sz w:val="22"/>
                <w:szCs w:val="22"/>
              </w:rPr>
            </w:pPr>
            <w:r w:rsidRPr="00891409">
              <w:rPr>
                <w:rFonts w:ascii="Arial" w:hAnsi="Arial" w:cs="Arial"/>
                <w:b/>
                <w:bCs/>
                <w:i w:val="0"/>
                <w:iCs w:val="0"/>
                <w:color w:val="auto"/>
                <w:sz w:val="22"/>
                <w:szCs w:val="22"/>
              </w:rPr>
              <w:t>Appendix 10</w:t>
            </w:r>
          </w:p>
        </w:tc>
        <w:tc>
          <w:tcPr>
            <w:tcW w:w="6327" w:type="dxa"/>
          </w:tcPr>
          <w:p w:rsidR="006512DB" w:rsidRPr="00891409" w:rsidRDefault="006512DB" w:rsidP="006512DB">
            <w:pPr>
              <w:pStyle w:val="Heading1"/>
              <w:keepNext/>
              <w:ind w:left="0"/>
              <w:outlineLvl w:val="0"/>
              <w:rPr>
                <w:rFonts w:ascii="Arial" w:hAnsi="Arial" w:cs="Arial"/>
                <w:bCs/>
                <w:sz w:val="22"/>
              </w:rPr>
            </w:pPr>
            <w:r w:rsidRPr="00891409">
              <w:rPr>
                <w:rFonts w:ascii="Arial" w:hAnsi="Arial" w:cs="Arial"/>
                <w:bCs/>
                <w:sz w:val="22"/>
              </w:rPr>
              <w:t>Prior Rights Schedule</w:t>
            </w:r>
          </w:p>
        </w:tc>
      </w:tr>
    </w:tbl>
    <w:p w:rsidR="00E162DE" w:rsidRDefault="00E162DE">
      <w:pPr>
        <w:spacing w:before="0" w:after="160" w:line="259" w:lineRule="auto"/>
        <w:rPr>
          <w:rFonts w:cs="Arial"/>
          <w:b/>
          <w:sz w:val="28"/>
          <w:szCs w:val="28"/>
          <w:lang w:eastAsia="en-GB"/>
        </w:rPr>
      </w:pPr>
      <w:r>
        <w:rPr>
          <w:rFonts w:cs="Arial"/>
          <w:szCs w:val="28"/>
        </w:rPr>
        <w:br w:type="page"/>
      </w:r>
    </w:p>
    <w:p w:rsidR="00E162DE" w:rsidRDefault="00E162DE" w:rsidP="0010605D">
      <w:pPr>
        <w:pStyle w:val="Heading1"/>
        <w:rPr>
          <w:rFonts w:ascii="Arial" w:hAnsi="Arial" w:cs="Arial"/>
          <w:szCs w:val="28"/>
        </w:rPr>
      </w:pPr>
    </w:p>
    <w:p w:rsidR="00E162DE" w:rsidRPr="00E162DE" w:rsidRDefault="00E162DE" w:rsidP="00E162DE">
      <w:pPr>
        <w:rPr>
          <w:lang w:eastAsia="en-GB"/>
        </w:rPr>
      </w:pPr>
    </w:p>
    <w:p w:rsidR="0010605D" w:rsidRPr="0010605D" w:rsidRDefault="0010605D" w:rsidP="0010605D">
      <w:pPr>
        <w:pStyle w:val="Heading1"/>
        <w:rPr>
          <w:rFonts w:ascii="Arial" w:hAnsi="Arial" w:cs="Arial"/>
          <w:szCs w:val="28"/>
        </w:rPr>
      </w:pPr>
      <w:bookmarkStart w:id="16" w:name="_Toc116548847"/>
      <w:r w:rsidRPr="0010605D">
        <w:rPr>
          <w:rFonts w:ascii="Arial" w:hAnsi="Arial" w:cs="Arial"/>
          <w:szCs w:val="28"/>
        </w:rPr>
        <w:t>Schedule 1 Specification</w:t>
      </w:r>
      <w:bookmarkEnd w:id="16"/>
    </w:p>
    <w:p w:rsidR="006F4442" w:rsidRDefault="0010605D" w:rsidP="0010605D">
      <w:pPr>
        <w:pStyle w:val="Heading1"/>
        <w:rPr>
          <w:rFonts w:ascii="Arial" w:hAnsi="Arial" w:cs="Arial"/>
          <w:szCs w:val="28"/>
        </w:rPr>
      </w:pPr>
      <w:bookmarkStart w:id="17" w:name="_Toc116548848"/>
      <w:r w:rsidRPr="0010605D">
        <w:rPr>
          <w:rFonts w:ascii="Arial" w:hAnsi="Arial" w:cs="Arial"/>
          <w:szCs w:val="28"/>
        </w:rPr>
        <w:t>This schedule details the goods and the location, and delivery, installation and commissioning requirements.</w:t>
      </w:r>
      <w:bookmarkEnd w:id="17"/>
    </w:p>
    <w:p w:rsidR="0010605D" w:rsidRPr="009C0913" w:rsidRDefault="0010605D" w:rsidP="009C0913"/>
    <w:p w:rsidR="006F4442" w:rsidRPr="006F4442" w:rsidRDefault="00A159DD" w:rsidP="006F4442">
      <w:pPr>
        <w:pStyle w:val="Heading1"/>
        <w:rPr>
          <w:rFonts w:cs="Times New Roman"/>
        </w:rPr>
      </w:pPr>
      <w:bookmarkStart w:id="18" w:name="_Toc116548849"/>
      <w:r>
        <w:t xml:space="preserve">Section 1 - </w:t>
      </w:r>
      <w:r w:rsidR="006F4442" w:rsidRPr="009B0165">
        <w:t>Company and Product Certifications</w:t>
      </w:r>
      <w:bookmarkEnd w:id="18"/>
    </w:p>
    <w:p w:rsidR="006F4442" w:rsidRPr="009B0165" w:rsidRDefault="006F4442" w:rsidP="006F4442">
      <w:pPr>
        <w:spacing w:before="0" w:after="0" w:line="240" w:lineRule="auto"/>
        <w:jc w:val="both"/>
        <w:rPr>
          <w:rFonts w:cs="Arial"/>
          <w:szCs w:val="20"/>
        </w:rPr>
      </w:pPr>
    </w:p>
    <w:p w:rsidR="006F4442" w:rsidRPr="00F33AB1" w:rsidRDefault="006F4442" w:rsidP="006F4442">
      <w:pPr>
        <w:pStyle w:val="ListParagraph"/>
        <w:spacing w:before="0" w:after="0" w:line="240" w:lineRule="auto"/>
        <w:jc w:val="both"/>
        <w:rPr>
          <w:rFonts w:cs="Arial"/>
          <w:szCs w:val="20"/>
        </w:rPr>
      </w:pPr>
    </w:p>
    <w:p w:rsidR="006F4442" w:rsidRPr="00F33AB1" w:rsidRDefault="006F4442" w:rsidP="006F4442">
      <w:pPr>
        <w:pStyle w:val="ListParagraph"/>
        <w:numPr>
          <w:ilvl w:val="0"/>
          <w:numId w:val="3"/>
        </w:numPr>
        <w:spacing w:before="0" w:after="0" w:line="240" w:lineRule="auto"/>
        <w:jc w:val="both"/>
        <w:rPr>
          <w:rFonts w:cs="Arial"/>
          <w:szCs w:val="20"/>
        </w:rPr>
      </w:pPr>
      <w:r w:rsidRPr="00F33AB1">
        <w:rPr>
          <w:rFonts w:cs="Arial"/>
          <w:szCs w:val="20"/>
        </w:rPr>
        <w:t>Contractor’s supplying instruments must pass the following pre-requisite requirements:</w:t>
      </w:r>
    </w:p>
    <w:p w:rsidR="006F4442" w:rsidRPr="00F33AB1" w:rsidRDefault="006F4442" w:rsidP="006F4442">
      <w:pPr>
        <w:pStyle w:val="ListParagraph"/>
        <w:spacing w:before="0" w:after="0" w:line="240" w:lineRule="auto"/>
        <w:jc w:val="both"/>
        <w:rPr>
          <w:rFonts w:cs="Arial"/>
          <w:szCs w:val="20"/>
        </w:rPr>
      </w:pPr>
    </w:p>
    <w:p w:rsidR="006F4442" w:rsidRPr="00F33AB1" w:rsidRDefault="006F4442" w:rsidP="006F4442">
      <w:pPr>
        <w:pStyle w:val="ListParagraph"/>
        <w:spacing w:before="0" w:after="0" w:line="240" w:lineRule="auto"/>
        <w:jc w:val="both"/>
        <w:rPr>
          <w:rFonts w:cs="Arial"/>
          <w:szCs w:val="20"/>
        </w:rPr>
      </w:pPr>
      <w:r w:rsidRPr="00F33AB1">
        <w:rPr>
          <w:rFonts w:cs="Arial"/>
          <w:szCs w:val="20"/>
        </w:rPr>
        <w:t>“Registered to ISO 9001:2015, where the certification body is accredited by either UKAS or an equivalent body from outside the UK, to ISO/IEC 17021.”</w:t>
      </w:r>
    </w:p>
    <w:p w:rsidR="006F4442" w:rsidRPr="00F33AB1" w:rsidRDefault="006F4442" w:rsidP="006F4442">
      <w:pPr>
        <w:pStyle w:val="ListParagraph"/>
        <w:spacing w:before="0" w:after="0" w:line="240" w:lineRule="auto"/>
        <w:jc w:val="both"/>
        <w:rPr>
          <w:rFonts w:cs="Arial"/>
          <w:szCs w:val="20"/>
        </w:rPr>
      </w:pPr>
    </w:p>
    <w:p w:rsidR="006F4442" w:rsidRPr="00F33AB1" w:rsidRDefault="006F4442" w:rsidP="006F4442">
      <w:pPr>
        <w:pStyle w:val="ListParagraph"/>
        <w:spacing w:before="0" w:after="0" w:line="240" w:lineRule="auto"/>
        <w:jc w:val="both"/>
        <w:rPr>
          <w:rFonts w:cs="Arial"/>
          <w:szCs w:val="20"/>
        </w:rPr>
      </w:pPr>
      <w:r w:rsidRPr="00F33AB1">
        <w:rPr>
          <w:rFonts w:cs="Arial"/>
          <w:szCs w:val="20"/>
        </w:rPr>
        <w:t>It is a requirement for contractor’s supplying instruments to meet this pre-requisite pass/fail requirement and bids which do not pass this criteria will not be reviewed.</w:t>
      </w:r>
    </w:p>
    <w:p w:rsidR="006F4442" w:rsidRPr="00F33AB1" w:rsidRDefault="006F4442" w:rsidP="006F4442">
      <w:pPr>
        <w:pStyle w:val="ListParagraph"/>
        <w:spacing w:before="0" w:after="0" w:line="240" w:lineRule="auto"/>
        <w:jc w:val="both"/>
        <w:rPr>
          <w:rFonts w:cs="Arial"/>
          <w:szCs w:val="20"/>
        </w:rPr>
      </w:pPr>
    </w:p>
    <w:p w:rsidR="006F4442" w:rsidRDefault="006F4442" w:rsidP="006F4442">
      <w:pPr>
        <w:numPr>
          <w:ilvl w:val="0"/>
          <w:numId w:val="3"/>
        </w:numPr>
        <w:spacing w:line="245" w:lineRule="auto"/>
        <w:jc w:val="both"/>
        <w:rPr>
          <w:rFonts w:cs="Arial"/>
          <w:szCs w:val="20"/>
        </w:rPr>
      </w:pPr>
      <w:r>
        <w:rPr>
          <w:rFonts w:cs="Arial"/>
          <w:szCs w:val="20"/>
        </w:rPr>
        <w:t xml:space="preserve">The analyser must measure </w:t>
      </w:r>
      <w:r w:rsidR="00D130A8">
        <w:rPr>
          <w:rFonts w:cs="Arial"/>
          <w:szCs w:val="20"/>
        </w:rPr>
        <w:t>n</w:t>
      </w:r>
      <w:r>
        <w:rPr>
          <w:rFonts w:cs="Arial"/>
          <w:szCs w:val="20"/>
        </w:rPr>
        <w:t xml:space="preserve">itrogen </w:t>
      </w:r>
      <w:r w:rsidR="00D130A8">
        <w:rPr>
          <w:rFonts w:cs="Arial"/>
          <w:szCs w:val="20"/>
        </w:rPr>
        <w:t>d</w:t>
      </w:r>
      <w:r>
        <w:rPr>
          <w:rFonts w:cs="Arial"/>
          <w:szCs w:val="20"/>
        </w:rPr>
        <w:t>ioxide</w:t>
      </w:r>
      <w:r w:rsidR="00D130A8">
        <w:rPr>
          <w:rFonts w:cs="Arial"/>
          <w:szCs w:val="20"/>
        </w:rPr>
        <w:t xml:space="preserve"> (NO</w:t>
      </w:r>
      <w:r w:rsidR="00D130A8">
        <w:rPr>
          <w:rFonts w:cs="Arial"/>
          <w:szCs w:val="20"/>
          <w:vertAlign w:val="subscript"/>
        </w:rPr>
        <w:t>2</w:t>
      </w:r>
      <w:r w:rsidR="00D130A8">
        <w:rPr>
          <w:rFonts w:cs="Arial"/>
          <w:szCs w:val="20"/>
        </w:rPr>
        <w:t>)</w:t>
      </w:r>
      <w:r>
        <w:rPr>
          <w:rFonts w:cs="Arial"/>
          <w:szCs w:val="20"/>
        </w:rPr>
        <w:t xml:space="preserve"> directly and have passed</w:t>
      </w:r>
      <w:r w:rsidRPr="00F33AB1">
        <w:rPr>
          <w:rFonts w:cs="Arial"/>
          <w:szCs w:val="20"/>
        </w:rPr>
        <w:t xml:space="preserve"> </w:t>
      </w:r>
      <w:r w:rsidR="00D130A8" w:rsidRPr="00F33AB1">
        <w:rPr>
          <w:rFonts w:cs="Arial"/>
          <w:szCs w:val="20"/>
        </w:rPr>
        <w:t xml:space="preserve">ISO/IEC </w:t>
      </w:r>
      <w:r>
        <w:rPr>
          <w:rFonts w:cs="Arial"/>
          <w:szCs w:val="20"/>
        </w:rPr>
        <w:t xml:space="preserve">17021 </w:t>
      </w:r>
      <w:r w:rsidRPr="00F33AB1">
        <w:rPr>
          <w:rFonts w:cs="Arial"/>
          <w:szCs w:val="20"/>
        </w:rPr>
        <w:t>type approval test</w:t>
      </w:r>
      <w:r>
        <w:rPr>
          <w:rFonts w:cs="Arial"/>
          <w:szCs w:val="20"/>
        </w:rPr>
        <w:t xml:space="preserve">s </w:t>
      </w:r>
      <w:r w:rsidRPr="00F33AB1">
        <w:rPr>
          <w:rFonts w:cs="Arial"/>
          <w:szCs w:val="20"/>
        </w:rPr>
        <w:t>so that the Agency can provide sample results equivalent to the reference method standard BS EN 14211:2012 for the measurement of the concentration of nitrogen dioxide and nitrogen monoxide.</w:t>
      </w:r>
    </w:p>
    <w:p w:rsidR="009C0913" w:rsidRDefault="009C0913" w:rsidP="009C0913">
      <w:pPr>
        <w:spacing w:line="245" w:lineRule="auto"/>
        <w:ind w:left="785"/>
        <w:jc w:val="both"/>
        <w:rPr>
          <w:rFonts w:cs="Arial"/>
          <w:szCs w:val="20"/>
        </w:rPr>
      </w:pPr>
    </w:p>
    <w:p w:rsidR="006F4442" w:rsidRPr="00F33AB1" w:rsidRDefault="006F4442" w:rsidP="006F4442">
      <w:pPr>
        <w:pStyle w:val="ListParagraph"/>
        <w:numPr>
          <w:ilvl w:val="0"/>
          <w:numId w:val="3"/>
        </w:numPr>
        <w:spacing w:before="0" w:after="0" w:line="240" w:lineRule="auto"/>
        <w:jc w:val="both"/>
        <w:rPr>
          <w:rFonts w:cs="Arial"/>
          <w:szCs w:val="20"/>
        </w:rPr>
      </w:pPr>
      <w:r w:rsidRPr="00F33AB1">
        <w:rPr>
          <w:rFonts w:cs="Arial"/>
          <w:szCs w:val="20"/>
        </w:rPr>
        <w:t xml:space="preserve">The </w:t>
      </w:r>
      <w:r w:rsidR="009C0913">
        <w:rPr>
          <w:rFonts w:cs="Arial"/>
          <w:szCs w:val="20"/>
        </w:rPr>
        <w:t xml:space="preserve">2 </w:t>
      </w:r>
      <w:r w:rsidRPr="00F33AB1">
        <w:rPr>
          <w:rFonts w:cs="Arial"/>
          <w:szCs w:val="20"/>
        </w:rPr>
        <w:t>instrument</w:t>
      </w:r>
      <w:r w:rsidR="009C0913">
        <w:rPr>
          <w:rFonts w:cs="Arial"/>
          <w:szCs w:val="20"/>
        </w:rPr>
        <w:t>s</w:t>
      </w:r>
      <w:r w:rsidRPr="00F33AB1">
        <w:rPr>
          <w:rFonts w:cs="Arial"/>
          <w:szCs w:val="20"/>
        </w:rPr>
        <w:t xml:space="preserve"> provided </w:t>
      </w:r>
      <w:r w:rsidR="009C0913">
        <w:rPr>
          <w:rFonts w:cs="Arial"/>
          <w:szCs w:val="20"/>
        </w:rPr>
        <w:t>are</w:t>
      </w:r>
      <w:r w:rsidRPr="00F33AB1">
        <w:rPr>
          <w:rFonts w:cs="Arial"/>
          <w:szCs w:val="20"/>
        </w:rPr>
        <w:t xml:space="preserve"> required to be new. Refurbished second hand equipment offers will not be accepted.</w:t>
      </w:r>
    </w:p>
    <w:p w:rsidR="009C0913" w:rsidRDefault="009C0913">
      <w:pPr>
        <w:spacing w:before="0" w:after="160" w:line="259" w:lineRule="auto"/>
        <w:rPr>
          <w:rFonts w:cs="Arial"/>
          <w:szCs w:val="20"/>
        </w:rPr>
      </w:pPr>
      <w:r>
        <w:rPr>
          <w:rFonts w:cs="Arial"/>
          <w:szCs w:val="20"/>
        </w:rPr>
        <w:br w:type="page"/>
      </w:r>
    </w:p>
    <w:p w:rsidR="006F4442" w:rsidRDefault="006F4442" w:rsidP="009C0913">
      <w:pPr>
        <w:spacing w:line="245" w:lineRule="auto"/>
        <w:ind w:left="720"/>
        <w:jc w:val="both"/>
        <w:rPr>
          <w:rFonts w:cs="Arial"/>
          <w:szCs w:val="20"/>
        </w:rPr>
      </w:pPr>
    </w:p>
    <w:p w:rsidR="006F4442" w:rsidRPr="00F33AB1" w:rsidRDefault="00A159DD" w:rsidP="006F4442">
      <w:pPr>
        <w:pStyle w:val="Heading1"/>
      </w:pPr>
      <w:bookmarkStart w:id="19" w:name="_Toc116548850"/>
      <w:r>
        <w:t xml:space="preserve">Section 2 - </w:t>
      </w:r>
      <w:r w:rsidR="006F4442" w:rsidRPr="002B7FDC">
        <w:t xml:space="preserve">Sampling resolution, response </w:t>
      </w:r>
      <w:r w:rsidR="0010605D" w:rsidRPr="002B7FDC">
        <w:t>times, limits</w:t>
      </w:r>
      <w:r w:rsidR="006F4442" w:rsidRPr="002B7FDC">
        <w:t xml:space="preserve"> of detection and stability on baseline</w:t>
      </w:r>
      <w:bookmarkEnd w:id="19"/>
    </w:p>
    <w:p w:rsidR="006F4442" w:rsidRPr="00905406" w:rsidRDefault="006F4442" w:rsidP="006F4442">
      <w:pPr>
        <w:numPr>
          <w:ilvl w:val="0"/>
          <w:numId w:val="3"/>
        </w:numPr>
        <w:spacing w:line="245" w:lineRule="auto"/>
        <w:jc w:val="both"/>
        <w:rPr>
          <w:rFonts w:cs="Arial"/>
          <w:szCs w:val="20"/>
        </w:rPr>
      </w:pPr>
      <w:r w:rsidRPr="00905406">
        <w:rPr>
          <w:rFonts w:cs="Arial"/>
          <w:szCs w:val="20"/>
        </w:rPr>
        <w:t xml:space="preserve">The instrument must be able to make hourly measurements of </w:t>
      </w:r>
      <w:r w:rsidR="00D130A8">
        <w:rPr>
          <w:rFonts w:cs="Arial"/>
          <w:szCs w:val="20"/>
        </w:rPr>
        <w:t>NO</w:t>
      </w:r>
      <w:r w:rsidR="00D130A8">
        <w:rPr>
          <w:rFonts w:cs="Arial"/>
          <w:szCs w:val="20"/>
          <w:vertAlign w:val="subscript"/>
        </w:rPr>
        <w:t>2</w:t>
      </w:r>
      <w:r w:rsidR="00D130A8">
        <w:rPr>
          <w:rFonts w:cs="Arial"/>
          <w:szCs w:val="20"/>
        </w:rPr>
        <w:t xml:space="preserve"> </w:t>
      </w:r>
      <w:r w:rsidRPr="00905406">
        <w:rPr>
          <w:rFonts w:cs="Arial"/>
          <w:szCs w:val="20"/>
        </w:rPr>
        <w:t>and have passed conformity at 0 – 500ug/m</w:t>
      </w:r>
      <w:r w:rsidRPr="00905406">
        <w:rPr>
          <w:rFonts w:cs="Arial"/>
          <w:szCs w:val="20"/>
          <w:vertAlign w:val="superscript"/>
        </w:rPr>
        <w:t>3</w:t>
      </w:r>
      <w:r w:rsidRPr="00905406">
        <w:rPr>
          <w:rFonts w:cs="Arial"/>
          <w:szCs w:val="20"/>
        </w:rPr>
        <w:t xml:space="preserve"> range. The instrument must be able to demonstrate low limits of detection &lt;1.0ppb</w:t>
      </w:r>
      <w:r>
        <w:rPr>
          <w:rFonts w:cs="Arial"/>
          <w:szCs w:val="20"/>
        </w:rPr>
        <w:t xml:space="preserve"> for NO</w:t>
      </w:r>
      <w:r w:rsidRPr="00891409">
        <w:rPr>
          <w:rFonts w:cs="Arial"/>
          <w:szCs w:val="20"/>
          <w:vertAlign w:val="subscript"/>
        </w:rPr>
        <w:t>2</w:t>
      </w:r>
      <w:r>
        <w:rPr>
          <w:rFonts w:cs="Arial"/>
          <w:szCs w:val="20"/>
        </w:rPr>
        <w:t>.</w:t>
      </w:r>
    </w:p>
    <w:p w:rsidR="006F4442" w:rsidRPr="00690EE1" w:rsidRDefault="006F4442" w:rsidP="006F4442">
      <w:pPr>
        <w:numPr>
          <w:ilvl w:val="0"/>
          <w:numId w:val="3"/>
        </w:numPr>
        <w:spacing w:line="245" w:lineRule="auto"/>
        <w:jc w:val="both"/>
        <w:rPr>
          <w:rFonts w:cs="Arial"/>
          <w:szCs w:val="20"/>
        </w:rPr>
      </w:pPr>
      <w:r w:rsidRPr="00F33AB1">
        <w:rPr>
          <w:rFonts w:cs="Arial"/>
          <w:szCs w:val="20"/>
        </w:rPr>
        <w:t xml:space="preserve">The Instrument will also provide </w:t>
      </w:r>
      <w:r>
        <w:rPr>
          <w:rFonts w:cs="Arial"/>
          <w:szCs w:val="20"/>
        </w:rPr>
        <w:t>an hourly measurement of</w:t>
      </w:r>
      <w:r w:rsidR="00265129">
        <w:rPr>
          <w:rFonts w:cs="Arial"/>
          <w:szCs w:val="20"/>
        </w:rPr>
        <w:t xml:space="preserve"> </w:t>
      </w:r>
      <w:r w:rsidR="00D130A8">
        <w:rPr>
          <w:rFonts w:cs="Arial"/>
          <w:szCs w:val="20"/>
        </w:rPr>
        <w:t>n</w:t>
      </w:r>
      <w:r w:rsidRPr="00F33AB1">
        <w:rPr>
          <w:rFonts w:cs="Arial"/>
          <w:szCs w:val="20"/>
        </w:rPr>
        <w:t xml:space="preserve">itrogen </w:t>
      </w:r>
      <w:r w:rsidR="00D130A8">
        <w:rPr>
          <w:rFonts w:cs="Arial"/>
          <w:szCs w:val="20"/>
        </w:rPr>
        <w:t>m</w:t>
      </w:r>
      <w:r w:rsidRPr="00F33AB1">
        <w:rPr>
          <w:rFonts w:cs="Arial"/>
          <w:szCs w:val="20"/>
        </w:rPr>
        <w:t>onoxide</w:t>
      </w:r>
      <w:r w:rsidR="00D130A8">
        <w:rPr>
          <w:rFonts w:cs="Arial"/>
          <w:szCs w:val="20"/>
        </w:rPr>
        <w:t xml:space="preserve"> (NO) </w:t>
      </w:r>
      <w:r w:rsidRPr="00F33AB1">
        <w:rPr>
          <w:rFonts w:cs="Arial"/>
          <w:szCs w:val="20"/>
        </w:rPr>
        <w:t>and have passed conformity at the 0 – 1200 ug/m</w:t>
      </w:r>
      <w:r w:rsidRPr="00F33AB1">
        <w:rPr>
          <w:rFonts w:cs="Arial"/>
          <w:szCs w:val="20"/>
          <w:vertAlign w:val="superscript"/>
        </w:rPr>
        <w:t>3</w:t>
      </w:r>
      <w:r w:rsidRPr="00F33AB1">
        <w:rPr>
          <w:rFonts w:cs="Arial"/>
          <w:szCs w:val="20"/>
        </w:rPr>
        <w:t xml:space="preserve"> range.</w:t>
      </w:r>
      <w:r w:rsidRPr="00690EE1">
        <w:rPr>
          <w:rFonts w:cs="Arial"/>
          <w:szCs w:val="20"/>
        </w:rPr>
        <w:t xml:space="preserve"> The instrument must be able to demonstrate low limits of detection &lt;1.0ppb</w:t>
      </w:r>
      <w:r>
        <w:rPr>
          <w:rFonts w:cs="Arial"/>
          <w:szCs w:val="20"/>
        </w:rPr>
        <w:t xml:space="preserve"> for NO.</w:t>
      </w:r>
    </w:p>
    <w:p w:rsidR="006F4442" w:rsidRDefault="006F4442" w:rsidP="006F4442">
      <w:pPr>
        <w:numPr>
          <w:ilvl w:val="0"/>
          <w:numId w:val="3"/>
        </w:numPr>
        <w:spacing w:line="245" w:lineRule="auto"/>
        <w:jc w:val="both"/>
        <w:rPr>
          <w:rFonts w:cs="Arial"/>
          <w:szCs w:val="20"/>
        </w:rPr>
      </w:pPr>
      <w:r w:rsidRPr="00F33AB1">
        <w:rPr>
          <w:rFonts w:cs="Arial"/>
          <w:szCs w:val="20"/>
        </w:rPr>
        <w:t xml:space="preserve">The instrument </w:t>
      </w:r>
      <w:r>
        <w:rPr>
          <w:rFonts w:cs="Arial"/>
          <w:szCs w:val="20"/>
        </w:rPr>
        <w:t xml:space="preserve">must measure </w:t>
      </w:r>
      <w:r w:rsidR="00D130A8">
        <w:rPr>
          <w:rFonts w:cs="Arial"/>
          <w:szCs w:val="20"/>
        </w:rPr>
        <w:t>n</w:t>
      </w:r>
      <w:r>
        <w:rPr>
          <w:rFonts w:cs="Arial"/>
          <w:szCs w:val="20"/>
        </w:rPr>
        <w:t xml:space="preserve">itrogen </w:t>
      </w:r>
      <w:r w:rsidR="00D130A8">
        <w:rPr>
          <w:rFonts w:cs="Arial"/>
          <w:szCs w:val="20"/>
        </w:rPr>
        <w:t>d</w:t>
      </w:r>
      <w:r>
        <w:rPr>
          <w:rFonts w:cs="Arial"/>
          <w:szCs w:val="20"/>
        </w:rPr>
        <w:t xml:space="preserve">ioxide ‘direct’ </w:t>
      </w:r>
      <w:r w:rsidRPr="00303677">
        <w:rPr>
          <w:rFonts w:cs="Arial"/>
          <w:szCs w:val="20"/>
          <w:u w:val="single"/>
        </w:rPr>
        <w:t>so it is not measured by</w:t>
      </w:r>
      <w:r>
        <w:rPr>
          <w:rFonts w:cs="Arial"/>
          <w:szCs w:val="20"/>
        </w:rPr>
        <w:t xml:space="preserve"> calculation using measurements of </w:t>
      </w:r>
      <w:r w:rsidR="00D130A8">
        <w:rPr>
          <w:rFonts w:cs="Arial"/>
          <w:szCs w:val="20"/>
        </w:rPr>
        <w:t>n</w:t>
      </w:r>
      <w:r>
        <w:rPr>
          <w:rFonts w:cs="Arial"/>
          <w:szCs w:val="20"/>
        </w:rPr>
        <w:t xml:space="preserve">itrogen </w:t>
      </w:r>
      <w:r w:rsidR="00891409">
        <w:rPr>
          <w:rFonts w:cs="Arial"/>
          <w:szCs w:val="20"/>
        </w:rPr>
        <w:t>mon</w:t>
      </w:r>
      <w:r w:rsidR="00D130A8">
        <w:rPr>
          <w:rFonts w:cs="Arial"/>
          <w:szCs w:val="20"/>
        </w:rPr>
        <w:t>o</w:t>
      </w:r>
      <w:r>
        <w:rPr>
          <w:rFonts w:cs="Arial"/>
          <w:szCs w:val="20"/>
        </w:rPr>
        <w:t xml:space="preserve">xide and total </w:t>
      </w:r>
      <w:r w:rsidR="00D130A8">
        <w:rPr>
          <w:rFonts w:cs="Arial"/>
          <w:szCs w:val="20"/>
        </w:rPr>
        <w:t>o</w:t>
      </w:r>
      <w:r>
        <w:rPr>
          <w:rFonts w:cs="Arial"/>
          <w:szCs w:val="20"/>
        </w:rPr>
        <w:t xml:space="preserve">xides of </w:t>
      </w:r>
      <w:r w:rsidR="00D130A8">
        <w:rPr>
          <w:rFonts w:cs="Arial"/>
          <w:szCs w:val="20"/>
        </w:rPr>
        <w:t>n</w:t>
      </w:r>
      <w:r>
        <w:rPr>
          <w:rFonts w:cs="Arial"/>
          <w:szCs w:val="20"/>
        </w:rPr>
        <w:t>itrogen (NO</w:t>
      </w:r>
      <w:r w:rsidR="00D130A8" w:rsidRPr="00891409">
        <w:rPr>
          <w:rFonts w:cs="Arial"/>
          <w:szCs w:val="20"/>
          <w:vertAlign w:val="subscript"/>
        </w:rPr>
        <w:t>X</w:t>
      </w:r>
      <w:r>
        <w:rPr>
          <w:rFonts w:cs="Arial"/>
          <w:szCs w:val="20"/>
        </w:rPr>
        <w:t>).</w:t>
      </w:r>
      <w:r w:rsidRPr="00F33AB1">
        <w:rPr>
          <w:rFonts w:cs="Arial"/>
          <w:szCs w:val="20"/>
        </w:rPr>
        <w:t xml:space="preserve"> </w:t>
      </w:r>
    </w:p>
    <w:p w:rsidR="006F4442" w:rsidRPr="00F33AB1" w:rsidRDefault="006F4442" w:rsidP="006F4442">
      <w:pPr>
        <w:numPr>
          <w:ilvl w:val="0"/>
          <w:numId w:val="3"/>
        </w:numPr>
        <w:spacing w:line="245" w:lineRule="auto"/>
        <w:jc w:val="both"/>
        <w:rPr>
          <w:rFonts w:cs="Arial"/>
          <w:szCs w:val="20"/>
        </w:rPr>
      </w:pPr>
      <w:r w:rsidRPr="00F33AB1">
        <w:rPr>
          <w:rFonts w:cs="Arial"/>
          <w:szCs w:val="20"/>
        </w:rPr>
        <w:t xml:space="preserve">The instrument should be able to demonstrate </w:t>
      </w:r>
      <w:r>
        <w:rPr>
          <w:rFonts w:cs="Arial"/>
          <w:szCs w:val="20"/>
        </w:rPr>
        <w:t xml:space="preserve">good long term zero drift </w:t>
      </w:r>
      <w:r w:rsidR="009C0913">
        <w:rPr>
          <w:rFonts w:cs="Arial"/>
          <w:szCs w:val="20"/>
        </w:rPr>
        <w:t xml:space="preserve">and span that meets </w:t>
      </w:r>
      <w:r w:rsidR="009C0913" w:rsidRPr="009C0913">
        <w:rPr>
          <w:rFonts w:cs="Arial"/>
          <w:szCs w:val="20"/>
        </w:rPr>
        <w:t>reference method standard BS EN 14211:2012</w:t>
      </w:r>
      <w:r w:rsidR="009C0913">
        <w:rPr>
          <w:rFonts w:cs="Arial"/>
          <w:szCs w:val="20"/>
        </w:rPr>
        <w:t xml:space="preserve">. </w:t>
      </w:r>
      <w:r w:rsidR="00AE72E3">
        <w:rPr>
          <w:rFonts w:cs="Arial"/>
          <w:szCs w:val="20"/>
        </w:rPr>
        <w:t xml:space="preserve">As this is a rural </w:t>
      </w:r>
      <w:r w:rsidR="00297140">
        <w:rPr>
          <w:rFonts w:cs="Arial"/>
          <w:szCs w:val="20"/>
        </w:rPr>
        <w:t>site,</w:t>
      </w:r>
      <w:r w:rsidR="00AE72E3">
        <w:rPr>
          <w:rFonts w:cs="Arial"/>
          <w:szCs w:val="20"/>
        </w:rPr>
        <w:t xml:space="preserve"> </w:t>
      </w:r>
      <w:r w:rsidR="00891409">
        <w:rPr>
          <w:rFonts w:cs="Arial"/>
          <w:szCs w:val="20"/>
        </w:rPr>
        <w:t xml:space="preserve">it is </w:t>
      </w:r>
      <w:r w:rsidR="00AE72E3">
        <w:rPr>
          <w:rFonts w:cs="Arial"/>
          <w:szCs w:val="20"/>
        </w:rPr>
        <w:t>expect</w:t>
      </w:r>
      <w:r w:rsidR="00891409">
        <w:rPr>
          <w:rFonts w:cs="Arial"/>
          <w:szCs w:val="20"/>
        </w:rPr>
        <w:t>ed</w:t>
      </w:r>
      <w:r w:rsidR="00AE72E3">
        <w:rPr>
          <w:rFonts w:cs="Arial"/>
          <w:szCs w:val="20"/>
        </w:rPr>
        <w:t xml:space="preserve"> the zero and span drift </w:t>
      </w:r>
      <w:r w:rsidR="00891409">
        <w:rPr>
          <w:rFonts w:cs="Arial"/>
          <w:szCs w:val="20"/>
        </w:rPr>
        <w:t>will achieve</w:t>
      </w:r>
      <w:r w:rsidR="00891409" w:rsidRPr="009C0913">
        <w:rPr>
          <w:rFonts w:cs="Arial"/>
          <w:szCs w:val="20"/>
        </w:rPr>
        <w:t xml:space="preserve"> </w:t>
      </w:r>
      <w:r>
        <w:rPr>
          <w:rFonts w:cs="Arial"/>
          <w:szCs w:val="20"/>
        </w:rPr>
        <w:t>less than 1ppb over 2 weeks</w:t>
      </w:r>
      <w:r w:rsidR="00AE72E3">
        <w:rPr>
          <w:rFonts w:cs="Arial"/>
          <w:szCs w:val="20"/>
        </w:rPr>
        <w:t xml:space="preserve"> and as a minimum meet </w:t>
      </w:r>
      <w:r w:rsidR="00297140">
        <w:rPr>
          <w:rFonts w:cs="Arial"/>
          <w:szCs w:val="20"/>
        </w:rPr>
        <w:t>the BS</w:t>
      </w:r>
      <w:r w:rsidR="00A159DD">
        <w:rPr>
          <w:rFonts w:cs="Arial"/>
          <w:szCs w:val="20"/>
        </w:rPr>
        <w:t xml:space="preserve"> EN 14211- 2012 standard</w:t>
      </w:r>
      <w:r w:rsidR="008455F1">
        <w:rPr>
          <w:rFonts w:cs="Arial"/>
          <w:szCs w:val="20"/>
        </w:rPr>
        <w:t>.</w:t>
      </w:r>
    </w:p>
    <w:p w:rsidR="006F4442" w:rsidRPr="00F33AB1" w:rsidRDefault="006F4442" w:rsidP="006F4442">
      <w:pPr>
        <w:numPr>
          <w:ilvl w:val="0"/>
          <w:numId w:val="3"/>
        </w:numPr>
        <w:spacing w:line="245" w:lineRule="auto"/>
        <w:jc w:val="both"/>
        <w:rPr>
          <w:rFonts w:cs="Arial"/>
          <w:szCs w:val="20"/>
        </w:rPr>
      </w:pPr>
      <w:r w:rsidRPr="00F33AB1">
        <w:rPr>
          <w:rFonts w:cs="Arial"/>
          <w:szCs w:val="20"/>
        </w:rPr>
        <w:t>The instrument response time should be to measure 95% of span gas in less than &lt;120 seconds</w:t>
      </w:r>
      <w:r w:rsidR="00D130A8">
        <w:rPr>
          <w:rFonts w:cs="Arial"/>
          <w:szCs w:val="20"/>
        </w:rPr>
        <w:t>.</w:t>
      </w:r>
    </w:p>
    <w:p w:rsidR="006F4442" w:rsidRPr="00F33AB1" w:rsidRDefault="006F4442" w:rsidP="006F4442">
      <w:pPr>
        <w:numPr>
          <w:ilvl w:val="0"/>
          <w:numId w:val="3"/>
        </w:numPr>
        <w:spacing w:line="245" w:lineRule="auto"/>
        <w:jc w:val="both"/>
        <w:rPr>
          <w:rFonts w:cs="Arial"/>
          <w:szCs w:val="20"/>
        </w:rPr>
      </w:pPr>
      <w:r w:rsidRPr="00F33AB1">
        <w:rPr>
          <w:rFonts w:cs="Arial"/>
          <w:szCs w:val="20"/>
        </w:rPr>
        <w:t>The equipment must be highly reliable and proven in performance that the instrument can justifiably achieve above 90% annual data capture (</w:t>
      </w:r>
      <w:r>
        <w:rPr>
          <w:rFonts w:cs="Arial"/>
          <w:szCs w:val="20"/>
        </w:rPr>
        <w:t>taking account of</w:t>
      </w:r>
      <w:r w:rsidRPr="00F33AB1">
        <w:rPr>
          <w:rFonts w:cs="Arial"/>
          <w:szCs w:val="20"/>
        </w:rPr>
        <w:t xml:space="preserve"> maintenance and calibration).  Ideally evidence should be for a field site, over as long a period as possible, to demonstrate the instrument’s reliability would be maintained for the required minimum </w:t>
      </w:r>
      <w:r w:rsidR="00297140" w:rsidRPr="00F33AB1">
        <w:rPr>
          <w:rFonts w:cs="Arial"/>
          <w:szCs w:val="20"/>
        </w:rPr>
        <w:t>18-year</w:t>
      </w:r>
      <w:r w:rsidRPr="00F33AB1">
        <w:rPr>
          <w:rFonts w:cs="Arial"/>
          <w:szCs w:val="20"/>
        </w:rPr>
        <w:t xml:space="preserve"> life cycle.</w:t>
      </w:r>
    </w:p>
    <w:p w:rsidR="006F4442" w:rsidRDefault="006F4442" w:rsidP="006F4442">
      <w:pPr>
        <w:numPr>
          <w:ilvl w:val="0"/>
          <w:numId w:val="3"/>
        </w:numPr>
        <w:spacing w:line="245" w:lineRule="auto"/>
        <w:jc w:val="both"/>
        <w:rPr>
          <w:rFonts w:cs="Arial"/>
          <w:szCs w:val="20"/>
        </w:rPr>
      </w:pPr>
      <w:r w:rsidRPr="00F33AB1">
        <w:rPr>
          <w:rFonts w:cs="Arial"/>
          <w:szCs w:val="20"/>
        </w:rPr>
        <w:t>The instrument must be able to operate continuously for at least 6 weeks without the need for manual intervention.</w:t>
      </w:r>
      <w:r w:rsidRPr="00F33AB1" w:rsidDel="00842A57">
        <w:rPr>
          <w:rFonts w:cs="Arial"/>
          <w:szCs w:val="20"/>
        </w:rPr>
        <w:t xml:space="preserve"> </w:t>
      </w:r>
    </w:p>
    <w:p w:rsidR="006F4442" w:rsidRPr="00F33AB1" w:rsidRDefault="00A159DD" w:rsidP="006F4442">
      <w:pPr>
        <w:pStyle w:val="Heading1"/>
      </w:pPr>
      <w:bookmarkStart w:id="20" w:name="_Toc116548851"/>
      <w:r>
        <w:t xml:space="preserve">Section 3 - </w:t>
      </w:r>
      <w:r w:rsidR="006F4442" w:rsidRPr="002B7FDC">
        <w:t>Calibration requirements</w:t>
      </w:r>
      <w:bookmarkEnd w:id="20"/>
    </w:p>
    <w:p w:rsidR="006F4442" w:rsidRDefault="006F4442" w:rsidP="006F4442">
      <w:pPr>
        <w:numPr>
          <w:ilvl w:val="0"/>
          <w:numId w:val="3"/>
        </w:numPr>
        <w:spacing w:line="245" w:lineRule="auto"/>
        <w:jc w:val="both"/>
        <w:rPr>
          <w:rFonts w:cs="Arial"/>
          <w:szCs w:val="20"/>
        </w:rPr>
      </w:pPr>
      <w:r w:rsidRPr="00F33AB1">
        <w:rPr>
          <w:rFonts w:cs="Arial"/>
          <w:szCs w:val="20"/>
        </w:rPr>
        <w:t xml:space="preserve">It must be possible to calibrate the </w:t>
      </w:r>
      <w:r>
        <w:rPr>
          <w:rFonts w:cs="Arial"/>
          <w:szCs w:val="20"/>
        </w:rPr>
        <w:t xml:space="preserve">instrument </w:t>
      </w:r>
      <w:r w:rsidR="00D130A8">
        <w:rPr>
          <w:rFonts w:cs="Arial"/>
          <w:szCs w:val="20"/>
        </w:rPr>
        <w:t>n</w:t>
      </w:r>
      <w:r>
        <w:rPr>
          <w:rFonts w:cs="Arial"/>
          <w:szCs w:val="20"/>
        </w:rPr>
        <w:t xml:space="preserve">itrogen </w:t>
      </w:r>
      <w:r w:rsidR="00D130A8">
        <w:rPr>
          <w:rFonts w:cs="Arial"/>
          <w:szCs w:val="20"/>
        </w:rPr>
        <w:t>d</w:t>
      </w:r>
      <w:r>
        <w:rPr>
          <w:rFonts w:cs="Arial"/>
          <w:szCs w:val="20"/>
        </w:rPr>
        <w:t xml:space="preserve">ioxide and </w:t>
      </w:r>
      <w:r w:rsidR="00D130A8">
        <w:rPr>
          <w:rFonts w:cs="Arial"/>
          <w:szCs w:val="20"/>
        </w:rPr>
        <w:t>n</w:t>
      </w:r>
      <w:r>
        <w:rPr>
          <w:rFonts w:cs="Arial"/>
          <w:szCs w:val="20"/>
        </w:rPr>
        <w:t xml:space="preserve">itrogen </w:t>
      </w:r>
      <w:r w:rsidR="00D130A8">
        <w:rPr>
          <w:rFonts w:cs="Arial"/>
          <w:szCs w:val="20"/>
        </w:rPr>
        <w:t>m</w:t>
      </w:r>
      <w:r>
        <w:rPr>
          <w:rFonts w:cs="Arial"/>
          <w:szCs w:val="20"/>
        </w:rPr>
        <w:t xml:space="preserve">onoxide channels </w:t>
      </w:r>
      <w:r w:rsidRPr="00F33AB1">
        <w:rPr>
          <w:rFonts w:cs="Arial"/>
          <w:szCs w:val="20"/>
        </w:rPr>
        <w:t>measured</w:t>
      </w:r>
      <w:r>
        <w:rPr>
          <w:rFonts w:cs="Arial"/>
          <w:szCs w:val="20"/>
        </w:rPr>
        <w:t xml:space="preserve"> as per the BS EN 14211- 2012 standard</w:t>
      </w:r>
      <w:r w:rsidR="008455F1">
        <w:rPr>
          <w:rFonts w:cs="Arial"/>
          <w:szCs w:val="20"/>
        </w:rPr>
        <w:t>, and for a rural site these visits should be minimised, at least every 2 weeks, but ideally 6 weeks between manned calibration visits. Daily checks via cylinder or internal zero span are required.</w:t>
      </w:r>
    </w:p>
    <w:p w:rsidR="00B70B07" w:rsidRPr="006F4442" w:rsidRDefault="00A159DD" w:rsidP="00B70B07">
      <w:pPr>
        <w:pStyle w:val="Heading1"/>
        <w:rPr>
          <w:rFonts w:cs="Times New Roman"/>
        </w:rPr>
      </w:pPr>
      <w:bookmarkStart w:id="21" w:name="_Toc116548852"/>
      <w:r>
        <w:t xml:space="preserve">Section 4 - </w:t>
      </w:r>
      <w:r w:rsidR="00B70B07">
        <w:t>Operational Needs</w:t>
      </w:r>
      <w:bookmarkEnd w:id="21"/>
    </w:p>
    <w:p w:rsidR="006F4442" w:rsidRPr="00F33AB1" w:rsidRDefault="006F4442" w:rsidP="006F4442">
      <w:pPr>
        <w:numPr>
          <w:ilvl w:val="0"/>
          <w:numId w:val="3"/>
        </w:numPr>
        <w:spacing w:line="245" w:lineRule="auto"/>
        <w:jc w:val="both"/>
        <w:rPr>
          <w:rFonts w:cs="Arial"/>
          <w:szCs w:val="20"/>
        </w:rPr>
      </w:pPr>
      <w:r w:rsidRPr="00F33AB1">
        <w:rPr>
          <w:rFonts w:cs="Arial"/>
          <w:szCs w:val="20"/>
        </w:rPr>
        <w:t xml:space="preserve">Interrogation </w:t>
      </w:r>
      <w:r w:rsidR="00B70B07">
        <w:rPr>
          <w:rFonts w:cs="Arial"/>
          <w:szCs w:val="20"/>
        </w:rPr>
        <w:t xml:space="preserve">of the </w:t>
      </w:r>
      <w:r w:rsidR="00587794">
        <w:rPr>
          <w:rFonts w:cs="Arial"/>
          <w:szCs w:val="20"/>
        </w:rPr>
        <w:t>instrument</w:t>
      </w:r>
      <w:r w:rsidR="00B70B07">
        <w:rPr>
          <w:rFonts w:cs="Arial"/>
          <w:szCs w:val="20"/>
        </w:rPr>
        <w:t xml:space="preserve"> </w:t>
      </w:r>
      <w:r w:rsidRPr="00F33AB1">
        <w:rPr>
          <w:rFonts w:cs="Arial"/>
          <w:szCs w:val="20"/>
        </w:rPr>
        <w:t>via remote connection to relevant CMCU</w:t>
      </w:r>
      <w:r w:rsidR="00B70B07">
        <w:rPr>
          <w:rFonts w:cs="Arial"/>
          <w:szCs w:val="20"/>
        </w:rPr>
        <w:t xml:space="preserve"> (Central Management Co-ordination Unit)</w:t>
      </w:r>
      <w:r w:rsidRPr="00F33AB1">
        <w:rPr>
          <w:rFonts w:cs="Arial"/>
          <w:szCs w:val="20"/>
        </w:rPr>
        <w:t xml:space="preserve"> is required</w:t>
      </w:r>
      <w:r>
        <w:rPr>
          <w:rFonts w:cs="Arial"/>
          <w:szCs w:val="20"/>
        </w:rPr>
        <w:t xml:space="preserve"> so as to establish operational performance of the instrument</w:t>
      </w:r>
      <w:r w:rsidR="00B70B07">
        <w:rPr>
          <w:rFonts w:cs="Arial"/>
          <w:szCs w:val="20"/>
        </w:rPr>
        <w:t xml:space="preserve"> and </w:t>
      </w:r>
      <w:r w:rsidR="00587794">
        <w:rPr>
          <w:rFonts w:cs="Arial"/>
          <w:szCs w:val="20"/>
        </w:rPr>
        <w:t>minimise</w:t>
      </w:r>
      <w:r w:rsidR="00B70B07">
        <w:rPr>
          <w:rFonts w:cs="Arial"/>
          <w:szCs w:val="20"/>
        </w:rPr>
        <w:t xml:space="preserve"> data loss </w:t>
      </w:r>
      <w:r w:rsidR="00B70B07" w:rsidDel="00B70B07">
        <w:rPr>
          <w:rFonts w:cs="Arial"/>
          <w:szCs w:val="20"/>
        </w:rPr>
        <w:t xml:space="preserve"> </w:t>
      </w:r>
    </w:p>
    <w:p w:rsidR="006F4442" w:rsidRPr="00F33AB1" w:rsidRDefault="006F4442" w:rsidP="006F4442">
      <w:pPr>
        <w:numPr>
          <w:ilvl w:val="0"/>
          <w:numId w:val="3"/>
        </w:numPr>
        <w:spacing w:line="245" w:lineRule="auto"/>
        <w:jc w:val="both"/>
        <w:rPr>
          <w:rFonts w:cs="Arial"/>
          <w:szCs w:val="20"/>
        </w:rPr>
      </w:pPr>
      <w:r w:rsidRPr="00F33AB1">
        <w:rPr>
          <w:rFonts w:cs="Arial"/>
          <w:szCs w:val="20"/>
        </w:rPr>
        <w:t xml:space="preserve">The operator should be able to make or configure appropriate manual or automated checks for items such as routine flow, temperature, pressure and humidity checks. </w:t>
      </w:r>
    </w:p>
    <w:p w:rsidR="006F4442" w:rsidRPr="00303677" w:rsidRDefault="006F4442" w:rsidP="006F4442">
      <w:pPr>
        <w:numPr>
          <w:ilvl w:val="0"/>
          <w:numId w:val="3"/>
        </w:numPr>
        <w:spacing w:line="245" w:lineRule="auto"/>
        <w:jc w:val="both"/>
        <w:rPr>
          <w:rFonts w:cs="Arial"/>
          <w:szCs w:val="20"/>
        </w:rPr>
      </w:pPr>
      <w:r w:rsidRPr="00F33AB1">
        <w:rPr>
          <w:rFonts w:cs="Arial"/>
          <w:szCs w:val="20"/>
        </w:rPr>
        <w:t xml:space="preserve">Optimal operation temperature </w:t>
      </w:r>
      <w:r w:rsidR="00630853">
        <w:rPr>
          <w:rFonts w:cs="Arial"/>
          <w:szCs w:val="20"/>
        </w:rPr>
        <w:t xml:space="preserve">for the instrument should be </w:t>
      </w:r>
      <w:r w:rsidRPr="00F33AB1">
        <w:rPr>
          <w:rFonts w:cs="Arial"/>
          <w:szCs w:val="20"/>
        </w:rPr>
        <w:t xml:space="preserve">between </w:t>
      </w:r>
      <w:r>
        <w:rPr>
          <w:rFonts w:cs="Arial"/>
          <w:szCs w:val="20"/>
        </w:rPr>
        <w:t>0 and 30</w:t>
      </w:r>
      <w:r w:rsidRPr="00F33AB1">
        <w:rPr>
          <w:rFonts w:cs="Arial"/>
          <w:szCs w:val="20"/>
        </w:rPr>
        <w:t xml:space="preserve"> °C</w:t>
      </w:r>
      <w:r>
        <w:rPr>
          <w:rFonts w:cs="Arial"/>
          <w:szCs w:val="20"/>
        </w:rPr>
        <w:t xml:space="preserve">. The instrument should be safe to be use in the event of an air conditioning failure on site </w:t>
      </w:r>
      <w:r w:rsidR="00630853">
        <w:rPr>
          <w:rFonts w:cs="Arial"/>
          <w:szCs w:val="20"/>
        </w:rPr>
        <w:t xml:space="preserve">or </w:t>
      </w:r>
      <w:r w:rsidRPr="00F33AB1">
        <w:rPr>
          <w:rFonts w:cs="Arial"/>
          <w:szCs w:val="20"/>
        </w:rPr>
        <w:t xml:space="preserve">must have automated shutdown or similar to prevent damage if safe operating </w:t>
      </w:r>
      <w:r w:rsidR="00D130A8">
        <w:rPr>
          <w:rFonts w:cs="Arial"/>
          <w:szCs w:val="20"/>
        </w:rPr>
        <w:t>temperature is</w:t>
      </w:r>
      <w:r w:rsidR="00D130A8" w:rsidRPr="00F33AB1">
        <w:rPr>
          <w:rFonts w:cs="Arial"/>
          <w:szCs w:val="20"/>
        </w:rPr>
        <w:t xml:space="preserve"> </w:t>
      </w:r>
      <w:r w:rsidRPr="00F33AB1">
        <w:rPr>
          <w:rFonts w:cs="Arial"/>
          <w:szCs w:val="20"/>
        </w:rPr>
        <w:t>exceeded.</w:t>
      </w:r>
      <w:r w:rsidR="00A159DD">
        <w:rPr>
          <w:rFonts w:cs="Arial"/>
          <w:szCs w:val="20"/>
        </w:rPr>
        <w:t xml:space="preserve"> Our recommended extreme temperature range is expected between 0 – 50 </w:t>
      </w:r>
      <w:r w:rsidR="00D130A8" w:rsidRPr="00F33AB1">
        <w:rPr>
          <w:rFonts w:cs="Arial"/>
          <w:szCs w:val="20"/>
        </w:rPr>
        <w:t>°C</w:t>
      </w:r>
      <w:r w:rsidR="00A159DD">
        <w:rPr>
          <w:rFonts w:cs="Arial"/>
          <w:szCs w:val="20"/>
        </w:rPr>
        <w:t>.</w:t>
      </w:r>
    </w:p>
    <w:p w:rsidR="006F4442" w:rsidRDefault="006F4442" w:rsidP="006F4442">
      <w:pPr>
        <w:numPr>
          <w:ilvl w:val="0"/>
          <w:numId w:val="3"/>
        </w:numPr>
        <w:spacing w:line="245" w:lineRule="auto"/>
        <w:jc w:val="both"/>
        <w:rPr>
          <w:rFonts w:cs="Arial"/>
          <w:szCs w:val="20"/>
        </w:rPr>
      </w:pPr>
      <w:r w:rsidRPr="00F33AB1">
        <w:rPr>
          <w:rFonts w:cs="Arial"/>
          <w:szCs w:val="20"/>
        </w:rPr>
        <w:t xml:space="preserve">Any known limitations for the instrument to operate based on tolerances must be specified (e.g. operating temperature ranges or other environmental factors). </w:t>
      </w:r>
    </w:p>
    <w:p w:rsidR="006F4442" w:rsidRDefault="006F4442" w:rsidP="006F4442">
      <w:pPr>
        <w:pStyle w:val="ListParagraph"/>
        <w:numPr>
          <w:ilvl w:val="0"/>
          <w:numId w:val="3"/>
        </w:numPr>
        <w:spacing w:before="0" w:after="0" w:line="240" w:lineRule="auto"/>
        <w:jc w:val="both"/>
        <w:rPr>
          <w:rFonts w:cs="Arial"/>
          <w:szCs w:val="20"/>
        </w:rPr>
      </w:pPr>
      <w:r w:rsidRPr="00F33AB1">
        <w:rPr>
          <w:rFonts w:cs="Arial"/>
          <w:szCs w:val="20"/>
        </w:rPr>
        <w:t>Data pertaining to faults / settings and other diagnostics</w:t>
      </w:r>
      <w:r w:rsidR="00B70B07">
        <w:rPr>
          <w:rFonts w:cs="Arial"/>
          <w:szCs w:val="20"/>
        </w:rPr>
        <w:t xml:space="preserve"> must be</w:t>
      </w:r>
      <w:r w:rsidRPr="00F33AB1">
        <w:rPr>
          <w:rFonts w:cs="Arial"/>
          <w:szCs w:val="20"/>
        </w:rPr>
        <w:t xml:space="preserve"> available to review</w:t>
      </w:r>
      <w:r>
        <w:rPr>
          <w:rFonts w:cs="Arial"/>
          <w:szCs w:val="20"/>
        </w:rPr>
        <w:t xml:space="preserve">. </w:t>
      </w:r>
      <w:r w:rsidR="00B70B07">
        <w:rPr>
          <w:rFonts w:cs="Arial"/>
          <w:szCs w:val="20"/>
        </w:rPr>
        <w:t>If this data cannot be viewed remotely, this must be stated.</w:t>
      </w:r>
    </w:p>
    <w:p w:rsidR="006F4442" w:rsidRDefault="006F4442" w:rsidP="006F4442">
      <w:pPr>
        <w:pStyle w:val="ListParagraph"/>
        <w:spacing w:before="0" w:after="0" w:line="240" w:lineRule="auto"/>
        <w:jc w:val="both"/>
        <w:rPr>
          <w:rFonts w:cs="Arial"/>
          <w:szCs w:val="20"/>
        </w:rPr>
      </w:pPr>
    </w:p>
    <w:p w:rsidR="00672858" w:rsidRPr="00C738E8" w:rsidRDefault="00672858" w:rsidP="00672858">
      <w:pPr>
        <w:numPr>
          <w:ilvl w:val="0"/>
          <w:numId w:val="3"/>
        </w:numPr>
        <w:spacing w:before="0" w:after="0" w:line="240" w:lineRule="auto"/>
        <w:jc w:val="both"/>
        <w:rPr>
          <w:rFonts w:cs="Arial"/>
          <w:color w:val="00B050"/>
          <w:szCs w:val="20"/>
        </w:rPr>
      </w:pPr>
      <w:r w:rsidRPr="00F33AB1">
        <w:rPr>
          <w:rFonts w:cs="Arial"/>
          <w:szCs w:val="20"/>
        </w:rPr>
        <w:t>Communication should allow direct access by the Network Management team, and not be reliant on any 3rd party infrastructure (for example a 3</w:t>
      </w:r>
      <w:r w:rsidRPr="00F33AB1">
        <w:rPr>
          <w:rFonts w:cs="Arial"/>
          <w:szCs w:val="20"/>
          <w:vertAlign w:val="superscript"/>
        </w:rPr>
        <w:t>rd</w:t>
      </w:r>
      <w:r w:rsidRPr="00F33AB1">
        <w:rPr>
          <w:rFonts w:cs="Arial"/>
          <w:szCs w:val="20"/>
        </w:rPr>
        <w:t xml:space="preserve"> party-controlled cloud system).</w:t>
      </w:r>
      <w:r w:rsidRPr="00F33AB1">
        <w:rPr>
          <w:rFonts w:cs="Arial"/>
          <w:color w:val="00B050"/>
          <w:szCs w:val="20"/>
        </w:rPr>
        <w:t xml:space="preserve"> </w:t>
      </w:r>
      <w:r w:rsidRPr="00F33AB1">
        <w:rPr>
          <w:rFonts w:cs="Arial"/>
          <w:szCs w:val="20"/>
        </w:rPr>
        <w:t xml:space="preserve">It must be possible to access and download data from the instrument to enable hourly dissemination to the UK’s Data Portal. </w:t>
      </w:r>
    </w:p>
    <w:p w:rsidR="00C738E8" w:rsidRPr="00303677" w:rsidRDefault="00C738E8" w:rsidP="00C738E8">
      <w:pPr>
        <w:spacing w:before="0" w:after="0" w:line="240" w:lineRule="auto"/>
        <w:jc w:val="both"/>
        <w:rPr>
          <w:rFonts w:cs="Arial"/>
          <w:color w:val="00B050"/>
          <w:szCs w:val="20"/>
        </w:rPr>
      </w:pPr>
    </w:p>
    <w:p w:rsidR="00C738E8" w:rsidRPr="00F33AB1" w:rsidRDefault="00C738E8" w:rsidP="00C738E8">
      <w:pPr>
        <w:pStyle w:val="ListParagraph"/>
        <w:numPr>
          <w:ilvl w:val="0"/>
          <w:numId w:val="3"/>
        </w:numPr>
        <w:spacing w:before="0" w:after="0" w:line="240" w:lineRule="auto"/>
        <w:jc w:val="both"/>
        <w:rPr>
          <w:rFonts w:cs="Arial"/>
          <w:szCs w:val="20"/>
        </w:rPr>
      </w:pPr>
      <w:r w:rsidRPr="00F33AB1">
        <w:rPr>
          <w:rFonts w:cs="Arial"/>
          <w:szCs w:val="20"/>
        </w:rPr>
        <w:t xml:space="preserve">The Compatible software that enables relevant data is logged and accessible (e.g. flow rate, sampling time, sampled volume, etc.)  </w:t>
      </w:r>
      <w:r w:rsidRPr="00F33AB1">
        <w:rPr>
          <w:rFonts w:cs="Arial"/>
          <w:szCs w:val="20"/>
        </w:rPr>
        <w:tab/>
      </w:r>
    </w:p>
    <w:p w:rsidR="00C738E8" w:rsidRPr="00C738E8" w:rsidRDefault="00C738E8" w:rsidP="00C738E8">
      <w:pPr>
        <w:numPr>
          <w:ilvl w:val="0"/>
          <w:numId w:val="3"/>
        </w:numPr>
        <w:spacing w:line="245" w:lineRule="auto"/>
        <w:jc w:val="both"/>
        <w:rPr>
          <w:rFonts w:cs="Arial"/>
          <w:szCs w:val="20"/>
        </w:rPr>
      </w:pPr>
      <w:r w:rsidRPr="00F33AB1">
        <w:rPr>
          <w:rFonts w:cs="Arial"/>
          <w:szCs w:val="20"/>
        </w:rPr>
        <w:t xml:space="preserve">Appropriate hardware and software for data handling and processing of both the </w:t>
      </w:r>
      <w:r w:rsidR="00D130A8">
        <w:rPr>
          <w:rFonts w:cs="Arial"/>
          <w:szCs w:val="20"/>
        </w:rPr>
        <w:t>n</w:t>
      </w:r>
      <w:r>
        <w:rPr>
          <w:rFonts w:cs="Arial"/>
          <w:szCs w:val="20"/>
        </w:rPr>
        <w:t xml:space="preserve">itrogen </w:t>
      </w:r>
      <w:r w:rsidR="00D130A8">
        <w:rPr>
          <w:rFonts w:cs="Arial"/>
          <w:szCs w:val="20"/>
        </w:rPr>
        <w:t>d</w:t>
      </w:r>
      <w:r>
        <w:rPr>
          <w:rFonts w:cs="Arial"/>
          <w:szCs w:val="20"/>
        </w:rPr>
        <w:t xml:space="preserve">ioxide and </w:t>
      </w:r>
      <w:r w:rsidR="00D130A8">
        <w:rPr>
          <w:rFonts w:cs="Arial"/>
          <w:szCs w:val="20"/>
        </w:rPr>
        <w:t>n</w:t>
      </w:r>
      <w:r>
        <w:rPr>
          <w:rFonts w:cs="Arial"/>
          <w:szCs w:val="20"/>
        </w:rPr>
        <w:t xml:space="preserve">itrogen </w:t>
      </w:r>
      <w:r w:rsidR="00D130A8">
        <w:rPr>
          <w:rFonts w:cs="Arial"/>
          <w:szCs w:val="20"/>
        </w:rPr>
        <w:t>o</w:t>
      </w:r>
      <w:r>
        <w:rPr>
          <w:rFonts w:cs="Arial"/>
          <w:szCs w:val="20"/>
        </w:rPr>
        <w:t>xide</w:t>
      </w:r>
      <w:r w:rsidRPr="00F33AB1">
        <w:rPr>
          <w:rFonts w:cs="Arial"/>
          <w:szCs w:val="20"/>
        </w:rPr>
        <w:t xml:space="preserve"> samples must be included with the instrument</w:t>
      </w:r>
      <w:r>
        <w:rPr>
          <w:rFonts w:cs="Arial"/>
          <w:szCs w:val="20"/>
        </w:rPr>
        <w:t xml:space="preserve"> must be provided. </w:t>
      </w:r>
      <w:r w:rsidRPr="00F33AB1">
        <w:rPr>
          <w:rFonts w:cs="Arial"/>
          <w:szCs w:val="20"/>
        </w:rPr>
        <w:t xml:space="preserve"> The instrument hardware and software </w:t>
      </w:r>
      <w:r w:rsidR="00297140" w:rsidRPr="00F33AB1">
        <w:rPr>
          <w:rFonts w:cs="Arial"/>
          <w:szCs w:val="20"/>
        </w:rPr>
        <w:t>are</w:t>
      </w:r>
      <w:r w:rsidRPr="00F33AB1">
        <w:rPr>
          <w:rFonts w:cs="Arial"/>
          <w:szCs w:val="20"/>
        </w:rPr>
        <w:t xml:space="preserve"> expected to be able to run for at least </w:t>
      </w:r>
      <w:r>
        <w:rPr>
          <w:rFonts w:cs="Arial"/>
          <w:szCs w:val="20"/>
        </w:rPr>
        <w:t>6</w:t>
      </w:r>
      <w:r w:rsidRPr="00F33AB1">
        <w:rPr>
          <w:rFonts w:cs="Arial"/>
          <w:szCs w:val="20"/>
        </w:rPr>
        <w:t xml:space="preserve"> weeks under normal conditions without any need for re-booting. Any hardware operating systems and software packages provided should be supported for the proposed 1</w:t>
      </w:r>
      <w:r>
        <w:rPr>
          <w:rFonts w:cs="Arial"/>
          <w:szCs w:val="20"/>
        </w:rPr>
        <w:t>8</w:t>
      </w:r>
      <w:r w:rsidRPr="00F33AB1">
        <w:rPr>
          <w:rFonts w:cs="Arial"/>
          <w:szCs w:val="20"/>
        </w:rPr>
        <w:t>-year life of the instrument</w:t>
      </w:r>
      <w:r>
        <w:rPr>
          <w:rFonts w:cs="Arial"/>
          <w:szCs w:val="20"/>
        </w:rPr>
        <w:t xml:space="preserve"> and any updates provided would be provided free of charge.</w:t>
      </w:r>
    </w:p>
    <w:p w:rsidR="00C738E8" w:rsidRPr="00D130A8" w:rsidRDefault="00C738E8" w:rsidP="00891409">
      <w:pPr>
        <w:spacing w:before="0" w:after="0" w:line="245" w:lineRule="auto"/>
        <w:ind w:left="785"/>
        <w:jc w:val="both"/>
        <w:rPr>
          <w:rFonts w:cs="Arial"/>
          <w:szCs w:val="20"/>
        </w:rPr>
      </w:pPr>
      <w:r w:rsidRPr="00F33AB1">
        <w:rPr>
          <w:rFonts w:cs="Arial"/>
          <w:szCs w:val="20"/>
        </w:rPr>
        <w:t xml:space="preserve">The instrument must have internal storage for at least 3 months hourly measurement data. Additional hardware, software and communication packages that are required to achieve this should be detailed and included in the Pricing </w:t>
      </w:r>
      <w:r w:rsidR="00297140" w:rsidRPr="00F33AB1">
        <w:rPr>
          <w:rFonts w:cs="Arial"/>
          <w:szCs w:val="20"/>
        </w:rPr>
        <w:t>Schedule and</w:t>
      </w:r>
      <w:r w:rsidRPr="00F33AB1">
        <w:rPr>
          <w:rFonts w:cs="Arial"/>
          <w:szCs w:val="20"/>
        </w:rPr>
        <w:t xml:space="preserve"> should be provided as a one-off cost rather than any ongoing fees.</w:t>
      </w:r>
    </w:p>
    <w:p w:rsidR="00C738E8" w:rsidRPr="00587794" w:rsidRDefault="00C738E8" w:rsidP="00C738E8">
      <w:pPr>
        <w:pStyle w:val="ListParagraph"/>
        <w:numPr>
          <w:ilvl w:val="0"/>
          <w:numId w:val="3"/>
        </w:numPr>
        <w:rPr>
          <w:rFonts w:cs="Arial"/>
          <w:szCs w:val="20"/>
        </w:rPr>
      </w:pPr>
      <w:r w:rsidRPr="00587794">
        <w:rPr>
          <w:rFonts w:cs="Arial"/>
          <w:szCs w:val="20"/>
        </w:rPr>
        <w:t xml:space="preserve">Diagnostic information should include key operational information for the instrument for its ongoing performance as per the user manual. Fault diagnostic procedure should be available and easy to follow - Manuals for </w:t>
      </w:r>
      <w:r>
        <w:rPr>
          <w:rFonts w:cs="Arial"/>
          <w:szCs w:val="20"/>
        </w:rPr>
        <w:t xml:space="preserve">all </w:t>
      </w:r>
      <w:r w:rsidRPr="00587794">
        <w:rPr>
          <w:rFonts w:cs="Arial"/>
          <w:szCs w:val="20"/>
        </w:rPr>
        <w:t>servic</w:t>
      </w:r>
      <w:r>
        <w:rPr>
          <w:rFonts w:cs="Arial"/>
          <w:szCs w:val="20"/>
        </w:rPr>
        <w:t>ing</w:t>
      </w:r>
      <w:r w:rsidRPr="00587794">
        <w:rPr>
          <w:rFonts w:cs="Arial"/>
          <w:szCs w:val="20"/>
        </w:rPr>
        <w:t xml:space="preserve"> and operation</w:t>
      </w:r>
      <w:r>
        <w:rPr>
          <w:rFonts w:cs="Arial"/>
          <w:szCs w:val="20"/>
        </w:rPr>
        <w:t>, and fault diagnostics for common errors,</w:t>
      </w:r>
      <w:r w:rsidRPr="00587794">
        <w:rPr>
          <w:rFonts w:cs="Arial"/>
          <w:szCs w:val="20"/>
        </w:rPr>
        <w:t xml:space="preserve"> </w:t>
      </w:r>
      <w:r>
        <w:rPr>
          <w:rFonts w:cs="Arial"/>
          <w:szCs w:val="20"/>
        </w:rPr>
        <w:t>must</w:t>
      </w:r>
      <w:r w:rsidRPr="00587794">
        <w:rPr>
          <w:rFonts w:cs="Arial"/>
          <w:szCs w:val="20"/>
        </w:rPr>
        <w:t xml:space="preserve"> be provided with instruments.</w:t>
      </w:r>
    </w:p>
    <w:p w:rsidR="00C738E8" w:rsidRPr="00F33AB1" w:rsidRDefault="00C738E8" w:rsidP="00C738E8">
      <w:pPr>
        <w:spacing w:before="0" w:after="0" w:line="240" w:lineRule="auto"/>
        <w:ind w:left="720"/>
        <w:jc w:val="both"/>
        <w:rPr>
          <w:rFonts w:cs="Arial"/>
          <w:szCs w:val="20"/>
        </w:rPr>
      </w:pPr>
      <w:r>
        <w:rPr>
          <w:rFonts w:cs="Arial"/>
          <w:szCs w:val="20"/>
        </w:rPr>
        <w:t>Diagnostic information should</w:t>
      </w:r>
      <w:r w:rsidRPr="00F33AB1">
        <w:rPr>
          <w:rFonts w:cs="Arial"/>
          <w:szCs w:val="20"/>
        </w:rPr>
        <w:t xml:space="preserve"> include sampling flow rate, </w:t>
      </w:r>
      <w:r>
        <w:rPr>
          <w:rFonts w:cs="Arial"/>
          <w:szCs w:val="20"/>
        </w:rPr>
        <w:t xml:space="preserve">instrument </w:t>
      </w:r>
      <w:r w:rsidRPr="00F33AB1">
        <w:rPr>
          <w:rFonts w:cs="Arial"/>
          <w:szCs w:val="20"/>
        </w:rPr>
        <w:t>temperature</w:t>
      </w:r>
      <w:r>
        <w:rPr>
          <w:rFonts w:cs="Arial"/>
          <w:szCs w:val="20"/>
        </w:rPr>
        <w:t xml:space="preserve"> and any relevant pressure errors as a minimum.</w:t>
      </w:r>
    </w:p>
    <w:p w:rsidR="00C738E8" w:rsidRPr="00F33AB1" w:rsidRDefault="00C738E8" w:rsidP="00C738E8">
      <w:pPr>
        <w:spacing w:before="0" w:after="0" w:line="240" w:lineRule="auto"/>
        <w:ind w:left="1440"/>
        <w:jc w:val="both"/>
        <w:rPr>
          <w:rFonts w:cs="Arial"/>
          <w:szCs w:val="20"/>
        </w:rPr>
      </w:pPr>
    </w:p>
    <w:p w:rsidR="00C738E8" w:rsidRDefault="00C738E8" w:rsidP="00C738E8">
      <w:pPr>
        <w:numPr>
          <w:ilvl w:val="0"/>
          <w:numId w:val="3"/>
        </w:numPr>
        <w:spacing w:before="0" w:after="0" w:line="240" w:lineRule="auto"/>
        <w:jc w:val="both"/>
        <w:rPr>
          <w:rFonts w:cs="Arial"/>
          <w:szCs w:val="20"/>
        </w:rPr>
      </w:pPr>
      <w:r w:rsidRPr="00F33AB1">
        <w:rPr>
          <w:rFonts w:cs="Arial"/>
          <w:szCs w:val="20"/>
        </w:rPr>
        <w:t>The instrument must be provided with an internal clock that will follow GMT and BST and will be easily programmable both remotely and on site. The instrument will be designed to be reset remotely following a power cut. The instrument’s firmware must also have the ability for the instrument time to be checked and synchronised remotely through command sequences or routinely through reference to an internet time source.</w:t>
      </w:r>
      <w:r>
        <w:rPr>
          <w:rFonts w:cs="Arial"/>
          <w:szCs w:val="20"/>
        </w:rPr>
        <w:t xml:space="preserve"> </w:t>
      </w:r>
    </w:p>
    <w:p w:rsidR="00C738E8" w:rsidRDefault="00C738E8" w:rsidP="00C738E8">
      <w:pPr>
        <w:spacing w:before="0" w:after="0" w:line="240" w:lineRule="auto"/>
        <w:ind w:left="785"/>
        <w:jc w:val="both"/>
        <w:rPr>
          <w:rFonts w:cs="Arial"/>
          <w:szCs w:val="20"/>
        </w:rPr>
      </w:pPr>
    </w:p>
    <w:p w:rsidR="00C738E8" w:rsidRPr="00672858" w:rsidRDefault="00C738E8" w:rsidP="00C738E8">
      <w:pPr>
        <w:numPr>
          <w:ilvl w:val="0"/>
          <w:numId w:val="3"/>
        </w:numPr>
        <w:spacing w:before="0" w:after="0" w:line="240" w:lineRule="auto"/>
        <w:jc w:val="both"/>
        <w:rPr>
          <w:rFonts w:cs="Arial"/>
          <w:szCs w:val="20"/>
        </w:rPr>
      </w:pPr>
      <w:r>
        <w:rPr>
          <w:rFonts w:cs="Arial"/>
          <w:szCs w:val="20"/>
        </w:rPr>
        <w:t xml:space="preserve"> Data requirements of the equipment should be specified for the equipment offered around the needs for any remote updates of firmware and time synchronisation. A method to limit data usage to restrict remote updates that might breach data allowances and a method to prevent any unwanted </w:t>
      </w:r>
      <w:r w:rsidR="00297140">
        <w:rPr>
          <w:rFonts w:cs="Arial"/>
          <w:szCs w:val="20"/>
        </w:rPr>
        <w:t>cyber-attacks</w:t>
      </w:r>
      <w:r>
        <w:rPr>
          <w:rFonts w:cs="Arial"/>
          <w:szCs w:val="20"/>
        </w:rPr>
        <w:t xml:space="preserve"> should be presented</w:t>
      </w:r>
    </w:p>
    <w:p w:rsidR="00672858" w:rsidRDefault="00672858" w:rsidP="006F4442">
      <w:pPr>
        <w:pStyle w:val="ListParagraph"/>
        <w:spacing w:before="0" w:after="0" w:line="240" w:lineRule="auto"/>
        <w:jc w:val="both"/>
        <w:rPr>
          <w:rFonts w:cs="Arial"/>
          <w:szCs w:val="20"/>
        </w:rPr>
      </w:pPr>
    </w:p>
    <w:p w:rsidR="006F4442" w:rsidRDefault="00A159DD" w:rsidP="006F4442">
      <w:pPr>
        <w:pStyle w:val="Heading1"/>
      </w:pPr>
      <w:bookmarkStart w:id="22" w:name="_Toc116548853"/>
      <w:r>
        <w:t xml:space="preserve">Section 5 - </w:t>
      </w:r>
      <w:r w:rsidR="006F4442" w:rsidRPr="006F4442">
        <w:t>Dimensions – size and existing infrastructure alignment</w:t>
      </w:r>
      <w:bookmarkEnd w:id="22"/>
      <w:r w:rsidR="006F4442" w:rsidRPr="006F4442">
        <w:t xml:space="preserve"> </w:t>
      </w:r>
    </w:p>
    <w:p w:rsidR="006F4442" w:rsidRPr="00F33AB1" w:rsidRDefault="006F4442" w:rsidP="006F4442">
      <w:pPr>
        <w:pStyle w:val="ListParagraph"/>
        <w:spacing w:before="0" w:after="0" w:line="240" w:lineRule="auto"/>
        <w:jc w:val="both"/>
        <w:rPr>
          <w:rFonts w:cs="Arial"/>
          <w:szCs w:val="20"/>
        </w:rPr>
      </w:pPr>
    </w:p>
    <w:p w:rsidR="006F4442" w:rsidRDefault="006F4442" w:rsidP="006F4442">
      <w:pPr>
        <w:pStyle w:val="ListParagraph"/>
        <w:numPr>
          <w:ilvl w:val="0"/>
          <w:numId w:val="3"/>
        </w:numPr>
        <w:spacing w:before="0" w:after="0" w:line="240" w:lineRule="auto"/>
        <w:jc w:val="both"/>
        <w:rPr>
          <w:rFonts w:cs="Arial"/>
          <w:szCs w:val="20"/>
        </w:rPr>
      </w:pPr>
      <w:r w:rsidRPr="00F33AB1">
        <w:rPr>
          <w:rFonts w:cs="Arial"/>
          <w:szCs w:val="20"/>
        </w:rPr>
        <w:t xml:space="preserve">Analysers shall fit standard racking systems used on the AURN (nominal racking size (W x D x H) 600mm x 800mm x 1800mm). Analysers shall be able to operate and be fitted with UK plugs compatible with legal requirements, electrical circuits and sockets standard to the United Kingdom, with a relevant </w:t>
      </w:r>
      <w:r w:rsidR="00297140">
        <w:rPr>
          <w:rFonts w:cs="Arial"/>
          <w:szCs w:val="20"/>
        </w:rPr>
        <w:t>in-service</w:t>
      </w:r>
      <w:r w:rsidR="00672858">
        <w:rPr>
          <w:rFonts w:cs="Arial"/>
          <w:szCs w:val="20"/>
        </w:rPr>
        <w:t xml:space="preserve"> test</w:t>
      </w:r>
      <w:r w:rsidRPr="00F33AB1">
        <w:rPr>
          <w:rFonts w:cs="Arial"/>
          <w:szCs w:val="20"/>
        </w:rPr>
        <w:t xml:space="preserve"> before installation and testing to demonstrate they are electrically safe as per the requirements of UK law</w:t>
      </w:r>
    </w:p>
    <w:p w:rsidR="00ED7619" w:rsidRDefault="00ED7619" w:rsidP="009C0913">
      <w:pPr>
        <w:pStyle w:val="ListParagraph"/>
        <w:spacing w:before="0" w:after="0" w:line="240" w:lineRule="auto"/>
        <w:jc w:val="both"/>
        <w:rPr>
          <w:rFonts w:cs="Arial"/>
          <w:szCs w:val="20"/>
        </w:rPr>
      </w:pPr>
    </w:p>
    <w:p w:rsidR="00C961D6" w:rsidRPr="00F33AB1" w:rsidRDefault="00ED7619" w:rsidP="00C961D6">
      <w:pPr>
        <w:pStyle w:val="ListParagraph"/>
        <w:numPr>
          <w:ilvl w:val="0"/>
          <w:numId w:val="3"/>
        </w:numPr>
        <w:spacing w:before="0" w:after="0" w:line="240" w:lineRule="auto"/>
        <w:jc w:val="both"/>
        <w:rPr>
          <w:rFonts w:cs="Arial"/>
          <w:szCs w:val="20"/>
        </w:rPr>
      </w:pPr>
      <w:r>
        <w:rPr>
          <w:rFonts w:cs="Arial"/>
          <w:szCs w:val="20"/>
        </w:rPr>
        <w:t xml:space="preserve">If gas lines and </w:t>
      </w:r>
      <w:r w:rsidR="00C961D6">
        <w:rPr>
          <w:rFonts w:cs="Arial"/>
          <w:szCs w:val="20"/>
        </w:rPr>
        <w:t>calibration</w:t>
      </w:r>
      <w:r>
        <w:rPr>
          <w:rFonts w:cs="Arial"/>
          <w:szCs w:val="20"/>
        </w:rPr>
        <w:t xml:space="preserve"> gases are required, please specif</w:t>
      </w:r>
      <w:r w:rsidR="00C961D6">
        <w:rPr>
          <w:rFonts w:cs="Arial"/>
          <w:szCs w:val="20"/>
        </w:rPr>
        <w:t xml:space="preserve">y all technical details of gas calibration cylinder recommended sizes, gas regulator needs, gas lines length and size (external and internal) and material, which are needed and any health and safety risks (such as oxygen reduced atmosphere). </w:t>
      </w:r>
    </w:p>
    <w:p w:rsidR="006F4442" w:rsidRDefault="006F4442" w:rsidP="00505A3C">
      <w:pPr>
        <w:pStyle w:val="Heading1"/>
        <w:ind w:left="0"/>
      </w:pPr>
    </w:p>
    <w:p w:rsidR="006F4442" w:rsidRPr="00F33AB1" w:rsidRDefault="00A159DD" w:rsidP="006F4442">
      <w:pPr>
        <w:pStyle w:val="Heading1"/>
      </w:pPr>
      <w:bookmarkStart w:id="23" w:name="_Toc116548854"/>
      <w:r>
        <w:t xml:space="preserve">Section 6 - </w:t>
      </w:r>
      <w:r w:rsidR="006F4442" w:rsidRPr="002B7FDC">
        <w:t>Alignment with AURN standards – comms; software, electrical safety; operating manuals; etc</w:t>
      </w:r>
      <w:bookmarkEnd w:id="23"/>
    </w:p>
    <w:p w:rsidR="006F4442" w:rsidRPr="00F33AB1" w:rsidRDefault="006F4442" w:rsidP="006F4442">
      <w:pPr>
        <w:spacing w:before="0" w:after="0" w:line="240" w:lineRule="auto"/>
        <w:jc w:val="both"/>
        <w:rPr>
          <w:rFonts w:cs="Arial"/>
          <w:szCs w:val="20"/>
        </w:rPr>
      </w:pPr>
    </w:p>
    <w:p w:rsidR="00587794" w:rsidRDefault="00587794" w:rsidP="009C0913">
      <w:pPr>
        <w:spacing w:before="0" w:after="0" w:line="245" w:lineRule="auto"/>
        <w:ind w:left="720"/>
        <w:jc w:val="both"/>
        <w:rPr>
          <w:rFonts w:cs="Arial"/>
          <w:szCs w:val="20"/>
        </w:rPr>
      </w:pPr>
    </w:p>
    <w:p w:rsidR="00891409" w:rsidRDefault="00587794" w:rsidP="00891409">
      <w:pPr>
        <w:numPr>
          <w:ilvl w:val="0"/>
          <w:numId w:val="3"/>
        </w:numPr>
        <w:spacing w:before="0" w:after="0" w:line="245" w:lineRule="auto"/>
        <w:jc w:val="both"/>
        <w:rPr>
          <w:rFonts w:cs="Arial"/>
          <w:szCs w:val="20"/>
        </w:rPr>
      </w:pPr>
      <w:r w:rsidRPr="00587794">
        <w:rPr>
          <w:rFonts w:cs="Arial"/>
          <w:szCs w:val="20"/>
        </w:rPr>
        <w:t>The instrument must have electrical circuits and sockets standards that meet UK legal requirements. The instrument must be compatible with UK electricity supplies (220-240V Alternating Current (AC</w:t>
      </w:r>
      <w:r w:rsidR="00297140" w:rsidRPr="00587794">
        <w:rPr>
          <w:rFonts w:cs="Arial"/>
          <w:szCs w:val="20"/>
        </w:rPr>
        <w:t>) and</w:t>
      </w:r>
      <w:r w:rsidRPr="00587794">
        <w:rPr>
          <w:rFonts w:cs="Arial"/>
          <w:szCs w:val="20"/>
        </w:rPr>
        <w:t xml:space="preserve"> include plug adaptors if applicable. The UKCA (UK Conformity Assessed) Marking is now in effect subject to certain requirements. It is the responsibility of the Contractor to ensure that the instrument is marked appropriately and any necessary declaration of conformity.</w:t>
      </w:r>
    </w:p>
    <w:p w:rsidR="00891409" w:rsidRDefault="00891409" w:rsidP="00891409">
      <w:pPr>
        <w:spacing w:before="0" w:after="0" w:line="245" w:lineRule="auto"/>
        <w:ind w:left="785"/>
        <w:jc w:val="both"/>
        <w:rPr>
          <w:rFonts w:cs="Arial"/>
          <w:szCs w:val="20"/>
        </w:rPr>
      </w:pPr>
    </w:p>
    <w:p w:rsidR="006F4442" w:rsidRDefault="00ED7619" w:rsidP="00891409">
      <w:pPr>
        <w:numPr>
          <w:ilvl w:val="0"/>
          <w:numId w:val="3"/>
        </w:numPr>
        <w:spacing w:before="0" w:after="0" w:line="245" w:lineRule="auto"/>
        <w:jc w:val="both"/>
        <w:rPr>
          <w:rFonts w:cs="Arial"/>
          <w:szCs w:val="20"/>
        </w:rPr>
      </w:pPr>
      <w:r w:rsidRPr="00891409">
        <w:rPr>
          <w:rFonts w:cs="Arial"/>
          <w:szCs w:val="20"/>
        </w:rPr>
        <w:t xml:space="preserve">The instrument must be delivered with detailed service and maintenance procedures to be aligned with the development of Operation and Maintenance (O&amp;M) manuals </w:t>
      </w:r>
      <w:r w:rsidR="00891409" w:rsidRPr="00891409">
        <w:rPr>
          <w:rFonts w:cs="Arial"/>
          <w:szCs w:val="20"/>
        </w:rPr>
        <w:t xml:space="preserve">and relevant documentation </w:t>
      </w:r>
      <w:r w:rsidRPr="00891409">
        <w:rPr>
          <w:rFonts w:cs="Arial"/>
          <w:szCs w:val="20"/>
        </w:rPr>
        <w:t>for the Environment Agency’s air quality equipment portfolio</w:t>
      </w:r>
      <w:r w:rsidR="00891409" w:rsidRPr="00891409">
        <w:rPr>
          <w:rFonts w:cs="Arial"/>
          <w:szCs w:val="20"/>
        </w:rPr>
        <w:t xml:space="preserve">, as required in </w:t>
      </w:r>
      <w:r w:rsidR="00891409" w:rsidRPr="00891409">
        <w:rPr>
          <w:rFonts w:cs="Arial"/>
          <w:szCs w:val="20"/>
        </w:rPr>
        <w:fldChar w:fldCharType="begin"/>
      </w:r>
      <w:r w:rsidR="00891409" w:rsidRPr="00891409">
        <w:rPr>
          <w:rFonts w:cs="Arial"/>
          <w:szCs w:val="20"/>
        </w:rPr>
        <w:instrText xml:space="preserve"> REF _Ref116482351 \h </w:instrText>
      </w:r>
      <w:r w:rsidR="00891409">
        <w:rPr>
          <w:rFonts w:cs="Arial"/>
          <w:szCs w:val="20"/>
        </w:rPr>
      </w:r>
      <w:r w:rsidR="00891409" w:rsidRPr="00891409">
        <w:rPr>
          <w:rFonts w:cs="Arial"/>
          <w:szCs w:val="20"/>
        </w:rPr>
        <w:fldChar w:fldCharType="separate"/>
      </w:r>
      <w:r w:rsidR="00891409" w:rsidRPr="00891409">
        <w:rPr>
          <w:rFonts w:cs="Arial"/>
          <w:b/>
          <w:bCs/>
          <w:sz w:val="22"/>
        </w:rPr>
        <w:t xml:space="preserve">Appendix </w:t>
      </w:r>
      <w:r w:rsidR="00891409" w:rsidRPr="00891409">
        <w:rPr>
          <w:rFonts w:cs="Arial"/>
          <w:b/>
          <w:bCs/>
          <w:noProof/>
          <w:sz w:val="22"/>
        </w:rPr>
        <w:t>1</w:t>
      </w:r>
      <w:r w:rsidR="00891409" w:rsidRPr="00891409">
        <w:rPr>
          <w:rFonts w:cs="Arial"/>
          <w:szCs w:val="20"/>
        </w:rPr>
        <w:fldChar w:fldCharType="end"/>
      </w:r>
      <w:r w:rsidR="00891409" w:rsidRPr="00891409">
        <w:rPr>
          <w:rFonts w:cs="Arial"/>
          <w:szCs w:val="20"/>
        </w:rPr>
        <w:t xml:space="preserve">. </w:t>
      </w:r>
      <w:r w:rsidRPr="00891409">
        <w:rPr>
          <w:rFonts w:cs="Arial"/>
          <w:szCs w:val="20"/>
        </w:rPr>
        <w:t>This should include a detailed operational manual, a detailed service manual, and a service check ‘Planned Preventative Maintenance’ list, noting the items that must be serviced and replaced or checked at service, along with any parameters for pass / fail and corrective action requirements.</w:t>
      </w:r>
      <w:r w:rsidRPr="00891409">
        <w:rPr>
          <w:rFonts w:cs="Arial"/>
          <w:color w:val="00B050"/>
          <w:szCs w:val="20"/>
        </w:rPr>
        <w:t xml:space="preserve">  </w:t>
      </w:r>
      <w:r w:rsidRPr="00891409">
        <w:rPr>
          <w:rFonts w:cs="Arial"/>
          <w:szCs w:val="20"/>
        </w:rPr>
        <w:t>The instrument should have been designed and manufactured using appropriately qualified engineers and include information on electrical and all other components, to be included in</w:t>
      </w:r>
      <w:r w:rsidR="00891409" w:rsidRPr="00891409">
        <w:rPr>
          <w:rFonts w:cs="Arial"/>
          <w:szCs w:val="20"/>
        </w:rPr>
        <w:t xml:space="preserve"> future Operation and Maintenance Manuals</w:t>
      </w:r>
      <w:r w:rsidRPr="00891409">
        <w:rPr>
          <w:rFonts w:cs="Arial"/>
          <w:szCs w:val="20"/>
        </w:rPr>
        <w:t>. This is set out in the Agency’s COPES (Code of Practice for Electrical Safety)</w:t>
      </w:r>
      <w:r w:rsidR="00891409" w:rsidRPr="00891409">
        <w:rPr>
          <w:rFonts w:cs="Arial"/>
          <w:szCs w:val="20"/>
        </w:rPr>
        <w:t>.</w:t>
      </w:r>
    </w:p>
    <w:p w:rsidR="00891409" w:rsidRPr="00891409" w:rsidRDefault="00891409" w:rsidP="00891409">
      <w:pPr>
        <w:spacing w:before="0" w:after="0" w:line="245" w:lineRule="auto"/>
        <w:jc w:val="both"/>
        <w:rPr>
          <w:rFonts w:cs="Arial"/>
          <w:szCs w:val="20"/>
        </w:rPr>
      </w:pPr>
    </w:p>
    <w:p w:rsidR="006F4442" w:rsidRPr="00F33AB1" w:rsidRDefault="006F4442" w:rsidP="009C0913">
      <w:pPr>
        <w:numPr>
          <w:ilvl w:val="0"/>
          <w:numId w:val="3"/>
        </w:numPr>
        <w:spacing w:before="0" w:after="0" w:line="245" w:lineRule="auto"/>
        <w:ind w:left="714" w:hanging="357"/>
        <w:jc w:val="both"/>
        <w:rPr>
          <w:rFonts w:cs="Arial"/>
          <w:szCs w:val="20"/>
        </w:rPr>
      </w:pPr>
      <w:r w:rsidRPr="00F33AB1">
        <w:rPr>
          <w:rFonts w:cs="Arial"/>
          <w:szCs w:val="20"/>
        </w:rPr>
        <w:t>The design and construction of the instrument and systems must meet all relevant statutory regulations, environmental legislation and all relevant British and harmonised European and International Standards. The relevant MEICA standard specifications (2018) set out in</w:t>
      </w:r>
      <w:r w:rsidR="00F16B4B">
        <w:rPr>
          <w:rFonts w:cs="Arial"/>
          <w:szCs w:val="20"/>
        </w:rPr>
        <w:t xml:space="preserve"> </w:t>
      </w:r>
      <w:r w:rsidR="00891409">
        <w:rPr>
          <w:rFonts w:cs="Arial"/>
          <w:szCs w:val="20"/>
        </w:rPr>
        <w:fldChar w:fldCharType="begin"/>
      </w:r>
      <w:r w:rsidR="00891409">
        <w:rPr>
          <w:rFonts w:cs="Arial"/>
          <w:szCs w:val="20"/>
        </w:rPr>
        <w:instrText xml:space="preserve"> REF _Ref116478909 \h </w:instrText>
      </w:r>
      <w:r w:rsidR="00891409">
        <w:rPr>
          <w:rFonts w:cs="Arial"/>
          <w:szCs w:val="20"/>
        </w:rPr>
      </w:r>
      <w:r w:rsidR="00891409">
        <w:rPr>
          <w:rFonts w:cs="Arial"/>
          <w:szCs w:val="20"/>
        </w:rPr>
        <w:fldChar w:fldCharType="separate"/>
      </w:r>
      <w:r w:rsidR="00891409" w:rsidRPr="00E477D6">
        <w:rPr>
          <w:rFonts w:cs="Arial"/>
          <w:b/>
          <w:bCs/>
          <w:sz w:val="22"/>
        </w:rPr>
        <w:t xml:space="preserve">Appendix </w:t>
      </w:r>
      <w:r w:rsidR="00891409">
        <w:rPr>
          <w:rFonts w:cs="Arial"/>
          <w:b/>
          <w:bCs/>
          <w:noProof/>
          <w:sz w:val="22"/>
        </w:rPr>
        <w:t>2</w:t>
      </w:r>
      <w:r w:rsidR="00891409">
        <w:rPr>
          <w:rFonts w:cs="Arial"/>
          <w:szCs w:val="20"/>
        </w:rPr>
        <w:fldChar w:fldCharType="end"/>
      </w:r>
      <w:r w:rsidR="00891409">
        <w:rPr>
          <w:rFonts w:cs="Arial"/>
          <w:szCs w:val="20"/>
        </w:rPr>
        <w:t xml:space="preserve"> </w:t>
      </w:r>
      <w:r w:rsidRPr="00F33AB1">
        <w:rPr>
          <w:rFonts w:cs="Arial"/>
          <w:szCs w:val="20"/>
        </w:rPr>
        <w:t>should also be met.  These standards are not retrospective, so, if the installation complies with superseded British or European standards, you can continue to use them provided it is legal, safe and operable.</w:t>
      </w:r>
    </w:p>
    <w:p w:rsidR="006F4442" w:rsidRPr="00F33AB1" w:rsidRDefault="006F4442" w:rsidP="006F4442">
      <w:pPr>
        <w:spacing w:before="0" w:after="0" w:line="245" w:lineRule="auto"/>
        <w:ind w:left="720"/>
        <w:jc w:val="both"/>
        <w:rPr>
          <w:rFonts w:cs="Arial"/>
          <w:szCs w:val="20"/>
        </w:rPr>
      </w:pPr>
    </w:p>
    <w:p w:rsidR="006F4442" w:rsidRPr="00F33AB1" w:rsidRDefault="006F4442" w:rsidP="006F4442">
      <w:pPr>
        <w:pStyle w:val="ListParagraph"/>
        <w:numPr>
          <w:ilvl w:val="0"/>
          <w:numId w:val="3"/>
        </w:numPr>
        <w:spacing w:before="0" w:after="0" w:line="240" w:lineRule="auto"/>
        <w:jc w:val="both"/>
        <w:rPr>
          <w:rFonts w:cs="Arial"/>
          <w:szCs w:val="20"/>
        </w:rPr>
      </w:pPr>
      <w:r w:rsidRPr="00F33AB1">
        <w:rPr>
          <w:rFonts w:cs="Arial"/>
          <w:szCs w:val="20"/>
        </w:rPr>
        <w:t>Information from the supplier, to answer queries and provide information on the operation of the analyser, to assist the network contractor (currently Bureau Veritas for Management and Ricardo AEA / N</w:t>
      </w:r>
      <w:r w:rsidR="00C738E8">
        <w:rPr>
          <w:rFonts w:cs="Arial"/>
          <w:szCs w:val="20"/>
        </w:rPr>
        <w:t xml:space="preserve">ational Physical Laboratory </w:t>
      </w:r>
      <w:r w:rsidRPr="00F33AB1">
        <w:rPr>
          <w:rFonts w:cs="Arial"/>
          <w:szCs w:val="20"/>
        </w:rPr>
        <w:t>for Q</w:t>
      </w:r>
      <w:r w:rsidR="00C738E8">
        <w:rPr>
          <w:rFonts w:cs="Arial"/>
          <w:szCs w:val="20"/>
        </w:rPr>
        <w:t>uality Assurance and Quality Control</w:t>
      </w:r>
      <w:r w:rsidRPr="00F33AB1">
        <w:rPr>
          <w:rFonts w:cs="Arial"/>
          <w:szCs w:val="20"/>
        </w:rPr>
        <w:t>, depending on site location) in producing information for the LSO (Local Site Operator) manual and to help ratify the data. Help if needed, will be provided at no additional cost</w:t>
      </w:r>
      <w:r w:rsidR="0010605D">
        <w:rPr>
          <w:rFonts w:cs="Arial"/>
          <w:szCs w:val="20"/>
        </w:rPr>
        <w:t xml:space="preserve"> for </w:t>
      </w:r>
      <w:r w:rsidR="00297140">
        <w:rPr>
          <w:rFonts w:cs="Arial"/>
          <w:szCs w:val="20"/>
        </w:rPr>
        <w:t>up to</w:t>
      </w:r>
      <w:r w:rsidR="0010605D">
        <w:rPr>
          <w:rFonts w:cs="Arial"/>
          <w:szCs w:val="20"/>
        </w:rPr>
        <w:t xml:space="preserve"> 10 queries.</w:t>
      </w:r>
      <w:r w:rsidRPr="00F33AB1">
        <w:rPr>
          <w:rFonts w:cs="Arial"/>
          <w:szCs w:val="20"/>
        </w:rPr>
        <w:t xml:space="preserve"> Information and responses, to assist the network contractor in producing written protocols to retrieve and interrogate data, will also need to be provided at no additional cost.</w:t>
      </w:r>
      <w:r w:rsidRPr="00F33AB1">
        <w:rPr>
          <w:rFonts w:cs="Arial"/>
          <w:color w:val="00B050"/>
          <w:szCs w:val="20"/>
        </w:rPr>
        <w:t xml:space="preserve"> </w:t>
      </w:r>
      <w:r w:rsidRPr="00F33AB1">
        <w:rPr>
          <w:rFonts w:cs="Arial"/>
          <w:szCs w:val="20"/>
        </w:rPr>
        <w:t>Responses to queries should be timely and within 5 working days. Data protocols required for remote data retrieval from the sampling system, should not be subject to any confidentiality restrictions from the supplier that limit the Network Contractor’s ability to communicate with the instrument remotely. Additionally, full transparency of availability of data for coding from the analyser must be offered at Tender.</w:t>
      </w:r>
    </w:p>
    <w:p w:rsidR="006F4442" w:rsidRPr="00F33AB1" w:rsidRDefault="006F4442" w:rsidP="006F4442">
      <w:pPr>
        <w:pStyle w:val="ListParagraph"/>
        <w:jc w:val="both"/>
        <w:rPr>
          <w:rFonts w:cs="Arial"/>
          <w:szCs w:val="20"/>
        </w:rPr>
      </w:pPr>
    </w:p>
    <w:p w:rsidR="006F4442" w:rsidRDefault="006F4442" w:rsidP="006F4442">
      <w:pPr>
        <w:pStyle w:val="ListParagraph"/>
        <w:numPr>
          <w:ilvl w:val="0"/>
          <w:numId w:val="3"/>
        </w:numPr>
        <w:spacing w:before="0" w:after="0" w:line="240" w:lineRule="auto"/>
        <w:jc w:val="both"/>
        <w:rPr>
          <w:rFonts w:cs="Arial"/>
          <w:szCs w:val="20"/>
        </w:rPr>
      </w:pPr>
      <w:r w:rsidRPr="00F33AB1">
        <w:rPr>
          <w:rFonts w:cs="Arial"/>
          <w:szCs w:val="20"/>
        </w:rPr>
        <w:t>The instrument should be compatible with 4G and ethernet style modems / and or communication servers, and the supplier shall provide options to communicate with the instrument if the site communications that are already in place prove incompatible.</w:t>
      </w:r>
    </w:p>
    <w:p w:rsidR="00C738E8" w:rsidRPr="00F33AB1" w:rsidRDefault="00C738E8" w:rsidP="00C738E8">
      <w:pPr>
        <w:spacing w:before="0" w:after="0" w:line="240" w:lineRule="auto"/>
        <w:jc w:val="both"/>
        <w:rPr>
          <w:rFonts w:cs="Arial"/>
          <w:szCs w:val="20"/>
        </w:rPr>
      </w:pPr>
    </w:p>
    <w:p w:rsidR="00C738E8" w:rsidRDefault="00715B46" w:rsidP="00C738E8">
      <w:pPr>
        <w:pStyle w:val="Heading1"/>
      </w:pPr>
      <w:r>
        <w:t xml:space="preserve">Section 7 - </w:t>
      </w:r>
      <w:r w:rsidR="00C738E8">
        <w:t>Training</w:t>
      </w:r>
    </w:p>
    <w:p w:rsidR="00C738E8" w:rsidRPr="00504EE9" w:rsidRDefault="00C738E8" w:rsidP="00504EE9">
      <w:pPr>
        <w:pStyle w:val="ListParagraph"/>
        <w:rPr>
          <w:rFonts w:cs="Arial"/>
          <w:szCs w:val="20"/>
        </w:rPr>
      </w:pPr>
    </w:p>
    <w:p w:rsidR="00504EE9" w:rsidRPr="00F33AB1" w:rsidRDefault="00504EE9" w:rsidP="006F4442">
      <w:pPr>
        <w:pStyle w:val="ListParagraph"/>
        <w:numPr>
          <w:ilvl w:val="0"/>
          <w:numId w:val="3"/>
        </w:numPr>
        <w:spacing w:before="0" w:after="0" w:line="240" w:lineRule="auto"/>
        <w:jc w:val="both"/>
        <w:rPr>
          <w:rFonts w:cs="Arial"/>
          <w:szCs w:val="20"/>
        </w:rPr>
      </w:pPr>
      <w:r>
        <w:rPr>
          <w:rFonts w:cs="Arial"/>
          <w:szCs w:val="20"/>
        </w:rPr>
        <w:t xml:space="preserve">Training </w:t>
      </w:r>
      <w:r w:rsidR="00891409">
        <w:rPr>
          <w:rFonts w:cs="Arial"/>
          <w:szCs w:val="20"/>
        </w:rPr>
        <w:t xml:space="preserve">is required </w:t>
      </w:r>
      <w:r>
        <w:rPr>
          <w:rFonts w:cs="Arial"/>
          <w:szCs w:val="20"/>
        </w:rPr>
        <w:t>for the AURN network operator</w:t>
      </w:r>
      <w:r w:rsidR="00C738E8">
        <w:rPr>
          <w:rFonts w:cs="Arial"/>
          <w:szCs w:val="20"/>
        </w:rPr>
        <w:t xml:space="preserve">s, </w:t>
      </w:r>
      <w:r>
        <w:rPr>
          <w:rFonts w:cs="Arial"/>
          <w:szCs w:val="20"/>
        </w:rPr>
        <w:t xml:space="preserve">the Quality Assurance operator, </w:t>
      </w:r>
      <w:r w:rsidR="00C738E8">
        <w:rPr>
          <w:rFonts w:cs="Arial"/>
          <w:szCs w:val="20"/>
        </w:rPr>
        <w:t xml:space="preserve">Equipment </w:t>
      </w:r>
      <w:r w:rsidR="00D130A8">
        <w:rPr>
          <w:rFonts w:cs="Arial"/>
          <w:szCs w:val="20"/>
        </w:rPr>
        <w:t>S</w:t>
      </w:r>
      <w:r>
        <w:rPr>
          <w:rFonts w:cs="Arial"/>
          <w:szCs w:val="20"/>
        </w:rPr>
        <w:t xml:space="preserve">ervice </w:t>
      </w:r>
      <w:r w:rsidR="00C738E8">
        <w:rPr>
          <w:rFonts w:cs="Arial"/>
          <w:szCs w:val="20"/>
        </w:rPr>
        <w:t>Units (</w:t>
      </w:r>
      <w:r w:rsidR="00D130A8">
        <w:rPr>
          <w:rFonts w:cs="Arial"/>
          <w:szCs w:val="20"/>
        </w:rPr>
        <w:t xml:space="preserve">ESU - </w:t>
      </w:r>
      <w:r w:rsidR="00C738E8">
        <w:rPr>
          <w:rFonts w:cs="Arial"/>
          <w:szCs w:val="20"/>
        </w:rPr>
        <w:t>which are subcontracted to 3</w:t>
      </w:r>
      <w:r w:rsidR="00C738E8" w:rsidRPr="00C738E8">
        <w:rPr>
          <w:rFonts w:cs="Arial"/>
          <w:szCs w:val="20"/>
          <w:vertAlign w:val="superscript"/>
        </w:rPr>
        <w:t>rd</w:t>
      </w:r>
      <w:r w:rsidR="00C738E8">
        <w:rPr>
          <w:rFonts w:cs="Arial"/>
          <w:szCs w:val="20"/>
        </w:rPr>
        <w:t xml:space="preserve"> parties) and</w:t>
      </w:r>
      <w:r>
        <w:rPr>
          <w:rFonts w:cs="Arial"/>
          <w:szCs w:val="20"/>
        </w:rPr>
        <w:t xml:space="preserve"> </w:t>
      </w:r>
      <w:r w:rsidR="00D130A8">
        <w:rPr>
          <w:rFonts w:cs="Arial"/>
          <w:szCs w:val="20"/>
        </w:rPr>
        <w:t>L</w:t>
      </w:r>
      <w:r>
        <w:rPr>
          <w:rFonts w:cs="Arial"/>
          <w:szCs w:val="20"/>
        </w:rPr>
        <w:t xml:space="preserve">ocal </w:t>
      </w:r>
      <w:r w:rsidR="00D130A8">
        <w:rPr>
          <w:rFonts w:cs="Arial"/>
          <w:szCs w:val="20"/>
        </w:rPr>
        <w:t>S</w:t>
      </w:r>
      <w:r>
        <w:rPr>
          <w:rFonts w:cs="Arial"/>
          <w:szCs w:val="20"/>
        </w:rPr>
        <w:t xml:space="preserve">ite </w:t>
      </w:r>
      <w:r w:rsidR="00D130A8">
        <w:rPr>
          <w:rFonts w:cs="Arial"/>
          <w:szCs w:val="20"/>
        </w:rPr>
        <w:t>O</w:t>
      </w:r>
      <w:r>
        <w:rPr>
          <w:rFonts w:cs="Arial"/>
          <w:szCs w:val="20"/>
        </w:rPr>
        <w:t xml:space="preserve">perators </w:t>
      </w:r>
      <w:r w:rsidR="00C738E8">
        <w:rPr>
          <w:rFonts w:cs="Arial"/>
          <w:szCs w:val="20"/>
        </w:rPr>
        <w:t>(</w:t>
      </w:r>
      <w:r w:rsidR="00D130A8">
        <w:rPr>
          <w:rFonts w:cs="Arial"/>
          <w:szCs w:val="20"/>
        </w:rPr>
        <w:t xml:space="preserve">LSO - </w:t>
      </w:r>
      <w:r w:rsidR="00C738E8">
        <w:rPr>
          <w:rFonts w:cs="Arial"/>
          <w:szCs w:val="20"/>
        </w:rPr>
        <w:t>which are subcontracted to 3</w:t>
      </w:r>
      <w:r w:rsidR="00C738E8" w:rsidRPr="00C738E8">
        <w:rPr>
          <w:rFonts w:cs="Arial"/>
          <w:szCs w:val="20"/>
          <w:vertAlign w:val="superscript"/>
        </w:rPr>
        <w:t>rd</w:t>
      </w:r>
      <w:r w:rsidR="00C738E8">
        <w:rPr>
          <w:rFonts w:cs="Arial"/>
          <w:szCs w:val="20"/>
        </w:rPr>
        <w:t xml:space="preserve"> parties)</w:t>
      </w:r>
      <w:r w:rsidR="00891409">
        <w:rPr>
          <w:rFonts w:cs="Arial"/>
          <w:szCs w:val="20"/>
        </w:rPr>
        <w:t xml:space="preserve">. This </w:t>
      </w:r>
      <w:r>
        <w:rPr>
          <w:rFonts w:cs="Arial"/>
          <w:szCs w:val="20"/>
        </w:rPr>
        <w:t xml:space="preserve">must be made available and delivered within 1 month of any request, for the first two years after the instrument has been </w:t>
      </w:r>
      <w:r w:rsidR="006512DB">
        <w:rPr>
          <w:rFonts w:cs="Arial"/>
          <w:szCs w:val="20"/>
        </w:rPr>
        <w:t>delivered and</w:t>
      </w:r>
      <w:r w:rsidR="00C738E8">
        <w:rPr>
          <w:rFonts w:cs="Arial"/>
          <w:szCs w:val="20"/>
        </w:rPr>
        <w:t xml:space="preserve"> </w:t>
      </w:r>
      <w:r w:rsidR="00D130A8">
        <w:rPr>
          <w:rFonts w:cs="Arial"/>
          <w:szCs w:val="20"/>
        </w:rPr>
        <w:t xml:space="preserve">to </w:t>
      </w:r>
      <w:r w:rsidR="00C738E8">
        <w:rPr>
          <w:rFonts w:cs="Arial"/>
          <w:szCs w:val="20"/>
        </w:rPr>
        <w:t xml:space="preserve">enable the instrument to be used successfully on the Network </w:t>
      </w:r>
      <w:r w:rsidR="00D130A8">
        <w:rPr>
          <w:rFonts w:cs="Arial"/>
          <w:szCs w:val="20"/>
        </w:rPr>
        <w:t>up to 2040.</w:t>
      </w:r>
    </w:p>
    <w:p w:rsidR="006F4442" w:rsidRPr="00F33AB1" w:rsidRDefault="006F4442" w:rsidP="006F4442">
      <w:pPr>
        <w:spacing w:before="0" w:after="0" w:line="240" w:lineRule="auto"/>
        <w:jc w:val="both"/>
        <w:rPr>
          <w:rFonts w:cs="Arial"/>
          <w:szCs w:val="20"/>
        </w:rPr>
      </w:pPr>
    </w:p>
    <w:p w:rsidR="006F4442" w:rsidRPr="00F33AB1" w:rsidRDefault="006F4442" w:rsidP="006F4442">
      <w:pPr>
        <w:spacing w:before="0" w:after="0" w:line="240" w:lineRule="auto"/>
        <w:jc w:val="both"/>
        <w:rPr>
          <w:rFonts w:cs="Arial"/>
          <w:szCs w:val="20"/>
        </w:rPr>
      </w:pPr>
      <w:r w:rsidRPr="00F33AB1">
        <w:rPr>
          <w:rFonts w:cs="Arial"/>
          <w:szCs w:val="20"/>
        </w:rPr>
        <w:tab/>
      </w:r>
    </w:p>
    <w:p w:rsidR="00891409" w:rsidRDefault="00891409">
      <w:pPr>
        <w:spacing w:before="0" w:after="160" w:line="259" w:lineRule="auto"/>
        <w:rPr>
          <w:rFonts w:asciiTheme="minorHAnsi" w:hAnsiTheme="minorHAnsi" w:cstheme="minorHAnsi"/>
          <w:b/>
          <w:sz w:val="28"/>
          <w:lang w:eastAsia="en-GB"/>
        </w:rPr>
      </w:pPr>
      <w:bookmarkStart w:id="24" w:name="_Toc116548855"/>
      <w:r>
        <w:br w:type="page"/>
      </w:r>
    </w:p>
    <w:p w:rsidR="0010605D" w:rsidRDefault="00715B46" w:rsidP="0010605D">
      <w:pPr>
        <w:pStyle w:val="Heading1"/>
      </w:pPr>
      <w:r>
        <w:t xml:space="preserve">Section 8 - </w:t>
      </w:r>
      <w:r w:rsidR="0010605D">
        <w:t>1 Month Trial Test</w:t>
      </w:r>
      <w:r w:rsidR="006512DB">
        <w:t>, Delivery prior to Final</w:t>
      </w:r>
      <w:r w:rsidR="0010605D">
        <w:t xml:space="preserve"> Purchase</w:t>
      </w:r>
      <w:bookmarkEnd w:id="24"/>
    </w:p>
    <w:p w:rsidR="0083357E" w:rsidRDefault="0083357E" w:rsidP="0083357E">
      <w:pPr>
        <w:pStyle w:val="ListParagraph"/>
        <w:numPr>
          <w:ilvl w:val="0"/>
          <w:numId w:val="3"/>
        </w:numPr>
        <w:rPr>
          <w:rFonts w:cs="Arial"/>
          <w:szCs w:val="20"/>
        </w:rPr>
      </w:pPr>
      <w:r w:rsidRPr="0083357E">
        <w:rPr>
          <w:rFonts w:cs="Arial"/>
          <w:szCs w:val="20"/>
        </w:rPr>
        <w:t>The</w:t>
      </w:r>
      <w:r w:rsidR="00D130A8">
        <w:rPr>
          <w:rFonts w:cs="Arial"/>
          <w:szCs w:val="20"/>
        </w:rPr>
        <w:t xml:space="preserve"> 2</w:t>
      </w:r>
      <w:r w:rsidRPr="0083357E">
        <w:rPr>
          <w:rFonts w:cs="Arial"/>
          <w:szCs w:val="20"/>
        </w:rPr>
        <w:t xml:space="preserve"> </w:t>
      </w:r>
      <w:r w:rsidR="00AE72E3" w:rsidRPr="0083357E">
        <w:rPr>
          <w:rFonts w:cs="Arial"/>
          <w:szCs w:val="20"/>
        </w:rPr>
        <w:t>instruments will</w:t>
      </w:r>
      <w:r w:rsidRPr="0083357E">
        <w:rPr>
          <w:rFonts w:cs="Arial"/>
          <w:szCs w:val="20"/>
        </w:rPr>
        <w:t xml:space="preserve"> need to include a </w:t>
      </w:r>
      <w:r w:rsidR="00297140" w:rsidRPr="0083357E">
        <w:rPr>
          <w:rFonts w:cs="Arial"/>
          <w:szCs w:val="20"/>
        </w:rPr>
        <w:t>1-month</w:t>
      </w:r>
      <w:r w:rsidRPr="0083357E">
        <w:rPr>
          <w:rFonts w:cs="Arial"/>
          <w:szCs w:val="20"/>
        </w:rPr>
        <w:t xml:space="preserve"> rental after delivery so as to be tested by our Quality Assurance contractor on contract 25952 Lot 2, for </w:t>
      </w:r>
      <w:r w:rsidR="00297140" w:rsidRPr="0083357E">
        <w:rPr>
          <w:rFonts w:cs="Arial"/>
          <w:szCs w:val="20"/>
        </w:rPr>
        <w:t>up to</w:t>
      </w:r>
      <w:r w:rsidRPr="0083357E">
        <w:rPr>
          <w:rFonts w:cs="Arial"/>
          <w:szCs w:val="20"/>
        </w:rPr>
        <w:t xml:space="preserve"> 1 month prior to delivery being accepted for the purchase of the 2 instruments. Payment for delivery completion is once the instrument has met the pass/ fail criteria. This pass / fail test includes:</w:t>
      </w:r>
    </w:p>
    <w:p w:rsidR="00AE72E3" w:rsidRDefault="00AE72E3" w:rsidP="00AE72E3">
      <w:pPr>
        <w:pStyle w:val="ListParagraph"/>
        <w:ind w:left="785"/>
        <w:rPr>
          <w:szCs w:val="24"/>
        </w:rPr>
      </w:pPr>
    </w:p>
    <w:p w:rsidR="00AE72E3" w:rsidRPr="00AE72E3" w:rsidRDefault="00AE72E3" w:rsidP="00AE72E3">
      <w:pPr>
        <w:pStyle w:val="ListParagraph"/>
        <w:ind w:left="785"/>
        <w:rPr>
          <w:rFonts w:cs="Arial"/>
          <w:b/>
          <w:bCs/>
          <w:szCs w:val="20"/>
        </w:rPr>
      </w:pPr>
      <w:r w:rsidRPr="00AE72E3">
        <w:rPr>
          <w:b/>
          <w:bCs/>
          <w:szCs w:val="24"/>
        </w:rPr>
        <w:t xml:space="preserve">Table </w:t>
      </w:r>
      <w:r w:rsidRPr="00AE72E3">
        <w:rPr>
          <w:b/>
          <w:bCs/>
          <w:szCs w:val="24"/>
        </w:rPr>
        <w:fldChar w:fldCharType="begin"/>
      </w:r>
      <w:r w:rsidRPr="00AE72E3">
        <w:rPr>
          <w:b/>
          <w:bCs/>
          <w:szCs w:val="24"/>
        </w:rPr>
        <w:instrText xml:space="preserve"> SEQ Table \* ARABIC </w:instrText>
      </w:r>
      <w:r w:rsidRPr="00AE72E3">
        <w:rPr>
          <w:b/>
          <w:bCs/>
          <w:szCs w:val="24"/>
        </w:rPr>
        <w:fldChar w:fldCharType="separate"/>
      </w:r>
      <w:r w:rsidR="00F16B4B">
        <w:rPr>
          <w:b/>
          <w:bCs/>
          <w:noProof/>
          <w:szCs w:val="24"/>
        </w:rPr>
        <w:t>1</w:t>
      </w:r>
      <w:r w:rsidRPr="00AE72E3">
        <w:rPr>
          <w:b/>
          <w:bCs/>
          <w:szCs w:val="24"/>
        </w:rPr>
        <w:fldChar w:fldCharType="end"/>
      </w:r>
    </w:p>
    <w:tbl>
      <w:tblPr>
        <w:tblStyle w:val="TableGrid"/>
        <w:tblW w:w="0" w:type="auto"/>
        <w:tblInd w:w="720" w:type="dxa"/>
        <w:tblLook w:val="04A0" w:firstRow="1" w:lastRow="0" w:firstColumn="1" w:lastColumn="0" w:noHBand="0" w:noVBand="1"/>
      </w:tblPr>
      <w:tblGrid>
        <w:gridCol w:w="4148"/>
        <w:gridCol w:w="4148"/>
      </w:tblGrid>
      <w:tr w:rsidR="00AE72E3" w:rsidRPr="007D1E9B" w:rsidTr="00164707">
        <w:tc>
          <w:tcPr>
            <w:tcW w:w="4148" w:type="dxa"/>
          </w:tcPr>
          <w:p w:rsidR="00AE72E3" w:rsidRPr="00AE72E3" w:rsidRDefault="00AE72E3" w:rsidP="00164707">
            <w:pPr>
              <w:pStyle w:val="ListParagraph"/>
              <w:spacing w:before="0" w:after="0" w:line="240" w:lineRule="auto"/>
              <w:ind w:left="0"/>
              <w:jc w:val="both"/>
              <w:rPr>
                <w:rFonts w:cs="Arial"/>
                <w:b/>
                <w:bCs/>
                <w:szCs w:val="20"/>
              </w:rPr>
            </w:pPr>
            <w:r w:rsidRPr="00AE72E3">
              <w:rPr>
                <w:rFonts w:cs="Arial"/>
                <w:b/>
                <w:bCs/>
                <w:szCs w:val="20"/>
              </w:rPr>
              <w:t>Test</w:t>
            </w:r>
          </w:p>
        </w:tc>
        <w:tc>
          <w:tcPr>
            <w:tcW w:w="4148" w:type="dxa"/>
          </w:tcPr>
          <w:p w:rsidR="00AE72E3" w:rsidRPr="00AE72E3" w:rsidRDefault="00AE72E3" w:rsidP="00164707">
            <w:pPr>
              <w:pStyle w:val="ListParagraph"/>
              <w:spacing w:before="0" w:after="0" w:line="240" w:lineRule="auto"/>
              <w:ind w:left="0"/>
              <w:jc w:val="both"/>
              <w:rPr>
                <w:rFonts w:cs="Arial"/>
                <w:b/>
                <w:bCs/>
                <w:szCs w:val="20"/>
              </w:rPr>
            </w:pPr>
            <w:r w:rsidRPr="00AE72E3">
              <w:rPr>
                <w:rFonts w:cs="Arial"/>
                <w:b/>
                <w:bCs/>
                <w:szCs w:val="20"/>
              </w:rPr>
              <w:t>Pass / Fail Criteria</w:t>
            </w:r>
          </w:p>
        </w:tc>
      </w:tr>
      <w:tr w:rsidR="00AE72E3" w:rsidTr="00164707">
        <w:tc>
          <w:tcPr>
            <w:tcW w:w="4148" w:type="dxa"/>
          </w:tcPr>
          <w:p w:rsidR="00AE72E3" w:rsidRDefault="00AE72E3" w:rsidP="00164707">
            <w:pPr>
              <w:pStyle w:val="ListParagraph"/>
              <w:spacing w:before="0" w:after="0" w:line="240" w:lineRule="auto"/>
              <w:ind w:left="0"/>
              <w:jc w:val="both"/>
              <w:rPr>
                <w:rFonts w:cs="Arial"/>
                <w:szCs w:val="20"/>
              </w:rPr>
            </w:pPr>
            <w:r>
              <w:rPr>
                <w:rFonts w:cs="Arial"/>
                <w:szCs w:val="20"/>
              </w:rPr>
              <w:t>Check Span Drift Meets EN 14211 needs using periodic calibrations (Bi- weekly)</w:t>
            </w:r>
          </w:p>
        </w:tc>
        <w:tc>
          <w:tcPr>
            <w:tcW w:w="4148" w:type="dxa"/>
          </w:tcPr>
          <w:p w:rsidR="00AE72E3" w:rsidRDefault="00AE72E3" w:rsidP="00164707">
            <w:pPr>
              <w:pStyle w:val="ListParagraph"/>
              <w:spacing w:before="0" w:after="0" w:line="240" w:lineRule="auto"/>
              <w:ind w:left="0"/>
              <w:jc w:val="both"/>
              <w:rPr>
                <w:rFonts w:cs="Arial"/>
                <w:szCs w:val="20"/>
              </w:rPr>
            </w:pPr>
            <w:r>
              <w:t>≤5 nmol/mol (data will be extrapolated from one month to 3 months)</w:t>
            </w:r>
          </w:p>
        </w:tc>
      </w:tr>
      <w:tr w:rsidR="00AE72E3" w:rsidTr="00164707">
        <w:tc>
          <w:tcPr>
            <w:tcW w:w="4148" w:type="dxa"/>
          </w:tcPr>
          <w:p w:rsidR="00AE72E3" w:rsidRDefault="00AE72E3" w:rsidP="00164707">
            <w:pPr>
              <w:pStyle w:val="ListParagraph"/>
              <w:spacing w:before="0" w:after="0" w:line="240" w:lineRule="auto"/>
              <w:ind w:left="0"/>
              <w:jc w:val="both"/>
              <w:rPr>
                <w:rFonts w:cs="Arial"/>
                <w:szCs w:val="20"/>
              </w:rPr>
            </w:pPr>
            <w:r>
              <w:rPr>
                <w:rFonts w:cs="Arial"/>
                <w:szCs w:val="20"/>
              </w:rPr>
              <w:t>Check Long Term Zero Drift Meets EN 14211 needs using periodic calibrations (Bi- weekly)</w:t>
            </w:r>
          </w:p>
        </w:tc>
        <w:tc>
          <w:tcPr>
            <w:tcW w:w="4148" w:type="dxa"/>
          </w:tcPr>
          <w:p w:rsidR="00AE72E3" w:rsidRDefault="00AE72E3" w:rsidP="00164707">
            <w:pPr>
              <w:pStyle w:val="ListParagraph"/>
              <w:spacing w:before="0" w:after="0" w:line="240" w:lineRule="auto"/>
              <w:ind w:left="0"/>
              <w:jc w:val="both"/>
              <w:rPr>
                <w:rFonts w:cs="Arial"/>
                <w:szCs w:val="20"/>
              </w:rPr>
            </w:pPr>
            <w:r>
              <w:t>≤5 nmol/mol (data will be extrapolated from one month to 3 months)</w:t>
            </w:r>
          </w:p>
        </w:tc>
      </w:tr>
      <w:tr w:rsidR="00AE72E3" w:rsidTr="00164707">
        <w:tc>
          <w:tcPr>
            <w:tcW w:w="4148" w:type="dxa"/>
          </w:tcPr>
          <w:p w:rsidR="00AE72E3" w:rsidRDefault="00AE72E3" w:rsidP="00164707">
            <w:pPr>
              <w:pStyle w:val="ListParagraph"/>
              <w:spacing w:before="0" w:after="0" w:line="240" w:lineRule="auto"/>
              <w:ind w:left="0"/>
              <w:jc w:val="both"/>
              <w:rPr>
                <w:rFonts w:cs="Arial"/>
                <w:szCs w:val="20"/>
              </w:rPr>
            </w:pPr>
            <w:r>
              <w:rPr>
                <w:rFonts w:cs="Arial"/>
                <w:szCs w:val="20"/>
              </w:rPr>
              <w:t>Check against a BS EN 14211 instrument used already on the network</w:t>
            </w:r>
          </w:p>
        </w:tc>
        <w:tc>
          <w:tcPr>
            <w:tcW w:w="4148" w:type="dxa"/>
          </w:tcPr>
          <w:p w:rsidR="00AE72E3" w:rsidRDefault="00AE72E3" w:rsidP="00164707">
            <w:pPr>
              <w:pStyle w:val="ListParagraph"/>
              <w:spacing w:before="0" w:after="0" w:line="240" w:lineRule="auto"/>
              <w:ind w:left="0"/>
              <w:jc w:val="both"/>
              <w:rPr>
                <w:rFonts w:cs="Arial"/>
                <w:szCs w:val="20"/>
              </w:rPr>
            </w:pPr>
            <w:r>
              <w:rPr>
                <w:rFonts w:cs="Arial"/>
                <w:szCs w:val="20"/>
              </w:rPr>
              <w:t xml:space="preserve">Instrument measurement result passes expanded uncertainty and there is no obvious bias greater than the repeatability at our limit of </w:t>
            </w:r>
            <w:r>
              <w:t>≤3 nmol/mol</w:t>
            </w:r>
          </w:p>
        </w:tc>
      </w:tr>
      <w:tr w:rsidR="00AE72E3" w:rsidTr="00164707">
        <w:tc>
          <w:tcPr>
            <w:tcW w:w="4148" w:type="dxa"/>
          </w:tcPr>
          <w:p w:rsidR="00AE72E3" w:rsidRDefault="00AE72E3" w:rsidP="00164707">
            <w:pPr>
              <w:pStyle w:val="ListParagraph"/>
              <w:spacing w:before="0" w:after="0" w:line="240" w:lineRule="auto"/>
              <w:ind w:left="0"/>
              <w:jc w:val="both"/>
              <w:rPr>
                <w:rFonts w:cs="Arial"/>
                <w:szCs w:val="20"/>
              </w:rPr>
            </w:pPr>
            <w:r>
              <w:rPr>
                <w:rFonts w:cs="Arial"/>
                <w:szCs w:val="20"/>
              </w:rPr>
              <w:t>Check ‘auto-cals’</w:t>
            </w:r>
          </w:p>
        </w:tc>
        <w:tc>
          <w:tcPr>
            <w:tcW w:w="4148" w:type="dxa"/>
          </w:tcPr>
          <w:p w:rsidR="00AE72E3" w:rsidRDefault="00AE72E3" w:rsidP="00164707">
            <w:pPr>
              <w:pStyle w:val="ListParagraph"/>
              <w:spacing w:before="0" w:after="0" w:line="240" w:lineRule="auto"/>
              <w:ind w:left="0"/>
              <w:jc w:val="both"/>
              <w:rPr>
                <w:rFonts w:cs="Arial"/>
                <w:szCs w:val="20"/>
              </w:rPr>
            </w:pPr>
            <w:r>
              <w:rPr>
                <w:rFonts w:cs="Arial"/>
                <w:szCs w:val="20"/>
              </w:rPr>
              <w:t>Instrument can be calibrated remotely to check performance</w:t>
            </w:r>
          </w:p>
        </w:tc>
      </w:tr>
      <w:tr w:rsidR="00AE72E3" w:rsidTr="00164707">
        <w:tc>
          <w:tcPr>
            <w:tcW w:w="4148" w:type="dxa"/>
          </w:tcPr>
          <w:p w:rsidR="00AE72E3" w:rsidRDefault="00AE72E3" w:rsidP="00164707">
            <w:pPr>
              <w:pStyle w:val="ListParagraph"/>
              <w:spacing w:before="0" w:after="0" w:line="240" w:lineRule="auto"/>
              <w:ind w:left="0"/>
              <w:jc w:val="both"/>
              <w:rPr>
                <w:rFonts w:cs="Arial"/>
                <w:szCs w:val="20"/>
              </w:rPr>
            </w:pPr>
            <w:r>
              <w:rPr>
                <w:rFonts w:cs="Arial"/>
                <w:szCs w:val="20"/>
              </w:rPr>
              <w:t>Establish remote communications</w:t>
            </w:r>
          </w:p>
        </w:tc>
        <w:tc>
          <w:tcPr>
            <w:tcW w:w="4148" w:type="dxa"/>
          </w:tcPr>
          <w:p w:rsidR="00AE72E3" w:rsidRDefault="00AE72E3" w:rsidP="00164707">
            <w:pPr>
              <w:pStyle w:val="ListParagraph"/>
              <w:spacing w:before="0" w:after="0" w:line="240" w:lineRule="auto"/>
              <w:ind w:left="0"/>
              <w:jc w:val="both"/>
              <w:rPr>
                <w:rFonts w:cs="Arial"/>
                <w:szCs w:val="20"/>
              </w:rPr>
            </w:pPr>
            <w:r>
              <w:rPr>
                <w:rFonts w:cs="Arial"/>
                <w:szCs w:val="20"/>
              </w:rPr>
              <w:t>Instrument can send remote data every 1 hour to a data collection system used on the AURN network.</w:t>
            </w:r>
          </w:p>
        </w:tc>
      </w:tr>
      <w:tr w:rsidR="00AE72E3" w:rsidTr="00164707">
        <w:tc>
          <w:tcPr>
            <w:tcW w:w="4148" w:type="dxa"/>
          </w:tcPr>
          <w:p w:rsidR="00AE72E3" w:rsidRDefault="00AE72E3" w:rsidP="00164707">
            <w:pPr>
              <w:pStyle w:val="ListParagraph"/>
              <w:spacing w:before="0" w:after="0" w:line="240" w:lineRule="auto"/>
              <w:ind w:left="0"/>
              <w:jc w:val="both"/>
              <w:rPr>
                <w:rFonts w:cs="Arial"/>
                <w:szCs w:val="20"/>
              </w:rPr>
            </w:pPr>
            <w:r>
              <w:rPr>
                <w:rFonts w:cs="Arial"/>
                <w:szCs w:val="20"/>
              </w:rPr>
              <w:t>Other BS EN 14211 criteria if any performance doubted.</w:t>
            </w:r>
          </w:p>
        </w:tc>
        <w:tc>
          <w:tcPr>
            <w:tcW w:w="4148" w:type="dxa"/>
          </w:tcPr>
          <w:p w:rsidR="00AE72E3" w:rsidRDefault="00AE72E3" w:rsidP="00164707">
            <w:pPr>
              <w:pStyle w:val="ListParagraph"/>
              <w:spacing w:before="0" w:after="0" w:line="240" w:lineRule="auto"/>
              <w:ind w:left="0"/>
              <w:jc w:val="both"/>
              <w:rPr>
                <w:rFonts w:cs="Arial"/>
                <w:szCs w:val="20"/>
              </w:rPr>
            </w:pPr>
            <w:r>
              <w:rPr>
                <w:rFonts w:cs="Arial"/>
                <w:szCs w:val="20"/>
              </w:rPr>
              <w:t>As per BS EN 14211 -</w:t>
            </w:r>
            <w:r w:rsidRPr="007D1E9B">
              <w:rPr>
                <w:rFonts w:cs="Arial"/>
                <w:szCs w:val="20"/>
              </w:rPr>
              <w:t>8.2 Relevant performance characteristics and performance criteria</w:t>
            </w:r>
            <w:r>
              <w:rPr>
                <w:rFonts w:cs="Arial"/>
                <w:szCs w:val="20"/>
              </w:rPr>
              <w:t xml:space="preserve"> </w:t>
            </w:r>
          </w:p>
        </w:tc>
      </w:tr>
    </w:tbl>
    <w:p w:rsidR="00AE72E3" w:rsidRDefault="00AE72E3" w:rsidP="00AE72E3">
      <w:pPr>
        <w:pStyle w:val="ListParagraph"/>
        <w:numPr>
          <w:ilvl w:val="0"/>
          <w:numId w:val="3"/>
        </w:numPr>
        <w:rPr>
          <w:rFonts w:cs="Arial"/>
          <w:szCs w:val="20"/>
        </w:rPr>
      </w:pPr>
      <w:r w:rsidRPr="00AE72E3">
        <w:rPr>
          <w:rFonts w:cs="Arial"/>
          <w:szCs w:val="20"/>
        </w:rPr>
        <w:t xml:space="preserve">The Contractor is required to ensure delivery </w:t>
      </w:r>
      <w:r w:rsidR="00297140">
        <w:rPr>
          <w:rFonts w:cs="Arial"/>
          <w:szCs w:val="20"/>
        </w:rPr>
        <w:t xml:space="preserve">of </w:t>
      </w:r>
      <w:r w:rsidRPr="00AE72E3">
        <w:rPr>
          <w:rFonts w:cs="Arial"/>
          <w:szCs w:val="20"/>
        </w:rPr>
        <w:t xml:space="preserve">both instruments to Chilbolton AURN station and commission them for the </w:t>
      </w:r>
      <w:r w:rsidR="00297140" w:rsidRPr="00AE72E3">
        <w:rPr>
          <w:rFonts w:cs="Arial"/>
          <w:szCs w:val="20"/>
        </w:rPr>
        <w:t>1-month</w:t>
      </w:r>
      <w:r w:rsidRPr="00AE72E3">
        <w:rPr>
          <w:rFonts w:cs="Arial"/>
          <w:szCs w:val="20"/>
        </w:rPr>
        <w:t xml:space="preserve"> trial by 13th February 202</w:t>
      </w:r>
      <w:r w:rsidR="00285B18">
        <w:rPr>
          <w:rFonts w:cs="Arial"/>
          <w:szCs w:val="20"/>
        </w:rPr>
        <w:t>3</w:t>
      </w:r>
      <w:r w:rsidRPr="00AE72E3">
        <w:rPr>
          <w:rFonts w:cs="Arial"/>
          <w:szCs w:val="20"/>
        </w:rPr>
        <w:t>. Access will be arranged via the AURN contractor Bureau Veritas who manage the site.</w:t>
      </w:r>
    </w:p>
    <w:p w:rsidR="00AE72E3" w:rsidRPr="00AE72E3" w:rsidRDefault="00AE72E3" w:rsidP="00AE72E3">
      <w:pPr>
        <w:pStyle w:val="ListParagraph"/>
        <w:ind w:left="785"/>
        <w:rPr>
          <w:rFonts w:cs="Arial"/>
          <w:szCs w:val="20"/>
        </w:rPr>
      </w:pPr>
    </w:p>
    <w:p w:rsidR="0094521E" w:rsidRDefault="00AE72E3" w:rsidP="0094521E">
      <w:pPr>
        <w:pStyle w:val="ListParagraph"/>
        <w:numPr>
          <w:ilvl w:val="0"/>
          <w:numId w:val="3"/>
        </w:numPr>
        <w:rPr>
          <w:rFonts w:cs="Arial"/>
          <w:szCs w:val="20"/>
        </w:rPr>
      </w:pPr>
      <w:r w:rsidRPr="00AE72E3">
        <w:rPr>
          <w:rFonts w:cs="Arial"/>
          <w:szCs w:val="20"/>
        </w:rPr>
        <w:t xml:space="preserve">Instrument checks should be carried out at one of the Contractor’s UK based workshops to confirm the instruments functionality as per the specifications prior to delivery as per </w:t>
      </w:r>
      <w:r w:rsidR="00CB7C99">
        <w:rPr>
          <w:rFonts w:cs="Arial"/>
          <w:szCs w:val="20"/>
        </w:rPr>
        <w:fldChar w:fldCharType="begin"/>
      </w:r>
      <w:r w:rsidR="00CB7C99">
        <w:rPr>
          <w:rFonts w:cs="Arial"/>
          <w:szCs w:val="20"/>
        </w:rPr>
        <w:instrText xml:space="preserve"> REF _Ref116478946 \h </w:instrText>
      </w:r>
      <w:r w:rsidR="00CB7C99">
        <w:rPr>
          <w:rFonts w:cs="Arial"/>
          <w:szCs w:val="20"/>
        </w:rPr>
      </w:r>
      <w:r w:rsidR="00CB7C99">
        <w:rPr>
          <w:rFonts w:cs="Arial"/>
          <w:szCs w:val="20"/>
        </w:rPr>
        <w:fldChar w:fldCharType="separate"/>
      </w:r>
      <w:r w:rsidR="00F16B4B" w:rsidRPr="00E477D6">
        <w:rPr>
          <w:rFonts w:cs="Arial"/>
          <w:b/>
          <w:bCs/>
          <w:sz w:val="22"/>
        </w:rPr>
        <w:t xml:space="preserve">Appendix </w:t>
      </w:r>
      <w:r w:rsidR="00F16B4B">
        <w:rPr>
          <w:rFonts w:cs="Arial"/>
          <w:b/>
          <w:bCs/>
          <w:i/>
          <w:iCs/>
          <w:noProof/>
          <w:sz w:val="22"/>
        </w:rPr>
        <w:t>5</w:t>
      </w:r>
      <w:r w:rsidR="00CB7C99">
        <w:rPr>
          <w:rFonts w:cs="Arial"/>
          <w:szCs w:val="20"/>
        </w:rPr>
        <w:fldChar w:fldCharType="end"/>
      </w:r>
      <w:r w:rsidR="00CB7C99">
        <w:rPr>
          <w:rFonts w:cs="Arial"/>
          <w:szCs w:val="20"/>
        </w:rPr>
        <w:t xml:space="preserve"> </w:t>
      </w:r>
      <w:r>
        <w:rPr>
          <w:rFonts w:cs="Arial"/>
          <w:szCs w:val="20"/>
        </w:rPr>
        <w:t xml:space="preserve">and the site commissioning checks as per </w:t>
      </w:r>
      <w:r w:rsidR="00CB7C99">
        <w:rPr>
          <w:rFonts w:cs="Arial"/>
          <w:szCs w:val="20"/>
        </w:rPr>
        <w:fldChar w:fldCharType="begin"/>
      </w:r>
      <w:r w:rsidR="00CB7C99">
        <w:rPr>
          <w:rFonts w:cs="Arial"/>
          <w:szCs w:val="20"/>
        </w:rPr>
        <w:instrText xml:space="preserve"> REF _Ref116478952 \h </w:instrText>
      </w:r>
      <w:r w:rsidR="00CB7C99">
        <w:rPr>
          <w:rFonts w:cs="Arial"/>
          <w:szCs w:val="20"/>
        </w:rPr>
      </w:r>
      <w:r w:rsidR="00CB7C99">
        <w:rPr>
          <w:rFonts w:cs="Arial"/>
          <w:szCs w:val="20"/>
        </w:rPr>
        <w:fldChar w:fldCharType="separate"/>
      </w:r>
      <w:r w:rsidR="00F16B4B" w:rsidRPr="00E477D6">
        <w:rPr>
          <w:rFonts w:cs="Arial"/>
          <w:b/>
          <w:bCs/>
          <w:sz w:val="22"/>
        </w:rPr>
        <w:t xml:space="preserve">Appendix </w:t>
      </w:r>
      <w:r w:rsidR="00F16B4B">
        <w:rPr>
          <w:rFonts w:cs="Arial"/>
          <w:b/>
          <w:bCs/>
          <w:i/>
          <w:iCs/>
          <w:noProof/>
          <w:sz w:val="22"/>
        </w:rPr>
        <w:t>6</w:t>
      </w:r>
      <w:r w:rsidR="00CB7C99">
        <w:rPr>
          <w:rFonts w:cs="Arial"/>
          <w:szCs w:val="20"/>
        </w:rPr>
        <w:fldChar w:fldCharType="end"/>
      </w:r>
      <w:r w:rsidR="00CB7C99">
        <w:rPr>
          <w:rFonts w:cs="Arial"/>
          <w:szCs w:val="20"/>
        </w:rPr>
        <w:t xml:space="preserve"> and copies sent to </w:t>
      </w:r>
      <w:hyperlink r:id="rId12" w:history="1">
        <w:r w:rsidR="0094521E" w:rsidRPr="000F5646">
          <w:rPr>
            <w:rStyle w:val="Hyperlink"/>
            <w:rFonts w:cs="Arial"/>
            <w:szCs w:val="20"/>
          </w:rPr>
          <w:t>aqmonitoringuk@environment-agency.gov.uk</w:t>
        </w:r>
      </w:hyperlink>
      <w:r w:rsidR="0094521E">
        <w:rPr>
          <w:rFonts w:cs="Arial"/>
          <w:szCs w:val="20"/>
        </w:rPr>
        <w:t>.</w:t>
      </w:r>
    </w:p>
    <w:p w:rsidR="0094521E" w:rsidRPr="0094521E" w:rsidRDefault="0094521E" w:rsidP="0094521E">
      <w:pPr>
        <w:pStyle w:val="ListParagraph"/>
        <w:rPr>
          <w:rFonts w:cs="Arial"/>
          <w:szCs w:val="20"/>
        </w:rPr>
      </w:pPr>
    </w:p>
    <w:p w:rsidR="0094521E" w:rsidRPr="0094521E" w:rsidRDefault="0094521E" w:rsidP="0094521E">
      <w:pPr>
        <w:pStyle w:val="ListParagraph"/>
        <w:ind w:left="785"/>
        <w:rPr>
          <w:rFonts w:cs="Arial"/>
          <w:szCs w:val="20"/>
        </w:rPr>
      </w:pPr>
    </w:p>
    <w:p w:rsidR="00AE72E3" w:rsidRDefault="0094521E" w:rsidP="0083357E">
      <w:pPr>
        <w:pStyle w:val="ListParagraph"/>
        <w:numPr>
          <w:ilvl w:val="0"/>
          <w:numId w:val="3"/>
        </w:numPr>
        <w:rPr>
          <w:rFonts w:cs="Arial"/>
          <w:szCs w:val="20"/>
        </w:rPr>
      </w:pPr>
      <w:r>
        <w:rPr>
          <w:rFonts w:cs="Arial"/>
          <w:szCs w:val="20"/>
        </w:rPr>
        <w:t xml:space="preserve"> Following the successful delivery and receipt of </w:t>
      </w:r>
      <w:r w:rsidR="00370345" w:rsidRPr="00891409">
        <w:rPr>
          <w:rFonts w:cs="Arial"/>
          <w:i/>
          <w:iCs/>
          <w:szCs w:val="20"/>
        </w:rPr>
        <w:fldChar w:fldCharType="begin"/>
      </w:r>
      <w:r w:rsidR="00370345" w:rsidRPr="00891409">
        <w:rPr>
          <w:rFonts w:cs="Arial"/>
          <w:i/>
          <w:iCs/>
          <w:szCs w:val="20"/>
        </w:rPr>
        <w:instrText xml:space="preserve"> REF _Ref116478946 \h </w:instrText>
      </w:r>
      <w:r w:rsidR="00370345" w:rsidRPr="00891409">
        <w:rPr>
          <w:rFonts w:cs="Arial"/>
          <w:i/>
          <w:iCs/>
          <w:szCs w:val="20"/>
        </w:rPr>
      </w:r>
      <w:r w:rsidR="00891409">
        <w:rPr>
          <w:rFonts w:cs="Arial"/>
          <w:i/>
          <w:iCs/>
          <w:szCs w:val="20"/>
        </w:rPr>
        <w:instrText xml:space="preserve"> \* MERGEFORMAT </w:instrText>
      </w:r>
      <w:r w:rsidR="00370345" w:rsidRPr="00891409">
        <w:rPr>
          <w:rFonts w:cs="Arial"/>
          <w:i/>
          <w:iCs/>
          <w:szCs w:val="20"/>
        </w:rPr>
        <w:fldChar w:fldCharType="separate"/>
      </w:r>
      <w:r w:rsidR="00F16B4B" w:rsidRPr="00891409">
        <w:rPr>
          <w:rFonts w:cs="Arial"/>
          <w:b/>
          <w:bCs/>
          <w:i/>
          <w:iCs/>
          <w:sz w:val="22"/>
        </w:rPr>
        <w:t xml:space="preserve">Appendix </w:t>
      </w:r>
      <w:r w:rsidR="00F16B4B" w:rsidRPr="00891409">
        <w:rPr>
          <w:rFonts w:cs="Arial"/>
          <w:b/>
          <w:bCs/>
          <w:i/>
          <w:iCs/>
          <w:noProof/>
          <w:sz w:val="22"/>
        </w:rPr>
        <w:t>5</w:t>
      </w:r>
      <w:r w:rsidR="00370345" w:rsidRPr="00891409">
        <w:rPr>
          <w:rFonts w:cs="Arial"/>
          <w:i/>
          <w:iCs/>
          <w:szCs w:val="20"/>
        </w:rPr>
        <w:fldChar w:fldCharType="end"/>
      </w:r>
      <w:r w:rsidR="00370345">
        <w:rPr>
          <w:rFonts w:cs="Arial"/>
          <w:szCs w:val="20"/>
        </w:rPr>
        <w:t xml:space="preserve"> </w:t>
      </w:r>
      <w:r>
        <w:rPr>
          <w:rFonts w:cs="Arial"/>
          <w:szCs w:val="20"/>
        </w:rPr>
        <w:t xml:space="preserve">and </w:t>
      </w:r>
      <w:r w:rsidR="00370345">
        <w:rPr>
          <w:rFonts w:cs="Arial"/>
          <w:szCs w:val="20"/>
        </w:rPr>
        <w:fldChar w:fldCharType="begin"/>
      </w:r>
      <w:r w:rsidR="00370345">
        <w:rPr>
          <w:rFonts w:cs="Arial"/>
          <w:szCs w:val="20"/>
        </w:rPr>
        <w:instrText xml:space="preserve"> REF _Ref116478952 \h </w:instrText>
      </w:r>
      <w:r w:rsidR="00370345">
        <w:rPr>
          <w:rFonts w:cs="Arial"/>
          <w:szCs w:val="20"/>
        </w:rPr>
      </w:r>
      <w:r w:rsidR="00370345">
        <w:rPr>
          <w:rFonts w:cs="Arial"/>
          <w:szCs w:val="20"/>
        </w:rPr>
        <w:fldChar w:fldCharType="separate"/>
      </w:r>
      <w:r w:rsidR="00F16B4B" w:rsidRPr="00E477D6">
        <w:rPr>
          <w:rFonts w:cs="Arial"/>
          <w:b/>
          <w:bCs/>
          <w:sz w:val="22"/>
        </w:rPr>
        <w:t xml:space="preserve">Appendix </w:t>
      </w:r>
      <w:r w:rsidR="00F16B4B">
        <w:rPr>
          <w:rFonts w:cs="Arial"/>
          <w:b/>
          <w:bCs/>
          <w:i/>
          <w:iCs/>
          <w:noProof/>
          <w:sz w:val="22"/>
        </w:rPr>
        <w:t>6</w:t>
      </w:r>
      <w:r w:rsidR="00370345">
        <w:rPr>
          <w:rFonts w:cs="Arial"/>
          <w:szCs w:val="20"/>
        </w:rPr>
        <w:fldChar w:fldCharType="end"/>
      </w:r>
      <w:r>
        <w:rPr>
          <w:rFonts w:cs="Arial"/>
          <w:szCs w:val="20"/>
        </w:rPr>
        <w:t>, the Contractor can be paid for the 1 month trial cost supplied in our commercial sheet</w:t>
      </w:r>
      <w:r w:rsidR="00833B93">
        <w:rPr>
          <w:rFonts w:cs="Arial"/>
          <w:szCs w:val="20"/>
        </w:rPr>
        <w:t xml:space="preserve"> to be submitted in </w:t>
      </w:r>
      <w:r w:rsidR="00833B93">
        <w:rPr>
          <w:rFonts w:cs="Arial"/>
          <w:szCs w:val="20"/>
        </w:rPr>
        <w:fldChar w:fldCharType="begin"/>
      </w:r>
      <w:r w:rsidR="00833B93">
        <w:rPr>
          <w:rFonts w:cs="Arial"/>
          <w:szCs w:val="20"/>
        </w:rPr>
        <w:instrText xml:space="preserve"> REF _Ref116483057 \h </w:instrText>
      </w:r>
      <w:r w:rsidR="00833B93">
        <w:rPr>
          <w:rFonts w:cs="Arial"/>
          <w:szCs w:val="20"/>
        </w:rPr>
      </w:r>
      <w:r w:rsidR="00833B93">
        <w:rPr>
          <w:rFonts w:cs="Arial"/>
          <w:szCs w:val="20"/>
        </w:rPr>
        <w:fldChar w:fldCharType="separate"/>
      </w:r>
      <w:r w:rsidR="00833B93" w:rsidRPr="00E162DE">
        <w:rPr>
          <w:rFonts w:cs="Arial"/>
          <w:b/>
          <w:bCs/>
          <w:i/>
          <w:iCs/>
          <w:sz w:val="22"/>
        </w:rPr>
        <w:t xml:space="preserve">Appendix </w:t>
      </w:r>
      <w:r w:rsidR="00833B93" w:rsidRPr="00E162DE">
        <w:rPr>
          <w:rFonts w:cs="Arial"/>
          <w:b/>
          <w:bCs/>
          <w:i/>
          <w:iCs/>
          <w:noProof/>
          <w:sz w:val="22"/>
        </w:rPr>
        <w:t>8</w:t>
      </w:r>
      <w:r w:rsidR="00833B93">
        <w:rPr>
          <w:rFonts w:cs="Arial"/>
          <w:szCs w:val="20"/>
        </w:rPr>
        <w:fldChar w:fldCharType="end"/>
      </w:r>
    </w:p>
    <w:p w:rsidR="0094521E" w:rsidRDefault="0094521E" w:rsidP="0094521E">
      <w:pPr>
        <w:pStyle w:val="ListParagraph"/>
        <w:ind w:left="785"/>
        <w:rPr>
          <w:rFonts w:cs="Arial"/>
          <w:szCs w:val="20"/>
        </w:rPr>
      </w:pPr>
    </w:p>
    <w:p w:rsidR="0094521E" w:rsidRDefault="0094521E" w:rsidP="0094521E">
      <w:pPr>
        <w:pStyle w:val="ListParagraph"/>
        <w:numPr>
          <w:ilvl w:val="0"/>
          <w:numId w:val="3"/>
        </w:numPr>
        <w:rPr>
          <w:rFonts w:cs="Arial"/>
          <w:szCs w:val="20"/>
        </w:rPr>
      </w:pPr>
      <w:r w:rsidRPr="0094521E">
        <w:rPr>
          <w:rFonts w:cs="Arial"/>
          <w:szCs w:val="20"/>
        </w:rPr>
        <w:t>The financial year end for the Environment Agency is 31</w:t>
      </w:r>
      <w:r>
        <w:rPr>
          <w:rFonts w:cs="Arial"/>
          <w:szCs w:val="20"/>
        </w:rPr>
        <w:t>st</w:t>
      </w:r>
      <w:r w:rsidRPr="0094521E">
        <w:rPr>
          <w:rFonts w:cs="Arial"/>
          <w:szCs w:val="20"/>
        </w:rPr>
        <w:t xml:space="preserve"> March each year. The purchasing of the instrument is subject to commercial budgets being available, with the contract </w:t>
      </w:r>
      <w:r>
        <w:rPr>
          <w:rFonts w:cs="Arial"/>
          <w:szCs w:val="20"/>
        </w:rPr>
        <w:t xml:space="preserve">for purchase </w:t>
      </w:r>
      <w:r w:rsidRPr="0094521E">
        <w:rPr>
          <w:rFonts w:cs="Arial"/>
          <w:szCs w:val="20"/>
        </w:rPr>
        <w:t>running until 2</w:t>
      </w:r>
      <w:r>
        <w:rPr>
          <w:rFonts w:cs="Arial"/>
          <w:szCs w:val="20"/>
        </w:rPr>
        <w:t>8</w:t>
      </w:r>
      <w:r w:rsidRPr="0094521E">
        <w:rPr>
          <w:rFonts w:cs="Arial"/>
          <w:szCs w:val="20"/>
        </w:rPr>
        <w:t>th March 2023. If the instrument</w:t>
      </w:r>
      <w:r>
        <w:rPr>
          <w:rFonts w:cs="Arial"/>
          <w:szCs w:val="20"/>
        </w:rPr>
        <w:t>s</w:t>
      </w:r>
      <w:r w:rsidRPr="0094521E">
        <w:rPr>
          <w:rFonts w:cs="Arial"/>
          <w:szCs w:val="20"/>
        </w:rPr>
        <w:t xml:space="preserve"> </w:t>
      </w:r>
      <w:r>
        <w:rPr>
          <w:rFonts w:cs="Arial"/>
          <w:szCs w:val="20"/>
        </w:rPr>
        <w:t>have not passed the pass / fail criteria</w:t>
      </w:r>
      <w:r w:rsidRPr="0094521E">
        <w:rPr>
          <w:rFonts w:cs="Arial"/>
          <w:szCs w:val="20"/>
        </w:rPr>
        <w:t xml:space="preserve">, prior to the </w:t>
      </w:r>
      <w:r w:rsidR="00297140" w:rsidRPr="0094521E">
        <w:rPr>
          <w:rFonts w:cs="Arial"/>
          <w:szCs w:val="20"/>
        </w:rPr>
        <w:t>2</w:t>
      </w:r>
      <w:r w:rsidR="00297140">
        <w:rPr>
          <w:rFonts w:cs="Arial"/>
          <w:szCs w:val="20"/>
        </w:rPr>
        <w:t>8</w:t>
      </w:r>
      <w:r w:rsidR="00297140" w:rsidRPr="0094521E">
        <w:rPr>
          <w:rFonts w:cs="Arial"/>
          <w:szCs w:val="20"/>
        </w:rPr>
        <w:t>th of</w:t>
      </w:r>
      <w:r w:rsidRPr="0094521E">
        <w:rPr>
          <w:rFonts w:cs="Arial"/>
          <w:szCs w:val="20"/>
        </w:rPr>
        <w:t xml:space="preserve"> March 2023</w:t>
      </w:r>
      <w:r w:rsidR="006512DB">
        <w:rPr>
          <w:rFonts w:cs="Arial"/>
          <w:szCs w:val="20"/>
        </w:rPr>
        <w:t>, due to the instrument’s actual performance (not due to circumstances beyond the control of the manufacturer)</w:t>
      </w:r>
      <w:r w:rsidRPr="0094521E">
        <w:rPr>
          <w:rFonts w:cs="Arial"/>
          <w:szCs w:val="20"/>
        </w:rPr>
        <w:t xml:space="preserve">, the Agency reserves the right for the order to be cancelled, as funding </w:t>
      </w:r>
      <w:r>
        <w:rPr>
          <w:rFonts w:cs="Arial"/>
          <w:szCs w:val="20"/>
        </w:rPr>
        <w:t>may</w:t>
      </w:r>
      <w:r w:rsidRPr="0094521E">
        <w:rPr>
          <w:rFonts w:cs="Arial"/>
          <w:szCs w:val="20"/>
        </w:rPr>
        <w:t xml:space="preserve"> no longer be available. </w:t>
      </w:r>
    </w:p>
    <w:p w:rsidR="0094521E" w:rsidRPr="0094521E" w:rsidRDefault="0094521E" w:rsidP="0094521E">
      <w:pPr>
        <w:pStyle w:val="ListParagraph"/>
        <w:ind w:left="785"/>
        <w:rPr>
          <w:rFonts w:cs="Arial"/>
          <w:szCs w:val="20"/>
        </w:rPr>
      </w:pPr>
    </w:p>
    <w:p w:rsidR="00AE72E3" w:rsidRPr="00891409" w:rsidRDefault="0094521E" w:rsidP="0083357E">
      <w:pPr>
        <w:pStyle w:val="ListParagraph"/>
        <w:numPr>
          <w:ilvl w:val="0"/>
          <w:numId w:val="3"/>
        </w:numPr>
        <w:rPr>
          <w:rFonts w:cs="Arial"/>
          <w:b/>
          <w:bCs/>
          <w:i/>
          <w:iCs/>
          <w:szCs w:val="20"/>
        </w:rPr>
      </w:pPr>
      <w:r w:rsidRPr="0094521E">
        <w:rPr>
          <w:rFonts w:cs="Arial"/>
          <w:szCs w:val="20"/>
        </w:rPr>
        <w:t xml:space="preserve">The instruments must be supplied to the stated delivery address by the </w:t>
      </w:r>
      <w:r w:rsidR="00297140">
        <w:rPr>
          <w:rFonts w:cs="Arial"/>
          <w:szCs w:val="20"/>
        </w:rPr>
        <w:t>13</w:t>
      </w:r>
      <w:r w:rsidR="00297140" w:rsidRPr="0094521E">
        <w:rPr>
          <w:rFonts w:cs="Arial"/>
          <w:szCs w:val="20"/>
          <w:vertAlign w:val="superscript"/>
        </w:rPr>
        <w:t xml:space="preserve">th </w:t>
      </w:r>
      <w:r>
        <w:rPr>
          <w:rFonts w:cs="Arial"/>
          <w:szCs w:val="20"/>
        </w:rPr>
        <w:t>February</w:t>
      </w:r>
      <w:r w:rsidRPr="0094521E">
        <w:rPr>
          <w:rFonts w:cs="Arial"/>
          <w:szCs w:val="20"/>
        </w:rPr>
        <w:t xml:space="preserve"> 2023</w:t>
      </w:r>
      <w:r w:rsidR="00D130A8">
        <w:rPr>
          <w:rFonts w:cs="Arial"/>
          <w:szCs w:val="20"/>
        </w:rPr>
        <w:t xml:space="preserve">. </w:t>
      </w:r>
      <w:r w:rsidRPr="0094521E">
        <w:rPr>
          <w:rFonts w:cs="Arial"/>
          <w:szCs w:val="20"/>
        </w:rPr>
        <w:t xml:space="preserve">Should this delivery date not be met, or evidence the equipment is not in transit or in existence, then the parties will refer to the negotiated terms and conditions in </w:t>
      </w:r>
      <w:r w:rsidR="00F16B4B" w:rsidRPr="00891409">
        <w:rPr>
          <w:rFonts w:cs="Arial"/>
          <w:b/>
          <w:bCs/>
          <w:i/>
          <w:iCs/>
          <w:szCs w:val="20"/>
        </w:rPr>
        <w:fldChar w:fldCharType="begin"/>
      </w:r>
      <w:r w:rsidR="00F16B4B" w:rsidRPr="00891409">
        <w:rPr>
          <w:rFonts w:cs="Arial"/>
          <w:b/>
          <w:bCs/>
          <w:i/>
          <w:iCs/>
          <w:szCs w:val="20"/>
        </w:rPr>
        <w:instrText xml:space="preserve"> REF _Ref116483057 \h </w:instrText>
      </w:r>
      <w:r w:rsidR="00D130A8" w:rsidRPr="00891409">
        <w:rPr>
          <w:rFonts w:cs="Arial"/>
          <w:b/>
          <w:bCs/>
          <w:i/>
          <w:iCs/>
          <w:szCs w:val="20"/>
        </w:rPr>
        <w:instrText xml:space="preserve"> \* MERGEFORMAT </w:instrText>
      </w:r>
      <w:r w:rsidR="00F16B4B" w:rsidRPr="00891409">
        <w:rPr>
          <w:rFonts w:cs="Arial"/>
          <w:b/>
          <w:bCs/>
          <w:i/>
          <w:iCs/>
          <w:szCs w:val="20"/>
        </w:rPr>
      </w:r>
      <w:r w:rsidR="00F16B4B" w:rsidRPr="00891409">
        <w:rPr>
          <w:rFonts w:cs="Arial"/>
          <w:b/>
          <w:bCs/>
          <w:i/>
          <w:iCs/>
          <w:szCs w:val="20"/>
        </w:rPr>
        <w:fldChar w:fldCharType="separate"/>
      </w:r>
      <w:r w:rsidR="00F16B4B" w:rsidRPr="00891409">
        <w:rPr>
          <w:rFonts w:cs="Arial"/>
          <w:b/>
          <w:bCs/>
          <w:i/>
          <w:iCs/>
          <w:sz w:val="22"/>
        </w:rPr>
        <w:t xml:space="preserve">Appendix </w:t>
      </w:r>
      <w:r w:rsidR="00F16B4B" w:rsidRPr="00891409">
        <w:rPr>
          <w:rFonts w:cs="Arial"/>
          <w:b/>
          <w:bCs/>
          <w:i/>
          <w:iCs/>
          <w:noProof/>
          <w:sz w:val="22"/>
        </w:rPr>
        <w:t>9</w:t>
      </w:r>
      <w:r w:rsidR="00F16B4B" w:rsidRPr="00891409">
        <w:rPr>
          <w:rFonts w:cs="Arial"/>
          <w:b/>
          <w:bCs/>
          <w:i/>
          <w:iCs/>
          <w:szCs w:val="20"/>
        </w:rPr>
        <w:fldChar w:fldCharType="end"/>
      </w:r>
    </w:p>
    <w:p w:rsidR="00AE72E3" w:rsidRDefault="00AE72E3" w:rsidP="00AE72E3">
      <w:pPr>
        <w:pStyle w:val="ListParagraph"/>
        <w:ind w:left="785"/>
        <w:rPr>
          <w:rFonts w:cs="Arial"/>
          <w:szCs w:val="20"/>
        </w:rPr>
      </w:pPr>
    </w:p>
    <w:p w:rsidR="0094521E" w:rsidRPr="0083357E" w:rsidRDefault="00715B46" w:rsidP="00370345">
      <w:pPr>
        <w:pStyle w:val="Heading1"/>
        <w:rPr>
          <w:rFonts w:cs="Arial"/>
          <w:szCs w:val="20"/>
        </w:rPr>
      </w:pPr>
      <w:bookmarkStart w:id="25" w:name="_Toc116548856"/>
      <w:r>
        <w:t xml:space="preserve">Section 9 - </w:t>
      </w:r>
      <w:r w:rsidR="0044343B">
        <w:t xml:space="preserve">Spare Parts, Consumables, </w:t>
      </w:r>
      <w:r w:rsidR="0094521E" w:rsidRPr="0094521E">
        <w:t>Warranty Guarantees and Service Capability</w:t>
      </w:r>
      <w:bookmarkEnd w:id="25"/>
    </w:p>
    <w:p w:rsidR="0094521E" w:rsidRPr="00D130A8" w:rsidRDefault="0094521E" w:rsidP="00891409">
      <w:pPr>
        <w:rPr>
          <w:rFonts w:cs="Arial"/>
          <w:szCs w:val="20"/>
        </w:rPr>
      </w:pPr>
    </w:p>
    <w:p w:rsidR="0094521E" w:rsidRDefault="0094521E" w:rsidP="0094521E">
      <w:pPr>
        <w:pStyle w:val="ListParagraph"/>
        <w:numPr>
          <w:ilvl w:val="0"/>
          <w:numId w:val="3"/>
        </w:numPr>
        <w:rPr>
          <w:rFonts w:cs="Arial"/>
          <w:szCs w:val="20"/>
        </w:rPr>
      </w:pPr>
      <w:r w:rsidRPr="0094521E">
        <w:rPr>
          <w:rFonts w:cs="Arial"/>
          <w:szCs w:val="20"/>
        </w:rPr>
        <w:t>The Contractor must provide a UK based service support and the instrument must be serviceable for at least 18 years from date of installation with parts and consumables available throughout. These should be guaranteed from point of order as part of this supply contract to the Agency, as well as their contracted ESUs.</w:t>
      </w:r>
    </w:p>
    <w:p w:rsidR="0044343B" w:rsidRDefault="0044343B" w:rsidP="0044343B">
      <w:pPr>
        <w:pStyle w:val="ListParagraph"/>
        <w:ind w:left="785"/>
        <w:rPr>
          <w:rFonts w:cs="Arial"/>
          <w:szCs w:val="20"/>
        </w:rPr>
      </w:pPr>
    </w:p>
    <w:p w:rsidR="0044343B" w:rsidRPr="0044343B" w:rsidRDefault="0044343B" w:rsidP="0044343B">
      <w:pPr>
        <w:pStyle w:val="ListParagraph"/>
        <w:numPr>
          <w:ilvl w:val="0"/>
          <w:numId w:val="3"/>
        </w:numPr>
        <w:rPr>
          <w:rFonts w:cs="Arial"/>
          <w:szCs w:val="20"/>
        </w:rPr>
      </w:pPr>
      <w:r w:rsidRPr="0044343B">
        <w:rPr>
          <w:rFonts w:cs="Arial"/>
          <w:szCs w:val="20"/>
        </w:rPr>
        <w:t xml:space="preserve">Spare parts and consumables shall be made available to the Authority within two-weeks of an order being placed, in order to ensure data capture is not compromised. The costs of the parts and their likely frequency of replacement for an instrument running continuously in an urban environment should be included in the Pricing Schedule of the contract and it is expected would only be subject to reasonable supplier adjustments during the life of the product. </w:t>
      </w:r>
    </w:p>
    <w:p w:rsidR="0044343B" w:rsidRPr="0044343B" w:rsidRDefault="0044343B" w:rsidP="0044343B">
      <w:pPr>
        <w:pStyle w:val="ListParagraph"/>
        <w:ind w:left="785"/>
        <w:rPr>
          <w:rFonts w:cs="Arial"/>
          <w:szCs w:val="20"/>
        </w:rPr>
      </w:pPr>
    </w:p>
    <w:p w:rsidR="0044343B" w:rsidRDefault="0044343B" w:rsidP="0044343B">
      <w:pPr>
        <w:pStyle w:val="ListParagraph"/>
        <w:numPr>
          <w:ilvl w:val="0"/>
          <w:numId w:val="3"/>
        </w:numPr>
        <w:rPr>
          <w:rFonts w:cs="Arial"/>
          <w:szCs w:val="20"/>
        </w:rPr>
      </w:pPr>
      <w:r w:rsidRPr="0044343B">
        <w:rPr>
          <w:rFonts w:cs="Arial"/>
          <w:szCs w:val="20"/>
        </w:rPr>
        <w:t>The list of key consumable costs</w:t>
      </w:r>
      <w:r>
        <w:rPr>
          <w:rFonts w:cs="Arial"/>
          <w:szCs w:val="20"/>
        </w:rPr>
        <w:t xml:space="preserve"> and spare parts listed in the tender must be provided to the Contractor to ensure the units can be maintained for the next 18 years. If there is a change or risk to the supply of spare parts, the supplier should instigate an exit plan to ensure component parts can be purchase or manufactured elsewhere.</w:t>
      </w:r>
    </w:p>
    <w:p w:rsidR="0044343B" w:rsidRPr="0044343B" w:rsidRDefault="0044343B" w:rsidP="0044343B">
      <w:pPr>
        <w:pStyle w:val="ListParagraph"/>
        <w:ind w:left="785"/>
        <w:rPr>
          <w:rFonts w:cs="Arial"/>
          <w:szCs w:val="20"/>
        </w:rPr>
      </w:pPr>
    </w:p>
    <w:p w:rsidR="0044343B" w:rsidRDefault="0044343B" w:rsidP="0044343B">
      <w:pPr>
        <w:pStyle w:val="ListParagraph"/>
        <w:numPr>
          <w:ilvl w:val="0"/>
          <w:numId w:val="3"/>
        </w:numPr>
        <w:spacing w:before="0" w:after="0" w:line="245" w:lineRule="auto"/>
        <w:jc w:val="both"/>
        <w:rPr>
          <w:rFonts w:cs="Arial"/>
          <w:szCs w:val="20"/>
        </w:rPr>
      </w:pPr>
      <w:r w:rsidRPr="00953C88">
        <w:rPr>
          <w:rFonts w:cs="Arial"/>
          <w:szCs w:val="20"/>
        </w:rPr>
        <w:t>The warranty for the instrument purchased will need to start at the date of installation, not the date of purchase and shall last at least 24 months and cover all non-consumable parts.</w:t>
      </w:r>
      <w:r w:rsidRPr="00953C88">
        <w:rPr>
          <w:rFonts w:cs="Arial"/>
          <w:color w:val="00B050"/>
          <w:szCs w:val="20"/>
        </w:rPr>
        <w:t xml:space="preserve">  </w:t>
      </w:r>
      <w:r w:rsidRPr="00953C88">
        <w:rPr>
          <w:rFonts w:cs="Arial"/>
          <w:szCs w:val="20"/>
        </w:rPr>
        <w:t>Full details of the terms, limitations and any exclusions from the warranty and any additional cost should be detailed by the supplier prior to the award of the STA</w:t>
      </w:r>
      <w:r>
        <w:rPr>
          <w:rFonts w:cs="Arial"/>
          <w:szCs w:val="20"/>
        </w:rPr>
        <w:t>.</w:t>
      </w:r>
    </w:p>
    <w:p w:rsidR="0044343B" w:rsidRPr="00953C88" w:rsidRDefault="0044343B" w:rsidP="0044343B">
      <w:pPr>
        <w:pStyle w:val="ListParagraph"/>
        <w:spacing w:before="0" w:after="0" w:line="245" w:lineRule="auto"/>
        <w:ind w:left="785"/>
        <w:jc w:val="both"/>
        <w:rPr>
          <w:rFonts w:cs="Arial"/>
          <w:szCs w:val="20"/>
        </w:rPr>
      </w:pPr>
    </w:p>
    <w:p w:rsidR="00370345" w:rsidRPr="00370345" w:rsidRDefault="00370345" w:rsidP="00370345">
      <w:pPr>
        <w:pStyle w:val="ListParagraph"/>
        <w:numPr>
          <w:ilvl w:val="0"/>
          <w:numId w:val="3"/>
        </w:numPr>
        <w:rPr>
          <w:rFonts w:cs="Arial"/>
          <w:szCs w:val="20"/>
        </w:rPr>
      </w:pPr>
      <w:r w:rsidRPr="00370345">
        <w:rPr>
          <w:rFonts w:cs="Arial"/>
          <w:szCs w:val="20"/>
        </w:rPr>
        <w:t xml:space="preserve">Warranty repairs should be undertaken in a timely way. If the instrument develops a fault, which cannot be fixed by a trained service engineer, the Contractor should be able to offer a free of charge, </w:t>
      </w:r>
      <w:r w:rsidR="00297140" w:rsidRPr="00370345">
        <w:rPr>
          <w:rFonts w:cs="Arial"/>
          <w:szCs w:val="20"/>
        </w:rPr>
        <w:t>48-hour</w:t>
      </w:r>
      <w:r w:rsidRPr="00370345">
        <w:rPr>
          <w:rFonts w:cs="Arial"/>
          <w:szCs w:val="20"/>
        </w:rPr>
        <w:t xml:space="preserve"> field repair / fault diagnosis to the instrument at site during the warranty period. If the fault is not diagnosed remotely by a trained engineer, the Contractor is expected to offer complex repairs to the instrument at the manufacturer’s workshop, which should be completed within 10 working days, for shipment, investigation and repair, unless dispensation has been agreed for a longer repair with the Agency. Repairs are expected to be guaranteed for the remainder of the original warranty period or 6 months from the date of the repair, whichever is greatest.  </w:t>
      </w:r>
    </w:p>
    <w:p w:rsidR="00370345" w:rsidRPr="00370345" w:rsidRDefault="00370345" w:rsidP="00370345">
      <w:pPr>
        <w:pStyle w:val="ListParagraph"/>
        <w:ind w:left="785"/>
        <w:rPr>
          <w:rFonts w:cs="Arial"/>
          <w:szCs w:val="20"/>
        </w:rPr>
      </w:pPr>
    </w:p>
    <w:p w:rsidR="00370345" w:rsidRPr="00370345" w:rsidRDefault="00370345" w:rsidP="00370345">
      <w:pPr>
        <w:pStyle w:val="ListParagraph"/>
        <w:numPr>
          <w:ilvl w:val="0"/>
          <w:numId w:val="3"/>
        </w:numPr>
        <w:rPr>
          <w:rFonts w:cs="Arial"/>
          <w:szCs w:val="20"/>
        </w:rPr>
      </w:pPr>
      <w:r w:rsidRPr="00370345">
        <w:rPr>
          <w:rFonts w:cs="Arial"/>
          <w:szCs w:val="20"/>
        </w:rPr>
        <w:t>If during a guaranteed warranty repair, any intermittent faults or instrument faults cannot be satisfactorily repaired under warranty by the supplier, and satisfactory performance of the analyser cannot be attained in a timely manner and at least within 10 days of the fault arising, it would be expected the instrument part or whole sampling system is replaced by a new part or new instrument under warranty repair, unless otherwise agreed. It is specified that Warranty repairs should use new replacement components / new instrument (used parts / instrument are not acceptable</w:t>
      </w:r>
      <w:r w:rsidR="00297140" w:rsidRPr="00370345">
        <w:rPr>
          <w:rFonts w:cs="Arial"/>
          <w:szCs w:val="20"/>
        </w:rPr>
        <w:t>) unless</w:t>
      </w:r>
      <w:r w:rsidRPr="00370345">
        <w:rPr>
          <w:rFonts w:cs="Arial"/>
          <w:szCs w:val="20"/>
        </w:rPr>
        <w:t xml:space="preserve"> an alternative warranty offer is detailed and accepted in your Tender submission.</w:t>
      </w:r>
    </w:p>
    <w:p w:rsidR="00370345" w:rsidRPr="00370345" w:rsidRDefault="00370345" w:rsidP="00370345">
      <w:pPr>
        <w:pStyle w:val="ListParagraph"/>
        <w:ind w:left="785"/>
        <w:rPr>
          <w:rFonts w:cs="Arial"/>
          <w:szCs w:val="20"/>
        </w:rPr>
      </w:pPr>
    </w:p>
    <w:p w:rsidR="00370345" w:rsidRPr="00370345" w:rsidRDefault="00370345" w:rsidP="00370345">
      <w:pPr>
        <w:pStyle w:val="ListParagraph"/>
        <w:numPr>
          <w:ilvl w:val="0"/>
          <w:numId w:val="3"/>
        </w:numPr>
        <w:rPr>
          <w:rFonts w:cs="Arial"/>
          <w:szCs w:val="20"/>
        </w:rPr>
      </w:pPr>
      <w:r w:rsidRPr="00370345">
        <w:rPr>
          <w:rFonts w:cs="Arial"/>
          <w:szCs w:val="20"/>
        </w:rPr>
        <w:t>A contingency arrangement for supply of parts, should be provided for scenarios where the supplier ceases to exist. Prices provided on the Tender for serviceable parts will be available to the Agency and the network contractor, who assist the Agency in the management and equipment support for the network. The Tenderers are required to provide a managed route for sub-contractor organisations to access these prices and equipment.</w:t>
      </w:r>
    </w:p>
    <w:p w:rsidR="00370345" w:rsidRPr="00370345" w:rsidRDefault="00370345" w:rsidP="00370345">
      <w:pPr>
        <w:pStyle w:val="ListParagraph"/>
        <w:ind w:left="785"/>
        <w:rPr>
          <w:rFonts w:cs="Arial"/>
          <w:szCs w:val="20"/>
        </w:rPr>
      </w:pPr>
    </w:p>
    <w:p w:rsidR="00370345" w:rsidRDefault="00370345" w:rsidP="00370345">
      <w:pPr>
        <w:pStyle w:val="ListParagraph"/>
        <w:numPr>
          <w:ilvl w:val="0"/>
          <w:numId w:val="3"/>
        </w:numPr>
        <w:rPr>
          <w:rFonts w:cs="Arial"/>
          <w:szCs w:val="20"/>
        </w:rPr>
      </w:pPr>
      <w:r w:rsidRPr="00370345">
        <w:rPr>
          <w:rFonts w:cs="Arial"/>
          <w:szCs w:val="20"/>
        </w:rPr>
        <w:t>The Contractor shall keep the Agency informed of the following for a period of 1</w:t>
      </w:r>
      <w:r w:rsidR="00891409">
        <w:rPr>
          <w:rFonts w:cs="Arial"/>
          <w:szCs w:val="20"/>
        </w:rPr>
        <w:t>8</w:t>
      </w:r>
      <w:r w:rsidRPr="00370345">
        <w:rPr>
          <w:rFonts w:cs="Arial"/>
          <w:szCs w:val="20"/>
        </w:rPr>
        <w:t xml:space="preserve"> years from the point of order:</w:t>
      </w:r>
    </w:p>
    <w:p w:rsidR="00370345" w:rsidRPr="00370345" w:rsidRDefault="00370345" w:rsidP="00370345">
      <w:pPr>
        <w:pStyle w:val="ListParagraph"/>
        <w:rPr>
          <w:rFonts w:cs="Arial"/>
          <w:szCs w:val="20"/>
        </w:rPr>
      </w:pPr>
    </w:p>
    <w:p w:rsidR="00370345" w:rsidRPr="00370345" w:rsidRDefault="00370345" w:rsidP="00370345">
      <w:pPr>
        <w:pStyle w:val="ListParagraph"/>
        <w:numPr>
          <w:ilvl w:val="0"/>
          <w:numId w:val="11"/>
        </w:numPr>
        <w:rPr>
          <w:rFonts w:cs="Arial"/>
          <w:szCs w:val="20"/>
        </w:rPr>
      </w:pPr>
      <w:r w:rsidRPr="00370345">
        <w:rPr>
          <w:rFonts w:cs="Arial"/>
          <w:szCs w:val="20"/>
        </w:rPr>
        <w:t>Cessation of manufacture of the goods.</w:t>
      </w:r>
    </w:p>
    <w:p w:rsidR="00370345" w:rsidRPr="00370345" w:rsidRDefault="00370345" w:rsidP="00370345">
      <w:pPr>
        <w:pStyle w:val="ListParagraph"/>
        <w:numPr>
          <w:ilvl w:val="0"/>
          <w:numId w:val="11"/>
        </w:numPr>
        <w:rPr>
          <w:rFonts w:cs="Arial"/>
          <w:szCs w:val="20"/>
        </w:rPr>
      </w:pPr>
      <w:r w:rsidRPr="00370345">
        <w:rPr>
          <w:rFonts w:cs="Arial"/>
          <w:szCs w:val="20"/>
        </w:rPr>
        <w:t>Changes in consumables and spare parts availability.</w:t>
      </w:r>
    </w:p>
    <w:p w:rsidR="00370345" w:rsidRPr="00370345" w:rsidRDefault="00370345" w:rsidP="00370345">
      <w:pPr>
        <w:pStyle w:val="ListParagraph"/>
        <w:numPr>
          <w:ilvl w:val="0"/>
          <w:numId w:val="11"/>
        </w:numPr>
        <w:rPr>
          <w:rFonts w:cs="Arial"/>
          <w:szCs w:val="20"/>
        </w:rPr>
      </w:pPr>
      <w:r w:rsidRPr="00370345">
        <w:rPr>
          <w:rFonts w:cs="Arial"/>
          <w:szCs w:val="20"/>
        </w:rPr>
        <w:t xml:space="preserve">Changes in availability of service support. </w:t>
      </w:r>
    </w:p>
    <w:p w:rsidR="00370345" w:rsidRDefault="00370345" w:rsidP="00370345">
      <w:pPr>
        <w:pStyle w:val="ListParagraph"/>
        <w:numPr>
          <w:ilvl w:val="0"/>
          <w:numId w:val="11"/>
        </w:numPr>
        <w:rPr>
          <w:rFonts w:cs="Arial"/>
          <w:szCs w:val="20"/>
        </w:rPr>
      </w:pPr>
      <w:r w:rsidRPr="00370345">
        <w:rPr>
          <w:rFonts w:cs="Arial"/>
          <w:szCs w:val="20"/>
        </w:rPr>
        <w:t>Changes in firmware versions.</w:t>
      </w:r>
    </w:p>
    <w:p w:rsidR="00370345" w:rsidRDefault="00370345" w:rsidP="00370345">
      <w:pPr>
        <w:pStyle w:val="ListParagraph"/>
        <w:numPr>
          <w:ilvl w:val="0"/>
          <w:numId w:val="11"/>
        </w:numPr>
        <w:rPr>
          <w:rFonts w:cs="Arial"/>
          <w:szCs w:val="20"/>
        </w:rPr>
      </w:pPr>
      <w:r w:rsidRPr="00370345">
        <w:rPr>
          <w:rFonts w:cs="Arial"/>
          <w:szCs w:val="20"/>
        </w:rPr>
        <w:t xml:space="preserve">Notifications within 3 months of product recall or updates recommended by the manufacturer. </w:t>
      </w:r>
    </w:p>
    <w:p w:rsidR="00370345" w:rsidRPr="00370345" w:rsidRDefault="00370345" w:rsidP="00370345">
      <w:pPr>
        <w:pStyle w:val="ListParagraph"/>
        <w:ind w:left="785"/>
        <w:rPr>
          <w:rFonts w:cs="Arial"/>
          <w:szCs w:val="20"/>
        </w:rPr>
      </w:pPr>
    </w:p>
    <w:p w:rsidR="00370345" w:rsidRPr="00370345" w:rsidRDefault="00370345" w:rsidP="00370345">
      <w:pPr>
        <w:pStyle w:val="ListParagraph"/>
        <w:numPr>
          <w:ilvl w:val="0"/>
          <w:numId w:val="3"/>
        </w:numPr>
        <w:rPr>
          <w:rFonts w:cs="Arial"/>
          <w:szCs w:val="20"/>
        </w:rPr>
      </w:pPr>
      <w:r w:rsidRPr="00370345">
        <w:rPr>
          <w:rFonts w:cs="Arial"/>
          <w:szCs w:val="20"/>
        </w:rPr>
        <w:t xml:space="preserve">Any updates in software or firmware versions over the </w:t>
      </w:r>
      <w:r w:rsidR="00297140" w:rsidRPr="00370345">
        <w:rPr>
          <w:rFonts w:cs="Arial"/>
          <w:szCs w:val="20"/>
        </w:rPr>
        <w:t>10-year</w:t>
      </w:r>
      <w:r w:rsidRPr="00370345">
        <w:rPr>
          <w:rFonts w:cs="Arial"/>
          <w:szCs w:val="20"/>
        </w:rPr>
        <w:t xml:space="preserve"> lifetime of the instrument should be made available to the Agency at no extra cost.</w:t>
      </w:r>
    </w:p>
    <w:p w:rsidR="0044343B" w:rsidRDefault="0044343B" w:rsidP="00370345">
      <w:pPr>
        <w:pStyle w:val="ListParagraph"/>
        <w:ind w:left="785"/>
        <w:rPr>
          <w:rFonts w:cs="Arial"/>
          <w:szCs w:val="20"/>
        </w:rPr>
      </w:pPr>
    </w:p>
    <w:p w:rsidR="00370345" w:rsidRPr="0083357E" w:rsidRDefault="00715B46" w:rsidP="00370345">
      <w:pPr>
        <w:pStyle w:val="Heading1"/>
        <w:rPr>
          <w:rFonts w:cs="Arial"/>
          <w:szCs w:val="20"/>
        </w:rPr>
      </w:pPr>
      <w:bookmarkStart w:id="26" w:name="_Toc116548857"/>
      <w:r>
        <w:t xml:space="preserve">Section 10 - </w:t>
      </w:r>
      <w:r w:rsidR="00370345">
        <w:t>Health and Safety</w:t>
      </w:r>
      <w:bookmarkEnd w:id="26"/>
      <w:r w:rsidR="00370345">
        <w:t xml:space="preserve"> </w:t>
      </w:r>
    </w:p>
    <w:p w:rsidR="00370345" w:rsidRPr="00A23784" w:rsidRDefault="00370345" w:rsidP="00370345">
      <w:pPr>
        <w:pStyle w:val="ListParagraph"/>
        <w:numPr>
          <w:ilvl w:val="0"/>
          <w:numId w:val="3"/>
        </w:numPr>
        <w:spacing w:before="0" w:after="0" w:line="245" w:lineRule="auto"/>
        <w:jc w:val="both"/>
        <w:rPr>
          <w:rFonts w:cs="Arial"/>
          <w:color w:val="00B050"/>
          <w:szCs w:val="20"/>
        </w:rPr>
      </w:pPr>
      <w:r w:rsidRPr="00A23784">
        <w:rPr>
          <w:rFonts w:cs="Arial"/>
          <w:szCs w:val="20"/>
        </w:rPr>
        <w:t xml:space="preserve">The installation of the instrument should be undertaken by experienced and qualified engineers adhering to relevant UK Health and Safety legislation, and relevant Health and Safety Executive (HSE) guidance and risk assessments. Contractors should follow the guidance in the “UK AIR </w:t>
      </w:r>
      <w:r w:rsidRPr="00F33AB1">
        <w:rPr>
          <w:rFonts w:cs="Arial"/>
          <w:szCs w:val="20"/>
        </w:rPr>
        <w:t>QUALITY NETWORKS– HEALTH AND SAFETY GUIDANCE” (</w:t>
      </w:r>
      <w:r>
        <w:rPr>
          <w:rFonts w:cs="Arial"/>
          <w:szCs w:val="20"/>
        </w:rPr>
        <w:fldChar w:fldCharType="begin"/>
      </w:r>
      <w:r>
        <w:rPr>
          <w:rFonts w:cs="Arial"/>
          <w:szCs w:val="20"/>
        </w:rPr>
        <w:instrText xml:space="preserve"> REF _Ref116482196 \h </w:instrText>
      </w:r>
      <w:r>
        <w:rPr>
          <w:rFonts w:cs="Arial"/>
          <w:szCs w:val="20"/>
        </w:rPr>
      </w:r>
      <w:r>
        <w:rPr>
          <w:rFonts w:cs="Arial"/>
          <w:szCs w:val="20"/>
        </w:rPr>
        <w:fldChar w:fldCharType="separate"/>
      </w:r>
      <w:r w:rsidR="00F16B4B" w:rsidRPr="00E477D6">
        <w:rPr>
          <w:rFonts w:cs="Arial"/>
          <w:b/>
          <w:bCs/>
          <w:sz w:val="22"/>
        </w:rPr>
        <w:t xml:space="preserve">Appendix </w:t>
      </w:r>
      <w:r w:rsidR="00F16B4B">
        <w:rPr>
          <w:rFonts w:cs="Arial"/>
          <w:b/>
          <w:bCs/>
          <w:i/>
          <w:iCs/>
          <w:noProof/>
          <w:sz w:val="22"/>
        </w:rPr>
        <w:t>3</w:t>
      </w:r>
      <w:r>
        <w:rPr>
          <w:rFonts w:cs="Arial"/>
          <w:szCs w:val="20"/>
        </w:rPr>
        <w:fldChar w:fldCharType="end"/>
      </w:r>
      <w:r w:rsidRPr="00F33AB1">
        <w:rPr>
          <w:rFonts w:cs="Arial"/>
          <w:szCs w:val="20"/>
        </w:rPr>
        <w:t>). They will need to liaise with the relevant Agency contractors before going to site. The Agency has standard</w:t>
      </w:r>
      <w:r w:rsidRPr="00A23784">
        <w:rPr>
          <w:rFonts w:cs="Arial"/>
          <w:szCs w:val="20"/>
        </w:rPr>
        <w:t xml:space="preserve"> forms for contractors regarding health and safety. </w:t>
      </w:r>
    </w:p>
    <w:p w:rsidR="00370345" w:rsidRPr="00A23784" w:rsidRDefault="00370345" w:rsidP="00370345">
      <w:pPr>
        <w:pStyle w:val="ListParagraph"/>
        <w:spacing w:before="0" w:after="0" w:line="245" w:lineRule="auto"/>
        <w:jc w:val="both"/>
        <w:rPr>
          <w:rFonts w:cs="Arial"/>
          <w:color w:val="00B050"/>
          <w:szCs w:val="20"/>
        </w:rPr>
      </w:pPr>
    </w:p>
    <w:p w:rsidR="00370345" w:rsidRPr="00953C88" w:rsidRDefault="00370345" w:rsidP="00370345">
      <w:pPr>
        <w:pStyle w:val="ListParagraph"/>
        <w:numPr>
          <w:ilvl w:val="0"/>
          <w:numId w:val="3"/>
        </w:numPr>
        <w:spacing w:before="0" w:after="0" w:line="245" w:lineRule="auto"/>
        <w:jc w:val="both"/>
        <w:rPr>
          <w:rFonts w:cs="Arial"/>
          <w:szCs w:val="20"/>
        </w:rPr>
      </w:pPr>
      <w:r w:rsidRPr="00953C88">
        <w:rPr>
          <w:rFonts w:cs="Arial"/>
          <w:snapToGrid w:val="0"/>
          <w:szCs w:val="20"/>
        </w:rPr>
        <w:t xml:space="preserve">The Ingress protection for the instrument casing must be appropriate for the environment in which the instrument is to be installed (Indoors – ‘dry’ area ≥ IP31) and have due regard to operator safety. </w:t>
      </w:r>
    </w:p>
    <w:p w:rsidR="00370345" w:rsidRPr="00953C88" w:rsidRDefault="00370345" w:rsidP="00370345">
      <w:pPr>
        <w:pStyle w:val="ListParagraph"/>
        <w:spacing w:before="0" w:after="0" w:line="245" w:lineRule="auto"/>
        <w:jc w:val="both"/>
        <w:rPr>
          <w:rFonts w:cs="Arial"/>
          <w:szCs w:val="20"/>
        </w:rPr>
      </w:pPr>
    </w:p>
    <w:p w:rsidR="00370345" w:rsidRPr="00953C88" w:rsidRDefault="00370345" w:rsidP="00370345">
      <w:pPr>
        <w:numPr>
          <w:ilvl w:val="0"/>
          <w:numId w:val="3"/>
        </w:numPr>
        <w:spacing w:before="0" w:after="0" w:line="245" w:lineRule="auto"/>
        <w:jc w:val="both"/>
        <w:rPr>
          <w:rFonts w:cs="Arial"/>
          <w:szCs w:val="20"/>
        </w:rPr>
      </w:pPr>
      <w:r w:rsidRPr="00953C88">
        <w:rPr>
          <w:rFonts w:cs="Arial"/>
          <w:szCs w:val="20"/>
        </w:rPr>
        <w:t xml:space="preserve">Any specific potential risks to the instrument user (for example high voltages or X-ray device workings of the instrument) should be designed out as much as possible in the supply of the instrument, using the ‘principles of prevention’, as per The Management of Health and Safety at Work Regulations 1999 and as detailed here: </w:t>
      </w:r>
    </w:p>
    <w:p w:rsidR="00370345" w:rsidRPr="00953C88" w:rsidRDefault="00D55377" w:rsidP="00370345">
      <w:pPr>
        <w:spacing w:line="245" w:lineRule="auto"/>
        <w:ind w:left="577"/>
        <w:jc w:val="both"/>
        <w:rPr>
          <w:rFonts w:cs="Arial"/>
          <w:szCs w:val="20"/>
        </w:rPr>
      </w:pPr>
      <w:hyperlink r:id="rId13" w:history="1">
        <w:r w:rsidR="00370345" w:rsidRPr="00953C88">
          <w:rPr>
            <w:rStyle w:val="Hyperlink"/>
            <w:rFonts w:cs="Arial"/>
            <w:szCs w:val="20"/>
          </w:rPr>
          <w:t>http://www.legislation.gov.uk/uksi/1999/3242/schedule/1/made</w:t>
        </w:r>
      </w:hyperlink>
    </w:p>
    <w:p w:rsidR="00370345" w:rsidRPr="00F33AB1" w:rsidRDefault="00370345" w:rsidP="00370345">
      <w:pPr>
        <w:spacing w:line="245" w:lineRule="auto"/>
        <w:ind w:left="577"/>
        <w:jc w:val="both"/>
        <w:rPr>
          <w:rFonts w:cs="Arial"/>
          <w:szCs w:val="20"/>
        </w:rPr>
      </w:pPr>
      <w:r w:rsidRPr="00953C88">
        <w:rPr>
          <w:rFonts w:cs="Arial"/>
          <w:szCs w:val="20"/>
        </w:rPr>
        <w:t>Any elements of (g) prevention policy, (h) collective protective measures and (</w:t>
      </w:r>
      <w:r w:rsidR="00297140" w:rsidRPr="00953C88">
        <w:rPr>
          <w:rFonts w:cs="Arial"/>
          <w:szCs w:val="20"/>
        </w:rPr>
        <w:t>I</w:t>
      </w:r>
      <w:r w:rsidRPr="00953C88">
        <w:rPr>
          <w:rFonts w:cs="Arial"/>
          <w:szCs w:val="20"/>
        </w:rPr>
        <w:t xml:space="preserve">) appropriate </w:t>
      </w:r>
      <w:r w:rsidRPr="00F33AB1">
        <w:rPr>
          <w:rFonts w:cs="Arial"/>
          <w:szCs w:val="20"/>
        </w:rPr>
        <w:t>instructions to the user, from these regulations relevant to the design and supply of the instrument should be detailed in the Tender submission, and instrument operation manuals should be included, to demonstrate the instrument can be operated safely.</w:t>
      </w:r>
    </w:p>
    <w:p w:rsidR="00370345" w:rsidRPr="00F33AB1" w:rsidRDefault="00370345" w:rsidP="00370345">
      <w:pPr>
        <w:spacing w:before="0" w:after="0" w:line="245" w:lineRule="auto"/>
        <w:ind w:left="720"/>
        <w:jc w:val="both"/>
        <w:rPr>
          <w:rFonts w:cs="Arial"/>
          <w:szCs w:val="20"/>
        </w:rPr>
      </w:pPr>
    </w:p>
    <w:p w:rsidR="00370345" w:rsidRPr="00F33AB1" w:rsidRDefault="00370345" w:rsidP="00370345">
      <w:pPr>
        <w:numPr>
          <w:ilvl w:val="0"/>
          <w:numId w:val="3"/>
        </w:numPr>
        <w:spacing w:before="0" w:after="0" w:line="245" w:lineRule="auto"/>
        <w:jc w:val="both"/>
        <w:rPr>
          <w:rFonts w:cs="Arial"/>
          <w:szCs w:val="20"/>
        </w:rPr>
      </w:pPr>
      <w:r w:rsidRPr="00F33AB1">
        <w:rPr>
          <w:rFonts w:cs="Arial"/>
          <w:szCs w:val="20"/>
        </w:rPr>
        <w:t xml:space="preserve">As part of the Environment Agency’s commitment to Health, Safety and Environmental compliance, the Contractor must complete a copy of the </w:t>
      </w:r>
      <w:r w:rsidR="00F16B4B">
        <w:rPr>
          <w:rFonts w:cs="Arial"/>
          <w:szCs w:val="20"/>
        </w:rPr>
        <w:t>Standard Supplier</w:t>
      </w:r>
      <w:r w:rsidRPr="00F33AB1">
        <w:rPr>
          <w:rFonts w:cs="Arial"/>
          <w:szCs w:val="20"/>
        </w:rPr>
        <w:t xml:space="preserve"> questionnaire (</w:t>
      </w:r>
      <w:r w:rsidR="00F16B4B">
        <w:rPr>
          <w:rFonts w:cs="Arial"/>
          <w:szCs w:val="20"/>
        </w:rPr>
        <w:fldChar w:fldCharType="begin"/>
      </w:r>
      <w:r w:rsidR="00F16B4B">
        <w:rPr>
          <w:rFonts w:cs="Arial"/>
          <w:szCs w:val="20"/>
        </w:rPr>
        <w:instrText xml:space="preserve"> REF _Ref116482245 \h </w:instrText>
      </w:r>
      <w:r w:rsidR="00F16B4B">
        <w:rPr>
          <w:rFonts w:cs="Arial"/>
          <w:szCs w:val="20"/>
        </w:rPr>
      </w:r>
      <w:r w:rsidR="00F16B4B">
        <w:rPr>
          <w:rFonts w:cs="Arial"/>
          <w:szCs w:val="20"/>
        </w:rPr>
        <w:fldChar w:fldCharType="separate"/>
      </w:r>
      <w:r w:rsidR="00F16B4B" w:rsidRPr="00E477D6">
        <w:rPr>
          <w:rFonts w:cs="Arial"/>
          <w:b/>
          <w:bCs/>
          <w:sz w:val="22"/>
        </w:rPr>
        <w:t xml:space="preserve">Appendix </w:t>
      </w:r>
      <w:r w:rsidR="00F16B4B">
        <w:rPr>
          <w:rFonts w:cs="Arial"/>
          <w:b/>
          <w:bCs/>
          <w:i/>
          <w:iCs/>
          <w:noProof/>
          <w:sz w:val="22"/>
        </w:rPr>
        <w:t>4</w:t>
      </w:r>
      <w:r w:rsidR="00F16B4B">
        <w:rPr>
          <w:rFonts w:cs="Arial"/>
          <w:szCs w:val="20"/>
        </w:rPr>
        <w:fldChar w:fldCharType="end"/>
      </w:r>
      <w:r w:rsidRPr="00F33AB1">
        <w:rPr>
          <w:rFonts w:cs="Arial"/>
          <w:szCs w:val="20"/>
        </w:rPr>
        <w:t xml:space="preserve">) and submit as part of the Tender. </w:t>
      </w:r>
    </w:p>
    <w:p w:rsidR="00370345" w:rsidRPr="00F33AB1" w:rsidRDefault="00370345" w:rsidP="00370345">
      <w:pPr>
        <w:spacing w:before="0" w:after="0" w:line="245" w:lineRule="auto"/>
        <w:jc w:val="both"/>
        <w:rPr>
          <w:rFonts w:cs="Arial"/>
          <w:szCs w:val="20"/>
        </w:rPr>
      </w:pPr>
    </w:p>
    <w:p w:rsidR="00370345" w:rsidRPr="00F33AB1" w:rsidRDefault="00370345" w:rsidP="00370345">
      <w:pPr>
        <w:numPr>
          <w:ilvl w:val="0"/>
          <w:numId w:val="3"/>
        </w:numPr>
        <w:spacing w:before="0" w:after="0" w:line="245" w:lineRule="auto"/>
        <w:jc w:val="both"/>
        <w:rPr>
          <w:rFonts w:cs="Arial"/>
          <w:szCs w:val="20"/>
        </w:rPr>
      </w:pPr>
      <w:r w:rsidRPr="00F33AB1">
        <w:rPr>
          <w:rFonts w:cs="Arial"/>
          <w:szCs w:val="20"/>
        </w:rPr>
        <w:t>The Environment Agency expects that high standards of Equality, Diversity and Inclusion are met by its sub-contractors. We would expect that our sub-contractors deliver the work on behalf of the Agency in line with the requirements under the Equality Act 2010, matching our own ambitions to demonstrate the Agency is an equal, diverse and inclusive (EDI) organisation.</w:t>
      </w:r>
    </w:p>
    <w:p w:rsidR="0044343B" w:rsidRPr="0044343B" w:rsidRDefault="0044343B" w:rsidP="00F16B4B">
      <w:pPr>
        <w:pStyle w:val="Heading1"/>
      </w:pPr>
    </w:p>
    <w:p w:rsidR="00715B46" w:rsidRDefault="00715B46" w:rsidP="00715B46">
      <w:pPr>
        <w:pStyle w:val="Heading1"/>
      </w:pPr>
      <w:bookmarkStart w:id="27" w:name="_Toc116548858"/>
      <w:r>
        <w:t>Section 11 – Sustainability</w:t>
      </w:r>
    </w:p>
    <w:p w:rsidR="00D366B8" w:rsidRDefault="00D366B8" w:rsidP="00D366B8">
      <w:pPr>
        <w:pStyle w:val="ListParagraph"/>
        <w:numPr>
          <w:ilvl w:val="0"/>
          <w:numId w:val="3"/>
        </w:numPr>
        <w:rPr>
          <w:rFonts w:cs="Arial"/>
          <w:bCs/>
          <w:szCs w:val="20"/>
        </w:rPr>
      </w:pPr>
      <w:r w:rsidRPr="00D366B8">
        <w:rPr>
          <w:rFonts w:cs="Arial"/>
          <w:bCs/>
          <w:szCs w:val="20"/>
        </w:rPr>
        <w:t>The Environment Agency is reducing its environmental impact both in its direct operations and through its supply chain in the goods, works and services that others provide on its behalf. We are committed to improving our total environmental impact</w:t>
      </w:r>
      <w:r>
        <w:rPr>
          <w:rFonts w:cs="Arial"/>
          <w:bCs/>
          <w:szCs w:val="20"/>
        </w:rPr>
        <w:t>, and expect suppliers to consider minimising materials and energy use in the products they supply us</w:t>
      </w:r>
    </w:p>
    <w:p w:rsidR="00D366B8" w:rsidRPr="00D366B8" w:rsidRDefault="00D366B8" w:rsidP="00D366B8">
      <w:pPr>
        <w:pStyle w:val="ListParagraph"/>
        <w:ind w:left="785"/>
        <w:rPr>
          <w:rFonts w:cs="Arial"/>
          <w:bCs/>
          <w:szCs w:val="20"/>
        </w:rPr>
      </w:pPr>
    </w:p>
    <w:p w:rsidR="00D366B8" w:rsidRDefault="00D366B8" w:rsidP="00D366B8">
      <w:pPr>
        <w:pStyle w:val="ListParagraph"/>
        <w:numPr>
          <w:ilvl w:val="0"/>
          <w:numId w:val="3"/>
        </w:numPr>
        <w:rPr>
          <w:rFonts w:cs="Arial"/>
          <w:bCs/>
          <w:szCs w:val="20"/>
        </w:rPr>
      </w:pPr>
      <w:r w:rsidRPr="00D366B8">
        <w:rPr>
          <w:rFonts w:cs="Arial"/>
          <w:bCs/>
          <w:szCs w:val="20"/>
        </w:rPr>
        <w:t>We have an environmental management system (EMS) that is certified to ISO14001:2015 standards which incorporates our procurement and supply chain activities. As part of our EMS, we take a full lifecycle approach to the identification and management of our significant environmental risks and opportunities. Our Contractors have a significant part to play in helping us achieve our commitment to reduce our total environmental impact.</w:t>
      </w:r>
    </w:p>
    <w:p w:rsidR="00D366B8" w:rsidRPr="00D366B8" w:rsidRDefault="00D366B8" w:rsidP="00D366B8">
      <w:pPr>
        <w:pStyle w:val="ListParagraph"/>
        <w:rPr>
          <w:rFonts w:cs="Arial"/>
          <w:bCs/>
          <w:szCs w:val="20"/>
        </w:rPr>
      </w:pPr>
    </w:p>
    <w:p w:rsidR="00D366B8" w:rsidRPr="00D366B8" w:rsidRDefault="00D366B8" w:rsidP="00D366B8">
      <w:pPr>
        <w:pStyle w:val="ListParagraph"/>
        <w:ind w:left="785"/>
        <w:rPr>
          <w:rFonts w:cs="Arial"/>
          <w:bCs/>
          <w:szCs w:val="20"/>
        </w:rPr>
      </w:pPr>
    </w:p>
    <w:p w:rsidR="00D366B8" w:rsidRDefault="00D366B8" w:rsidP="00D366B8">
      <w:pPr>
        <w:pStyle w:val="ListParagraph"/>
        <w:numPr>
          <w:ilvl w:val="0"/>
          <w:numId w:val="3"/>
        </w:numPr>
        <w:rPr>
          <w:rFonts w:cs="Arial"/>
          <w:bCs/>
          <w:szCs w:val="20"/>
        </w:rPr>
      </w:pPr>
      <w:r>
        <w:rPr>
          <w:rFonts w:cs="Arial"/>
          <w:bCs/>
          <w:szCs w:val="20"/>
        </w:rPr>
        <w:t>As a supply c</w:t>
      </w:r>
      <w:r w:rsidRPr="00D366B8">
        <w:rPr>
          <w:rFonts w:cs="Arial"/>
          <w:bCs/>
          <w:szCs w:val="20"/>
        </w:rPr>
        <w:t>ontractors</w:t>
      </w:r>
      <w:r>
        <w:rPr>
          <w:rFonts w:cs="Arial"/>
          <w:bCs/>
          <w:szCs w:val="20"/>
        </w:rPr>
        <w:t xml:space="preserve"> you</w:t>
      </w:r>
      <w:r w:rsidRPr="00D366B8">
        <w:rPr>
          <w:rFonts w:cs="Arial"/>
          <w:bCs/>
          <w:szCs w:val="20"/>
        </w:rPr>
        <w:t xml:space="preserve"> will need to have a management system aligned or certified to ISO14001 accreditation and adopt a similar approach to the lifecycle identification, assessment and management of environmental risks and opportunities associated with the delivery of this contract. </w:t>
      </w:r>
    </w:p>
    <w:p w:rsidR="00D366B8" w:rsidRDefault="00D366B8" w:rsidP="00D366B8">
      <w:pPr>
        <w:pStyle w:val="ListParagraph"/>
        <w:ind w:left="785"/>
        <w:rPr>
          <w:rFonts w:cs="Arial"/>
          <w:bCs/>
          <w:szCs w:val="20"/>
        </w:rPr>
      </w:pPr>
    </w:p>
    <w:p w:rsidR="00D366B8" w:rsidRDefault="00D366B8" w:rsidP="00D366B8">
      <w:pPr>
        <w:pStyle w:val="ListParagraph"/>
        <w:ind w:left="785"/>
        <w:rPr>
          <w:rFonts w:cs="Arial"/>
          <w:bCs/>
          <w:szCs w:val="20"/>
        </w:rPr>
      </w:pPr>
      <w:r>
        <w:rPr>
          <w:rFonts w:cs="Arial"/>
          <w:bCs/>
          <w:szCs w:val="20"/>
        </w:rPr>
        <w:t xml:space="preserve">The Contractor shall – </w:t>
      </w:r>
    </w:p>
    <w:p w:rsidR="00D366B8" w:rsidRDefault="00D366B8" w:rsidP="00D366B8">
      <w:pPr>
        <w:pStyle w:val="ListParagraph"/>
        <w:ind w:left="785"/>
        <w:rPr>
          <w:rFonts w:cs="Arial"/>
          <w:bCs/>
          <w:szCs w:val="20"/>
        </w:rPr>
      </w:pPr>
    </w:p>
    <w:p w:rsidR="007E2A22" w:rsidRPr="007E2A22" w:rsidRDefault="007E2A22" w:rsidP="00D366B8">
      <w:pPr>
        <w:pStyle w:val="ListParagraph"/>
        <w:numPr>
          <w:ilvl w:val="0"/>
          <w:numId w:val="14"/>
        </w:numPr>
        <w:rPr>
          <w:rFonts w:cs="Arial"/>
          <w:bCs/>
          <w:szCs w:val="20"/>
        </w:rPr>
      </w:pPr>
      <w:r w:rsidRPr="007E2A22">
        <w:rPr>
          <w:rFonts w:cs="Arial"/>
          <w:bCs/>
          <w:szCs w:val="20"/>
        </w:rPr>
        <w:t xml:space="preserve">Achieve compliance with all environmental </w:t>
      </w:r>
      <w:r w:rsidR="00297140" w:rsidRPr="007E2A22">
        <w:rPr>
          <w:rFonts w:cs="Arial"/>
          <w:bCs/>
          <w:szCs w:val="20"/>
        </w:rPr>
        <w:t>legislation.</w:t>
      </w:r>
    </w:p>
    <w:p w:rsidR="00D366B8" w:rsidRDefault="007E2A22" w:rsidP="007E2A22">
      <w:pPr>
        <w:pStyle w:val="ListParagraph"/>
        <w:numPr>
          <w:ilvl w:val="0"/>
          <w:numId w:val="14"/>
        </w:numPr>
        <w:rPr>
          <w:rFonts w:cs="Arial"/>
          <w:bCs/>
          <w:szCs w:val="20"/>
        </w:rPr>
      </w:pPr>
      <w:r w:rsidRPr="00D366B8">
        <w:rPr>
          <w:rFonts w:cs="Arial"/>
          <w:bCs/>
          <w:szCs w:val="20"/>
        </w:rPr>
        <w:t xml:space="preserve">Have robust environmental management processes and procedures in place including but not limited to pollution prevention and waste </w:t>
      </w:r>
      <w:r w:rsidR="00297140" w:rsidRPr="00D366B8">
        <w:rPr>
          <w:rFonts w:cs="Arial"/>
          <w:bCs/>
          <w:szCs w:val="20"/>
        </w:rPr>
        <w:t>management.</w:t>
      </w:r>
    </w:p>
    <w:p w:rsidR="00D366B8" w:rsidRDefault="007E2A22" w:rsidP="007E2A22">
      <w:pPr>
        <w:pStyle w:val="ListParagraph"/>
        <w:numPr>
          <w:ilvl w:val="0"/>
          <w:numId w:val="14"/>
        </w:numPr>
        <w:rPr>
          <w:rFonts w:cs="Arial"/>
          <w:bCs/>
          <w:szCs w:val="20"/>
        </w:rPr>
      </w:pPr>
      <w:r w:rsidRPr="00D366B8">
        <w:rPr>
          <w:rFonts w:cs="Arial"/>
          <w:bCs/>
          <w:szCs w:val="20"/>
        </w:rPr>
        <w:t xml:space="preserve">Have trained and competent staff to deliver these processes and </w:t>
      </w:r>
      <w:r w:rsidR="00297140" w:rsidRPr="00D366B8">
        <w:rPr>
          <w:rFonts w:cs="Arial"/>
          <w:bCs/>
          <w:szCs w:val="20"/>
        </w:rPr>
        <w:t>procedures.</w:t>
      </w:r>
    </w:p>
    <w:p w:rsidR="00D366B8" w:rsidRDefault="007E2A22" w:rsidP="007E2A22">
      <w:pPr>
        <w:pStyle w:val="ListParagraph"/>
        <w:numPr>
          <w:ilvl w:val="0"/>
          <w:numId w:val="14"/>
        </w:numPr>
        <w:rPr>
          <w:rFonts w:cs="Arial"/>
          <w:bCs/>
          <w:szCs w:val="20"/>
        </w:rPr>
      </w:pPr>
      <w:r w:rsidRPr="00D366B8">
        <w:rPr>
          <w:rFonts w:cs="Arial"/>
          <w:bCs/>
          <w:szCs w:val="20"/>
        </w:rPr>
        <w:t xml:space="preserve">Achieve continuous improvement in environmental </w:t>
      </w:r>
      <w:r w:rsidR="00297140" w:rsidRPr="00D366B8">
        <w:rPr>
          <w:rFonts w:cs="Arial"/>
          <w:bCs/>
          <w:szCs w:val="20"/>
        </w:rPr>
        <w:t>management.</w:t>
      </w:r>
    </w:p>
    <w:p w:rsidR="007E2A22" w:rsidRPr="00D366B8" w:rsidRDefault="007E2A22" w:rsidP="007E2A22">
      <w:pPr>
        <w:pStyle w:val="ListParagraph"/>
        <w:numPr>
          <w:ilvl w:val="0"/>
          <w:numId w:val="14"/>
        </w:numPr>
        <w:rPr>
          <w:rFonts w:cs="Arial"/>
          <w:bCs/>
          <w:szCs w:val="20"/>
        </w:rPr>
      </w:pPr>
      <w:r w:rsidRPr="00D366B8">
        <w:rPr>
          <w:rFonts w:cs="Arial"/>
          <w:bCs/>
          <w:szCs w:val="20"/>
        </w:rPr>
        <w:t xml:space="preserve">Work to reduce the environmental impact of delivering </w:t>
      </w:r>
      <w:r w:rsidR="00D366B8">
        <w:rPr>
          <w:rFonts w:cs="Arial"/>
          <w:bCs/>
          <w:szCs w:val="20"/>
        </w:rPr>
        <w:t>the products</w:t>
      </w:r>
    </w:p>
    <w:p w:rsidR="00715B46" w:rsidRPr="00715B46" w:rsidRDefault="00715B46" w:rsidP="00715B46">
      <w:pPr>
        <w:rPr>
          <w:lang w:eastAsia="en-GB"/>
        </w:rPr>
      </w:pPr>
    </w:p>
    <w:p w:rsidR="0094521E" w:rsidRDefault="00715B46" w:rsidP="00F16B4B">
      <w:pPr>
        <w:pStyle w:val="Heading1"/>
      </w:pPr>
      <w:r>
        <w:rPr>
          <w:rFonts w:ascii="Arial" w:hAnsi="Arial"/>
          <w:bCs/>
        </w:rPr>
        <w:t xml:space="preserve">Section 12 - </w:t>
      </w:r>
      <w:r w:rsidR="00F16B4B" w:rsidRPr="001859EB">
        <w:rPr>
          <w:rFonts w:ascii="Arial" w:hAnsi="Arial"/>
          <w:bCs/>
        </w:rPr>
        <w:t>Specifics of Payment</w:t>
      </w:r>
      <w:bookmarkEnd w:id="27"/>
    </w:p>
    <w:p w:rsidR="0094521E" w:rsidRDefault="0094521E" w:rsidP="00AE72E3">
      <w:pPr>
        <w:pStyle w:val="ListParagraph"/>
        <w:spacing w:before="0" w:after="0" w:line="240" w:lineRule="auto"/>
        <w:ind w:left="785"/>
        <w:jc w:val="both"/>
        <w:rPr>
          <w:rFonts w:cs="Arial"/>
          <w:szCs w:val="20"/>
        </w:rPr>
      </w:pPr>
    </w:p>
    <w:p w:rsidR="00F16B4B" w:rsidRPr="00ED7812" w:rsidRDefault="00F16B4B" w:rsidP="00D366B8">
      <w:pPr>
        <w:pStyle w:val="Header"/>
        <w:numPr>
          <w:ilvl w:val="0"/>
          <w:numId w:val="3"/>
        </w:numPr>
        <w:tabs>
          <w:tab w:val="clear" w:pos="4513"/>
          <w:tab w:val="clear" w:pos="9026"/>
        </w:tabs>
        <w:ind w:right="3"/>
        <w:jc w:val="both"/>
        <w:rPr>
          <w:rFonts w:cs="Arial"/>
          <w:bCs/>
          <w:szCs w:val="20"/>
        </w:rPr>
      </w:pPr>
      <w:r w:rsidRPr="00ED7812">
        <w:rPr>
          <w:rFonts w:cs="Arial"/>
          <w:bCs/>
          <w:szCs w:val="20"/>
        </w:rPr>
        <w:t>Invoice Instructions:</w:t>
      </w:r>
    </w:p>
    <w:p w:rsidR="00F16B4B" w:rsidRPr="00953C88" w:rsidRDefault="00F16B4B" w:rsidP="00F16B4B">
      <w:pPr>
        <w:pStyle w:val="Header"/>
        <w:tabs>
          <w:tab w:val="clear" w:pos="4513"/>
          <w:tab w:val="clear" w:pos="9026"/>
        </w:tabs>
        <w:ind w:left="447" w:right="3"/>
        <w:jc w:val="both"/>
        <w:rPr>
          <w:rFonts w:cs="Arial"/>
          <w:szCs w:val="20"/>
        </w:rPr>
      </w:pPr>
      <w:r w:rsidRPr="00ED7812">
        <w:rPr>
          <w:rFonts w:cs="Arial"/>
          <w:bCs/>
          <w:szCs w:val="20"/>
        </w:rPr>
        <w:t>Alongside delivery</w:t>
      </w:r>
      <w:r w:rsidR="00640C97">
        <w:rPr>
          <w:rFonts w:cs="Arial"/>
          <w:bCs/>
          <w:szCs w:val="20"/>
        </w:rPr>
        <w:t xml:space="preserve"> and subject to passing the </w:t>
      </w:r>
      <w:r w:rsidR="00297140">
        <w:rPr>
          <w:rFonts w:cs="Arial"/>
          <w:bCs/>
          <w:szCs w:val="20"/>
        </w:rPr>
        <w:t>1-month</w:t>
      </w:r>
      <w:r w:rsidR="00640C97">
        <w:rPr>
          <w:rFonts w:cs="Arial"/>
          <w:bCs/>
          <w:szCs w:val="20"/>
        </w:rPr>
        <w:t xml:space="preserve"> trial</w:t>
      </w:r>
      <w:r w:rsidRPr="00ED7812">
        <w:rPr>
          <w:rFonts w:cs="Arial"/>
          <w:bCs/>
          <w:szCs w:val="20"/>
        </w:rPr>
        <w:t>, an invoice for the go</w:t>
      </w:r>
      <w:r w:rsidRPr="00953C88">
        <w:rPr>
          <w:rFonts w:cs="Arial"/>
          <w:szCs w:val="20"/>
        </w:rPr>
        <w:t>ods will need to be provided prior to the 27</w:t>
      </w:r>
      <w:r w:rsidRPr="00953C88">
        <w:rPr>
          <w:rFonts w:cs="Arial"/>
          <w:szCs w:val="20"/>
          <w:vertAlign w:val="superscript"/>
        </w:rPr>
        <w:t>th</w:t>
      </w:r>
      <w:r w:rsidRPr="00953C88">
        <w:rPr>
          <w:rFonts w:cs="Arial"/>
          <w:szCs w:val="20"/>
        </w:rPr>
        <w:t xml:space="preserve"> March 2023, referencing an issued Purchase Order for items delivered in Schedule 2, alongside evidence of the delivery</w:t>
      </w:r>
      <w:r w:rsidR="00640C97">
        <w:rPr>
          <w:rFonts w:cs="Arial"/>
          <w:szCs w:val="20"/>
        </w:rPr>
        <w:t xml:space="preserve"> and commissioning. The </w:t>
      </w:r>
      <w:r w:rsidR="00297140">
        <w:rPr>
          <w:rFonts w:cs="Arial"/>
          <w:szCs w:val="20"/>
        </w:rPr>
        <w:t>1-month</w:t>
      </w:r>
      <w:r w:rsidR="00640C97">
        <w:rPr>
          <w:rFonts w:cs="Arial"/>
          <w:szCs w:val="20"/>
        </w:rPr>
        <w:t xml:space="preserve"> installation and trial hire can be invoiced separately upon installation after the delivery and commissioning after the 13</w:t>
      </w:r>
      <w:r w:rsidR="00640C97" w:rsidRPr="00640C97">
        <w:rPr>
          <w:rFonts w:cs="Arial"/>
          <w:szCs w:val="20"/>
          <w:vertAlign w:val="superscript"/>
        </w:rPr>
        <w:t>th</w:t>
      </w:r>
      <w:r w:rsidR="00640C97">
        <w:rPr>
          <w:rFonts w:cs="Arial"/>
          <w:szCs w:val="20"/>
        </w:rPr>
        <w:t xml:space="preserve"> February if successfully delivered and installed.</w:t>
      </w:r>
    </w:p>
    <w:p w:rsidR="00F16B4B" w:rsidRPr="00953C88" w:rsidRDefault="00F16B4B" w:rsidP="00F16B4B">
      <w:pPr>
        <w:pStyle w:val="Header"/>
        <w:ind w:left="447" w:right="3"/>
        <w:jc w:val="both"/>
        <w:rPr>
          <w:rFonts w:cs="Arial"/>
          <w:szCs w:val="20"/>
        </w:rPr>
      </w:pPr>
      <w:r w:rsidRPr="00953C88">
        <w:rPr>
          <w:rFonts w:cs="Arial"/>
          <w:szCs w:val="20"/>
        </w:rPr>
        <w:t xml:space="preserve">Non-compliant invoices with no Purchase Order number will be rejected and returned to the supplier. </w:t>
      </w:r>
    </w:p>
    <w:p w:rsidR="00F16B4B" w:rsidRPr="00953C88" w:rsidRDefault="00F16B4B" w:rsidP="00F16B4B">
      <w:pPr>
        <w:pStyle w:val="Header"/>
        <w:ind w:right="3" w:firstLine="447"/>
        <w:jc w:val="both"/>
        <w:rPr>
          <w:rFonts w:cs="Arial"/>
          <w:szCs w:val="20"/>
        </w:rPr>
      </w:pPr>
      <w:r w:rsidRPr="00953C88">
        <w:rPr>
          <w:rFonts w:cs="Arial"/>
          <w:szCs w:val="20"/>
        </w:rPr>
        <w:t xml:space="preserve">The invoices shall include: </w:t>
      </w:r>
    </w:p>
    <w:p w:rsidR="00F16B4B" w:rsidRPr="00953C88" w:rsidRDefault="00F16B4B" w:rsidP="00F16B4B">
      <w:pPr>
        <w:pStyle w:val="Header"/>
        <w:ind w:right="3" w:firstLine="447"/>
        <w:jc w:val="both"/>
        <w:rPr>
          <w:rFonts w:cs="Arial"/>
          <w:szCs w:val="20"/>
        </w:rPr>
      </w:pPr>
      <w:r w:rsidRPr="00953C88">
        <w:rPr>
          <w:rFonts w:cs="Arial"/>
          <w:szCs w:val="20"/>
        </w:rPr>
        <w:t>i) Unique invoice number;</w:t>
      </w:r>
    </w:p>
    <w:p w:rsidR="00F16B4B" w:rsidRPr="00953C88" w:rsidRDefault="00F16B4B" w:rsidP="00F16B4B">
      <w:pPr>
        <w:pStyle w:val="Header"/>
        <w:ind w:right="3" w:firstLine="447"/>
        <w:jc w:val="both"/>
        <w:rPr>
          <w:rFonts w:cs="Arial"/>
          <w:szCs w:val="20"/>
        </w:rPr>
      </w:pPr>
      <w:r w:rsidRPr="00953C88">
        <w:rPr>
          <w:rFonts w:cs="Arial"/>
          <w:szCs w:val="20"/>
        </w:rPr>
        <w:t>ii) Date of issue;</w:t>
      </w:r>
    </w:p>
    <w:p w:rsidR="00F16B4B" w:rsidRPr="00953C88" w:rsidRDefault="00F16B4B" w:rsidP="00F16B4B">
      <w:pPr>
        <w:pStyle w:val="Header"/>
        <w:ind w:right="3" w:firstLine="447"/>
        <w:jc w:val="both"/>
        <w:rPr>
          <w:rFonts w:cs="Arial"/>
          <w:szCs w:val="20"/>
        </w:rPr>
      </w:pPr>
      <w:r w:rsidRPr="00953C88">
        <w:rPr>
          <w:rFonts w:cs="Arial"/>
          <w:szCs w:val="20"/>
        </w:rPr>
        <w:t xml:space="preserve">iii) Purchase order and reference to correct Purchase </w:t>
      </w:r>
    </w:p>
    <w:p w:rsidR="00F16B4B" w:rsidRPr="00953C88" w:rsidRDefault="00F16B4B" w:rsidP="00F16B4B">
      <w:pPr>
        <w:pStyle w:val="Header"/>
        <w:ind w:right="3" w:firstLine="447"/>
        <w:jc w:val="both"/>
        <w:rPr>
          <w:rFonts w:cs="Arial"/>
          <w:szCs w:val="20"/>
        </w:rPr>
      </w:pPr>
      <w:r w:rsidRPr="00953C88">
        <w:rPr>
          <w:rFonts w:cs="Arial"/>
          <w:szCs w:val="20"/>
        </w:rPr>
        <w:t>iv) Date of delivery of services;</w:t>
      </w:r>
    </w:p>
    <w:p w:rsidR="00F16B4B" w:rsidRPr="00953C88" w:rsidRDefault="00F16B4B" w:rsidP="00F16B4B">
      <w:pPr>
        <w:pStyle w:val="Header"/>
        <w:ind w:right="3" w:firstLine="447"/>
        <w:jc w:val="both"/>
        <w:rPr>
          <w:rFonts w:cs="Arial"/>
          <w:szCs w:val="20"/>
        </w:rPr>
      </w:pPr>
      <w:r w:rsidRPr="00953C88">
        <w:rPr>
          <w:rFonts w:cs="Arial"/>
          <w:szCs w:val="20"/>
        </w:rPr>
        <w:t>v) Agency contract number;</w:t>
      </w:r>
    </w:p>
    <w:p w:rsidR="00F16B4B" w:rsidRPr="00953C88" w:rsidRDefault="00F16B4B" w:rsidP="00F16B4B">
      <w:pPr>
        <w:pStyle w:val="Header"/>
        <w:ind w:right="3" w:firstLine="447"/>
        <w:jc w:val="both"/>
        <w:rPr>
          <w:rFonts w:cs="Arial"/>
          <w:szCs w:val="20"/>
        </w:rPr>
      </w:pPr>
      <w:r w:rsidRPr="00953C88">
        <w:rPr>
          <w:rFonts w:cs="Arial"/>
          <w:szCs w:val="20"/>
        </w:rPr>
        <w:t>vi) The Environment Agency project officer;</w:t>
      </w:r>
    </w:p>
    <w:p w:rsidR="00F16B4B" w:rsidRPr="00953C88" w:rsidRDefault="00F16B4B" w:rsidP="00F16B4B">
      <w:pPr>
        <w:pStyle w:val="Header"/>
        <w:ind w:right="3" w:firstLine="447"/>
        <w:jc w:val="both"/>
        <w:rPr>
          <w:rFonts w:cs="Arial"/>
          <w:szCs w:val="20"/>
        </w:rPr>
      </w:pPr>
      <w:r w:rsidRPr="00953C88">
        <w:rPr>
          <w:rFonts w:cs="Arial"/>
          <w:szCs w:val="20"/>
        </w:rPr>
        <w:t>vii) Qualitative description of the work being done;</w:t>
      </w:r>
    </w:p>
    <w:p w:rsidR="00F16B4B" w:rsidRPr="00953C88" w:rsidRDefault="00F16B4B" w:rsidP="00F16B4B">
      <w:pPr>
        <w:pStyle w:val="Header"/>
        <w:ind w:right="3" w:firstLine="447"/>
        <w:jc w:val="both"/>
        <w:rPr>
          <w:rFonts w:cs="Arial"/>
          <w:szCs w:val="20"/>
        </w:rPr>
      </w:pPr>
      <w:r w:rsidRPr="00953C88">
        <w:rPr>
          <w:rFonts w:cs="Arial"/>
          <w:szCs w:val="20"/>
        </w:rPr>
        <w:t>viii) Excluding VAT unit price and total amount;</w:t>
      </w:r>
    </w:p>
    <w:p w:rsidR="00F16B4B" w:rsidRPr="00953C88" w:rsidRDefault="00F16B4B" w:rsidP="00F16B4B">
      <w:pPr>
        <w:pStyle w:val="Header"/>
        <w:ind w:right="3" w:firstLine="447"/>
        <w:jc w:val="both"/>
        <w:rPr>
          <w:rFonts w:cs="Arial"/>
          <w:szCs w:val="20"/>
        </w:rPr>
      </w:pPr>
      <w:r w:rsidRPr="00953C88">
        <w:rPr>
          <w:rFonts w:cs="Arial"/>
          <w:szCs w:val="20"/>
        </w:rPr>
        <w:t>ix) Contractor contact name and details;</w:t>
      </w:r>
    </w:p>
    <w:p w:rsidR="00F16B4B" w:rsidRPr="00953C88" w:rsidRDefault="00F16B4B" w:rsidP="00F16B4B">
      <w:pPr>
        <w:pStyle w:val="Header"/>
        <w:ind w:right="3" w:firstLine="447"/>
        <w:jc w:val="both"/>
        <w:rPr>
          <w:rFonts w:cs="Arial"/>
          <w:szCs w:val="20"/>
        </w:rPr>
      </w:pPr>
      <w:r w:rsidRPr="00953C88">
        <w:rPr>
          <w:rFonts w:cs="Arial"/>
          <w:szCs w:val="20"/>
        </w:rPr>
        <w:t>x) Payment information for supplier;</w:t>
      </w:r>
    </w:p>
    <w:p w:rsidR="00F16B4B" w:rsidRPr="00953C88" w:rsidRDefault="00F16B4B" w:rsidP="00F16B4B">
      <w:pPr>
        <w:pStyle w:val="Header"/>
        <w:ind w:right="3" w:firstLine="447"/>
        <w:jc w:val="both"/>
        <w:rPr>
          <w:rFonts w:cs="Arial"/>
          <w:szCs w:val="20"/>
        </w:rPr>
      </w:pPr>
      <w:r w:rsidRPr="00953C88">
        <w:rPr>
          <w:rFonts w:cs="Arial"/>
          <w:szCs w:val="20"/>
        </w:rPr>
        <w:t>xi) Register company information;</w:t>
      </w:r>
    </w:p>
    <w:p w:rsidR="00F16B4B" w:rsidRPr="00ED7812" w:rsidRDefault="00F16B4B" w:rsidP="00F16B4B">
      <w:pPr>
        <w:pStyle w:val="Header"/>
        <w:tabs>
          <w:tab w:val="clear" w:pos="4513"/>
          <w:tab w:val="clear" w:pos="9026"/>
        </w:tabs>
        <w:ind w:right="3" w:firstLine="447"/>
        <w:jc w:val="both"/>
        <w:rPr>
          <w:rFonts w:cs="Arial"/>
          <w:szCs w:val="20"/>
        </w:rPr>
      </w:pPr>
      <w:r w:rsidRPr="00953C88">
        <w:rPr>
          <w:rFonts w:cs="Arial"/>
          <w:szCs w:val="20"/>
        </w:rPr>
        <w:t xml:space="preserve">xii) VAT registration </w:t>
      </w:r>
      <w:r w:rsidRPr="00ED7812">
        <w:rPr>
          <w:rFonts w:cs="Arial"/>
          <w:szCs w:val="20"/>
        </w:rPr>
        <w:t>number;</w:t>
      </w:r>
    </w:p>
    <w:p w:rsidR="00F16B4B" w:rsidRPr="00ED7812" w:rsidRDefault="00F16B4B" w:rsidP="00D366B8">
      <w:pPr>
        <w:pStyle w:val="Header"/>
        <w:numPr>
          <w:ilvl w:val="0"/>
          <w:numId w:val="3"/>
        </w:numPr>
        <w:ind w:right="3"/>
        <w:jc w:val="both"/>
        <w:rPr>
          <w:rFonts w:cs="Arial"/>
          <w:szCs w:val="20"/>
        </w:rPr>
      </w:pPr>
      <w:r w:rsidRPr="00ED7812">
        <w:rPr>
          <w:rFonts w:cs="Arial"/>
          <w:szCs w:val="20"/>
        </w:rPr>
        <w:t>Invoice Submission Digital standards - Inbound invoices and emails must comply with our Payment processers (SSCL) submission standards otherwise your invoice will not be processed. For information the submission standards are summarised below;</w:t>
      </w:r>
    </w:p>
    <w:p w:rsidR="00F16B4B" w:rsidRPr="00ED7812" w:rsidRDefault="00F16B4B" w:rsidP="00F16B4B">
      <w:pPr>
        <w:pStyle w:val="Header"/>
        <w:numPr>
          <w:ilvl w:val="0"/>
          <w:numId w:val="2"/>
        </w:numPr>
        <w:ind w:right="3"/>
        <w:jc w:val="both"/>
        <w:rPr>
          <w:rFonts w:cs="Arial"/>
          <w:szCs w:val="20"/>
        </w:rPr>
      </w:pPr>
      <w:r w:rsidRPr="00ED7812">
        <w:rPr>
          <w:rFonts w:cs="Arial"/>
          <w:szCs w:val="20"/>
        </w:rPr>
        <w:t>Email size must not exceed 4mb</w:t>
      </w:r>
    </w:p>
    <w:p w:rsidR="00F16B4B" w:rsidRPr="00953C88" w:rsidRDefault="00F16B4B" w:rsidP="00F16B4B">
      <w:pPr>
        <w:pStyle w:val="Header"/>
        <w:numPr>
          <w:ilvl w:val="0"/>
          <w:numId w:val="2"/>
        </w:numPr>
        <w:ind w:right="3"/>
        <w:jc w:val="both"/>
        <w:rPr>
          <w:rFonts w:cs="Arial"/>
          <w:szCs w:val="20"/>
        </w:rPr>
      </w:pPr>
      <w:r w:rsidRPr="00953C88">
        <w:rPr>
          <w:rFonts w:cs="Arial"/>
          <w:szCs w:val="20"/>
        </w:rPr>
        <w:t>All files/invoices must be in PDF format attached directly to the email (No folders etc)</w:t>
      </w:r>
    </w:p>
    <w:p w:rsidR="00F16B4B" w:rsidRPr="00953C88" w:rsidRDefault="00F16B4B" w:rsidP="00F16B4B">
      <w:pPr>
        <w:pStyle w:val="Header"/>
        <w:numPr>
          <w:ilvl w:val="0"/>
          <w:numId w:val="2"/>
        </w:numPr>
        <w:ind w:right="3"/>
        <w:jc w:val="both"/>
        <w:rPr>
          <w:rFonts w:cs="Arial"/>
          <w:szCs w:val="20"/>
        </w:rPr>
      </w:pPr>
      <w:r w:rsidRPr="00953C88">
        <w:rPr>
          <w:rFonts w:cs="Arial"/>
          <w:szCs w:val="20"/>
        </w:rPr>
        <w:t>One PDF per invoice – all supporting documentation must be included within the single PDF. Do not attach additional/separate supporting documentation as a separate file</w:t>
      </w:r>
    </w:p>
    <w:p w:rsidR="00F16B4B" w:rsidRPr="00953C88" w:rsidRDefault="00F16B4B" w:rsidP="00F16B4B">
      <w:pPr>
        <w:pStyle w:val="Header"/>
        <w:numPr>
          <w:ilvl w:val="0"/>
          <w:numId w:val="2"/>
        </w:numPr>
        <w:ind w:right="3"/>
        <w:jc w:val="both"/>
        <w:rPr>
          <w:rFonts w:cs="Arial"/>
          <w:szCs w:val="20"/>
        </w:rPr>
      </w:pPr>
      <w:r w:rsidRPr="00953C88">
        <w:rPr>
          <w:rFonts w:cs="Arial"/>
          <w:szCs w:val="20"/>
        </w:rPr>
        <w:t>Multiple invoices can be attached to one email but each invoice must be in a separate PDF (with no additional supporting files as described above)</w:t>
      </w:r>
    </w:p>
    <w:p w:rsidR="00F16B4B" w:rsidRPr="00953C88" w:rsidRDefault="00F16B4B" w:rsidP="00F16B4B">
      <w:pPr>
        <w:pStyle w:val="Header"/>
        <w:numPr>
          <w:ilvl w:val="0"/>
          <w:numId w:val="2"/>
        </w:numPr>
        <w:ind w:right="3"/>
        <w:jc w:val="both"/>
        <w:rPr>
          <w:rFonts w:cs="Arial"/>
          <w:szCs w:val="20"/>
        </w:rPr>
      </w:pPr>
      <w:r w:rsidRPr="00953C88">
        <w:rPr>
          <w:rFonts w:cs="Arial"/>
          <w:szCs w:val="20"/>
        </w:rPr>
        <w:t>"PASSWORD PROTECTED" Files cannot be processed.</w:t>
      </w:r>
    </w:p>
    <w:p w:rsidR="00F16B4B" w:rsidRPr="00953C88" w:rsidRDefault="00F16B4B" w:rsidP="00F16B4B">
      <w:pPr>
        <w:pStyle w:val="ListParagraph"/>
        <w:numPr>
          <w:ilvl w:val="0"/>
          <w:numId w:val="2"/>
        </w:numPr>
        <w:shd w:val="clear" w:color="auto" w:fill="FFFFFF"/>
        <w:spacing w:before="100" w:beforeAutospacing="1" w:after="100" w:afterAutospacing="1" w:line="240" w:lineRule="auto"/>
        <w:rPr>
          <w:rFonts w:eastAsia="Times New Roman" w:cs="Arial"/>
          <w:szCs w:val="20"/>
          <w:lang w:val="en"/>
        </w:rPr>
      </w:pPr>
      <w:r w:rsidRPr="00953C88">
        <w:rPr>
          <w:rFonts w:eastAsia="Times New Roman" w:cs="Arial"/>
          <w:szCs w:val="20"/>
          <w:lang w:val="en"/>
        </w:rPr>
        <w:t xml:space="preserve">Please submit the invoices by Email to: </w:t>
      </w:r>
    </w:p>
    <w:p w:rsidR="00F16B4B" w:rsidRPr="00953C88" w:rsidRDefault="00F16B4B" w:rsidP="00F16B4B">
      <w:pPr>
        <w:shd w:val="clear" w:color="auto" w:fill="FFFFFF"/>
        <w:spacing w:before="100" w:beforeAutospacing="1" w:after="100" w:afterAutospacing="1" w:line="240" w:lineRule="auto"/>
        <w:rPr>
          <w:rFonts w:eastAsia="Times New Roman" w:cs="Arial"/>
          <w:szCs w:val="20"/>
          <w:lang w:val="en"/>
        </w:rPr>
      </w:pPr>
      <w:r w:rsidRPr="00953C88">
        <w:rPr>
          <w:rFonts w:eastAsia="Times New Roman" w:cs="Arial"/>
          <w:szCs w:val="20"/>
          <w:lang w:val="en"/>
        </w:rPr>
        <w:t>i) APinvoices-ENV-U@gov.sscl.com</w:t>
      </w:r>
    </w:p>
    <w:p w:rsidR="00F16B4B" w:rsidRPr="00953C88" w:rsidRDefault="00F16B4B" w:rsidP="00F16B4B">
      <w:pPr>
        <w:shd w:val="clear" w:color="auto" w:fill="FFFFFF"/>
        <w:spacing w:before="100" w:beforeAutospacing="1" w:after="100" w:afterAutospacing="1" w:line="240" w:lineRule="auto"/>
        <w:rPr>
          <w:rFonts w:eastAsia="Times New Roman" w:cs="Arial"/>
          <w:szCs w:val="20"/>
          <w:lang w:val="en"/>
        </w:rPr>
      </w:pPr>
      <w:r w:rsidRPr="00953C88">
        <w:rPr>
          <w:rFonts w:eastAsia="Times New Roman" w:cs="Arial"/>
          <w:szCs w:val="20"/>
          <w:lang w:val="en"/>
        </w:rPr>
        <w:t>ii) AQmonitoringUK &lt;AQmonitoringUK@environment-agency.gov.uk&gt;</w:t>
      </w:r>
    </w:p>
    <w:p w:rsidR="00F16B4B" w:rsidRDefault="00F16B4B" w:rsidP="00AE72E3">
      <w:pPr>
        <w:pStyle w:val="ListParagraph"/>
        <w:spacing w:before="0" w:after="0" w:line="240" w:lineRule="auto"/>
        <w:ind w:left="785"/>
        <w:jc w:val="both"/>
        <w:rPr>
          <w:rFonts w:cs="Arial"/>
          <w:szCs w:val="20"/>
        </w:rPr>
      </w:pPr>
    </w:p>
    <w:p w:rsidR="00953ADD" w:rsidRDefault="00953ADD" w:rsidP="005747AF">
      <w:pPr>
        <w:pStyle w:val="Header"/>
        <w:tabs>
          <w:tab w:val="clear" w:pos="4513"/>
          <w:tab w:val="clear" w:pos="9026"/>
        </w:tabs>
        <w:spacing w:line="240" w:lineRule="auto"/>
        <w:ind w:left="360" w:right="3"/>
        <w:jc w:val="both"/>
        <w:rPr>
          <w:rFonts w:cs="Arial"/>
          <w:b/>
          <w:bCs/>
          <w:sz w:val="22"/>
        </w:rPr>
      </w:pPr>
    </w:p>
    <w:p w:rsidR="00953ADD" w:rsidRPr="00953ADD" w:rsidRDefault="00953ADD" w:rsidP="005747AF">
      <w:pPr>
        <w:pStyle w:val="Header"/>
        <w:tabs>
          <w:tab w:val="clear" w:pos="4513"/>
          <w:tab w:val="clear" w:pos="9026"/>
        </w:tabs>
        <w:spacing w:line="240" w:lineRule="auto"/>
        <w:ind w:left="360" w:right="3"/>
        <w:jc w:val="both"/>
        <w:rPr>
          <w:rFonts w:cs="Arial"/>
          <w:b/>
          <w:bCs/>
          <w:sz w:val="22"/>
        </w:rPr>
      </w:pPr>
    </w:p>
    <w:sectPr w:rsidR="00953ADD" w:rsidRPr="00953ADD" w:rsidSect="000141C3">
      <w:headerReference w:type="even" r:id="rId14"/>
      <w:headerReference w:type="default" r:id="rId15"/>
      <w:footerReference w:type="even" r:id="rId16"/>
      <w:footerReference w:type="default" r:id="rId17"/>
      <w:headerReference w:type="first" r:id="rId18"/>
      <w:footerReference w:type="first" r:id="rId19"/>
      <w:pgSz w:w="11906" w:h="16838"/>
      <w:pgMar w:top="1304" w:right="1440" w:bottom="130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55377" w:rsidRDefault="00D55377" w:rsidP="00E57613">
      <w:pPr>
        <w:spacing w:before="0" w:after="0" w:line="240" w:lineRule="auto"/>
      </w:pPr>
      <w:r>
        <w:separator/>
      </w:r>
    </w:p>
  </w:endnote>
  <w:endnote w:type="continuationSeparator" w:id="0">
    <w:p w:rsidR="00D55377" w:rsidRDefault="00D55377" w:rsidP="00E576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1409" w:rsidRDefault="008914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339479"/>
      <w:docPartObj>
        <w:docPartGallery w:val="Page Numbers (Bottom of Page)"/>
        <w:docPartUnique/>
      </w:docPartObj>
    </w:sdtPr>
    <w:sdtEndPr/>
    <w:sdtContent>
      <w:sdt>
        <w:sdtPr>
          <w:id w:val="-1769616900"/>
          <w:docPartObj>
            <w:docPartGallery w:val="Page Numbers (Top of Page)"/>
            <w:docPartUnique/>
          </w:docPartObj>
        </w:sdtPr>
        <w:sdtEndPr/>
        <w:sdtContent>
          <w:p w:rsidR="00516EFA" w:rsidRDefault="00516EF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712FFC">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712FFC">
              <w:rPr>
                <w:b/>
                <w:bCs/>
                <w:noProof/>
              </w:rPr>
              <w:t>6</w:t>
            </w:r>
            <w:r>
              <w:rPr>
                <w:b/>
                <w:bCs/>
                <w:szCs w:val="24"/>
              </w:rPr>
              <w:fldChar w:fldCharType="end"/>
            </w:r>
          </w:p>
        </w:sdtContent>
      </w:sdt>
    </w:sdtContent>
  </w:sdt>
  <w:p w:rsidR="00516EFA" w:rsidRDefault="00516E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1409" w:rsidRDefault="00891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55377" w:rsidRDefault="00D55377" w:rsidP="00E57613">
      <w:pPr>
        <w:spacing w:before="0" w:after="0" w:line="240" w:lineRule="auto"/>
      </w:pPr>
      <w:r>
        <w:separator/>
      </w:r>
    </w:p>
  </w:footnote>
  <w:footnote w:type="continuationSeparator" w:id="0">
    <w:p w:rsidR="00D55377" w:rsidRDefault="00D55377" w:rsidP="00E5761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1409" w:rsidRDefault="008914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5E90" w:rsidRPr="006512DB" w:rsidRDefault="000C5E90" w:rsidP="000C5E90">
    <w:pPr>
      <w:pStyle w:val="Header"/>
      <w:rPr>
        <w:sz w:val="16"/>
        <w:szCs w:val="16"/>
      </w:rPr>
    </w:pPr>
    <w:r w:rsidRPr="006512DB">
      <w:rPr>
        <w:sz w:val="16"/>
        <w:szCs w:val="16"/>
      </w:rPr>
      <w:t>AQC/001/SS</w:t>
    </w:r>
  </w:p>
  <w:p w:rsidR="00EE1B63" w:rsidRPr="006512DB" w:rsidRDefault="006512DB">
    <w:pPr>
      <w:pStyle w:val="Header"/>
      <w:rPr>
        <w:sz w:val="16"/>
        <w:szCs w:val="16"/>
      </w:rPr>
    </w:pPr>
    <w:r>
      <w:rPr>
        <w:sz w:val="16"/>
        <w:szCs w:val="16"/>
      </w:rPr>
      <w:t xml:space="preserve">Specification </w:t>
    </w:r>
    <w:bookmarkStart w:id="28" w:name="_Hlk116485894"/>
    <w:bookmarkStart w:id="29" w:name="_Hlk116485895"/>
    <w:r w:rsidR="000C5E90" w:rsidRPr="006512DB">
      <w:rPr>
        <w:sz w:val="16"/>
        <w:szCs w:val="16"/>
      </w:rPr>
      <w:t xml:space="preserve">- </w:t>
    </w:r>
    <w:r w:rsidR="009C0913" w:rsidRPr="006512DB">
      <w:rPr>
        <w:sz w:val="16"/>
        <w:szCs w:val="16"/>
      </w:rPr>
      <w:t>Environment Agency N</w:t>
    </w:r>
    <w:r w:rsidR="000C5E90" w:rsidRPr="006512DB">
      <w:rPr>
        <w:sz w:val="16"/>
        <w:szCs w:val="16"/>
      </w:rPr>
      <w:t xml:space="preserve">itrogen Dioxide </w:t>
    </w:r>
    <w:r w:rsidR="009C0913" w:rsidRPr="006512DB">
      <w:rPr>
        <w:sz w:val="16"/>
        <w:szCs w:val="16"/>
      </w:rPr>
      <w:t xml:space="preserve">Direct </w:t>
    </w:r>
    <w:r w:rsidR="000C5E90" w:rsidRPr="006512DB">
      <w:rPr>
        <w:sz w:val="16"/>
        <w:szCs w:val="16"/>
      </w:rPr>
      <w:t xml:space="preserve">Analyser </w:t>
    </w:r>
    <w:r w:rsidR="009C0913" w:rsidRPr="006512DB">
      <w:rPr>
        <w:sz w:val="16"/>
        <w:szCs w:val="16"/>
      </w:rPr>
      <w:t>with N</w:t>
    </w:r>
    <w:r w:rsidR="008E0AEA" w:rsidRPr="006512DB">
      <w:rPr>
        <w:sz w:val="16"/>
        <w:szCs w:val="16"/>
      </w:rPr>
      <w:t xml:space="preserve">itrogen </w:t>
    </w:r>
    <w:r w:rsidR="00891409">
      <w:rPr>
        <w:sz w:val="16"/>
        <w:szCs w:val="16"/>
      </w:rPr>
      <w:t>Mono</w:t>
    </w:r>
    <w:r w:rsidR="008E0AEA" w:rsidRPr="006512DB">
      <w:rPr>
        <w:sz w:val="16"/>
        <w:szCs w:val="16"/>
      </w:rPr>
      <w:t>xide</w:t>
    </w:r>
    <w:r w:rsidR="009C0913" w:rsidRPr="006512DB">
      <w:rPr>
        <w:sz w:val="16"/>
        <w:szCs w:val="16"/>
      </w:rPr>
      <w:t xml:space="preserve"> </w:t>
    </w:r>
    <w:r w:rsidR="000C5E90" w:rsidRPr="006512DB">
      <w:rPr>
        <w:sz w:val="16"/>
        <w:szCs w:val="16"/>
      </w:rPr>
      <w:t>-</w:t>
    </w:r>
    <w:r w:rsidR="009C0913" w:rsidRPr="006512DB">
      <w:rPr>
        <w:sz w:val="16"/>
        <w:szCs w:val="16"/>
      </w:rPr>
      <w:t xml:space="preserve"> for Rural Supersite</w:t>
    </w:r>
    <w:bookmarkEnd w:id="28"/>
    <w:bookmarkEnd w:id="2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1409" w:rsidRDefault="008914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C31BD"/>
    <w:multiLevelType w:val="hybridMultilevel"/>
    <w:tmpl w:val="A9885EC2"/>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1" w15:restartNumberingAfterBreak="0">
    <w:nsid w:val="189C3EB1"/>
    <w:multiLevelType w:val="hybridMultilevel"/>
    <w:tmpl w:val="8242A7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763C8C"/>
    <w:multiLevelType w:val="hybridMultilevel"/>
    <w:tmpl w:val="D24C4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4E543B"/>
    <w:multiLevelType w:val="hybridMultilevel"/>
    <w:tmpl w:val="56E642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786E20"/>
    <w:multiLevelType w:val="hybridMultilevel"/>
    <w:tmpl w:val="18C21C0A"/>
    <w:lvl w:ilvl="0" w:tplc="2D2C5A46">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6A1953"/>
    <w:multiLevelType w:val="multilevel"/>
    <w:tmpl w:val="8960AEB6"/>
    <w:lvl w:ilvl="0">
      <w:start w:val="1"/>
      <w:numFmt w:val="bullet"/>
      <w:lvlText w:val=""/>
      <w:lvlJc w:val="left"/>
      <w:pPr>
        <w:ind w:left="785" w:hanging="360"/>
      </w:pPr>
      <w:rPr>
        <w:rFonts w:ascii="Symbol" w:hAnsi="Symbol" w:hint="default"/>
        <w:color w:val="auto"/>
      </w:rPr>
    </w:lvl>
    <w:lvl w:ilvl="1">
      <w:start w:val="1"/>
      <w:numFmt w:val="lowerLetter"/>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1A1E2B"/>
    <w:multiLevelType w:val="hybridMultilevel"/>
    <w:tmpl w:val="DFE4ECE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40D45716"/>
    <w:multiLevelType w:val="hybridMultilevel"/>
    <w:tmpl w:val="EF2040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871DB1"/>
    <w:multiLevelType w:val="hybridMultilevel"/>
    <w:tmpl w:val="8242A7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AD2726"/>
    <w:multiLevelType w:val="multilevel"/>
    <w:tmpl w:val="725A7196"/>
    <w:lvl w:ilvl="0">
      <w:start w:val="1"/>
      <w:numFmt w:val="decimal"/>
      <w:lvlText w:val="%1."/>
      <w:lvlJc w:val="left"/>
      <w:pPr>
        <w:ind w:left="785" w:hanging="360"/>
      </w:pPr>
      <w:rPr>
        <w:rFonts w:hint="default"/>
        <w:color w:val="auto"/>
      </w:rPr>
    </w:lvl>
    <w:lvl w:ilvl="1">
      <w:start w:val="1"/>
      <w:numFmt w:val="lowerLetter"/>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2EF5FB0"/>
    <w:multiLevelType w:val="hybridMultilevel"/>
    <w:tmpl w:val="8946E756"/>
    <w:lvl w:ilvl="0" w:tplc="80AE0E4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FE10BAB"/>
    <w:multiLevelType w:val="multilevel"/>
    <w:tmpl w:val="725A7196"/>
    <w:lvl w:ilvl="0">
      <w:start w:val="1"/>
      <w:numFmt w:val="decimal"/>
      <w:lvlText w:val="%1."/>
      <w:lvlJc w:val="left"/>
      <w:pPr>
        <w:ind w:left="785" w:hanging="360"/>
      </w:pPr>
      <w:rPr>
        <w:rFonts w:hint="default"/>
        <w:color w:val="auto"/>
      </w:rPr>
    </w:lvl>
    <w:lvl w:ilvl="1">
      <w:start w:val="1"/>
      <w:numFmt w:val="lowerLetter"/>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87E7E8A"/>
    <w:multiLevelType w:val="hybridMultilevel"/>
    <w:tmpl w:val="151066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EA7CC9"/>
    <w:multiLevelType w:val="multilevel"/>
    <w:tmpl w:val="725A7196"/>
    <w:lvl w:ilvl="0">
      <w:start w:val="1"/>
      <w:numFmt w:val="decimal"/>
      <w:lvlText w:val="%1."/>
      <w:lvlJc w:val="left"/>
      <w:pPr>
        <w:ind w:left="785" w:hanging="360"/>
      </w:pPr>
      <w:rPr>
        <w:rFonts w:hint="default"/>
        <w:color w:val="auto"/>
      </w:rPr>
    </w:lvl>
    <w:lvl w:ilvl="1">
      <w:start w:val="1"/>
      <w:numFmt w:val="lowerLetter"/>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0"/>
  </w:num>
  <w:num w:numId="2">
    <w:abstractNumId w:val="2"/>
  </w:num>
  <w:num w:numId="3">
    <w:abstractNumId w:val="11"/>
  </w:num>
  <w:num w:numId="4">
    <w:abstractNumId w:val="3"/>
  </w:num>
  <w:num w:numId="5">
    <w:abstractNumId w:val="6"/>
  </w:num>
  <w:num w:numId="6">
    <w:abstractNumId w:val="7"/>
  </w:num>
  <w:num w:numId="7">
    <w:abstractNumId w:val="4"/>
  </w:num>
  <w:num w:numId="8">
    <w:abstractNumId w:val="8"/>
  </w:num>
  <w:num w:numId="9">
    <w:abstractNumId w:val="1"/>
  </w:num>
  <w:num w:numId="10">
    <w:abstractNumId w:val="12"/>
  </w:num>
  <w:num w:numId="11">
    <w:abstractNumId w:val="5"/>
  </w:num>
  <w:num w:numId="12">
    <w:abstractNumId w:val="13"/>
  </w:num>
  <w:num w:numId="13">
    <w:abstractNumId w:val="9"/>
  </w:num>
  <w:num w:numId="1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C39"/>
    <w:rsid w:val="000058CD"/>
    <w:rsid w:val="00007A3B"/>
    <w:rsid w:val="000132C6"/>
    <w:rsid w:val="00013ED3"/>
    <w:rsid w:val="000141C3"/>
    <w:rsid w:val="000268F9"/>
    <w:rsid w:val="00037761"/>
    <w:rsid w:val="00040A4D"/>
    <w:rsid w:val="00050BE6"/>
    <w:rsid w:val="00063AA4"/>
    <w:rsid w:val="00073051"/>
    <w:rsid w:val="00086313"/>
    <w:rsid w:val="000872CD"/>
    <w:rsid w:val="000B1FC8"/>
    <w:rsid w:val="000B3F62"/>
    <w:rsid w:val="000B68C4"/>
    <w:rsid w:val="000C3F52"/>
    <w:rsid w:val="000C5E90"/>
    <w:rsid w:val="000D23BC"/>
    <w:rsid w:val="000D39B9"/>
    <w:rsid w:val="000E7DA8"/>
    <w:rsid w:val="000F3C8A"/>
    <w:rsid w:val="0010220F"/>
    <w:rsid w:val="00104B32"/>
    <w:rsid w:val="00104FD8"/>
    <w:rsid w:val="0010605D"/>
    <w:rsid w:val="00106880"/>
    <w:rsid w:val="001163CC"/>
    <w:rsid w:val="0012038F"/>
    <w:rsid w:val="001316E1"/>
    <w:rsid w:val="00131E3F"/>
    <w:rsid w:val="00137B6E"/>
    <w:rsid w:val="00141AE9"/>
    <w:rsid w:val="00155482"/>
    <w:rsid w:val="001843B8"/>
    <w:rsid w:val="001859EB"/>
    <w:rsid w:val="00197BE0"/>
    <w:rsid w:val="001B237C"/>
    <w:rsid w:val="001B4880"/>
    <w:rsid w:val="001C17EE"/>
    <w:rsid w:val="001C76FD"/>
    <w:rsid w:val="001D09CE"/>
    <w:rsid w:val="001D231F"/>
    <w:rsid w:val="001D24D1"/>
    <w:rsid w:val="001E01BB"/>
    <w:rsid w:val="00202249"/>
    <w:rsid w:val="002051ED"/>
    <w:rsid w:val="002052A0"/>
    <w:rsid w:val="002146FC"/>
    <w:rsid w:val="002404FD"/>
    <w:rsid w:val="00246BDC"/>
    <w:rsid w:val="00251845"/>
    <w:rsid w:val="0026383E"/>
    <w:rsid w:val="00265129"/>
    <w:rsid w:val="00275F6D"/>
    <w:rsid w:val="002820B2"/>
    <w:rsid w:val="00285B18"/>
    <w:rsid w:val="00285B86"/>
    <w:rsid w:val="00290614"/>
    <w:rsid w:val="00297140"/>
    <w:rsid w:val="002B7FDC"/>
    <w:rsid w:val="00301987"/>
    <w:rsid w:val="003039D9"/>
    <w:rsid w:val="00306068"/>
    <w:rsid w:val="003165A6"/>
    <w:rsid w:val="00322F9B"/>
    <w:rsid w:val="0033596C"/>
    <w:rsid w:val="00343A82"/>
    <w:rsid w:val="00370345"/>
    <w:rsid w:val="00377CB7"/>
    <w:rsid w:val="00381EE6"/>
    <w:rsid w:val="00384ACC"/>
    <w:rsid w:val="00386AF5"/>
    <w:rsid w:val="00387BC7"/>
    <w:rsid w:val="003C1B39"/>
    <w:rsid w:val="003C5D19"/>
    <w:rsid w:val="003D1BCB"/>
    <w:rsid w:val="003F2DAA"/>
    <w:rsid w:val="003F740F"/>
    <w:rsid w:val="004004D3"/>
    <w:rsid w:val="00401FEE"/>
    <w:rsid w:val="00415BC8"/>
    <w:rsid w:val="004331ED"/>
    <w:rsid w:val="00436FDC"/>
    <w:rsid w:val="00437431"/>
    <w:rsid w:val="0044343B"/>
    <w:rsid w:val="00446376"/>
    <w:rsid w:val="00457B69"/>
    <w:rsid w:val="004661A6"/>
    <w:rsid w:val="0047179F"/>
    <w:rsid w:val="00485E39"/>
    <w:rsid w:val="00490045"/>
    <w:rsid w:val="00491F80"/>
    <w:rsid w:val="00492BE0"/>
    <w:rsid w:val="00497F3F"/>
    <w:rsid w:val="004B276A"/>
    <w:rsid w:val="004B572E"/>
    <w:rsid w:val="004B7200"/>
    <w:rsid w:val="004C5083"/>
    <w:rsid w:val="004D4804"/>
    <w:rsid w:val="00502EAB"/>
    <w:rsid w:val="00503AD2"/>
    <w:rsid w:val="00504EE9"/>
    <w:rsid w:val="00505A3C"/>
    <w:rsid w:val="00513089"/>
    <w:rsid w:val="005134D7"/>
    <w:rsid w:val="00516EFA"/>
    <w:rsid w:val="00535DDE"/>
    <w:rsid w:val="005422B4"/>
    <w:rsid w:val="005533F5"/>
    <w:rsid w:val="00563B33"/>
    <w:rsid w:val="005747AF"/>
    <w:rsid w:val="0058480B"/>
    <w:rsid w:val="005865DA"/>
    <w:rsid w:val="00586B31"/>
    <w:rsid w:val="00587794"/>
    <w:rsid w:val="0059197A"/>
    <w:rsid w:val="00591C47"/>
    <w:rsid w:val="005A0FA8"/>
    <w:rsid w:val="005A5AAF"/>
    <w:rsid w:val="005B3163"/>
    <w:rsid w:val="005B432C"/>
    <w:rsid w:val="005B6F2F"/>
    <w:rsid w:val="005B7268"/>
    <w:rsid w:val="005D2170"/>
    <w:rsid w:val="005D4BBB"/>
    <w:rsid w:val="005D60E9"/>
    <w:rsid w:val="005E38DF"/>
    <w:rsid w:val="005F4BBF"/>
    <w:rsid w:val="005F6DCB"/>
    <w:rsid w:val="00600942"/>
    <w:rsid w:val="00606C6D"/>
    <w:rsid w:val="006155BA"/>
    <w:rsid w:val="00630853"/>
    <w:rsid w:val="00631769"/>
    <w:rsid w:val="00640C97"/>
    <w:rsid w:val="006512DB"/>
    <w:rsid w:val="00672858"/>
    <w:rsid w:val="00674BFE"/>
    <w:rsid w:val="00680428"/>
    <w:rsid w:val="00696370"/>
    <w:rsid w:val="006B48C2"/>
    <w:rsid w:val="006B7A25"/>
    <w:rsid w:val="006C54C2"/>
    <w:rsid w:val="006D07F1"/>
    <w:rsid w:val="006D2F32"/>
    <w:rsid w:val="006F097B"/>
    <w:rsid w:val="006F0BDD"/>
    <w:rsid w:val="006F4442"/>
    <w:rsid w:val="006F7E5B"/>
    <w:rsid w:val="00700993"/>
    <w:rsid w:val="00712724"/>
    <w:rsid w:val="00712FFC"/>
    <w:rsid w:val="0071391A"/>
    <w:rsid w:val="00715B46"/>
    <w:rsid w:val="007217BF"/>
    <w:rsid w:val="00732DA6"/>
    <w:rsid w:val="00735A0E"/>
    <w:rsid w:val="00742511"/>
    <w:rsid w:val="0074347D"/>
    <w:rsid w:val="00750C86"/>
    <w:rsid w:val="00775D1D"/>
    <w:rsid w:val="00777D4A"/>
    <w:rsid w:val="00796600"/>
    <w:rsid w:val="007A24DD"/>
    <w:rsid w:val="007A41F1"/>
    <w:rsid w:val="007D1E9B"/>
    <w:rsid w:val="007E2A22"/>
    <w:rsid w:val="008233C3"/>
    <w:rsid w:val="00830F03"/>
    <w:rsid w:val="00832EF0"/>
    <w:rsid w:val="0083357E"/>
    <w:rsid w:val="00833B93"/>
    <w:rsid w:val="00836679"/>
    <w:rsid w:val="00843B66"/>
    <w:rsid w:val="008455F1"/>
    <w:rsid w:val="00861C39"/>
    <w:rsid w:val="00870B91"/>
    <w:rsid w:val="00891409"/>
    <w:rsid w:val="00891751"/>
    <w:rsid w:val="00896314"/>
    <w:rsid w:val="008A6E54"/>
    <w:rsid w:val="008B05FE"/>
    <w:rsid w:val="008B4419"/>
    <w:rsid w:val="008B625C"/>
    <w:rsid w:val="008C5A62"/>
    <w:rsid w:val="008C7517"/>
    <w:rsid w:val="008C7630"/>
    <w:rsid w:val="008D2C10"/>
    <w:rsid w:val="008D7E47"/>
    <w:rsid w:val="008E0AEA"/>
    <w:rsid w:val="008E32C9"/>
    <w:rsid w:val="008E53FC"/>
    <w:rsid w:val="00905406"/>
    <w:rsid w:val="00915E4F"/>
    <w:rsid w:val="009234B9"/>
    <w:rsid w:val="009262F7"/>
    <w:rsid w:val="0093026A"/>
    <w:rsid w:val="00932A4A"/>
    <w:rsid w:val="009351D9"/>
    <w:rsid w:val="0094521E"/>
    <w:rsid w:val="00953209"/>
    <w:rsid w:val="00953ADD"/>
    <w:rsid w:val="00953C88"/>
    <w:rsid w:val="009630E4"/>
    <w:rsid w:val="00970736"/>
    <w:rsid w:val="00987B60"/>
    <w:rsid w:val="009B0165"/>
    <w:rsid w:val="009B365A"/>
    <w:rsid w:val="009B6FFE"/>
    <w:rsid w:val="009C0913"/>
    <w:rsid w:val="009E6663"/>
    <w:rsid w:val="009E6EE4"/>
    <w:rsid w:val="009F31A8"/>
    <w:rsid w:val="009F3B33"/>
    <w:rsid w:val="009F650C"/>
    <w:rsid w:val="00A01226"/>
    <w:rsid w:val="00A03C43"/>
    <w:rsid w:val="00A159DD"/>
    <w:rsid w:val="00A21FBD"/>
    <w:rsid w:val="00A23784"/>
    <w:rsid w:val="00A33C3D"/>
    <w:rsid w:val="00A51E56"/>
    <w:rsid w:val="00AA1BB8"/>
    <w:rsid w:val="00AB5A37"/>
    <w:rsid w:val="00AB6EDF"/>
    <w:rsid w:val="00AE72E3"/>
    <w:rsid w:val="00AF4B93"/>
    <w:rsid w:val="00AF5C39"/>
    <w:rsid w:val="00B00336"/>
    <w:rsid w:val="00B12EE3"/>
    <w:rsid w:val="00B311AA"/>
    <w:rsid w:val="00B3277E"/>
    <w:rsid w:val="00B35DA5"/>
    <w:rsid w:val="00B47725"/>
    <w:rsid w:val="00B53B90"/>
    <w:rsid w:val="00B63119"/>
    <w:rsid w:val="00B66BEE"/>
    <w:rsid w:val="00B70B07"/>
    <w:rsid w:val="00B74C4B"/>
    <w:rsid w:val="00B96806"/>
    <w:rsid w:val="00BB2212"/>
    <w:rsid w:val="00BD5699"/>
    <w:rsid w:val="00BE3FDF"/>
    <w:rsid w:val="00BF0DBE"/>
    <w:rsid w:val="00BF5B41"/>
    <w:rsid w:val="00C21938"/>
    <w:rsid w:val="00C451AF"/>
    <w:rsid w:val="00C4753C"/>
    <w:rsid w:val="00C63813"/>
    <w:rsid w:val="00C738E8"/>
    <w:rsid w:val="00C8661A"/>
    <w:rsid w:val="00C961D6"/>
    <w:rsid w:val="00CA3B10"/>
    <w:rsid w:val="00CA62C0"/>
    <w:rsid w:val="00CB2984"/>
    <w:rsid w:val="00CB4745"/>
    <w:rsid w:val="00CB7C99"/>
    <w:rsid w:val="00CC6AFD"/>
    <w:rsid w:val="00CD2D0A"/>
    <w:rsid w:val="00D0495A"/>
    <w:rsid w:val="00D130A8"/>
    <w:rsid w:val="00D140C4"/>
    <w:rsid w:val="00D16040"/>
    <w:rsid w:val="00D16573"/>
    <w:rsid w:val="00D2468B"/>
    <w:rsid w:val="00D3005F"/>
    <w:rsid w:val="00D35975"/>
    <w:rsid w:val="00D366B8"/>
    <w:rsid w:val="00D42600"/>
    <w:rsid w:val="00D50439"/>
    <w:rsid w:val="00D55377"/>
    <w:rsid w:val="00D72ADC"/>
    <w:rsid w:val="00D764F8"/>
    <w:rsid w:val="00D83882"/>
    <w:rsid w:val="00D9329E"/>
    <w:rsid w:val="00D94493"/>
    <w:rsid w:val="00DA5D57"/>
    <w:rsid w:val="00DB08B5"/>
    <w:rsid w:val="00DB501B"/>
    <w:rsid w:val="00DF2928"/>
    <w:rsid w:val="00E162DE"/>
    <w:rsid w:val="00E30D5F"/>
    <w:rsid w:val="00E32B6B"/>
    <w:rsid w:val="00E3524A"/>
    <w:rsid w:val="00E44AE5"/>
    <w:rsid w:val="00E477D6"/>
    <w:rsid w:val="00E57613"/>
    <w:rsid w:val="00E63E16"/>
    <w:rsid w:val="00E65D41"/>
    <w:rsid w:val="00E77B85"/>
    <w:rsid w:val="00E904A0"/>
    <w:rsid w:val="00E927C0"/>
    <w:rsid w:val="00EA4B74"/>
    <w:rsid w:val="00EB1F40"/>
    <w:rsid w:val="00EB4AE1"/>
    <w:rsid w:val="00EC7345"/>
    <w:rsid w:val="00EC7B84"/>
    <w:rsid w:val="00ED7619"/>
    <w:rsid w:val="00ED7812"/>
    <w:rsid w:val="00EE1B63"/>
    <w:rsid w:val="00EE39C1"/>
    <w:rsid w:val="00EE634D"/>
    <w:rsid w:val="00EF63F8"/>
    <w:rsid w:val="00F16B4B"/>
    <w:rsid w:val="00F22D8A"/>
    <w:rsid w:val="00F333CE"/>
    <w:rsid w:val="00F33AB1"/>
    <w:rsid w:val="00F44A0D"/>
    <w:rsid w:val="00F45E74"/>
    <w:rsid w:val="00F54485"/>
    <w:rsid w:val="00F860F8"/>
    <w:rsid w:val="00F8646F"/>
    <w:rsid w:val="00F93EB6"/>
    <w:rsid w:val="00FA06C2"/>
    <w:rsid w:val="00FA0BCE"/>
    <w:rsid w:val="00FC350C"/>
    <w:rsid w:val="00FD0B1B"/>
    <w:rsid w:val="00FE7B33"/>
    <w:rsid w:val="00FE7DFD"/>
    <w:rsid w:val="00FF17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796A0"/>
  <w15:chartTrackingRefBased/>
  <w15:docId w15:val="{12F6DB8F-1D47-4A6D-8CA8-5652D5454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D366B8"/>
    <w:pPr>
      <w:spacing w:before="240" w:after="120" w:line="276" w:lineRule="auto"/>
    </w:pPr>
    <w:rPr>
      <w:rFonts w:eastAsia="Calibri" w:cs="Times New Roman"/>
      <w:szCs w:val="22"/>
    </w:rPr>
  </w:style>
  <w:style w:type="paragraph" w:styleId="Heading1">
    <w:name w:val="heading 1"/>
    <w:basedOn w:val="Normal"/>
    <w:next w:val="Normal"/>
    <w:link w:val="Heading1Char"/>
    <w:uiPriority w:val="9"/>
    <w:qFormat/>
    <w:rsid w:val="006F4442"/>
    <w:pPr>
      <w:ind w:left="360"/>
      <w:jc w:val="both"/>
      <w:outlineLvl w:val="0"/>
    </w:pPr>
    <w:rPr>
      <w:rFonts w:asciiTheme="minorHAnsi" w:hAnsiTheme="minorHAnsi" w:cstheme="minorHAnsi"/>
      <w:b/>
      <w:sz w:val="28"/>
      <w:lang w:eastAsia="en-GB"/>
    </w:rPr>
  </w:style>
  <w:style w:type="paragraph" w:styleId="Heading2">
    <w:name w:val="heading 2"/>
    <w:basedOn w:val="Normal"/>
    <w:next w:val="Normal"/>
    <w:link w:val="Heading2Char"/>
    <w:uiPriority w:val="3"/>
    <w:unhideWhenUsed/>
    <w:qFormat/>
    <w:rsid w:val="00F45E74"/>
    <w:pPr>
      <w:keepNext/>
      <w:keepLines/>
      <w:spacing w:before="480" w:line="240" w:lineRule="auto"/>
      <w:outlineLvl w:val="1"/>
    </w:pPr>
    <w:rPr>
      <w:rFonts w:eastAsia="Times New Roman"/>
      <w:b/>
      <w:bCs/>
      <w:color w:val="00AF41"/>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F5C39"/>
    <w:rPr>
      <w:color w:val="0000FF"/>
      <w:u w:val="single"/>
    </w:rPr>
  </w:style>
  <w:style w:type="paragraph" w:styleId="Header">
    <w:name w:val="header"/>
    <w:basedOn w:val="Normal"/>
    <w:link w:val="HeaderChar"/>
    <w:uiPriority w:val="99"/>
    <w:unhideWhenUsed/>
    <w:rsid w:val="00AF5C39"/>
    <w:pPr>
      <w:tabs>
        <w:tab w:val="center" w:pos="4513"/>
        <w:tab w:val="right" w:pos="9026"/>
      </w:tabs>
    </w:pPr>
  </w:style>
  <w:style w:type="character" w:customStyle="1" w:styleId="HeaderChar">
    <w:name w:val="Header Char"/>
    <w:basedOn w:val="DefaultParagraphFont"/>
    <w:link w:val="Header"/>
    <w:uiPriority w:val="99"/>
    <w:rsid w:val="00AF5C39"/>
    <w:rPr>
      <w:rFonts w:eastAsia="Calibri" w:cs="Times New Roman"/>
      <w:szCs w:val="22"/>
    </w:rPr>
  </w:style>
  <w:style w:type="table" w:styleId="TableGrid">
    <w:name w:val="Table Grid"/>
    <w:basedOn w:val="TableNormal"/>
    <w:rsid w:val="0071391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Style,Dot pt"/>
    <w:basedOn w:val="Normal"/>
    <w:link w:val="ListParagraphChar"/>
    <w:uiPriority w:val="34"/>
    <w:qFormat/>
    <w:rsid w:val="00104FD8"/>
    <w:pPr>
      <w:ind w:left="720"/>
      <w:contextualSpacing/>
    </w:pPr>
  </w:style>
  <w:style w:type="character" w:styleId="Strong">
    <w:name w:val="Strong"/>
    <w:uiPriority w:val="22"/>
    <w:qFormat/>
    <w:rsid w:val="00830F03"/>
    <w:rPr>
      <w:b/>
      <w:bCs/>
    </w:rPr>
  </w:style>
  <w:style w:type="character" w:customStyle="1" w:styleId="xbe">
    <w:name w:val="_xbe"/>
    <w:basedOn w:val="DefaultParagraphFont"/>
    <w:rsid w:val="00830F03"/>
  </w:style>
  <w:style w:type="paragraph" w:styleId="Footer">
    <w:name w:val="footer"/>
    <w:basedOn w:val="Normal"/>
    <w:link w:val="FooterChar"/>
    <w:uiPriority w:val="99"/>
    <w:unhideWhenUsed/>
    <w:rsid w:val="00E5761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57613"/>
    <w:rPr>
      <w:rFonts w:eastAsia="Calibri" w:cs="Times New Roman"/>
      <w:szCs w:val="22"/>
    </w:rPr>
  </w:style>
  <w:style w:type="paragraph" w:customStyle="1" w:styleId="Default">
    <w:name w:val="Default"/>
    <w:rsid w:val="008C7630"/>
    <w:pPr>
      <w:autoSpaceDE w:val="0"/>
      <w:autoSpaceDN w:val="0"/>
      <w:adjustRightInd w:val="0"/>
      <w:spacing w:after="0" w:line="240" w:lineRule="auto"/>
    </w:pPr>
    <w:rPr>
      <w:color w:val="000000"/>
    </w:rPr>
  </w:style>
  <w:style w:type="paragraph" w:styleId="BalloonText">
    <w:name w:val="Balloon Text"/>
    <w:basedOn w:val="Normal"/>
    <w:link w:val="BalloonTextChar"/>
    <w:uiPriority w:val="99"/>
    <w:semiHidden/>
    <w:unhideWhenUsed/>
    <w:rsid w:val="00FD0B1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B1B"/>
    <w:rPr>
      <w:rFonts w:ascii="Segoe UI" w:eastAsia="Calibri" w:hAnsi="Segoe UI" w:cs="Segoe UI"/>
      <w:sz w:val="18"/>
      <w:szCs w:val="18"/>
    </w:rPr>
  </w:style>
  <w:style w:type="character" w:styleId="CommentReference">
    <w:name w:val="annotation reference"/>
    <w:basedOn w:val="DefaultParagraphFont"/>
    <w:uiPriority w:val="99"/>
    <w:unhideWhenUsed/>
    <w:rsid w:val="00D72ADC"/>
    <w:rPr>
      <w:sz w:val="16"/>
      <w:szCs w:val="16"/>
    </w:rPr>
  </w:style>
  <w:style w:type="paragraph" w:styleId="CommentText">
    <w:name w:val="annotation text"/>
    <w:basedOn w:val="Normal"/>
    <w:link w:val="CommentTextChar"/>
    <w:uiPriority w:val="99"/>
    <w:unhideWhenUsed/>
    <w:rsid w:val="00D72ADC"/>
    <w:pPr>
      <w:spacing w:line="240" w:lineRule="auto"/>
    </w:pPr>
    <w:rPr>
      <w:sz w:val="20"/>
      <w:szCs w:val="20"/>
    </w:rPr>
  </w:style>
  <w:style w:type="character" w:customStyle="1" w:styleId="CommentTextChar">
    <w:name w:val="Comment Text Char"/>
    <w:basedOn w:val="DefaultParagraphFont"/>
    <w:link w:val="CommentText"/>
    <w:uiPriority w:val="99"/>
    <w:rsid w:val="00D72ADC"/>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D72ADC"/>
    <w:rPr>
      <w:b/>
      <w:bCs/>
    </w:rPr>
  </w:style>
  <w:style w:type="character" w:customStyle="1" w:styleId="CommentSubjectChar">
    <w:name w:val="Comment Subject Char"/>
    <w:basedOn w:val="CommentTextChar"/>
    <w:link w:val="CommentSubject"/>
    <w:uiPriority w:val="99"/>
    <w:semiHidden/>
    <w:rsid w:val="00D72ADC"/>
    <w:rPr>
      <w:rFonts w:eastAsia="Calibri" w:cs="Times New Roman"/>
      <w:b/>
      <w:bCs/>
      <w:sz w:val="20"/>
      <w:szCs w:val="20"/>
    </w:rPr>
  </w:style>
  <w:style w:type="paragraph" w:styleId="NoSpacing">
    <w:name w:val="No Spacing"/>
    <w:uiPriority w:val="1"/>
    <w:qFormat/>
    <w:rsid w:val="002404FD"/>
    <w:pPr>
      <w:spacing w:after="0" w:line="240" w:lineRule="auto"/>
    </w:pPr>
    <w:rPr>
      <w:rFonts w:eastAsia="Calibri" w:cs="Times New Roman"/>
      <w:szCs w:val="22"/>
    </w:rPr>
  </w:style>
  <w:style w:type="character" w:styleId="FollowedHyperlink">
    <w:name w:val="FollowedHyperlink"/>
    <w:basedOn w:val="DefaultParagraphFont"/>
    <w:uiPriority w:val="99"/>
    <w:semiHidden/>
    <w:unhideWhenUsed/>
    <w:rsid w:val="00F22D8A"/>
    <w:rPr>
      <w:color w:val="954F72" w:themeColor="followedHyperlink"/>
      <w:u w:val="single"/>
    </w:rPr>
  </w:style>
  <w:style w:type="character" w:customStyle="1" w:styleId="e24kjd">
    <w:name w:val="e24kjd"/>
    <w:basedOn w:val="DefaultParagraphFont"/>
    <w:rsid w:val="00086313"/>
  </w:style>
  <w:style w:type="character" w:customStyle="1" w:styleId="UnresolvedMention1">
    <w:name w:val="Unresolved Mention1"/>
    <w:basedOn w:val="DefaultParagraphFont"/>
    <w:uiPriority w:val="99"/>
    <w:semiHidden/>
    <w:unhideWhenUsed/>
    <w:rsid w:val="00E44AE5"/>
    <w:rPr>
      <w:color w:val="605E5C"/>
      <w:shd w:val="clear" w:color="auto" w:fill="E1DFDD"/>
    </w:rPr>
  </w:style>
  <w:style w:type="paragraph" w:customStyle="1" w:styleId="TableParagraph">
    <w:name w:val="Table Paragraph"/>
    <w:basedOn w:val="Normal"/>
    <w:uiPriority w:val="1"/>
    <w:qFormat/>
    <w:rsid w:val="00F45E74"/>
    <w:pPr>
      <w:widowControl w:val="0"/>
      <w:spacing w:before="0" w:after="0" w:line="240" w:lineRule="auto"/>
    </w:pPr>
    <w:rPr>
      <w:rFonts w:ascii="Calibri" w:hAnsi="Calibri"/>
      <w:sz w:val="22"/>
    </w:rPr>
  </w:style>
  <w:style w:type="character" w:customStyle="1" w:styleId="Heading2Char">
    <w:name w:val="Heading 2 Char"/>
    <w:basedOn w:val="DefaultParagraphFont"/>
    <w:link w:val="Heading2"/>
    <w:uiPriority w:val="3"/>
    <w:rsid w:val="00F45E74"/>
    <w:rPr>
      <w:rFonts w:eastAsia="Times New Roman" w:cs="Times New Roman"/>
      <w:b/>
      <w:bCs/>
      <w:color w:val="00AF41"/>
      <w:sz w:val="36"/>
      <w:szCs w:val="26"/>
    </w:rPr>
  </w:style>
  <w:style w:type="character" w:customStyle="1" w:styleId="ListParagraphChar">
    <w:name w:val="List Paragraph Char"/>
    <w:aliases w:val="Bullet Style Char,Dot pt Char"/>
    <w:link w:val="ListParagraph"/>
    <w:uiPriority w:val="34"/>
    <w:rsid w:val="0058480B"/>
    <w:rPr>
      <w:rFonts w:eastAsia="Calibri" w:cs="Times New Roman"/>
      <w:szCs w:val="22"/>
    </w:rPr>
  </w:style>
  <w:style w:type="character" w:customStyle="1" w:styleId="Heading1Char">
    <w:name w:val="Heading 1 Char"/>
    <w:basedOn w:val="DefaultParagraphFont"/>
    <w:link w:val="Heading1"/>
    <w:uiPriority w:val="9"/>
    <w:rsid w:val="006F4442"/>
    <w:rPr>
      <w:rFonts w:asciiTheme="minorHAnsi" w:eastAsia="Calibri" w:hAnsiTheme="minorHAnsi" w:cstheme="minorHAnsi"/>
      <w:b/>
      <w:sz w:val="28"/>
      <w:szCs w:val="22"/>
      <w:lang w:eastAsia="en-GB"/>
    </w:rPr>
  </w:style>
  <w:style w:type="character" w:styleId="UnresolvedMention">
    <w:name w:val="Unresolved Mention"/>
    <w:basedOn w:val="DefaultParagraphFont"/>
    <w:uiPriority w:val="99"/>
    <w:semiHidden/>
    <w:unhideWhenUsed/>
    <w:rsid w:val="008C7517"/>
    <w:rPr>
      <w:color w:val="605E5C"/>
      <w:shd w:val="clear" w:color="auto" w:fill="E1DFDD"/>
    </w:rPr>
  </w:style>
  <w:style w:type="paragraph" w:styleId="Revision">
    <w:name w:val="Revision"/>
    <w:hidden/>
    <w:uiPriority w:val="99"/>
    <w:semiHidden/>
    <w:rsid w:val="00606C6D"/>
    <w:pPr>
      <w:spacing w:after="0" w:line="240" w:lineRule="auto"/>
    </w:pPr>
    <w:rPr>
      <w:rFonts w:eastAsia="Calibri" w:cs="Times New Roman"/>
      <w:szCs w:val="22"/>
    </w:rPr>
  </w:style>
  <w:style w:type="paragraph" w:styleId="TOCHeading">
    <w:name w:val="TOC Heading"/>
    <w:basedOn w:val="Heading1"/>
    <w:next w:val="Normal"/>
    <w:uiPriority w:val="39"/>
    <w:unhideWhenUsed/>
    <w:qFormat/>
    <w:rsid w:val="009B0165"/>
    <w:pPr>
      <w:keepNext/>
      <w:keepLines/>
      <w:spacing w:after="0" w:line="259" w:lineRule="auto"/>
      <w:ind w:left="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6F4442"/>
    <w:pPr>
      <w:tabs>
        <w:tab w:val="right" w:leader="dot" w:pos="9016"/>
      </w:tabs>
      <w:spacing w:after="100"/>
    </w:pPr>
  </w:style>
  <w:style w:type="paragraph" w:styleId="Caption">
    <w:name w:val="caption"/>
    <w:basedOn w:val="Normal"/>
    <w:next w:val="Normal"/>
    <w:uiPriority w:val="35"/>
    <w:unhideWhenUsed/>
    <w:qFormat/>
    <w:rsid w:val="00587794"/>
    <w:pPr>
      <w:spacing w:before="0"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8958">
      <w:bodyDiv w:val="1"/>
      <w:marLeft w:val="0"/>
      <w:marRight w:val="0"/>
      <w:marTop w:val="0"/>
      <w:marBottom w:val="0"/>
      <w:divBdr>
        <w:top w:val="none" w:sz="0" w:space="0" w:color="auto"/>
        <w:left w:val="none" w:sz="0" w:space="0" w:color="auto"/>
        <w:bottom w:val="none" w:sz="0" w:space="0" w:color="auto"/>
        <w:right w:val="none" w:sz="0" w:space="0" w:color="auto"/>
      </w:divBdr>
      <w:divsChild>
        <w:div w:id="661202723">
          <w:marLeft w:val="150"/>
          <w:marRight w:val="150"/>
          <w:marTop w:val="0"/>
          <w:marBottom w:val="0"/>
          <w:divBdr>
            <w:top w:val="none" w:sz="0" w:space="0" w:color="auto"/>
            <w:left w:val="none" w:sz="0" w:space="0" w:color="auto"/>
            <w:bottom w:val="none" w:sz="0" w:space="0" w:color="auto"/>
            <w:right w:val="none" w:sz="0" w:space="0" w:color="auto"/>
          </w:divBdr>
          <w:divsChild>
            <w:div w:id="2825506">
              <w:marLeft w:val="0"/>
              <w:marRight w:val="0"/>
              <w:marTop w:val="0"/>
              <w:marBottom w:val="0"/>
              <w:divBdr>
                <w:top w:val="none" w:sz="0" w:space="0" w:color="auto"/>
                <w:left w:val="none" w:sz="0" w:space="0" w:color="auto"/>
                <w:bottom w:val="none" w:sz="0" w:space="0" w:color="auto"/>
                <w:right w:val="none" w:sz="0" w:space="0" w:color="auto"/>
              </w:divBdr>
              <w:divsChild>
                <w:div w:id="1264608930">
                  <w:marLeft w:val="2550"/>
                  <w:marRight w:val="0"/>
                  <w:marTop w:val="0"/>
                  <w:marBottom w:val="0"/>
                  <w:divBdr>
                    <w:top w:val="none" w:sz="0" w:space="0" w:color="auto"/>
                    <w:left w:val="none" w:sz="0" w:space="0" w:color="auto"/>
                    <w:bottom w:val="none" w:sz="0" w:space="0" w:color="auto"/>
                    <w:right w:val="none" w:sz="0" w:space="0" w:color="auto"/>
                  </w:divBdr>
                  <w:divsChild>
                    <w:div w:id="987518624">
                      <w:marLeft w:val="0"/>
                      <w:marRight w:val="-3075"/>
                      <w:marTop w:val="0"/>
                      <w:marBottom w:val="0"/>
                      <w:divBdr>
                        <w:top w:val="none" w:sz="0" w:space="0" w:color="auto"/>
                        <w:left w:val="none" w:sz="0" w:space="0" w:color="auto"/>
                        <w:bottom w:val="none" w:sz="0" w:space="0" w:color="auto"/>
                        <w:right w:val="none" w:sz="0" w:space="0" w:color="auto"/>
                      </w:divBdr>
                      <w:divsChild>
                        <w:div w:id="1693218969">
                          <w:marLeft w:val="0"/>
                          <w:marRight w:val="3075"/>
                          <w:marTop w:val="0"/>
                          <w:marBottom w:val="0"/>
                          <w:divBdr>
                            <w:top w:val="none" w:sz="0" w:space="0" w:color="auto"/>
                            <w:left w:val="none" w:sz="0" w:space="0" w:color="auto"/>
                            <w:bottom w:val="none" w:sz="0" w:space="0" w:color="auto"/>
                            <w:right w:val="none" w:sz="0" w:space="0" w:color="auto"/>
                          </w:divBdr>
                          <w:divsChild>
                            <w:div w:id="1730685320">
                              <w:marLeft w:val="0"/>
                              <w:marRight w:val="0"/>
                              <w:marTop w:val="0"/>
                              <w:marBottom w:val="0"/>
                              <w:divBdr>
                                <w:top w:val="none" w:sz="0" w:space="0" w:color="auto"/>
                                <w:left w:val="none" w:sz="0" w:space="0" w:color="auto"/>
                                <w:bottom w:val="none" w:sz="0" w:space="0" w:color="auto"/>
                                <w:right w:val="none" w:sz="0" w:space="0" w:color="auto"/>
                              </w:divBdr>
                              <w:divsChild>
                                <w:div w:id="80100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939579">
      <w:bodyDiv w:val="1"/>
      <w:marLeft w:val="0"/>
      <w:marRight w:val="0"/>
      <w:marTop w:val="0"/>
      <w:marBottom w:val="0"/>
      <w:divBdr>
        <w:top w:val="none" w:sz="0" w:space="0" w:color="auto"/>
        <w:left w:val="none" w:sz="0" w:space="0" w:color="auto"/>
        <w:bottom w:val="none" w:sz="0" w:space="0" w:color="auto"/>
        <w:right w:val="none" w:sz="0" w:space="0" w:color="auto"/>
      </w:divBdr>
    </w:div>
    <w:div w:id="558563889">
      <w:bodyDiv w:val="1"/>
      <w:marLeft w:val="0"/>
      <w:marRight w:val="0"/>
      <w:marTop w:val="0"/>
      <w:marBottom w:val="0"/>
      <w:divBdr>
        <w:top w:val="none" w:sz="0" w:space="0" w:color="auto"/>
        <w:left w:val="none" w:sz="0" w:space="0" w:color="auto"/>
        <w:bottom w:val="none" w:sz="0" w:space="0" w:color="auto"/>
        <w:right w:val="none" w:sz="0" w:space="0" w:color="auto"/>
      </w:divBdr>
    </w:div>
    <w:div w:id="1008797152">
      <w:bodyDiv w:val="1"/>
      <w:marLeft w:val="0"/>
      <w:marRight w:val="0"/>
      <w:marTop w:val="0"/>
      <w:marBottom w:val="0"/>
      <w:divBdr>
        <w:top w:val="none" w:sz="0" w:space="0" w:color="auto"/>
        <w:left w:val="none" w:sz="0" w:space="0" w:color="auto"/>
        <w:bottom w:val="none" w:sz="0" w:space="0" w:color="auto"/>
        <w:right w:val="none" w:sz="0" w:space="0" w:color="auto"/>
      </w:divBdr>
      <w:divsChild>
        <w:div w:id="1287813874">
          <w:marLeft w:val="0"/>
          <w:marRight w:val="0"/>
          <w:marTop w:val="0"/>
          <w:marBottom w:val="0"/>
          <w:divBdr>
            <w:top w:val="none" w:sz="0" w:space="0" w:color="auto"/>
            <w:left w:val="none" w:sz="0" w:space="0" w:color="auto"/>
            <w:bottom w:val="none" w:sz="0" w:space="0" w:color="auto"/>
            <w:right w:val="none" w:sz="0" w:space="0" w:color="auto"/>
          </w:divBdr>
          <w:divsChild>
            <w:div w:id="2053262737">
              <w:marLeft w:val="0"/>
              <w:marRight w:val="0"/>
              <w:marTop w:val="0"/>
              <w:marBottom w:val="0"/>
              <w:divBdr>
                <w:top w:val="none" w:sz="0" w:space="0" w:color="auto"/>
                <w:left w:val="none" w:sz="0" w:space="0" w:color="auto"/>
                <w:bottom w:val="none" w:sz="0" w:space="0" w:color="auto"/>
                <w:right w:val="none" w:sz="0" w:space="0" w:color="auto"/>
              </w:divBdr>
              <w:divsChild>
                <w:div w:id="1023820611">
                  <w:marLeft w:val="0"/>
                  <w:marRight w:val="0"/>
                  <w:marTop w:val="0"/>
                  <w:marBottom w:val="0"/>
                  <w:divBdr>
                    <w:top w:val="none" w:sz="0" w:space="0" w:color="auto"/>
                    <w:left w:val="none" w:sz="0" w:space="0" w:color="auto"/>
                    <w:bottom w:val="none" w:sz="0" w:space="0" w:color="auto"/>
                    <w:right w:val="none" w:sz="0" w:space="0" w:color="auto"/>
                  </w:divBdr>
                  <w:divsChild>
                    <w:div w:id="1556698343">
                      <w:marLeft w:val="0"/>
                      <w:marRight w:val="0"/>
                      <w:marTop w:val="0"/>
                      <w:marBottom w:val="0"/>
                      <w:divBdr>
                        <w:top w:val="none" w:sz="0" w:space="0" w:color="auto"/>
                        <w:left w:val="none" w:sz="0" w:space="0" w:color="auto"/>
                        <w:bottom w:val="none" w:sz="0" w:space="0" w:color="auto"/>
                        <w:right w:val="none" w:sz="0" w:space="0" w:color="auto"/>
                      </w:divBdr>
                      <w:divsChild>
                        <w:div w:id="1064134452">
                          <w:marLeft w:val="0"/>
                          <w:marRight w:val="0"/>
                          <w:marTop w:val="0"/>
                          <w:marBottom w:val="0"/>
                          <w:divBdr>
                            <w:top w:val="none" w:sz="0" w:space="0" w:color="auto"/>
                            <w:left w:val="none" w:sz="0" w:space="0" w:color="auto"/>
                            <w:bottom w:val="none" w:sz="0" w:space="0" w:color="auto"/>
                            <w:right w:val="none" w:sz="0" w:space="0" w:color="auto"/>
                          </w:divBdr>
                          <w:divsChild>
                            <w:div w:id="625086480">
                              <w:marLeft w:val="0"/>
                              <w:marRight w:val="0"/>
                              <w:marTop w:val="0"/>
                              <w:marBottom w:val="0"/>
                              <w:divBdr>
                                <w:top w:val="none" w:sz="0" w:space="0" w:color="auto"/>
                                <w:left w:val="none" w:sz="0" w:space="0" w:color="auto"/>
                                <w:bottom w:val="none" w:sz="0" w:space="0" w:color="auto"/>
                                <w:right w:val="none" w:sz="0" w:space="0" w:color="auto"/>
                              </w:divBdr>
                            </w:div>
                          </w:divsChild>
                        </w:div>
                        <w:div w:id="2115055434">
                          <w:marLeft w:val="0"/>
                          <w:marRight w:val="0"/>
                          <w:marTop w:val="0"/>
                          <w:marBottom w:val="0"/>
                          <w:divBdr>
                            <w:top w:val="none" w:sz="0" w:space="0" w:color="auto"/>
                            <w:left w:val="none" w:sz="0" w:space="0" w:color="auto"/>
                            <w:bottom w:val="none" w:sz="0" w:space="0" w:color="auto"/>
                            <w:right w:val="none" w:sz="0" w:space="0" w:color="auto"/>
                          </w:divBdr>
                          <w:divsChild>
                            <w:div w:id="2021543674">
                              <w:marLeft w:val="0"/>
                              <w:marRight w:val="0"/>
                              <w:marTop w:val="0"/>
                              <w:marBottom w:val="0"/>
                              <w:divBdr>
                                <w:top w:val="none" w:sz="0" w:space="0" w:color="auto"/>
                                <w:left w:val="none" w:sz="0" w:space="0" w:color="auto"/>
                                <w:bottom w:val="none" w:sz="0" w:space="0" w:color="auto"/>
                                <w:right w:val="none" w:sz="0" w:space="0" w:color="auto"/>
                              </w:divBdr>
                            </w:div>
                          </w:divsChild>
                        </w:div>
                        <w:div w:id="1774469317">
                          <w:marLeft w:val="0"/>
                          <w:marRight w:val="0"/>
                          <w:marTop w:val="0"/>
                          <w:marBottom w:val="0"/>
                          <w:divBdr>
                            <w:top w:val="none" w:sz="0" w:space="0" w:color="auto"/>
                            <w:left w:val="none" w:sz="0" w:space="0" w:color="auto"/>
                            <w:bottom w:val="none" w:sz="0" w:space="0" w:color="auto"/>
                            <w:right w:val="none" w:sz="0" w:space="0" w:color="auto"/>
                          </w:divBdr>
                          <w:divsChild>
                            <w:div w:id="1276793417">
                              <w:marLeft w:val="0"/>
                              <w:marRight w:val="0"/>
                              <w:marTop w:val="0"/>
                              <w:marBottom w:val="0"/>
                              <w:divBdr>
                                <w:top w:val="none" w:sz="0" w:space="0" w:color="auto"/>
                                <w:left w:val="none" w:sz="0" w:space="0" w:color="auto"/>
                                <w:bottom w:val="none" w:sz="0" w:space="0" w:color="auto"/>
                                <w:right w:val="none" w:sz="0" w:space="0" w:color="auto"/>
                              </w:divBdr>
                            </w:div>
                          </w:divsChild>
                        </w:div>
                        <w:div w:id="688721786">
                          <w:marLeft w:val="0"/>
                          <w:marRight w:val="0"/>
                          <w:marTop w:val="0"/>
                          <w:marBottom w:val="0"/>
                          <w:divBdr>
                            <w:top w:val="none" w:sz="0" w:space="0" w:color="auto"/>
                            <w:left w:val="none" w:sz="0" w:space="0" w:color="auto"/>
                            <w:bottom w:val="none" w:sz="0" w:space="0" w:color="auto"/>
                            <w:right w:val="none" w:sz="0" w:space="0" w:color="auto"/>
                          </w:divBdr>
                          <w:divsChild>
                            <w:div w:id="928391418">
                              <w:marLeft w:val="0"/>
                              <w:marRight w:val="0"/>
                              <w:marTop w:val="0"/>
                              <w:marBottom w:val="0"/>
                              <w:divBdr>
                                <w:top w:val="none" w:sz="0" w:space="0" w:color="auto"/>
                                <w:left w:val="none" w:sz="0" w:space="0" w:color="auto"/>
                                <w:bottom w:val="none" w:sz="0" w:space="0" w:color="auto"/>
                                <w:right w:val="none" w:sz="0" w:space="0" w:color="auto"/>
                              </w:divBdr>
                            </w:div>
                          </w:divsChild>
                        </w:div>
                        <w:div w:id="616135414">
                          <w:marLeft w:val="0"/>
                          <w:marRight w:val="0"/>
                          <w:marTop w:val="0"/>
                          <w:marBottom w:val="0"/>
                          <w:divBdr>
                            <w:top w:val="none" w:sz="0" w:space="0" w:color="auto"/>
                            <w:left w:val="none" w:sz="0" w:space="0" w:color="auto"/>
                            <w:bottom w:val="none" w:sz="0" w:space="0" w:color="auto"/>
                            <w:right w:val="none" w:sz="0" w:space="0" w:color="auto"/>
                          </w:divBdr>
                          <w:divsChild>
                            <w:div w:id="183398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499197">
      <w:bodyDiv w:val="1"/>
      <w:marLeft w:val="0"/>
      <w:marRight w:val="0"/>
      <w:marTop w:val="0"/>
      <w:marBottom w:val="0"/>
      <w:divBdr>
        <w:top w:val="none" w:sz="0" w:space="0" w:color="auto"/>
        <w:left w:val="none" w:sz="0" w:space="0" w:color="auto"/>
        <w:bottom w:val="none" w:sz="0" w:space="0" w:color="auto"/>
        <w:right w:val="none" w:sz="0" w:space="0" w:color="auto"/>
      </w:divBdr>
    </w:div>
    <w:div w:id="1109469251">
      <w:bodyDiv w:val="1"/>
      <w:marLeft w:val="0"/>
      <w:marRight w:val="0"/>
      <w:marTop w:val="0"/>
      <w:marBottom w:val="0"/>
      <w:divBdr>
        <w:top w:val="none" w:sz="0" w:space="0" w:color="auto"/>
        <w:left w:val="none" w:sz="0" w:space="0" w:color="auto"/>
        <w:bottom w:val="none" w:sz="0" w:space="0" w:color="auto"/>
        <w:right w:val="none" w:sz="0" w:space="0" w:color="auto"/>
      </w:divBdr>
    </w:div>
    <w:div w:id="1239096806">
      <w:bodyDiv w:val="1"/>
      <w:marLeft w:val="0"/>
      <w:marRight w:val="0"/>
      <w:marTop w:val="0"/>
      <w:marBottom w:val="0"/>
      <w:divBdr>
        <w:top w:val="none" w:sz="0" w:space="0" w:color="auto"/>
        <w:left w:val="none" w:sz="0" w:space="0" w:color="auto"/>
        <w:bottom w:val="none" w:sz="0" w:space="0" w:color="auto"/>
        <w:right w:val="none" w:sz="0" w:space="0" w:color="auto"/>
      </w:divBdr>
      <w:divsChild>
        <w:div w:id="108283644">
          <w:marLeft w:val="0"/>
          <w:marRight w:val="0"/>
          <w:marTop w:val="0"/>
          <w:marBottom w:val="0"/>
          <w:divBdr>
            <w:top w:val="none" w:sz="0" w:space="0" w:color="auto"/>
            <w:left w:val="none" w:sz="0" w:space="0" w:color="auto"/>
            <w:bottom w:val="none" w:sz="0" w:space="0" w:color="auto"/>
            <w:right w:val="none" w:sz="0" w:space="0" w:color="auto"/>
          </w:divBdr>
          <w:divsChild>
            <w:div w:id="202034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uk/uksi/1999/3242/schedule/1/ma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aqmonitoringuk@environment-agency.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9E7B433FA52494180661DA619D1D45E" ma:contentTypeVersion="33" ma:contentTypeDescription="Create a new document." ma:contentTypeScope="" ma:versionID="8e44048e659cbb4f4232f584a1fdd9e7">
  <xsd:schema xmlns:xsd="http://www.w3.org/2001/XMLSchema" xmlns:xs="http://www.w3.org/2001/XMLSchema" xmlns:p="http://schemas.microsoft.com/office/2006/metadata/properties" xmlns:ns2="662745e8-e224-48e8-a2e3-254862b8c2f5" xmlns:ns3="82cd4b0c-8326-4f12-b0f2-5a6010da14d2" xmlns:ns4="5365c18e-ad1a-4372-9a06-99106379f235" targetNamespace="http://schemas.microsoft.com/office/2006/metadata/properties" ma:root="true" ma:fieldsID="f51583f980b183e8e0bebada7bd2bfb6" ns2:_="" ns3:_="" ns4:_="">
    <xsd:import namespace="662745e8-e224-48e8-a2e3-254862b8c2f5"/>
    <xsd:import namespace="82cd4b0c-8326-4f12-b0f2-5a6010da14d2"/>
    <xsd:import namespace="5365c18e-ad1a-4372-9a06-99106379f235"/>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lcf76f155ced4ddcb4097134ff3c332f"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32008e3-508a-40f6-86c6-2a8f2cdc286a}" ma:internalName="TaxCatchAll" ma:showField="CatchAllData" ma:web="82cd4b0c-8326-4f12-b0f2-5a6010da14d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32008e3-508a-40f6-86c6-2a8f2cdc286a}" ma:internalName="TaxCatchAllLabel" ma:readOnly="true" ma:showField="CatchAllDataLabel" ma:web="82cd4b0c-8326-4f12-b0f2-5a6010da14d2">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ional Monitoring" ma:internalName="Team">
      <xsd:simpleType>
        <xsd:restriction base="dms:Text"/>
      </xsd:simpleType>
    </xsd:element>
    <xsd:element name="Topic" ma:index="20" nillable="true" ma:displayName="Topic" ma:default="Monitoring Contrac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cd4b0c-8326-4f12-b0f2-5a6010da14d2"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65c18e-ad1a-4372-9a06-99106379f235"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Location" ma:index="3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true" LastSyncTimeStamp="2018-07-26T16:29:50.7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Air Quality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12</Value>
      <Value>10</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Geomatics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5365c18e-ad1a-4372-9a06-99106379f2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150596-8FDC-4DE6-9D4D-390F9A8A7B90}">
  <ds:schemaRefs>
    <ds:schemaRef ds:uri="http://schemas.openxmlformats.org/officeDocument/2006/bibliography"/>
  </ds:schemaRefs>
</ds:datastoreItem>
</file>

<file path=customXml/itemProps2.xml><?xml version="1.0" encoding="utf-8"?>
<ds:datastoreItem xmlns:ds="http://schemas.openxmlformats.org/officeDocument/2006/customXml" ds:itemID="{B03C1EF0-DD72-47B5-9ADE-EA2AEFEC8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82cd4b0c-8326-4f12-b0f2-5a6010da14d2"/>
    <ds:schemaRef ds:uri="5365c18e-ad1a-4372-9a06-99106379f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AE9E33-3E33-469B-ABF5-CFDCA958AA0C}">
  <ds:schemaRefs>
    <ds:schemaRef ds:uri="Microsoft.SharePoint.Taxonomy.ContentTypeSync"/>
  </ds:schemaRefs>
</ds:datastoreItem>
</file>

<file path=customXml/itemProps4.xml><?xml version="1.0" encoding="utf-8"?>
<ds:datastoreItem xmlns:ds="http://schemas.openxmlformats.org/officeDocument/2006/customXml" ds:itemID="{7F800120-5363-43C4-A061-47E09105FC29}">
  <ds:schemaRefs>
    <ds:schemaRef ds:uri="http://schemas.microsoft.com/sharepoint/v3/contenttype/forms"/>
  </ds:schemaRefs>
</ds:datastoreItem>
</file>

<file path=customXml/itemProps5.xml><?xml version="1.0" encoding="utf-8"?>
<ds:datastoreItem xmlns:ds="http://schemas.openxmlformats.org/officeDocument/2006/customXml" ds:itemID="{751C9980-4C30-442C-A79C-A39870B2F92C}">
  <ds:schemaRefs>
    <ds:schemaRef ds:uri="http://schemas.microsoft.com/office/2006/metadata/properties"/>
    <ds:schemaRef ds:uri="http://schemas.microsoft.com/office/infopath/2007/PartnerControls"/>
    <ds:schemaRef ds:uri="662745e8-e224-48e8-a2e3-254862b8c2f5"/>
    <ds:schemaRef ds:uri="5365c18e-ad1a-4372-9a06-99106379f23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4009</Words>
  <Characters>22857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26813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Hingston, Michelle</dc:creator>
  <cp:keywords/>
  <dc:description/>
  <cp:lastModifiedBy>Jones, Rob</cp:lastModifiedBy>
  <cp:revision>1</cp:revision>
  <cp:lastPrinted>2017-10-11T09:29:00Z</cp:lastPrinted>
  <dcterms:created xsi:type="dcterms:W3CDTF">2022-10-17T15:57:00Z</dcterms:created>
  <dcterms:modified xsi:type="dcterms:W3CDTF">2022-10-17T15:57:00Z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coClassification">
    <vt:lpwstr>NPL Official</vt:lpwstr>
  </property>
  <property fmtid="{D5CDD505-2E9C-101B-9397-08002B2CF9AE}" pid="3" name="aliashDocumentMarking">
    <vt:lpwstr/>
  </property>
  <property fmtid="{D5CDD505-2E9C-101B-9397-08002B2CF9AE}" pid="4" name="ContentTypeId">
    <vt:lpwstr>0x010100A5BF1C78D9F64B679A5EBDE1C6598EBC01005D03AA715EB73C419F6D1E0E323D407A</vt:lpwstr>
  </property>
  <property fmtid="{D5CDD505-2E9C-101B-9397-08002B2CF9AE}" pid="5" name="InformationType">
    <vt:lpwstr/>
  </property>
  <property fmtid="{D5CDD505-2E9C-101B-9397-08002B2CF9AE}" pid="6" name="Distribution">
    <vt:lpwstr>12;#External|1104eb68-55d8-494f-b6ba-c5473579de73</vt:lpwstr>
  </property>
  <property fmtid="{D5CDD505-2E9C-101B-9397-08002B2CF9AE}" pid="7" name="MediaServiceImageTags">
    <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8;#EA|d5f78ddb-b1b6-4328-9877-d7e3ed06fdac</vt:lpwstr>
  </property>
</Properties>
</file>