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880F36" w:rsidRPr="005F49A3" w:rsidRDefault="00880F36" w:rsidP="00880F36">
      <w:pPr>
        <w:ind w:start="0pt" w:end="0pt"/>
        <w:jc w:val="start"/>
        <w:rPr>
          <w:rFonts w:ascii="Arial" w:hAnsi="Arial" w:cs="Arial"/>
          <w:b/>
          <w:iCs/>
          <w:color w:val="auto"/>
          <w:sz w:val="22"/>
        </w:rPr>
      </w:pPr>
    </w:p>
    <w:p w:rsidR="00880F36" w:rsidRPr="005F49A3" w:rsidRDefault="00880F36" w:rsidP="00880F36">
      <w:pPr>
        <w:ind w:start="0pt" w:end="0pt"/>
        <w:jc w:val="start"/>
        <w:rPr>
          <w:rFonts w:ascii="Arial" w:hAnsi="Arial" w:cs="Arial"/>
          <w:b/>
          <w:iCs/>
          <w:color w:val="auto"/>
          <w:sz w:val="22"/>
        </w:rPr>
      </w:pPr>
      <w:r w:rsidRPr="005F49A3">
        <w:rPr>
          <w:rFonts w:ascii="Arial" w:hAnsi="Arial" w:cs="Arial"/>
          <w:b/>
          <w:iCs/>
          <w:color w:val="auto"/>
          <w:sz w:val="22"/>
        </w:rPr>
        <w:t>Additional Information</w:t>
      </w:r>
    </w:p>
    <w:p w:rsidR="00880F36" w:rsidRPr="005F49A3" w:rsidRDefault="00880F36" w:rsidP="00880F36">
      <w:pPr>
        <w:ind w:start="0pt" w:end="0pt"/>
        <w:jc w:val="start"/>
        <w:rPr>
          <w:rFonts w:ascii="Arial" w:hAnsi="Arial" w:cs="Arial"/>
          <w:iCs/>
          <w:color w:val="auto"/>
          <w:sz w:val="22"/>
        </w:rPr>
      </w:pPr>
    </w:p>
    <w:p w:rsidR="00880F36" w:rsidRPr="005F49A3" w:rsidRDefault="00880F36" w:rsidP="00880F36">
      <w:pPr>
        <w:ind w:start="0pt" w:end="0pt"/>
        <w:jc w:val="start"/>
        <w:rPr>
          <w:rFonts w:ascii="Arial" w:hAnsi="Arial" w:cs="Arial"/>
          <w:iCs/>
          <w:color w:val="auto"/>
          <w:sz w:val="22"/>
        </w:rPr>
      </w:pPr>
    </w:p>
    <w:p w:rsidR="00880F36" w:rsidRPr="005F49A3" w:rsidRDefault="00880F36" w:rsidP="00880F36">
      <w:pPr>
        <w:ind w:start="0pt" w:end="0pt"/>
        <w:jc w:val="start"/>
        <w:rPr>
          <w:rFonts w:ascii="Arial" w:hAnsi="Arial" w:cs="Arial"/>
          <w:iCs/>
          <w:color w:val="auto"/>
          <w:sz w:val="22"/>
        </w:rPr>
      </w:pPr>
      <w:r w:rsidRPr="005F49A3">
        <w:rPr>
          <w:rFonts w:ascii="Arial" w:hAnsi="Arial" w:cs="Arial"/>
          <w:iCs/>
          <w:color w:val="auto"/>
          <w:sz w:val="22"/>
        </w:rPr>
        <w:t>The Authority may seek to increase the value of work placed under this Framework Agreement over its life above the original value given in this OJEU Notice (“the Estimate”).  It is anticipated that the inclusion of access for a range of public sector entities and potential increases in demand for public sector training following the UK’s departure from the European Union could result in the Estimate being exceeded.</w:t>
      </w:r>
    </w:p>
    <w:p w:rsidR="00880F36" w:rsidRPr="005F49A3" w:rsidRDefault="00880F36" w:rsidP="00880F36">
      <w:pPr>
        <w:ind w:start="0pt" w:end="0pt"/>
        <w:jc w:val="start"/>
        <w:rPr>
          <w:rFonts w:ascii="Arial" w:hAnsi="Arial" w:cs="Arial"/>
          <w:color w:val="auto"/>
          <w:sz w:val="22"/>
        </w:rPr>
      </w:pPr>
    </w:p>
    <w:p w:rsidR="00880F36" w:rsidRPr="005F49A3" w:rsidRDefault="00880F36" w:rsidP="00880F36">
      <w:pPr>
        <w:ind w:start="1.60pt" w:end="0pt"/>
        <w:jc w:val="start"/>
        <w:rPr>
          <w:rFonts w:ascii="Arial" w:hAnsi="Arial" w:cs="Arial"/>
          <w:color w:val="auto"/>
          <w:sz w:val="22"/>
        </w:rPr>
      </w:pPr>
      <w:r w:rsidRPr="005F49A3">
        <w:rPr>
          <w:rFonts w:ascii="Arial" w:hAnsi="Arial" w:cs="Arial"/>
          <w:iCs/>
          <w:color w:val="auto"/>
          <w:sz w:val="22"/>
        </w:rPr>
        <w:t>The Authority will monitor spend through the Framework Agreement over its life.  Where it becomes apparent over any two year period that the average annual spend over that period when extrapolated to the remainder of the Framework Agreement term would result in the Estimate being exceeded, the Authority will consider the circumstances.</w:t>
      </w:r>
    </w:p>
    <w:p w:rsidR="00880F36" w:rsidRPr="005F49A3" w:rsidRDefault="00880F36" w:rsidP="00880F36">
      <w:pPr>
        <w:ind w:start="1.60pt" w:end="0pt"/>
        <w:jc w:val="start"/>
        <w:rPr>
          <w:rFonts w:ascii="Arial" w:hAnsi="Arial" w:cs="Arial"/>
          <w:iCs/>
          <w:color w:val="auto"/>
          <w:sz w:val="22"/>
        </w:rPr>
      </w:pPr>
      <w:r w:rsidRPr="005F49A3">
        <w:rPr>
          <w:rFonts w:ascii="Arial" w:hAnsi="Arial" w:cs="Arial"/>
          <w:iCs/>
          <w:color w:val="auto"/>
          <w:sz w:val="22"/>
        </w:rPr>
        <w:t>If the Authority then takes the view that it is likely that the average annual spend will remain at a level that would result in the Estimate being exceeded, the Authority will increase the Estimate to a value reflecting the actual average annual spend to that point plus a 10 (ten) percent additional amount as a buffer against future increased rate of spend.</w:t>
      </w:r>
      <w:r w:rsidRPr="005F49A3">
        <w:rPr>
          <w:rFonts w:ascii="Arial" w:hAnsi="Arial" w:cs="Arial"/>
          <w:color w:val="auto"/>
          <w:sz w:val="22"/>
        </w:rPr>
        <w:t xml:space="preserve"> </w:t>
      </w:r>
      <w:r w:rsidRPr="005F49A3">
        <w:rPr>
          <w:rFonts w:ascii="Arial" w:hAnsi="Arial" w:cs="Arial"/>
          <w:iCs/>
          <w:color w:val="auto"/>
          <w:sz w:val="22"/>
        </w:rPr>
        <w:t>This option may be exercised by the Authority twice over the lifetime of the Framework.</w:t>
      </w:r>
      <w:r w:rsidRPr="005F49A3">
        <w:rPr>
          <w:rFonts w:ascii="Arial" w:hAnsi="Arial" w:cs="Arial"/>
          <w:color w:val="auto"/>
          <w:sz w:val="22"/>
        </w:rPr>
        <w:t xml:space="preserve"> </w:t>
      </w:r>
      <w:r w:rsidRPr="005F49A3">
        <w:rPr>
          <w:rFonts w:ascii="Arial" w:hAnsi="Arial" w:cs="Arial"/>
          <w:iCs/>
          <w:color w:val="auto"/>
          <w:sz w:val="22"/>
        </w:rPr>
        <w:t>The total spend will not be increased beyond a figure of double the original Estimate.</w:t>
      </w:r>
    </w:p>
    <w:p w:rsidR="00880F36" w:rsidRPr="005F49A3" w:rsidRDefault="00880F36" w:rsidP="005F49A3">
      <w:pPr>
        <w:ind w:start="0pt" w:end="0pt"/>
        <w:jc w:val="start"/>
        <w:rPr>
          <w:rFonts w:ascii="Arial" w:hAnsi="Arial" w:cs="Arial"/>
          <w:iCs/>
          <w:color w:val="auto"/>
          <w:sz w:val="22"/>
        </w:rPr>
      </w:pPr>
    </w:p>
    <w:p w:rsidR="00880F36" w:rsidRPr="005F49A3" w:rsidRDefault="00880F36" w:rsidP="00880F36">
      <w:pPr>
        <w:ind w:start="2.90pt" w:end="0pt"/>
        <w:jc w:val="start"/>
        <w:rPr>
          <w:rFonts w:ascii="Arial" w:hAnsi="Arial" w:cs="Arial"/>
          <w:color w:val="auto"/>
          <w:sz w:val="22"/>
        </w:rPr>
      </w:pPr>
      <w:r w:rsidRPr="005F49A3">
        <w:rPr>
          <w:rFonts w:ascii="Arial" w:hAnsi="Arial" w:cs="Arial"/>
          <w:color w:val="auto"/>
          <w:sz w:val="22"/>
        </w:rPr>
        <w:t xml:space="preserve">It is possible that Contracting Authorities may set specifications different to those applicable to CSHR’s Call-Off Contracts such that sub-contractors not able to meet CSHR requirements could provide services to other Contracting Authorities.  It will however be necessary for Lot level Suppliers to meet CSHR requirements in order to gain a place on the Framework Agreement. </w:t>
      </w:r>
    </w:p>
    <w:p w:rsidR="00DD4C6E" w:rsidRDefault="00DD4C6E"/>
    <w:sectPr w:rsidR="00DD4C6E">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AFF" w:usb1="C0007843" w:usb2="00000009" w:usb3="00000000" w:csb0="000001FF" w:csb1="00000000"/>
  </w:font>
  <w:font w:name="Calibri Light">
    <w:panose1 w:val="020F0302020204030204"/>
    <w:charset w:characterSet="iso-8859-1"/>
    <w:family w:val="swiss"/>
    <w:pitch w:val="variable"/>
    <w:sig w:usb0="A00002EF" w:usb1="4000207B" w:usb2="00000000" w:usb3="00000000" w:csb0="0000019F" w:csb1="00000000"/>
  </w:font>
</w:font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3A20274C"/>
    <w:multiLevelType w:val="multilevel"/>
    <w:tmpl w:val="AFE44C4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36"/>
    <w:rsid w:val="00486965"/>
    <w:rsid w:val="00593336"/>
    <w:rsid w:val="005F49A3"/>
    <w:rsid w:val="00880F36"/>
    <w:rsid w:val="00DD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564D381-0C99-46C5-A6C3-8955113E526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F36"/>
    <w:pPr>
      <w:spacing w:after="0pt"/>
      <w:ind w:start="110.30pt" w:end="105.95pt"/>
      <w:jc w:val="center"/>
    </w:pPr>
    <w:rPr>
      <w:rFonts w:ascii="Calibri" w:eastAsia="Calibri" w:hAnsi="Calibri" w:cs="Calibri"/>
      <w:color w:val="333333"/>
      <w:sz w:val="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Hennessey</dc:creator>
  <cp:keywords/>
  <dc:description/>
  <cp:lastModifiedBy>Richard Landor</cp:lastModifiedBy>
  <cp:revision>2</cp:revision>
  <dcterms:created xsi:type="dcterms:W3CDTF">2019-12-16T18:18:00Z</dcterms:created>
  <dcterms:modified xsi:type="dcterms:W3CDTF">2019-12-16T18:18:00Z</dcterms:modified>
</cp:coreProperties>
</file>