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5BF99" w14:textId="494A14ED" w:rsidR="00F423FE" w:rsidRDefault="00F423FE" w:rsidP="00F423FE">
      <w:pPr>
        <w:jc w:val="center"/>
        <w:rPr>
          <w:rFonts w:ascii="Arial" w:hAnsi="Arial" w:cs="Arial"/>
          <w:b/>
          <w:sz w:val="22"/>
          <w:szCs w:val="22"/>
        </w:rPr>
      </w:pPr>
      <w:r>
        <w:rPr>
          <w:rFonts w:ascii="Arial" w:hAnsi="Arial" w:cs="Arial"/>
          <w:b/>
          <w:sz w:val="22"/>
          <w:szCs w:val="22"/>
        </w:rPr>
        <w:t xml:space="preserve">STATEMENT OF REQUIREMENT </w:t>
      </w:r>
      <w:r w:rsidR="008B48BC">
        <w:rPr>
          <w:rFonts w:ascii="Arial" w:hAnsi="Arial" w:cs="Arial"/>
          <w:b/>
          <w:sz w:val="22"/>
          <w:szCs w:val="22"/>
        </w:rPr>
        <w:t>FOR THE PROVISION OF AUTOMATIC EXTERNAL DEFIBRILLATORS (AEDs), MINI AED TRAINING UNITS AND ASSOCIATED CONSUMABLES</w:t>
      </w:r>
    </w:p>
    <w:p w14:paraId="5AC42F71" w14:textId="77777777" w:rsidR="00F423FE" w:rsidRDefault="00F423FE" w:rsidP="00F423FE">
      <w:pPr>
        <w:jc w:val="center"/>
        <w:rPr>
          <w:rFonts w:ascii="Arial" w:hAnsi="Arial" w:cs="Arial"/>
          <w:b/>
          <w:sz w:val="22"/>
          <w:szCs w:val="22"/>
        </w:rPr>
      </w:pPr>
    </w:p>
    <w:p w14:paraId="0DA4723E" w14:textId="77777777" w:rsidR="00F423FE" w:rsidRPr="005418BA" w:rsidRDefault="00F423FE" w:rsidP="009308E5">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F423FE" w:rsidRPr="008431C0" w14:paraId="49603DB9" w14:textId="77777777" w:rsidTr="009072DA">
        <w:tc>
          <w:tcPr>
            <w:tcW w:w="9889" w:type="dxa"/>
          </w:tcPr>
          <w:p w14:paraId="78BF6320" w14:textId="77777777" w:rsidR="00180962" w:rsidRPr="00180962" w:rsidRDefault="00180962" w:rsidP="005C3F73">
            <w:pPr>
              <w:rPr>
                <w:rFonts w:ascii="Arial" w:hAnsi="Arial" w:cs="Arial"/>
                <w:b/>
                <w:sz w:val="22"/>
                <w:szCs w:val="22"/>
                <w:u w:val="single"/>
              </w:rPr>
            </w:pPr>
            <w:r w:rsidRPr="00180962">
              <w:rPr>
                <w:rFonts w:ascii="Arial" w:hAnsi="Arial" w:cs="Arial"/>
                <w:b/>
                <w:sz w:val="22"/>
                <w:szCs w:val="22"/>
                <w:u w:val="single"/>
              </w:rPr>
              <w:t>Introduction</w:t>
            </w:r>
          </w:p>
          <w:p w14:paraId="614AC214" w14:textId="77777777" w:rsidR="00180962" w:rsidRDefault="00180962" w:rsidP="005C3F73">
            <w:pPr>
              <w:rPr>
                <w:rFonts w:ascii="Arial" w:hAnsi="Arial" w:cs="Arial"/>
                <w:b/>
                <w:sz w:val="22"/>
                <w:szCs w:val="22"/>
              </w:rPr>
            </w:pPr>
          </w:p>
          <w:p w14:paraId="0C04520F" w14:textId="77777777" w:rsidR="00F423FE" w:rsidRPr="008431C0" w:rsidRDefault="00F423FE" w:rsidP="005C3F73">
            <w:pPr>
              <w:rPr>
                <w:rFonts w:ascii="Arial" w:hAnsi="Arial" w:cs="Arial"/>
                <w:b/>
                <w:sz w:val="22"/>
                <w:szCs w:val="22"/>
              </w:rPr>
            </w:pPr>
            <w:r w:rsidRPr="008431C0">
              <w:rPr>
                <w:rFonts w:ascii="Arial" w:hAnsi="Arial" w:cs="Arial"/>
                <w:b/>
                <w:sz w:val="22"/>
                <w:szCs w:val="22"/>
              </w:rPr>
              <w:t>Purpose</w:t>
            </w:r>
          </w:p>
          <w:p w14:paraId="1CCCC64B" w14:textId="77777777" w:rsidR="00F423FE" w:rsidRPr="008431C0" w:rsidRDefault="00F423FE" w:rsidP="005C3F73">
            <w:pPr>
              <w:rPr>
                <w:rFonts w:ascii="Arial" w:hAnsi="Arial" w:cs="Arial"/>
                <w:sz w:val="22"/>
                <w:szCs w:val="22"/>
              </w:rPr>
            </w:pPr>
          </w:p>
          <w:p w14:paraId="76DFF19A" w14:textId="0DDCACE2" w:rsidR="00F423FE" w:rsidRPr="00A94995" w:rsidRDefault="00696B92" w:rsidP="005C3F73">
            <w:pPr>
              <w:rPr>
                <w:rFonts w:ascii="Arial" w:hAnsi="Arial" w:cs="Arial"/>
                <w:sz w:val="22"/>
                <w:szCs w:val="22"/>
              </w:rPr>
            </w:pPr>
            <w:r w:rsidRPr="00A94995">
              <w:rPr>
                <w:rFonts w:ascii="Arial" w:hAnsi="Arial" w:cs="Arial"/>
                <w:color w:val="000000"/>
                <w:sz w:val="22"/>
                <w:szCs w:val="22"/>
              </w:rPr>
              <w:t>There is no MOD wide contract in place to procure Automat</w:t>
            </w:r>
            <w:r w:rsidR="00140762">
              <w:rPr>
                <w:rFonts w:ascii="Arial" w:hAnsi="Arial" w:cs="Arial"/>
                <w:color w:val="000000"/>
                <w:sz w:val="22"/>
                <w:szCs w:val="22"/>
              </w:rPr>
              <w:t>ic</w:t>
            </w:r>
            <w:r w:rsidRPr="00A94995">
              <w:rPr>
                <w:rFonts w:ascii="Arial" w:hAnsi="Arial" w:cs="Arial"/>
                <w:color w:val="000000"/>
                <w:sz w:val="22"/>
                <w:szCs w:val="22"/>
              </w:rPr>
              <w:t xml:space="preserve"> External Defibrillators (AEDs).  Advice from the Defence Safety Authority (DSA) is that AEDs are to be locally purchased by the TLB/unit as necessary.  A</w:t>
            </w:r>
            <w:r w:rsidRPr="00A94995">
              <w:rPr>
                <w:rFonts w:ascii="Arial" w:hAnsi="Arial" w:cs="Arial"/>
                <w:sz w:val="22"/>
                <w:szCs w:val="22"/>
              </w:rPr>
              <w:t xml:space="preserve">uthority </w:t>
            </w:r>
            <w:r w:rsidR="0016576E">
              <w:rPr>
                <w:rFonts w:ascii="Arial" w:hAnsi="Arial" w:cs="Arial"/>
                <w:sz w:val="22"/>
                <w:szCs w:val="22"/>
              </w:rPr>
              <w:t>has been given</w:t>
            </w:r>
            <w:bookmarkStart w:id="0" w:name="_GoBack"/>
            <w:bookmarkEnd w:id="0"/>
            <w:r w:rsidRPr="00A94995">
              <w:rPr>
                <w:rFonts w:ascii="Arial" w:hAnsi="Arial" w:cs="Arial"/>
                <w:sz w:val="22"/>
                <w:szCs w:val="22"/>
              </w:rPr>
              <w:t xml:space="preserve"> for the procurement of 2</w:t>
            </w:r>
            <w:r w:rsidR="004326EA">
              <w:rPr>
                <w:rFonts w:ascii="Arial" w:hAnsi="Arial" w:cs="Arial"/>
                <w:sz w:val="22"/>
                <w:szCs w:val="22"/>
              </w:rPr>
              <w:t>50</w:t>
            </w:r>
            <w:r w:rsidRPr="00A94995">
              <w:rPr>
                <w:rFonts w:ascii="Arial" w:hAnsi="Arial" w:cs="Arial"/>
                <w:sz w:val="22"/>
                <w:szCs w:val="22"/>
              </w:rPr>
              <w:t xml:space="preserve"> AEDs</w:t>
            </w:r>
            <w:r w:rsidRPr="00A94995">
              <w:rPr>
                <w:rFonts w:ascii="Arial" w:hAnsi="Arial" w:cs="Arial"/>
                <w:i/>
                <w:sz w:val="22"/>
                <w:szCs w:val="22"/>
              </w:rPr>
              <w:t>.</w:t>
            </w:r>
            <w:r w:rsidRPr="00A94995">
              <w:rPr>
                <w:rFonts w:ascii="Arial" w:hAnsi="Arial" w:cs="Arial"/>
                <w:color w:val="FF0000"/>
                <w:sz w:val="22"/>
                <w:szCs w:val="22"/>
              </w:rPr>
              <w:t xml:space="preserve"> </w:t>
            </w:r>
            <w:r w:rsidRPr="00A94995">
              <w:rPr>
                <w:rFonts w:ascii="Arial" w:hAnsi="Arial" w:cs="Arial"/>
                <w:sz w:val="22"/>
                <w:szCs w:val="22"/>
              </w:rPr>
              <w:t xml:space="preserve">48 </w:t>
            </w:r>
            <w:r w:rsidRPr="00A94995">
              <w:rPr>
                <w:rFonts w:ascii="Arial" w:hAnsi="Arial" w:cs="Arial"/>
                <w:color w:val="000000"/>
                <w:sz w:val="22"/>
                <w:szCs w:val="22"/>
              </w:rPr>
              <w:t>AED Mini Training Units are also required to enable internal First Aid instructors to train and assess individuals on how to use an AED.</w:t>
            </w:r>
          </w:p>
          <w:p w14:paraId="0844904B" w14:textId="77777777" w:rsidR="00F423FE" w:rsidRPr="008431C0" w:rsidRDefault="00F423FE" w:rsidP="005C3F73">
            <w:pPr>
              <w:rPr>
                <w:rFonts w:ascii="Arial" w:hAnsi="Arial" w:cs="Arial"/>
                <w:sz w:val="22"/>
                <w:szCs w:val="22"/>
              </w:rPr>
            </w:pPr>
          </w:p>
        </w:tc>
      </w:tr>
      <w:tr w:rsidR="00F423FE" w:rsidRPr="008431C0" w14:paraId="76A461B7" w14:textId="77777777" w:rsidTr="009072DA">
        <w:tc>
          <w:tcPr>
            <w:tcW w:w="9889" w:type="dxa"/>
          </w:tcPr>
          <w:p w14:paraId="0C2CD00E" w14:textId="77777777" w:rsidR="00F423FE" w:rsidRPr="008431C0" w:rsidRDefault="00F423FE" w:rsidP="005C3F73">
            <w:pPr>
              <w:rPr>
                <w:rFonts w:ascii="Arial" w:hAnsi="Arial" w:cs="Arial"/>
                <w:b/>
                <w:sz w:val="22"/>
                <w:szCs w:val="22"/>
              </w:rPr>
            </w:pPr>
            <w:r w:rsidRPr="008431C0">
              <w:rPr>
                <w:rFonts w:ascii="Arial" w:hAnsi="Arial" w:cs="Arial"/>
                <w:b/>
                <w:sz w:val="22"/>
                <w:szCs w:val="22"/>
              </w:rPr>
              <w:t>Background</w:t>
            </w:r>
          </w:p>
          <w:p w14:paraId="2E366781" w14:textId="77777777" w:rsidR="00F423FE" w:rsidRPr="008431C0" w:rsidRDefault="00F423FE" w:rsidP="005C3F73">
            <w:pPr>
              <w:rPr>
                <w:rFonts w:ascii="Arial" w:hAnsi="Arial" w:cs="Arial"/>
                <w:sz w:val="22"/>
                <w:szCs w:val="22"/>
              </w:rPr>
            </w:pPr>
          </w:p>
          <w:p w14:paraId="782D7F1A" w14:textId="5F808936" w:rsidR="00A94995" w:rsidRPr="00A94995" w:rsidRDefault="00A94995" w:rsidP="00A94995">
            <w:pPr>
              <w:rPr>
                <w:rFonts w:ascii="Arial" w:hAnsi="Arial" w:cs="Arial"/>
                <w:color w:val="000000"/>
                <w:sz w:val="22"/>
                <w:szCs w:val="22"/>
              </w:rPr>
            </w:pPr>
            <w:r w:rsidRPr="00A94995">
              <w:rPr>
                <w:rFonts w:ascii="Arial" w:hAnsi="Arial" w:cs="Arial"/>
                <w:sz w:val="22"/>
                <w:szCs w:val="22"/>
              </w:rPr>
              <w:t>A</w:t>
            </w:r>
            <w:r w:rsidRPr="00A94995">
              <w:rPr>
                <w:rFonts w:ascii="Arial" w:hAnsi="Arial" w:cs="Arial"/>
                <w:color w:val="000000"/>
                <w:sz w:val="22"/>
                <w:szCs w:val="22"/>
              </w:rPr>
              <w:t xml:space="preserve">EDs </w:t>
            </w:r>
            <w:r w:rsidRPr="00A94995">
              <w:rPr>
                <w:rFonts w:ascii="Arial" w:hAnsi="Arial" w:cs="Arial"/>
                <w:sz w:val="22"/>
                <w:szCs w:val="22"/>
              </w:rPr>
              <w:t>have been described as the single most important development in the treatment of Sudden Cardiac Arrest (SCA),</w:t>
            </w:r>
            <w:r w:rsidRPr="00A94995">
              <w:rPr>
                <w:rFonts w:ascii="Arial" w:hAnsi="Arial" w:cs="Arial"/>
                <w:color w:val="000000"/>
                <w:sz w:val="22"/>
                <w:szCs w:val="22"/>
              </w:rPr>
              <w:t xml:space="preserve"> a condition where the heart suddenly and unexpectedly stops beating.</w:t>
            </w:r>
            <w:r>
              <w:rPr>
                <w:rFonts w:ascii="Arial" w:hAnsi="Arial" w:cs="Arial"/>
                <w:color w:val="000000"/>
                <w:sz w:val="22"/>
                <w:szCs w:val="22"/>
              </w:rPr>
              <w:t xml:space="preserve">  </w:t>
            </w:r>
            <w:r w:rsidRPr="00A94995">
              <w:rPr>
                <w:rFonts w:ascii="Arial" w:hAnsi="Arial" w:cs="Arial"/>
                <w:color w:val="000000"/>
                <w:sz w:val="22"/>
                <w:szCs w:val="22"/>
              </w:rPr>
              <w:t xml:space="preserve">There is no generally agreed criteria on which to base definitive advice on </w:t>
            </w:r>
            <w:r w:rsidR="00F8437A" w:rsidRPr="00A94995">
              <w:rPr>
                <w:rFonts w:ascii="Arial" w:hAnsi="Arial" w:cs="Arial"/>
                <w:color w:val="000000"/>
                <w:sz w:val="22"/>
                <w:szCs w:val="22"/>
              </w:rPr>
              <w:t>whether</w:t>
            </w:r>
            <w:r w:rsidRPr="00A94995">
              <w:rPr>
                <w:rFonts w:ascii="Arial" w:hAnsi="Arial" w:cs="Arial"/>
                <w:color w:val="000000"/>
                <w:sz w:val="22"/>
                <w:szCs w:val="22"/>
              </w:rPr>
              <w:t xml:space="preserve"> to provide an AED in any specific place, but the Resuscitation Council advises that consideration of the following points should help a decision to be made: </w:t>
            </w:r>
          </w:p>
          <w:p w14:paraId="0471EDFA" w14:textId="77777777" w:rsidR="00A94995" w:rsidRPr="00A94995" w:rsidRDefault="00A94995" w:rsidP="00A94995">
            <w:pPr>
              <w:autoSpaceDE w:val="0"/>
              <w:autoSpaceDN w:val="0"/>
              <w:adjustRightInd w:val="0"/>
              <w:rPr>
                <w:rFonts w:ascii="Arial" w:hAnsi="Arial" w:cs="Arial"/>
                <w:color w:val="000000"/>
                <w:sz w:val="22"/>
                <w:szCs w:val="22"/>
              </w:rPr>
            </w:pPr>
          </w:p>
          <w:p w14:paraId="21C34818" w14:textId="77777777" w:rsidR="00A94995" w:rsidRPr="00A94995" w:rsidRDefault="00A94995" w:rsidP="00A94995">
            <w:pPr>
              <w:pStyle w:val="ListParagraph"/>
              <w:numPr>
                <w:ilvl w:val="0"/>
                <w:numId w:val="21"/>
              </w:numPr>
              <w:shd w:val="clear" w:color="auto" w:fill="FFFFFF"/>
              <w:spacing w:after="240"/>
              <w:contextualSpacing/>
              <w:rPr>
                <w:rFonts w:ascii="Arial" w:hAnsi="Arial" w:cs="Arial"/>
                <w:sz w:val="22"/>
                <w:szCs w:val="22"/>
                <w:lang w:val="en"/>
              </w:rPr>
            </w:pPr>
            <w:r w:rsidRPr="00A94995">
              <w:rPr>
                <w:rFonts w:ascii="Arial" w:hAnsi="Arial" w:cs="Arial"/>
                <w:sz w:val="22"/>
                <w:szCs w:val="22"/>
                <w:lang w:val="en"/>
              </w:rPr>
              <w:t>The number of people passing through the site/footfall. In most cases, the larger the number present, the greater the risk.</w:t>
            </w:r>
          </w:p>
          <w:p w14:paraId="5BB18401" w14:textId="77777777" w:rsidR="00A94995" w:rsidRPr="00A94995" w:rsidRDefault="00A94995" w:rsidP="00A94995">
            <w:pPr>
              <w:pStyle w:val="ListParagraph"/>
              <w:numPr>
                <w:ilvl w:val="0"/>
                <w:numId w:val="21"/>
              </w:numPr>
              <w:shd w:val="clear" w:color="auto" w:fill="FFFFFF"/>
              <w:spacing w:after="240"/>
              <w:contextualSpacing/>
              <w:rPr>
                <w:rFonts w:ascii="Arial" w:hAnsi="Arial" w:cs="Arial"/>
                <w:sz w:val="22"/>
                <w:szCs w:val="22"/>
                <w:lang w:val="en"/>
              </w:rPr>
            </w:pPr>
            <w:r w:rsidRPr="00A94995">
              <w:rPr>
                <w:rFonts w:ascii="Arial" w:hAnsi="Arial" w:cs="Arial"/>
                <w:sz w:val="22"/>
                <w:szCs w:val="22"/>
                <w:lang w:val="en"/>
              </w:rPr>
              <w:t>The age of those present (as cardiac arrest is commoner with increasing age).</w:t>
            </w:r>
          </w:p>
          <w:p w14:paraId="4421F88C" w14:textId="77777777" w:rsidR="00A94995" w:rsidRPr="00A94995" w:rsidRDefault="00A94995" w:rsidP="00A94995">
            <w:pPr>
              <w:pStyle w:val="ListParagraph"/>
              <w:numPr>
                <w:ilvl w:val="0"/>
                <w:numId w:val="21"/>
              </w:numPr>
              <w:autoSpaceDE w:val="0"/>
              <w:autoSpaceDN w:val="0"/>
              <w:adjustRightInd w:val="0"/>
              <w:spacing w:after="69"/>
              <w:contextualSpacing/>
              <w:jc w:val="both"/>
              <w:rPr>
                <w:rFonts w:ascii="Arial" w:hAnsi="Arial" w:cs="Arial"/>
                <w:color w:val="000000"/>
                <w:sz w:val="22"/>
                <w:szCs w:val="22"/>
              </w:rPr>
            </w:pPr>
            <w:r w:rsidRPr="00A94995">
              <w:rPr>
                <w:rFonts w:ascii="Arial" w:hAnsi="Arial" w:cs="Arial"/>
                <w:color w:val="000000"/>
                <w:sz w:val="22"/>
                <w:szCs w:val="22"/>
              </w:rPr>
              <w:t xml:space="preserve">SCA affects predominantly middle-aged and older people (more men than women).  </w:t>
            </w:r>
          </w:p>
          <w:p w14:paraId="6648F90F" w14:textId="77777777" w:rsidR="00A94995" w:rsidRPr="00A94995" w:rsidRDefault="00A94995" w:rsidP="00A94995">
            <w:pPr>
              <w:pStyle w:val="ListParagraph"/>
              <w:numPr>
                <w:ilvl w:val="0"/>
                <w:numId w:val="21"/>
              </w:numPr>
              <w:autoSpaceDE w:val="0"/>
              <w:autoSpaceDN w:val="0"/>
              <w:adjustRightInd w:val="0"/>
              <w:spacing w:after="69"/>
              <w:contextualSpacing/>
              <w:jc w:val="both"/>
              <w:rPr>
                <w:rFonts w:ascii="Arial" w:hAnsi="Arial" w:cs="Arial"/>
                <w:color w:val="000000"/>
                <w:sz w:val="22"/>
                <w:szCs w:val="22"/>
              </w:rPr>
            </w:pPr>
            <w:r w:rsidRPr="00A94995">
              <w:rPr>
                <w:rFonts w:ascii="Arial" w:hAnsi="Arial" w:cs="Arial"/>
                <w:color w:val="000000"/>
                <w:sz w:val="22"/>
                <w:szCs w:val="22"/>
              </w:rPr>
              <w:t xml:space="preserve">Some younger people (including athletes and elite sportspeople) suffer SCA. </w:t>
            </w:r>
          </w:p>
          <w:p w14:paraId="1887AB5D" w14:textId="77777777" w:rsidR="00A94995" w:rsidRPr="00A94995" w:rsidRDefault="00A94995" w:rsidP="00A94995">
            <w:pPr>
              <w:pStyle w:val="ListParagraph"/>
              <w:numPr>
                <w:ilvl w:val="0"/>
                <w:numId w:val="21"/>
              </w:numPr>
              <w:autoSpaceDE w:val="0"/>
              <w:autoSpaceDN w:val="0"/>
              <w:adjustRightInd w:val="0"/>
              <w:spacing w:after="69"/>
              <w:contextualSpacing/>
              <w:jc w:val="both"/>
              <w:rPr>
                <w:rFonts w:ascii="Arial" w:hAnsi="Arial" w:cs="Arial"/>
                <w:color w:val="000000"/>
                <w:sz w:val="22"/>
                <w:szCs w:val="22"/>
              </w:rPr>
            </w:pPr>
            <w:r w:rsidRPr="00A94995">
              <w:rPr>
                <w:rFonts w:ascii="Arial" w:hAnsi="Arial" w:cs="Arial"/>
                <w:color w:val="000000"/>
                <w:sz w:val="22"/>
                <w:szCs w:val="22"/>
              </w:rPr>
              <w:t xml:space="preserve">People with underlying heart disease are particularly vulnerable. </w:t>
            </w:r>
          </w:p>
          <w:p w14:paraId="27C5CC61" w14:textId="77777777" w:rsidR="00F423FE" w:rsidRPr="00A94995" w:rsidRDefault="00A94995" w:rsidP="00A94995">
            <w:pPr>
              <w:pStyle w:val="ListParagraph"/>
              <w:numPr>
                <w:ilvl w:val="0"/>
                <w:numId w:val="21"/>
              </w:numPr>
              <w:rPr>
                <w:rFonts w:ascii="Arial" w:hAnsi="Arial" w:cs="Arial"/>
                <w:sz w:val="22"/>
                <w:szCs w:val="22"/>
              </w:rPr>
            </w:pPr>
            <w:r w:rsidRPr="00A94995">
              <w:rPr>
                <w:rFonts w:ascii="Arial" w:hAnsi="Arial" w:cs="Arial"/>
                <w:color w:val="000000"/>
                <w:sz w:val="22"/>
                <w:szCs w:val="22"/>
              </w:rPr>
              <w:t xml:space="preserve">SCA often occurs during exertion. The stress of travel is also a recognised precipitant, but in many other cases there is no recognised trigger. </w:t>
            </w:r>
            <w:r w:rsidRPr="00A94995">
              <w:rPr>
                <w:rFonts w:ascii="Arial" w:hAnsi="Arial" w:cs="Arial"/>
                <w:sz w:val="22"/>
                <w:szCs w:val="22"/>
              </w:rPr>
              <w:t xml:space="preserve"> </w:t>
            </w:r>
            <w:r w:rsidR="00180962" w:rsidRPr="00A94995">
              <w:rPr>
                <w:rFonts w:ascii="Arial" w:hAnsi="Arial" w:cs="Arial"/>
                <w:sz w:val="22"/>
                <w:szCs w:val="22"/>
              </w:rPr>
              <w:t xml:space="preserve"> </w:t>
            </w:r>
          </w:p>
          <w:p w14:paraId="6A3E648D" w14:textId="77777777" w:rsidR="00F423FE" w:rsidRPr="008431C0" w:rsidRDefault="00F423FE" w:rsidP="005C3F73">
            <w:pPr>
              <w:rPr>
                <w:rFonts w:ascii="Arial" w:hAnsi="Arial" w:cs="Arial"/>
                <w:sz w:val="22"/>
                <w:szCs w:val="22"/>
              </w:rPr>
            </w:pPr>
          </w:p>
        </w:tc>
      </w:tr>
      <w:tr w:rsidR="00F423FE" w:rsidRPr="008431C0" w14:paraId="192C4ABA" w14:textId="77777777" w:rsidTr="009072DA">
        <w:tc>
          <w:tcPr>
            <w:tcW w:w="9889" w:type="dxa"/>
          </w:tcPr>
          <w:p w14:paraId="1B45AA49" w14:textId="77777777" w:rsidR="00F423FE" w:rsidRPr="008431C0" w:rsidRDefault="00F423FE" w:rsidP="005C3F73">
            <w:pPr>
              <w:rPr>
                <w:rFonts w:ascii="Arial" w:hAnsi="Arial" w:cs="Arial"/>
                <w:b/>
                <w:sz w:val="22"/>
                <w:szCs w:val="22"/>
              </w:rPr>
            </w:pPr>
            <w:r w:rsidRPr="008431C0">
              <w:rPr>
                <w:rFonts w:ascii="Arial" w:hAnsi="Arial" w:cs="Arial"/>
                <w:b/>
                <w:sz w:val="22"/>
                <w:szCs w:val="22"/>
              </w:rPr>
              <w:t>Objectives</w:t>
            </w:r>
          </w:p>
          <w:p w14:paraId="5AA26F49" w14:textId="77777777" w:rsidR="003E3F12" w:rsidRDefault="003E3F12" w:rsidP="003E3F12">
            <w:pPr>
              <w:rPr>
                <w:rFonts w:ascii="Arial" w:hAnsi="Arial" w:cs="Arial"/>
                <w:sz w:val="22"/>
                <w:szCs w:val="22"/>
              </w:rPr>
            </w:pPr>
          </w:p>
          <w:p w14:paraId="24942946" w14:textId="2399CBD3" w:rsidR="00F423FE" w:rsidRPr="00EB2231" w:rsidRDefault="00EB2231" w:rsidP="003E3F12">
            <w:pPr>
              <w:rPr>
                <w:rFonts w:ascii="Arial" w:hAnsi="Arial" w:cs="Arial"/>
                <w:sz w:val="22"/>
                <w:szCs w:val="22"/>
              </w:rPr>
            </w:pPr>
            <w:r w:rsidRPr="00EB2231">
              <w:rPr>
                <w:rFonts w:ascii="Arial" w:hAnsi="Arial" w:cs="Arial"/>
                <w:iCs/>
                <w:color w:val="000000" w:themeColor="text1"/>
                <w:sz w:val="22"/>
                <w:szCs w:val="22"/>
              </w:rPr>
              <w:t>Given the number of AEDs required and the numerous models available it is recommended that a competitive tender exercise is undertaken to provide 2</w:t>
            </w:r>
            <w:r w:rsidR="008B48BC">
              <w:rPr>
                <w:rFonts w:ascii="Arial" w:hAnsi="Arial" w:cs="Arial"/>
                <w:iCs/>
                <w:color w:val="000000" w:themeColor="text1"/>
                <w:sz w:val="22"/>
                <w:szCs w:val="22"/>
              </w:rPr>
              <w:t>50</w:t>
            </w:r>
            <w:r w:rsidRPr="00EB2231">
              <w:rPr>
                <w:rFonts w:ascii="Arial" w:hAnsi="Arial" w:cs="Arial"/>
                <w:iCs/>
                <w:color w:val="000000" w:themeColor="text1"/>
                <w:sz w:val="22"/>
                <w:szCs w:val="22"/>
              </w:rPr>
              <w:t xml:space="preserve"> AEDs, 48 Training AEDs and associated consumables for both.</w:t>
            </w:r>
          </w:p>
          <w:p w14:paraId="63002F87" w14:textId="77777777" w:rsidR="00F423FE" w:rsidRPr="008431C0" w:rsidRDefault="00F423FE" w:rsidP="005C3F73">
            <w:pPr>
              <w:rPr>
                <w:rFonts w:ascii="Arial" w:hAnsi="Arial" w:cs="Arial"/>
                <w:sz w:val="22"/>
                <w:szCs w:val="22"/>
              </w:rPr>
            </w:pPr>
          </w:p>
        </w:tc>
      </w:tr>
      <w:tr w:rsidR="006820DF" w:rsidRPr="008431C0" w14:paraId="4756F4AB" w14:textId="77777777" w:rsidTr="009072DA">
        <w:tc>
          <w:tcPr>
            <w:tcW w:w="9889" w:type="dxa"/>
          </w:tcPr>
          <w:p w14:paraId="62A59523" w14:textId="77777777" w:rsidR="006820DF" w:rsidRPr="00180962" w:rsidRDefault="006820DF" w:rsidP="00180962">
            <w:pPr>
              <w:rPr>
                <w:rFonts w:ascii="Arial" w:hAnsi="Arial" w:cs="Arial"/>
                <w:b/>
                <w:sz w:val="22"/>
                <w:szCs w:val="22"/>
              </w:rPr>
            </w:pPr>
            <w:r w:rsidRPr="00180962">
              <w:rPr>
                <w:rFonts w:ascii="Arial" w:hAnsi="Arial" w:cs="Arial"/>
                <w:b/>
                <w:sz w:val="22"/>
                <w:szCs w:val="22"/>
              </w:rPr>
              <w:t xml:space="preserve">Requirements </w:t>
            </w:r>
          </w:p>
          <w:p w14:paraId="05574A31" w14:textId="77777777" w:rsidR="00EB2231" w:rsidRDefault="00EB2231" w:rsidP="00180962">
            <w:pPr>
              <w:rPr>
                <w:rFonts w:ascii="Arial" w:hAnsi="Arial" w:cs="Arial"/>
                <w:sz w:val="22"/>
                <w:szCs w:val="22"/>
              </w:rPr>
            </w:pPr>
          </w:p>
          <w:p w14:paraId="00C5F18D" w14:textId="20172BE3" w:rsidR="00140762" w:rsidRDefault="00434DFE" w:rsidP="00140762">
            <w:pPr>
              <w:pStyle w:val="Default"/>
              <w:rPr>
                <w:sz w:val="23"/>
                <w:szCs w:val="23"/>
              </w:rPr>
            </w:pPr>
            <w:r w:rsidRPr="00434DFE">
              <w:rPr>
                <w:b/>
                <w:sz w:val="22"/>
                <w:szCs w:val="22"/>
              </w:rPr>
              <w:t>Specific Requirements</w:t>
            </w:r>
            <w:r>
              <w:rPr>
                <w:sz w:val="22"/>
                <w:szCs w:val="22"/>
              </w:rPr>
              <w:t xml:space="preserve">.  </w:t>
            </w:r>
            <w:r w:rsidR="00BC7DEF">
              <w:rPr>
                <w:sz w:val="22"/>
                <w:szCs w:val="22"/>
              </w:rPr>
              <w:t>As the statement in the ‘Purpose’ Box states</w:t>
            </w:r>
            <w:r w:rsidR="004950C6">
              <w:rPr>
                <w:sz w:val="22"/>
                <w:szCs w:val="22"/>
              </w:rPr>
              <w:t>, the requirement is to procure 2</w:t>
            </w:r>
            <w:r w:rsidR="004326EA">
              <w:rPr>
                <w:sz w:val="22"/>
                <w:szCs w:val="22"/>
              </w:rPr>
              <w:t>50</w:t>
            </w:r>
            <w:r w:rsidR="004950C6">
              <w:rPr>
                <w:sz w:val="22"/>
                <w:szCs w:val="22"/>
              </w:rPr>
              <w:t xml:space="preserve"> Automat</w:t>
            </w:r>
            <w:r w:rsidR="00140762">
              <w:rPr>
                <w:sz w:val="22"/>
                <w:szCs w:val="22"/>
              </w:rPr>
              <w:t>ic</w:t>
            </w:r>
            <w:r w:rsidR="004950C6">
              <w:rPr>
                <w:sz w:val="22"/>
                <w:szCs w:val="22"/>
              </w:rPr>
              <w:t xml:space="preserve"> External Defibrillators (AEDs).</w:t>
            </w:r>
            <w:r w:rsidR="00140762">
              <w:rPr>
                <w:sz w:val="22"/>
                <w:szCs w:val="22"/>
              </w:rPr>
              <w:t xml:space="preserve"> </w:t>
            </w:r>
            <w:r w:rsidR="00140762">
              <w:rPr>
                <w:sz w:val="23"/>
                <w:szCs w:val="23"/>
              </w:rPr>
              <w:t>Where the need for a defibrillator has been identified from the risk assessment, the Automatic External Defibrillator (AED)</w:t>
            </w:r>
            <w:r w:rsidR="00140762">
              <w:rPr>
                <w:sz w:val="16"/>
                <w:szCs w:val="16"/>
              </w:rPr>
              <w:t xml:space="preserve"> </w:t>
            </w:r>
            <w:r w:rsidR="00140762">
              <w:rPr>
                <w:sz w:val="23"/>
                <w:szCs w:val="23"/>
              </w:rPr>
              <w:t xml:space="preserve">is the Defence preferred defibrillator unit to be purchased. AEDs can be used safely and effectively by personnel without any previous training and their use should not be restricted to trained personnel; however, training does help to improve the time to shock delivery and correct pad placement. There are two types of AEDs, the first is the preferred type: </w:t>
            </w:r>
          </w:p>
          <w:p w14:paraId="44D06718" w14:textId="77777777" w:rsidR="006341B9" w:rsidRDefault="006341B9" w:rsidP="00140762">
            <w:pPr>
              <w:pStyle w:val="Default"/>
              <w:rPr>
                <w:sz w:val="23"/>
                <w:szCs w:val="23"/>
              </w:rPr>
            </w:pPr>
          </w:p>
          <w:p w14:paraId="0A0FD864" w14:textId="77777777" w:rsidR="00140762" w:rsidRDefault="00140762" w:rsidP="006341B9">
            <w:pPr>
              <w:pStyle w:val="Default"/>
              <w:numPr>
                <w:ilvl w:val="0"/>
                <w:numId w:val="23"/>
              </w:numPr>
              <w:rPr>
                <w:sz w:val="23"/>
                <w:szCs w:val="23"/>
              </w:rPr>
            </w:pPr>
            <w:r>
              <w:rPr>
                <w:sz w:val="23"/>
                <w:szCs w:val="23"/>
              </w:rPr>
              <w:t xml:space="preserve">fully automatic defibrillators which deliver the shock automatically without needing further action by the operator </w:t>
            </w:r>
          </w:p>
          <w:p w14:paraId="1CED3D03" w14:textId="77777777" w:rsidR="00180962" w:rsidRDefault="00180962" w:rsidP="00180962">
            <w:pPr>
              <w:rPr>
                <w:rFonts w:ascii="Arial" w:hAnsi="Arial" w:cs="Arial"/>
                <w:sz w:val="22"/>
                <w:szCs w:val="22"/>
              </w:rPr>
            </w:pPr>
            <w:r>
              <w:rPr>
                <w:rFonts w:ascii="Arial" w:hAnsi="Arial" w:cs="Arial"/>
                <w:sz w:val="22"/>
                <w:szCs w:val="22"/>
              </w:rPr>
              <w:t xml:space="preserve"> </w:t>
            </w:r>
          </w:p>
          <w:p w14:paraId="544A56E8" w14:textId="77777777" w:rsidR="00267862" w:rsidRPr="00180962" w:rsidRDefault="00267862" w:rsidP="00180962">
            <w:pPr>
              <w:rPr>
                <w:rFonts w:ascii="Arial" w:hAnsi="Arial" w:cs="Arial"/>
                <w:sz w:val="22"/>
                <w:szCs w:val="22"/>
              </w:rPr>
            </w:pPr>
          </w:p>
          <w:p w14:paraId="4A0E9C02" w14:textId="15B23CFA" w:rsidR="00434DFE" w:rsidRDefault="00180962" w:rsidP="008B48BC">
            <w:pPr>
              <w:rPr>
                <w:rFonts w:ascii="Arial" w:hAnsi="Arial" w:cs="Arial"/>
                <w:sz w:val="22"/>
                <w:szCs w:val="22"/>
              </w:rPr>
            </w:pPr>
            <w:r w:rsidRPr="00434DFE">
              <w:rPr>
                <w:rFonts w:ascii="Arial" w:hAnsi="Arial" w:cs="Arial"/>
                <w:b/>
                <w:sz w:val="22"/>
                <w:szCs w:val="22"/>
              </w:rPr>
              <w:t>Mandatory</w:t>
            </w:r>
            <w:r w:rsidR="00A76F5E" w:rsidRPr="00434DFE">
              <w:rPr>
                <w:rFonts w:ascii="Arial" w:hAnsi="Arial" w:cs="Arial"/>
                <w:b/>
                <w:sz w:val="22"/>
                <w:szCs w:val="22"/>
              </w:rPr>
              <w:t>/minimum/essential</w:t>
            </w:r>
            <w:r w:rsidR="00DD4914" w:rsidRPr="00434DFE">
              <w:rPr>
                <w:rFonts w:ascii="Arial" w:hAnsi="Arial" w:cs="Arial"/>
                <w:b/>
                <w:sz w:val="22"/>
                <w:szCs w:val="22"/>
              </w:rPr>
              <w:t xml:space="preserve"> requirements</w:t>
            </w:r>
            <w:r w:rsidR="008B48BC">
              <w:rPr>
                <w:rFonts w:ascii="Arial" w:hAnsi="Arial" w:cs="Arial"/>
                <w:b/>
                <w:sz w:val="22"/>
                <w:szCs w:val="22"/>
              </w:rPr>
              <w:t>:</w:t>
            </w:r>
            <w:r w:rsidR="00434DFE">
              <w:rPr>
                <w:rFonts w:ascii="Arial" w:hAnsi="Arial" w:cs="Arial"/>
                <w:sz w:val="22"/>
                <w:szCs w:val="22"/>
              </w:rPr>
              <w:t xml:space="preserve"> </w:t>
            </w:r>
          </w:p>
          <w:p w14:paraId="204BCE8E" w14:textId="77777777" w:rsidR="009F5358" w:rsidRDefault="009F5358" w:rsidP="00180962">
            <w:pPr>
              <w:rPr>
                <w:rFonts w:ascii="Arial" w:hAnsi="Arial" w:cs="Arial"/>
                <w:sz w:val="22"/>
                <w:szCs w:val="22"/>
              </w:rPr>
            </w:pPr>
          </w:p>
          <w:p w14:paraId="173FDF9A" w14:textId="4ED327FF" w:rsidR="00A76F5E" w:rsidRPr="008B48BC" w:rsidRDefault="00180962" w:rsidP="00A76F5E">
            <w:pPr>
              <w:pStyle w:val="ListParagraph"/>
              <w:numPr>
                <w:ilvl w:val="0"/>
                <w:numId w:val="14"/>
              </w:numPr>
              <w:rPr>
                <w:rFonts w:ascii="Arial" w:hAnsi="Arial" w:cs="Arial"/>
                <w:sz w:val="22"/>
                <w:szCs w:val="22"/>
              </w:rPr>
            </w:pPr>
            <w:r w:rsidRPr="008B48BC">
              <w:rPr>
                <w:rFonts w:ascii="Arial" w:hAnsi="Arial" w:cs="Arial"/>
                <w:sz w:val="22"/>
                <w:szCs w:val="22"/>
              </w:rPr>
              <w:lastRenderedPageBreak/>
              <w:t>S</w:t>
            </w:r>
            <w:r w:rsidR="008B48BC" w:rsidRPr="008B48BC">
              <w:rPr>
                <w:rFonts w:ascii="Arial" w:hAnsi="Arial" w:cs="Arial"/>
                <w:sz w:val="22"/>
                <w:szCs w:val="22"/>
              </w:rPr>
              <w:t>ee Appendix 1 to this Annex</w:t>
            </w:r>
          </w:p>
          <w:p w14:paraId="786EA258" w14:textId="77777777" w:rsidR="00180962" w:rsidRPr="008431C0" w:rsidRDefault="00180962" w:rsidP="008B48BC">
            <w:pPr>
              <w:pStyle w:val="ListParagraph"/>
              <w:ind w:left="644"/>
              <w:rPr>
                <w:rFonts w:ascii="Arial" w:hAnsi="Arial" w:cs="Arial"/>
                <w:b/>
                <w:sz w:val="22"/>
                <w:szCs w:val="22"/>
              </w:rPr>
            </w:pPr>
          </w:p>
        </w:tc>
      </w:tr>
      <w:tr w:rsidR="00F423FE" w:rsidRPr="008431C0" w14:paraId="3E07DDB2" w14:textId="77777777" w:rsidTr="009072DA">
        <w:tc>
          <w:tcPr>
            <w:tcW w:w="9889" w:type="dxa"/>
          </w:tcPr>
          <w:p w14:paraId="29C8A666" w14:textId="77777777" w:rsidR="00F423FE" w:rsidRDefault="00267862" w:rsidP="005C3F73">
            <w:pPr>
              <w:rPr>
                <w:rFonts w:ascii="Arial" w:hAnsi="Arial" w:cs="Arial"/>
                <w:b/>
                <w:sz w:val="22"/>
                <w:szCs w:val="22"/>
              </w:rPr>
            </w:pPr>
            <w:r>
              <w:rPr>
                <w:rFonts w:ascii="Arial" w:hAnsi="Arial" w:cs="Arial"/>
                <w:b/>
                <w:sz w:val="22"/>
                <w:szCs w:val="22"/>
              </w:rPr>
              <w:lastRenderedPageBreak/>
              <w:t>Intellectual Property (IP) Rights (Known as IPR)</w:t>
            </w:r>
          </w:p>
          <w:p w14:paraId="11A4613D" w14:textId="77777777" w:rsidR="00B95AF1" w:rsidRDefault="00B95AF1" w:rsidP="00267862">
            <w:pPr>
              <w:rPr>
                <w:rFonts w:ascii="Arial" w:hAnsi="Arial" w:cs="Arial"/>
                <w:sz w:val="22"/>
                <w:szCs w:val="22"/>
              </w:rPr>
            </w:pPr>
          </w:p>
          <w:p w14:paraId="6A330DE4" w14:textId="77777777" w:rsidR="00F423FE" w:rsidRDefault="00B95AF1" w:rsidP="00B95AF1">
            <w:pPr>
              <w:rPr>
                <w:rFonts w:ascii="Arial" w:hAnsi="Arial" w:cs="Arial"/>
                <w:sz w:val="22"/>
                <w:szCs w:val="22"/>
              </w:rPr>
            </w:pPr>
            <w:r>
              <w:rPr>
                <w:rFonts w:ascii="Arial" w:hAnsi="Arial" w:cs="Arial"/>
                <w:sz w:val="22"/>
                <w:szCs w:val="22"/>
              </w:rPr>
              <w:t xml:space="preserve">N/A </w:t>
            </w:r>
          </w:p>
          <w:p w14:paraId="43A8CE87" w14:textId="77777777" w:rsidR="00B95AF1" w:rsidRPr="008431C0" w:rsidRDefault="00B95AF1" w:rsidP="00B95AF1">
            <w:pPr>
              <w:rPr>
                <w:rFonts w:ascii="Arial" w:hAnsi="Arial" w:cs="Arial"/>
                <w:sz w:val="22"/>
                <w:szCs w:val="22"/>
              </w:rPr>
            </w:pPr>
          </w:p>
        </w:tc>
      </w:tr>
      <w:tr w:rsidR="00267862" w:rsidRPr="008431C0" w14:paraId="5C7C60B2" w14:textId="77777777" w:rsidTr="009072DA">
        <w:tc>
          <w:tcPr>
            <w:tcW w:w="9889" w:type="dxa"/>
          </w:tcPr>
          <w:p w14:paraId="4ED0C889" w14:textId="77777777" w:rsidR="00267862" w:rsidRDefault="00267862" w:rsidP="005C3F73">
            <w:pPr>
              <w:rPr>
                <w:rFonts w:ascii="Arial" w:hAnsi="Arial" w:cs="Arial"/>
                <w:b/>
                <w:sz w:val="22"/>
                <w:szCs w:val="22"/>
              </w:rPr>
            </w:pPr>
            <w:r>
              <w:rPr>
                <w:rFonts w:ascii="Arial" w:hAnsi="Arial" w:cs="Arial"/>
                <w:b/>
                <w:sz w:val="22"/>
                <w:szCs w:val="22"/>
              </w:rPr>
              <w:t xml:space="preserve">Government Furnished Supplies </w:t>
            </w:r>
          </w:p>
          <w:p w14:paraId="3AAA0590" w14:textId="77777777" w:rsidR="00B95AF1" w:rsidRDefault="00B95AF1" w:rsidP="00267862">
            <w:pPr>
              <w:rPr>
                <w:rFonts w:ascii="Arial" w:hAnsi="Arial" w:cs="Arial"/>
                <w:sz w:val="22"/>
                <w:szCs w:val="22"/>
              </w:rPr>
            </w:pPr>
          </w:p>
          <w:p w14:paraId="27A43E54" w14:textId="77777777" w:rsidR="00B95AF1" w:rsidRDefault="00B95AF1" w:rsidP="00267862">
            <w:pPr>
              <w:rPr>
                <w:rFonts w:ascii="Arial" w:hAnsi="Arial" w:cs="Arial"/>
                <w:sz w:val="22"/>
                <w:szCs w:val="22"/>
              </w:rPr>
            </w:pPr>
            <w:r>
              <w:rPr>
                <w:rFonts w:ascii="Arial" w:hAnsi="Arial" w:cs="Arial"/>
                <w:sz w:val="22"/>
                <w:szCs w:val="22"/>
              </w:rPr>
              <w:t>N/A</w:t>
            </w:r>
          </w:p>
          <w:p w14:paraId="62F7EE43" w14:textId="77777777" w:rsidR="00BC5A7F" w:rsidRPr="00BC5A7F" w:rsidRDefault="00BC5A7F" w:rsidP="005C3F73">
            <w:pPr>
              <w:rPr>
                <w:rFonts w:ascii="Arial" w:hAnsi="Arial" w:cs="Arial"/>
                <w:sz w:val="22"/>
                <w:szCs w:val="22"/>
              </w:rPr>
            </w:pPr>
          </w:p>
        </w:tc>
      </w:tr>
      <w:tr w:rsidR="00F423FE" w:rsidRPr="008431C0" w14:paraId="1501313E" w14:textId="77777777" w:rsidTr="009072DA">
        <w:tc>
          <w:tcPr>
            <w:tcW w:w="9889" w:type="dxa"/>
          </w:tcPr>
          <w:p w14:paraId="1330842E" w14:textId="77777777" w:rsidR="00F423FE" w:rsidRPr="008431C0" w:rsidRDefault="00F423FE" w:rsidP="005C3F73">
            <w:pPr>
              <w:rPr>
                <w:rFonts w:ascii="Arial" w:hAnsi="Arial" w:cs="Arial"/>
                <w:b/>
                <w:sz w:val="22"/>
                <w:szCs w:val="22"/>
              </w:rPr>
            </w:pPr>
            <w:r w:rsidRPr="008431C0">
              <w:rPr>
                <w:rFonts w:ascii="Arial" w:hAnsi="Arial" w:cs="Arial"/>
                <w:b/>
                <w:sz w:val="22"/>
                <w:szCs w:val="22"/>
              </w:rPr>
              <w:t>Payment</w:t>
            </w:r>
          </w:p>
          <w:p w14:paraId="474B897D" w14:textId="77777777" w:rsidR="00F423FE" w:rsidRPr="008431C0" w:rsidRDefault="00F423FE" w:rsidP="005C3F73">
            <w:pPr>
              <w:rPr>
                <w:rFonts w:ascii="Arial" w:hAnsi="Arial" w:cs="Arial"/>
                <w:sz w:val="22"/>
                <w:szCs w:val="22"/>
              </w:rPr>
            </w:pPr>
          </w:p>
          <w:p w14:paraId="37E663C4" w14:textId="232B1318" w:rsidR="00F423FE" w:rsidRPr="0016576E" w:rsidRDefault="008B48BC" w:rsidP="005C3F73">
            <w:pPr>
              <w:rPr>
                <w:rFonts w:ascii="Arial" w:hAnsi="Arial" w:cs="Arial"/>
                <w:sz w:val="22"/>
                <w:szCs w:val="22"/>
              </w:rPr>
            </w:pPr>
            <w:r w:rsidRPr="0016576E">
              <w:rPr>
                <w:rFonts w:ascii="Arial" w:hAnsi="Arial" w:cs="Arial"/>
                <w:sz w:val="22"/>
                <w:szCs w:val="22"/>
              </w:rPr>
              <w:t xml:space="preserve">See condition </w:t>
            </w:r>
            <w:r w:rsidR="0016576E" w:rsidRPr="0016576E">
              <w:rPr>
                <w:rFonts w:ascii="Arial" w:hAnsi="Arial" w:cs="Arial"/>
                <w:sz w:val="22"/>
                <w:szCs w:val="22"/>
              </w:rPr>
              <w:t>36</w:t>
            </w:r>
            <w:r w:rsidRPr="0016576E">
              <w:rPr>
                <w:rFonts w:ascii="Arial" w:hAnsi="Arial" w:cs="Arial"/>
                <w:sz w:val="22"/>
                <w:szCs w:val="22"/>
              </w:rPr>
              <w:t xml:space="preserve"> of SC2 terms and conditions</w:t>
            </w:r>
            <w:r w:rsidR="00F8437A" w:rsidRPr="0016576E">
              <w:rPr>
                <w:rFonts w:ascii="Arial" w:hAnsi="Arial" w:cs="Arial"/>
                <w:sz w:val="22"/>
                <w:szCs w:val="22"/>
              </w:rPr>
              <w:t xml:space="preserve">. </w:t>
            </w:r>
          </w:p>
          <w:p w14:paraId="1C8E2A80" w14:textId="77777777" w:rsidR="00F423FE" w:rsidRPr="008431C0" w:rsidRDefault="00F423FE" w:rsidP="005C3F73">
            <w:pPr>
              <w:rPr>
                <w:rFonts w:ascii="Arial" w:hAnsi="Arial" w:cs="Arial"/>
                <w:sz w:val="22"/>
                <w:szCs w:val="22"/>
              </w:rPr>
            </w:pPr>
          </w:p>
        </w:tc>
      </w:tr>
    </w:tbl>
    <w:p w14:paraId="029840F7" w14:textId="77777777" w:rsidR="008D2894" w:rsidRDefault="008D2894"/>
    <w:sectPr w:rsidR="008D2894" w:rsidSect="009072DA">
      <w:headerReference w:type="default" r:id="rId11"/>
      <w:foot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450F8" w14:textId="77777777" w:rsidR="00AD4EDD" w:rsidRDefault="00AD4EDD" w:rsidP="00A0275F">
      <w:r>
        <w:separator/>
      </w:r>
    </w:p>
  </w:endnote>
  <w:endnote w:type="continuationSeparator" w:id="0">
    <w:p w14:paraId="0E44FB5D" w14:textId="77777777" w:rsidR="00AD4EDD" w:rsidRDefault="00AD4EDD" w:rsidP="00A0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DF9BE" w14:textId="77777777" w:rsidR="00A0275F" w:rsidRPr="009072DA" w:rsidRDefault="00A0275F" w:rsidP="009072DA">
    <w:pPr>
      <w:pStyle w:val="Footer"/>
      <w:jc w:val="right"/>
      <w:rPr>
        <w:rFonts w:ascii="Arial" w:hAnsi="Arial" w:cs="Arial"/>
        <w:b/>
      </w:rPr>
    </w:pPr>
    <w:r w:rsidRPr="009072DA">
      <w:rPr>
        <w:rFonts w:ascii="Arial" w:hAnsi="Arial" w:cs="Arial"/>
        <w:b/>
      </w:rPr>
      <w:t xml:space="preserve">Page </w:t>
    </w:r>
    <w:r w:rsidR="00CC58EA" w:rsidRPr="009072DA">
      <w:rPr>
        <w:rFonts w:ascii="Arial" w:hAnsi="Arial" w:cs="Arial"/>
        <w:b/>
      </w:rPr>
      <w:fldChar w:fldCharType="begin"/>
    </w:r>
    <w:r w:rsidRPr="009072DA">
      <w:rPr>
        <w:rFonts w:ascii="Arial" w:hAnsi="Arial" w:cs="Arial"/>
        <w:b/>
      </w:rPr>
      <w:instrText xml:space="preserve"> PAGE </w:instrText>
    </w:r>
    <w:r w:rsidR="00CC58EA" w:rsidRPr="009072DA">
      <w:rPr>
        <w:rFonts w:ascii="Arial" w:hAnsi="Arial" w:cs="Arial"/>
        <w:b/>
      </w:rPr>
      <w:fldChar w:fldCharType="separate"/>
    </w:r>
    <w:r w:rsidR="00B50AD2" w:rsidRPr="009072DA">
      <w:rPr>
        <w:rFonts w:ascii="Arial" w:hAnsi="Arial" w:cs="Arial"/>
        <w:b/>
        <w:noProof/>
      </w:rPr>
      <w:t>1</w:t>
    </w:r>
    <w:r w:rsidR="00CC58EA" w:rsidRPr="009072DA">
      <w:rPr>
        <w:rFonts w:ascii="Arial" w:hAnsi="Arial" w:cs="Arial"/>
        <w:b/>
      </w:rPr>
      <w:fldChar w:fldCharType="end"/>
    </w:r>
    <w:r w:rsidRPr="009072DA">
      <w:rPr>
        <w:rFonts w:ascii="Arial" w:hAnsi="Arial" w:cs="Arial"/>
        <w:b/>
      </w:rPr>
      <w:t xml:space="preserve"> of </w:t>
    </w:r>
    <w:r w:rsidR="00CC58EA" w:rsidRPr="009072DA">
      <w:rPr>
        <w:rFonts w:ascii="Arial" w:hAnsi="Arial" w:cs="Arial"/>
        <w:b/>
      </w:rPr>
      <w:fldChar w:fldCharType="begin"/>
    </w:r>
    <w:r w:rsidRPr="009072DA">
      <w:rPr>
        <w:rFonts w:ascii="Arial" w:hAnsi="Arial" w:cs="Arial"/>
        <w:b/>
      </w:rPr>
      <w:instrText xml:space="preserve"> NUMPAGES  </w:instrText>
    </w:r>
    <w:r w:rsidR="00CC58EA" w:rsidRPr="009072DA">
      <w:rPr>
        <w:rFonts w:ascii="Arial" w:hAnsi="Arial" w:cs="Arial"/>
        <w:b/>
      </w:rPr>
      <w:fldChar w:fldCharType="separate"/>
    </w:r>
    <w:r w:rsidR="00B50AD2" w:rsidRPr="009072DA">
      <w:rPr>
        <w:rFonts w:ascii="Arial" w:hAnsi="Arial" w:cs="Arial"/>
        <w:b/>
        <w:noProof/>
      </w:rPr>
      <w:t>7</w:t>
    </w:r>
    <w:r w:rsidR="00CC58EA" w:rsidRPr="009072DA">
      <w:rPr>
        <w:rFonts w:ascii="Arial" w:hAnsi="Arial" w:cs="Arial"/>
        <w:b/>
      </w:rPr>
      <w:fldChar w:fldCharType="end"/>
    </w:r>
  </w:p>
  <w:p w14:paraId="2CE2DE7E" w14:textId="77777777" w:rsidR="00A0275F" w:rsidRDefault="00A02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45D2A" w14:textId="77777777" w:rsidR="00AD4EDD" w:rsidRDefault="00AD4EDD" w:rsidP="00A0275F">
      <w:r>
        <w:separator/>
      </w:r>
    </w:p>
  </w:footnote>
  <w:footnote w:type="continuationSeparator" w:id="0">
    <w:p w14:paraId="5207AC93" w14:textId="77777777" w:rsidR="00AD4EDD" w:rsidRDefault="00AD4EDD" w:rsidP="00A02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72F4D" w14:textId="77777777" w:rsidR="008B48BC" w:rsidRDefault="008B48BC" w:rsidP="00A0275F">
    <w:pPr>
      <w:pStyle w:val="Header"/>
      <w:jc w:val="right"/>
      <w:rPr>
        <w:rFonts w:ascii="Arial" w:hAnsi="Arial" w:cs="Arial"/>
        <w:b/>
        <w:sz w:val="22"/>
        <w:szCs w:val="22"/>
        <w:u w:val="single"/>
      </w:rPr>
    </w:pPr>
    <w:r>
      <w:rPr>
        <w:rFonts w:ascii="Arial" w:hAnsi="Arial" w:cs="Arial"/>
        <w:b/>
        <w:sz w:val="22"/>
        <w:szCs w:val="22"/>
        <w:u w:val="single"/>
      </w:rPr>
      <w:t>Annex A to</w:t>
    </w:r>
  </w:p>
  <w:p w14:paraId="3688B040" w14:textId="77777777" w:rsidR="008B48BC" w:rsidRDefault="008B48BC" w:rsidP="00A0275F">
    <w:pPr>
      <w:pStyle w:val="Header"/>
      <w:jc w:val="right"/>
      <w:rPr>
        <w:rFonts w:ascii="Arial" w:hAnsi="Arial" w:cs="Arial"/>
        <w:b/>
        <w:sz w:val="22"/>
        <w:szCs w:val="22"/>
        <w:u w:val="single"/>
      </w:rPr>
    </w:pPr>
    <w:r>
      <w:rPr>
        <w:rFonts w:ascii="Arial" w:hAnsi="Arial" w:cs="Arial"/>
        <w:b/>
        <w:sz w:val="22"/>
        <w:szCs w:val="22"/>
        <w:u w:val="single"/>
      </w:rPr>
      <w:t>Schedule 2</w:t>
    </w:r>
  </w:p>
  <w:p w14:paraId="562AC42C" w14:textId="5C722B85" w:rsidR="00A0275F" w:rsidRPr="00F8437A" w:rsidRDefault="008B48BC" w:rsidP="00A0275F">
    <w:pPr>
      <w:pStyle w:val="Header"/>
      <w:jc w:val="right"/>
      <w:rPr>
        <w:rFonts w:ascii="Arial" w:hAnsi="Arial" w:cs="Arial"/>
        <w:sz w:val="22"/>
        <w:szCs w:val="22"/>
      </w:rPr>
    </w:pPr>
    <w:r>
      <w:rPr>
        <w:rFonts w:ascii="Arial" w:hAnsi="Arial" w:cs="Arial"/>
        <w:b/>
        <w:sz w:val="22"/>
        <w:szCs w:val="22"/>
        <w:u w:val="single"/>
      </w:rPr>
      <w:t>of 700162314</w:t>
    </w:r>
  </w:p>
  <w:p w14:paraId="41B4A500" w14:textId="77777777" w:rsidR="00A0275F" w:rsidRDefault="00A02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4F74"/>
    <w:multiLevelType w:val="hybridMultilevel"/>
    <w:tmpl w:val="AEE891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57EAE"/>
    <w:multiLevelType w:val="hybridMultilevel"/>
    <w:tmpl w:val="3908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53B86"/>
    <w:multiLevelType w:val="hybridMultilevel"/>
    <w:tmpl w:val="55AAC7FA"/>
    <w:lvl w:ilvl="0" w:tplc="1270A048">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102C25C4"/>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 w15:restartNumberingAfterBreak="0">
    <w:nsid w:val="2585128D"/>
    <w:multiLevelType w:val="hybridMultilevel"/>
    <w:tmpl w:val="B22028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783F71"/>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6" w15:restartNumberingAfterBreak="0">
    <w:nsid w:val="2B5A4C55"/>
    <w:multiLevelType w:val="hybridMultilevel"/>
    <w:tmpl w:val="20C4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975C7"/>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8" w15:restartNumberingAfterBreak="0">
    <w:nsid w:val="307F36EC"/>
    <w:multiLevelType w:val="hybridMultilevel"/>
    <w:tmpl w:val="8E6AEA6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0821B9D"/>
    <w:multiLevelType w:val="hybridMultilevel"/>
    <w:tmpl w:val="C576BA9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8512A42"/>
    <w:multiLevelType w:val="hybridMultilevel"/>
    <w:tmpl w:val="BFC46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DB27F3"/>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15:restartNumberingAfterBreak="0">
    <w:nsid w:val="4746072A"/>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3" w15:restartNumberingAfterBreak="0">
    <w:nsid w:val="4B9F4FB6"/>
    <w:multiLevelType w:val="hybridMultilevel"/>
    <w:tmpl w:val="83BA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853FDC"/>
    <w:multiLevelType w:val="hybridMultilevel"/>
    <w:tmpl w:val="44BC66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E66BC1"/>
    <w:multiLevelType w:val="hybridMultilevel"/>
    <w:tmpl w:val="37CCDF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40130B"/>
    <w:multiLevelType w:val="hybridMultilevel"/>
    <w:tmpl w:val="6FB0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B07DE7"/>
    <w:multiLevelType w:val="hybridMultilevel"/>
    <w:tmpl w:val="92FC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A14A61"/>
    <w:multiLevelType w:val="hybridMultilevel"/>
    <w:tmpl w:val="6C6AA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1C365E"/>
    <w:multiLevelType w:val="hybridMultilevel"/>
    <w:tmpl w:val="DC986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7A3F65"/>
    <w:multiLevelType w:val="hybridMultilevel"/>
    <w:tmpl w:val="8D94E4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B93014"/>
    <w:multiLevelType w:val="hybridMultilevel"/>
    <w:tmpl w:val="552C02C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C76215C"/>
    <w:multiLevelType w:val="hybridMultilevel"/>
    <w:tmpl w:val="E870D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1"/>
  </w:num>
  <w:num w:numId="3">
    <w:abstractNumId w:val="0"/>
  </w:num>
  <w:num w:numId="4">
    <w:abstractNumId w:val="4"/>
  </w:num>
  <w:num w:numId="5">
    <w:abstractNumId w:val="20"/>
  </w:num>
  <w:num w:numId="6">
    <w:abstractNumId w:val="22"/>
  </w:num>
  <w:num w:numId="7">
    <w:abstractNumId w:val="14"/>
  </w:num>
  <w:num w:numId="8">
    <w:abstractNumId w:val="15"/>
  </w:num>
  <w:num w:numId="9">
    <w:abstractNumId w:val="5"/>
  </w:num>
  <w:num w:numId="10">
    <w:abstractNumId w:val="18"/>
  </w:num>
  <w:num w:numId="11">
    <w:abstractNumId w:val="10"/>
  </w:num>
  <w:num w:numId="12">
    <w:abstractNumId w:val="7"/>
  </w:num>
  <w:num w:numId="13">
    <w:abstractNumId w:val="11"/>
  </w:num>
  <w:num w:numId="14">
    <w:abstractNumId w:val="3"/>
  </w:num>
  <w:num w:numId="15">
    <w:abstractNumId w:val="12"/>
  </w:num>
  <w:num w:numId="16">
    <w:abstractNumId w:val="17"/>
  </w:num>
  <w:num w:numId="17">
    <w:abstractNumId w:val="13"/>
  </w:num>
  <w:num w:numId="18">
    <w:abstractNumId w:val="1"/>
  </w:num>
  <w:num w:numId="19">
    <w:abstractNumId w:val="16"/>
  </w:num>
  <w:num w:numId="20">
    <w:abstractNumId w:val="19"/>
  </w:num>
  <w:num w:numId="21">
    <w:abstractNumId w:val="9"/>
  </w:num>
  <w:num w:numId="22">
    <w:abstractNumId w:val="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23FE"/>
    <w:rsid w:val="000C196F"/>
    <w:rsid w:val="00140762"/>
    <w:rsid w:val="00141C3F"/>
    <w:rsid w:val="001508E6"/>
    <w:rsid w:val="00152FEC"/>
    <w:rsid w:val="0016576E"/>
    <w:rsid w:val="00170C21"/>
    <w:rsid w:val="00180962"/>
    <w:rsid w:val="00267862"/>
    <w:rsid w:val="0029484D"/>
    <w:rsid w:val="003654D4"/>
    <w:rsid w:val="003B6175"/>
    <w:rsid w:val="003E0295"/>
    <w:rsid w:val="003E3F12"/>
    <w:rsid w:val="003E6555"/>
    <w:rsid w:val="0041773F"/>
    <w:rsid w:val="004326EA"/>
    <w:rsid w:val="00434DFE"/>
    <w:rsid w:val="004950C6"/>
    <w:rsid w:val="005046E6"/>
    <w:rsid w:val="00616C91"/>
    <w:rsid w:val="00625EF7"/>
    <w:rsid w:val="006341B9"/>
    <w:rsid w:val="00671457"/>
    <w:rsid w:val="006820DF"/>
    <w:rsid w:val="00696B92"/>
    <w:rsid w:val="00721CB8"/>
    <w:rsid w:val="0077021E"/>
    <w:rsid w:val="008744FD"/>
    <w:rsid w:val="008B48BC"/>
    <w:rsid w:val="008D2894"/>
    <w:rsid w:val="008F38F8"/>
    <w:rsid w:val="008F4B12"/>
    <w:rsid w:val="00900303"/>
    <w:rsid w:val="009016BE"/>
    <w:rsid w:val="009072DA"/>
    <w:rsid w:val="009308E5"/>
    <w:rsid w:val="009B6C8B"/>
    <w:rsid w:val="009B775B"/>
    <w:rsid w:val="009E42ED"/>
    <w:rsid w:val="009F5358"/>
    <w:rsid w:val="00A0275F"/>
    <w:rsid w:val="00A76F5E"/>
    <w:rsid w:val="00A94995"/>
    <w:rsid w:val="00AD4EDD"/>
    <w:rsid w:val="00B07E7F"/>
    <w:rsid w:val="00B465C6"/>
    <w:rsid w:val="00B50AD2"/>
    <w:rsid w:val="00B63D89"/>
    <w:rsid w:val="00B642DA"/>
    <w:rsid w:val="00B95AF1"/>
    <w:rsid w:val="00BC5A7F"/>
    <w:rsid w:val="00BC7DEF"/>
    <w:rsid w:val="00CC58EA"/>
    <w:rsid w:val="00D8313F"/>
    <w:rsid w:val="00D91506"/>
    <w:rsid w:val="00D95B71"/>
    <w:rsid w:val="00DA6E1C"/>
    <w:rsid w:val="00DD4914"/>
    <w:rsid w:val="00DE4C44"/>
    <w:rsid w:val="00DF5119"/>
    <w:rsid w:val="00EB2231"/>
    <w:rsid w:val="00EB6B89"/>
    <w:rsid w:val="00ED4FE7"/>
    <w:rsid w:val="00ED74A6"/>
    <w:rsid w:val="00EF00AD"/>
    <w:rsid w:val="00F01E73"/>
    <w:rsid w:val="00F37B89"/>
    <w:rsid w:val="00F423FE"/>
    <w:rsid w:val="00F84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94D48"/>
  <w15:docId w15:val="{7B89A673-2349-4655-9DC2-92A21CC5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3F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8E5"/>
    <w:pPr>
      <w:ind w:left="720"/>
    </w:pPr>
  </w:style>
  <w:style w:type="paragraph" w:styleId="NoSpacing">
    <w:name w:val="No Spacing"/>
    <w:uiPriority w:val="1"/>
    <w:qFormat/>
    <w:rsid w:val="00267862"/>
    <w:rPr>
      <w:sz w:val="22"/>
      <w:szCs w:val="22"/>
      <w:lang w:eastAsia="en-US"/>
    </w:rPr>
  </w:style>
  <w:style w:type="paragraph" w:styleId="Header">
    <w:name w:val="header"/>
    <w:basedOn w:val="Normal"/>
    <w:link w:val="HeaderChar"/>
    <w:uiPriority w:val="99"/>
    <w:unhideWhenUsed/>
    <w:rsid w:val="00A0275F"/>
    <w:pPr>
      <w:tabs>
        <w:tab w:val="center" w:pos="4513"/>
        <w:tab w:val="right" w:pos="9026"/>
      </w:tabs>
    </w:pPr>
  </w:style>
  <w:style w:type="character" w:customStyle="1" w:styleId="HeaderChar">
    <w:name w:val="Header Char"/>
    <w:basedOn w:val="DefaultParagraphFont"/>
    <w:link w:val="Header"/>
    <w:uiPriority w:val="99"/>
    <w:rsid w:val="00A0275F"/>
    <w:rPr>
      <w:rFonts w:ascii="Times New Roman" w:eastAsia="Times New Roman" w:hAnsi="Times New Roman"/>
      <w:sz w:val="24"/>
      <w:szCs w:val="24"/>
    </w:rPr>
  </w:style>
  <w:style w:type="paragraph" w:styleId="Footer">
    <w:name w:val="footer"/>
    <w:basedOn w:val="Normal"/>
    <w:link w:val="FooterChar"/>
    <w:uiPriority w:val="99"/>
    <w:unhideWhenUsed/>
    <w:rsid w:val="00A0275F"/>
    <w:pPr>
      <w:tabs>
        <w:tab w:val="center" w:pos="4513"/>
        <w:tab w:val="right" w:pos="9026"/>
      </w:tabs>
    </w:pPr>
  </w:style>
  <w:style w:type="character" w:customStyle="1" w:styleId="FooterChar">
    <w:name w:val="Footer Char"/>
    <w:basedOn w:val="DefaultParagraphFont"/>
    <w:link w:val="Footer"/>
    <w:uiPriority w:val="99"/>
    <w:rsid w:val="00A0275F"/>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0275F"/>
    <w:rPr>
      <w:rFonts w:ascii="Tahoma" w:hAnsi="Tahoma" w:cs="Tahoma"/>
      <w:sz w:val="16"/>
      <w:szCs w:val="16"/>
    </w:rPr>
  </w:style>
  <w:style w:type="character" w:customStyle="1" w:styleId="BalloonTextChar">
    <w:name w:val="Balloon Text Char"/>
    <w:basedOn w:val="DefaultParagraphFont"/>
    <w:link w:val="BalloonText"/>
    <w:uiPriority w:val="99"/>
    <w:semiHidden/>
    <w:rsid w:val="00A0275F"/>
    <w:rPr>
      <w:rFonts w:ascii="Tahoma" w:eastAsia="Times New Roman" w:hAnsi="Tahoma" w:cs="Tahoma"/>
      <w:sz w:val="16"/>
      <w:szCs w:val="16"/>
    </w:rPr>
  </w:style>
  <w:style w:type="paragraph" w:customStyle="1" w:styleId="Default">
    <w:name w:val="Default"/>
    <w:rsid w:val="0014076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4C63D6C077E48ABCE193D9D2C8AE9" ma:contentTypeVersion="" ma:contentTypeDescription="Create a new document." ma:contentTypeScope="" ma:versionID="152313a0999f6a9c2b3af3e4db93ba47">
  <xsd:schema xmlns:xsd="http://www.w3.org/2001/XMLSchema" xmlns:xs="http://www.w3.org/2001/XMLSchema" xmlns:p="http://schemas.microsoft.com/office/2006/metadata/properties" xmlns:ns2="A95B166B-4058-4FFF-9375-EDA642B8D1C2" targetNamespace="http://schemas.microsoft.com/office/2006/metadata/properties" ma:root="true" ma:fieldsID="e6ede39eb559cdaa223f348a32476f39" ns2:_="">
    <xsd:import namespace="A95B166B-4058-4FFF-9375-EDA642B8D1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B166B-4058-4FFF-9375-EDA642B8D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2E2A7-51F9-48C2-A55C-35E8E98021E4}"/>
</file>

<file path=customXml/itemProps2.xml><?xml version="1.0" encoding="utf-8"?>
<ds:datastoreItem xmlns:ds="http://schemas.openxmlformats.org/officeDocument/2006/customXml" ds:itemID="{17FCB4B7-F256-41FB-AD15-93F8ED5637F5}">
  <ds:schemaRefs>
    <ds:schemaRef ds:uri="http://schemas.microsoft.com/office/2006/metadata/properties"/>
    <ds:schemaRef ds:uri="http://schemas.microsoft.com/office/infopath/2007/PartnerControls"/>
    <ds:schemaRef ds:uri="f17d4ae0-39b7-47eb-90cb-7cc6e2fda7a6"/>
  </ds:schemaRefs>
</ds:datastoreItem>
</file>

<file path=customXml/itemProps3.xml><?xml version="1.0" encoding="utf-8"?>
<ds:datastoreItem xmlns:ds="http://schemas.openxmlformats.org/officeDocument/2006/customXml" ds:itemID="{1CAC571A-0A69-4422-918E-99DDE86A038C}">
  <ds:schemaRefs>
    <ds:schemaRef ds:uri="http://schemas.microsoft.com/sharepoint/v3/contenttype/forms"/>
  </ds:schemaRefs>
</ds:datastoreItem>
</file>

<file path=customXml/itemProps4.xml><?xml version="1.0" encoding="utf-8"?>
<ds:datastoreItem xmlns:ds="http://schemas.openxmlformats.org/officeDocument/2006/customXml" ds:itemID="{8565FD2F-5E0D-4A1D-BABB-FB1DD60ED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DSTL</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jfmalone</dc:creator>
  <cp:keywords/>
  <dc:description/>
  <cp:lastModifiedBy>Beckett, Nick E1 (Army Comrcl-NI-Proc2)</cp:lastModifiedBy>
  <cp:revision>4</cp:revision>
  <cp:lastPrinted>2012-10-24T08:25:00Z</cp:lastPrinted>
  <dcterms:created xsi:type="dcterms:W3CDTF">2020-01-30T11:48:00Z</dcterms:created>
  <dcterms:modified xsi:type="dcterms:W3CDTF">2020-03-03T11:23:00Z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0x0101004D84C63D6C077E48ABCE193D9D2C8AE9</vt:lpwstr>
  </property>
  <property fmtid="{D5CDD505-2E9C-101B-9397-08002B2CF9AE}" pid="3" name="ComplianceAssetId">
    <vt:lpwstr/>
  </property>
  <property fmtid="{D5CDD505-2E9C-101B-9397-08002B2CF9AE}" pid="4" name="Order">
    <vt:r8>199100</vt:r8>
  </property>
  <property fmtid="{D5CDD505-2E9C-101B-9397-08002B2CF9AE}" pid="5" name="_SourceUrl">
    <vt:lpwstr/>
  </property>
  <property fmtid="{D5CDD505-2E9C-101B-9397-08002B2CF9AE}" pid="6" name="_SharedFileIndex">
    <vt:lpwstr/>
  </property>
</Properties>
</file>