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7A3A32" w:rsidRDefault="001B078D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RFQ049</w:t>
      </w:r>
    </w:p>
    <w:p w:rsidR="00A06E18" w:rsidRPr="007A3A32" w:rsidRDefault="001B078D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Specialist Science Equipment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1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2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1B078D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8F71A5">
              <w:rPr>
                <w:rFonts w:ascii="Arial" w:eastAsia="Arial" w:hAnsi="Arial" w:cs="Arial"/>
                <w:spacing w:val="2"/>
                <w:sz w:val="21"/>
                <w:szCs w:val="21"/>
              </w:rPr>
              <w:t>86,000</w:t>
            </w:r>
            <w:bookmarkStart w:id="0" w:name="_GoBack"/>
            <w:bookmarkEnd w:id="0"/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14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uppor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ppren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cesh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k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ills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Throug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h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ub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lic</w:t>
      </w:r>
      <w:r w:rsidR="00BA74A0">
        <w:rPr>
          <w:rFonts w:ascii="Arial" w:eastAsia="Arial" w:hAnsi="Arial" w:cs="Arial"/>
          <w:color w:val="0000FF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6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2540</wp:posOffset>
                </wp:positionV>
                <wp:extent cx="1828800" cy="1270"/>
                <wp:effectExtent l="9525" t="11430" r="9525" b="635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4"/>
                          <a:chExt cx="2880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1800" y="4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BA74A0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04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5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Tak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ccoun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f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’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erfor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sectPr w:rsidR="00A06E18" w:rsidRPr="00BA74A0">
      <w:footerReference w:type="even" r:id="rId13"/>
      <w:footerReference w:type="default" r:id="rId14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8F71A5">
          <w:rPr>
            <w:noProof/>
            <w:color w:val="A6A6A6" w:themeColor="background1" w:themeShade="A6"/>
          </w:rPr>
          <w:t>12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B078D"/>
    <w:rsid w:val="0026781B"/>
    <w:rsid w:val="004770AD"/>
    <w:rsid w:val="004B197D"/>
    <w:rsid w:val="005D0E03"/>
    <w:rsid w:val="007A3A32"/>
    <w:rsid w:val="008621F0"/>
    <w:rsid w:val="008F71A5"/>
    <w:rsid w:val="00A06E18"/>
    <w:rsid w:val="00B06CBB"/>
    <w:rsid w:val="00B868A6"/>
    <w:rsid w:val="00BA74A0"/>
    <w:rsid w:val="00BF49B4"/>
    <w:rsid w:val="00C70BA1"/>
    <w:rsid w:val="00FB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91E83AB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4036</Words>
  <Characters>23011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Natalie Hockings</cp:lastModifiedBy>
  <cp:revision>9</cp:revision>
  <dcterms:created xsi:type="dcterms:W3CDTF">2017-02-27T20:19:00Z</dcterms:created>
  <dcterms:modified xsi:type="dcterms:W3CDTF">2017-06-30T07:07:00Z</dcterms:modified>
</cp:coreProperties>
</file>