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668D" w:rsidRDefault="008C668D" w:rsidP="008C668D">
      <w:pPr>
        <w:jc w:val="center"/>
        <w:rPr>
          <w:b/>
          <w:sz w:val="28"/>
          <w:szCs w:val="28"/>
        </w:rPr>
      </w:pPr>
      <w:r>
        <w:rPr>
          <w:b/>
          <w:sz w:val="28"/>
          <w:szCs w:val="28"/>
        </w:rPr>
        <w:t>GENERAL DENTAL COUNCIL</w:t>
      </w:r>
    </w:p>
    <w:p w:rsidR="00E54070" w:rsidRPr="002C06A3" w:rsidRDefault="002C06A3" w:rsidP="008C668D">
      <w:pPr>
        <w:jc w:val="center"/>
        <w:rPr>
          <w:b/>
          <w:sz w:val="28"/>
          <w:szCs w:val="28"/>
        </w:rPr>
      </w:pPr>
      <w:r w:rsidRPr="002C06A3">
        <w:rPr>
          <w:b/>
          <w:sz w:val="28"/>
          <w:szCs w:val="28"/>
        </w:rPr>
        <w:t>INVITATION TO TENDER</w:t>
      </w:r>
    </w:p>
    <w:p w:rsidR="002C06A3" w:rsidRDefault="002C06A3">
      <w:r>
        <w:t>Literature Review: Fitness to Practise: Impairment and Serious Misconduct</w:t>
      </w:r>
    </w:p>
    <w:p w:rsidR="002C06A3" w:rsidRPr="002C06A3" w:rsidRDefault="002C06A3" w:rsidP="002C06A3">
      <w:pPr>
        <w:rPr>
          <w:b/>
        </w:rPr>
      </w:pPr>
      <w:r w:rsidRPr="002C06A3">
        <w:rPr>
          <w:b/>
        </w:rPr>
        <w:t>Introduction</w:t>
      </w:r>
      <w:bookmarkStart w:id="0" w:name="_GoBack"/>
      <w:bookmarkEnd w:id="0"/>
    </w:p>
    <w:p w:rsidR="002C06A3" w:rsidRDefault="002C06A3" w:rsidP="002C06A3">
      <w:r>
        <w:t xml:space="preserve">This document invites interested parties to respond to an Invitation to Tender to conduct a literature review for the General Dental Council (GDC) to investigate how regulators use their Fitness to Practise powers and processes to sanction serious misconduct when professionals do not meet the required standards. </w:t>
      </w:r>
    </w:p>
    <w:p w:rsidR="002C06A3" w:rsidRPr="00781CE4" w:rsidRDefault="002C06A3" w:rsidP="002C06A3">
      <w:pPr>
        <w:rPr>
          <w:b/>
        </w:rPr>
      </w:pPr>
      <w:r>
        <w:t xml:space="preserve"> </w:t>
      </w:r>
      <w:r w:rsidRPr="00781CE4">
        <w:rPr>
          <w:b/>
        </w:rPr>
        <w:t>Background and Policy Context</w:t>
      </w:r>
    </w:p>
    <w:p w:rsidR="002C06A3" w:rsidRDefault="002C06A3" w:rsidP="002C06A3">
      <w:r>
        <w:t xml:space="preserve">The GDC is the regulator of the dental professionals in the United Kingdom. All dentists and DCPs (dental nurses, dental technicians, clinical dental technicians, dental hygienists, dental therapists and orthodontic therapists) must be registered to practice in the UK. </w:t>
      </w:r>
    </w:p>
    <w:p w:rsidR="002C06A3" w:rsidRDefault="002C06A3" w:rsidP="002C06A3">
      <w:r>
        <w:t>Our statutory purpose, as set out in the Dentists Act 1984, is to protect the public b</w:t>
      </w:r>
      <w:r w:rsidR="00040FFE">
        <w:t>y regulating the dental team. We</w:t>
      </w:r>
      <w:r>
        <w:t xml:space="preserve"> do this by:</w:t>
      </w:r>
    </w:p>
    <w:p w:rsidR="00040FFE" w:rsidRDefault="00040FFE" w:rsidP="00040FFE">
      <w:pPr>
        <w:pStyle w:val="ListParagraph"/>
        <w:numPr>
          <w:ilvl w:val="0"/>
          <w:numId w:val="10"/>
        </w:numPr>
      </w:pPr>
      <w:r>
        <w:t>Registering qualified professionals</w:t>
      </w:r>
    </w:p>
    <w:p w:rsidR="00040FFE" w:rsidRDefault="00040FFE" w:rsidP="00040FFE">
      <w:pPr>
        <w:pStyle w:val="ListParagraph"/>
        <w:numPr>
          <w:ilvl w:val="0"/>
          <w:numId w:val="10"/>
        </w:numPr>
      </w:pPr>
      <w:r>
        <w:t>Setting and enforcing standards of dental practise and conduct</w:t>
      </w:r>
    </w:p>
    <w:p w:rsidR="00040FFE" w:rsidRDefault="00040FFE" w:rsidP="00040FFE">
      <w:pPr>
        <w:pStyle w:val="ListParagraph"/>
        <w:numPr>
          <w:ilvl w:val="0"/>
          <w:numId w:val="10"/>
        </w:numPr>
      </w:pPr>
      <w:r>
        <w:t>Assuring the quality of dental education</w:t>
      </w:r>
    </w:p>
    <w:p w:rsidR="00040FFE" w:rsidRDefault="00040FFE" w:rsidP="00040FFE">
      <w:pPr>
        <w:pStyle w:val="ListParagraph"/>
        <w:numPr>
          <w:ilvl w:val="0"/>
          <w:numId w:val="10"/>
        </w:numPr>
      </w:pPr>
      <w:r>
        <w:t xml:space="preserve">Ensuring professionals keep up-to- date </w:t>
      </w:r>
    </w:p>
    <w:p w:rsidR="00AF4234" w:rsidRPr="00AF4234" w:rsidRDefault="00040FFE" w:rsidP="002C06A3">
      <w:pPr>
        <w:pStyle w:val="ListParagraph"/>
        <w:numPr>
          <w:ilvl w:val="0"/>
          <w:numId w:val="10"/>
        </w:numPr>
      </w:pPr>
      <w:r w:rsidRPr="00040FFE">
        <w:t xml:space="preserve">Investigate concerns where </w:t>
      </w:r>
      <w:r w:rsidRPr="00040FFE">
        <w:rPr>
          <w:bCs/>
          <w:lang w:val="en"/>
        </w:rPr>
        <w:t>the dental professional could be a risk to other patients and take enforcement action where necessary</w:t>
      </w:r>
      <w:r w:rsidR="00AF4234">
        <w:rPr>
          <w:bCs/>
          <w:lang w:val="en"/>
        </w:rPr>
        <w:t xml:space="preserve"> to protect the public or maintain confidence in dental services</w:t>
      </w:r>
    </w:p>
    <w:p w:rsidR="00AF4234" w:rsidRDefault="00AF4234" w:rsidP="00AF4234">
      <w:pPr>
        <w:ind w:left="360"/>
        <w:rPr>
          <w:bCs/>
          <w:lang w:val="en"/>
        </w:rPr>
      </w:pPr>
      <w:r>
        <w:rPr>
          <w:bCs/>
          <w:lang w:val="en"/>
        </w:rPr>
        <w:t xml:space="preserve">The standards of practice for all our registrants are set out in the  </w:t>
      </w:r>
      <w:hyperlink r:id="rId8" w:history="1">
        <w:r w:rsidRPr="00AF4234">
          <w:rPr>
            <w:rStyle w:val="Hyperlink"/>
            <w:lang w:val="en"/>
          </w:rPr>
          <w:t>Standards for Dental Professionals</w:t>
        </w:r>
      </w:hyperlink>
      <w:r w:rsidR="00281D85">
        <w:rPr>
          <w:bCs/>
          <w:lang w:val="en"/>
        </w:rPr>
        <w:t xml:space="preserve">. The GDC may take </w:t>
      </w:r>
      <w:r>
        <w:rPr>
          <w:bCs/>
          <w:lang w:val="en"/>
        </w:rPr>
        <w:t>action through its Fitness to Practise process when dental professionals do not meet the required standards. This</w:t>
      </w:r>
      <w:r w:rsidR="00281D85">
        <w:rPr>
          <w:bCs/>
          <w:lang w:val="en"/>
        </w:rPr>
        <w:t xml:space="preserve"> could be </w:t>
      </w:r>
      <w:r w:rsidR="0098632F">
        <w:rPr>
          <w:bCs/>
          <w:lang w:val="en"/>
        </w:rPr>
        <w:t>as a result</w:t>
      </w:r>
      <w:r w:rsidR="00281D85">
        <w:rPr>
          <w:bCs/>
          <w:lang w:val="en"/>
        </w:rPr>
        <w:t xml:space="preserve"> of their behaviour, professional skills or </w:t>
      </w:r>
      <w:r>
        <w:rPr>
          <w:bCs/>
          <w:lang w:val="en"/>
        </w:rPr>
        <w:t xml:space="preserve">health. </w:t>
      </w:r>
    </w:p>
    <w:p w:rsidR="00AF4234" w:rsidRDefault="00AF4234" w:rsidP="00AF4234">
      <w:pPr>
        <w:ind w:left="360"/>
        <w:rPr>
          <w:bCs/>
          <w:lang w:val="en"/>
        </w:rPr>
      </w:pPr>
      <w:r>
        <w:rPr>
          <w:bCs/>
          <w:lang w:val="en"/>
        </w:rPr>
        <w:t>The GDC will investigate any concerns that a dental professional is falling short of our</w:t>
      </w:r>
      <w:r w:rsidR="00281D85">
        <w:rPr>
          <w:bCs/>
          <w:lang w:val="en"/>
        </w:rPr>
        <w:t xml:space="preserve"> standards and may not be fit to</w:t>
      </w:r>
      <w:r>
        <w:rPr>
          <w:bCs/>
          <w:lang w:val="en"/>
        </w:rPr>
        <w:t xml:space="preserve"> work as a dental professional. If, following investigation, the impair</w:t>
      </w:r>
      <w:r w:rsidR="00281D85">
        <w:rPr>
          <w:bCs/>
          <w:lang w:val="en"/>
        </w:rPr>
        <w:t>ment of standards is found to</w:t>
      </w:r>
      <w:r>
        <w:rPr>
          <w:bCs/>
          <w:lang w:val="en"/>
        </w:rPr>
        <w:t xml:space="preserve"> be serious, the GDC can place restrictions or take away their rights to work in the UK. The GDC does not provide financial redress to patients. </w:t>
      </w:r>
    </w:p>
    <w:p w:rsidR="00AF4234" w:rsidRDefault="00AF4234" w:rsidP="00AF4234">
      <w:pPr>
        <w:ind w:left="360"/>
        <w:rPr>
          <w:bCs/>
          <w:lang w:val="en"/>
        </w:rPr>
      </w:pPr>
      <w:r>
        <w:rPr>
          <w:bCs/>
          <w:lang w:val="en"/>
        </w:rPr>
        <w:t xml:space="preserve">In January 2017, the GDC published a discussion document called </w:t>
      </w:r>
      <w:hyperlink r:id="rId9" w:history="1">
        <w:r w:rsidRPr="00AF4234">
          <w:rPr>
            <w:rStyle w:val="Hyperlink"/>
            <w:lang w:val="en"/>
          </w:rPr>
          <w:t>shifting the balance</w:t>
        </w:r>
      </w:hyperlink>
      <w:r>
        <w:rPr>
          <w:bCs/>
          <w:lang w:val="en"/>
        </w:rPr>
        <w:t xml:space="preserve"> </w:t>
      </w:r>
      <w:r w:rsidR="000F7FDE">
        <w:rPr>
          <w:bCs/>
          <w:lang w:val="en"/>
        </w:rPr>
        <w:t>on the future of professional regulation in de</w:t>
      </w:r>
      <w:r w:rsidR="00B93593">
        <w:rPr>
          <w:bCs/>
          <w:lang w:val="en"/>
        </w:rPr>
        <w:t>ntistry. The document, sets out its agenda for reforming the regulation of dental professionals and included proposals to refocu</w:t>
      </w:r>
      <w:r w:rsidR="0098632F">
        <w:rPr>
          <w:bCs/>
          <w:lang w:val="en"/>
        </w:rPr>
        <w:t xml:space="preserve">s fitness to </w:t>
      </w:r>
      <w:r w:rsidR="00781CE4">
        <w:rPr>
          <w:bCs/>
          <w:lang w:val="en"/>
        </w:rPr>
        <w:t>practise enforcement</w:t>
      </w:r>
      <w:r w:rsidR="00042306">
        <w:rPr>
          <w:bCs/>
          <w:lang w:val="en"/>
        </w:rPr>
        <w:t xml:space="preserve"> powers so that we are using them only in cases that are sufficiently seri</w:t>
      </w:r>
      <w:r w:rsidR="00281D85">
        <w:rPr>
          <w:bCs/>
          <w:lang w:val="en"/>
        </w:rPr>
        <w:t>o</w:t>
      </w:r>
      <w:r w:rsidR="00042306">
        <w:rPr>
          <w:bCs/>
          <w:lang w:val="en"/>
        </w:rPr>
        <w:t>us and which raise questi</w:t>
      </w:r>
      <w:r w:rsidR="0046207F">
        <w:rPr>
          <w:bCs/>
          <w:lang w:val="en"/>
        </w:rPr>
        <w:t>o</w:t>
      </w:r>
      <w:r w:rsidR="00042306">
        <w:rPr>
          <w:bCs/>
          <w:lang w:val="en"/>
        </w:rPr>
        <w:t>ns of patient safety or public confidence in</w:t>
      </w:r>
      <w:r w:rsidR="0046207F">
        <w:rPr>
          <w:bCs/>
          <w:lang w:val="en"/>
        </w:rPr>
        <w:t xml:space="preserve"> </w:t>
      </w:r>
      <w:r w:rsidR="00042306">
        <w:rPr>
          <w:bCs/>
          <w:lang w:val="en"/>
        </w:rPr>
        <w:t xml:space="preserve">dental services. </w:t>
      </w:r>
    </w:p>
    <w:p w:rsidR="00042306" w:rsidRDefault="00042306" w:rsidP="00AF4234">
      <w:pPr>
        <w:ind w:left="360"/>
        <w:rPr>
          <w:bCs/>
          <w:lang w:val="en"/>
        </w:rPr>
      </w:pPr>
      <w:r>
        <w:rPr>
          <w:bCs/>
          <w:lang w:val="en"/>
        </w:rPr>
        <w:t>In taking forward this work, we require to deepen our understanding of what constitu</w:t>
      </w:r>
      <w:r w:rsidR="0046207F">
        <w:rPr>
          <w:bCs/>
          <w:lang w:val="en"/>
        </w:rPr>
        <w:t>t</w:t>
      </w:r>
      <w:r>
        <w:rPr>
          <w:bCs/>
          <w:lang w:val="en"/>
        </w:rPr>
        <w:t>es seri</w:t>
      </w:r>
      <w:r w:rsidR="0046207F">
        <w:rPr>
          <w:bCs/>
          <w:lang w:val="en"/>
        </w:rPr>
        <w:t>o</w:t>
      </w:r>
      <w:r>
        <w:rPr>
          <w:bCs/>
          <w:lang w:val="en"/>
        </w:rPr>
        <w:t xml:space="preserve">us professional misconduct and its relationship to public confidence in dentistry and </w:t>
      </w:r>
      <w:r w:rsidR="0046207F">
        <w:rPr>
          <w:bCs/>
          <w:lang w:val="en"/>
        </w:rPr>
        <w:t>p</w:t>
      </w:r>
      <w:r>
        <w:rPr>
          <w:bCs/>
          <w:lang w:val="en"/>
        </w:rPr>
        <w:t xml:space="preserve">rofessional regulation. The required an evidence base upon which to develop policy in this area. </w:t>
      </w:r>
    </w:p>
    <w:p w:rsidR="00042306" w:rsidRDefault="00042306" w:rsidP="00AF4234">
      <w:pPr>
        <w:ind w:left="360"/>
        <w:rPr>
          <w:bCs/>
          <w:lang w:val="en"/>
        </w:rPr>
      </w:pPr>
      <w:r>
        <w:rPr>
          <w:bCs/>
          <w:lang w:val="en"/>
        </w:rPr>
        <w:t xml:space="preserve">Currently the evidence base that we are aware of in this area is limited. It includes the following: </w:t>
      </w:r>
    </w:p>
    <w:p w:rsidR="00042306" w:rsidRDefault="00042306" w:rsidP="00042306">
      <w:pPr>
        <w:pStyle w:val="ListParagraph"/>
        <w:numPr>
          <w:ilvl w:val="0"/>
          <w:numId w:val="11"/>
        </w:numPr>
        <w:rPr>
          <w:bCs/>
          <w:lang w:val="en"/>
        </w:rPr>
      </w:pPr>
      <w:r>
        <w:rPr>
          <w:bCs/>
          <w:lang w:val="en"/>
        </w:rPr>
        <w:lastRenderedPageBreak/>
        <w:t>2017 GDC research through the GDC patient and public survey about patient and public attitudes towards what constitutes fair and proportionate enforcement action in rela</w:t>
      </w:r>
      <w:r w:rsidR="0046207F">
        <w:rPr>
          <w:bCs/>
          <w:lang w:val="en"/>
        </w:rPr>
        <w:t>tion to examples of misconduct</w:t>
      </w:r>
      <w:r w:rsidR="00F50281">
        <w:rPr>
          <w:bCs/>
          <w:lang w:val="en"/>
        </w:rPr>
        <w:t xml:space="preserve"> (not yet published). </w:t>
      </w:r>
    </w:p>
    <w:p w:rsidR="00042306" w:rsidRDefault="00042306" w:rsidP="00042306">
      <w:pPr>
        <w:pStyle w:val="ListParagraph"/>
        <w:numPr>
          <w:ilvl w:val="0"/>
          <w:numId w:val="11"/>
        </w:numPr>
        <w:rPr>
          <w:bCs/>
          <w:lang w:val="en"/>
        </w:rPr>
      </w:pPr>
      <w:r>
        <w:rPr>
          <w:bCs/>
          <w:lang w:val="en"/>
        </w:rPr>
        <w:t xml:space="preserve">2106 PSA research on patient and professional attitudes to dishonesty found that </w:t>
      </w:r>
      <w:r w:rsidR="00781CE4">
        <w:rPr>
          <w:bCs/>
          <w:lang w:val="en"/>
        </w:rPr>
        <w:t>both</w:t>
      </w:r>
      <w:r>
        <w:rPr>
          <w:bCs/>
          <w:lang w:val="en"/>
        </w:rPr>
        <w:t xml:space="preserve"> groups took at nuanced at</w:t>
      </w:r>
      <w:r w:rsidR="0046207F">
        <w:rPr>
          <w:bCs/>
          <w:lang w:val="en"/>
        </w:rPr>
        <w:t>titudes towards examples of dis</w:t>
      </w:r>
      <w:r>
        <w:rPr>
          <w:bCs/>
          <w:lang w:val="en"/>
        </w:rPr>
        <w:t xml:space="preserve">honesty with a </w:t>
      </w:r>
      <w:r w:rsidR="0046207F">
        <w:rPr>
          <w:bCs/>
          <w:lang w:val="en"/>
        </w:rPr>
        <w:t>range of mitigating and aggravating factors affecting t</w:t>
      </w:r>
      <w:r>
        <w:rPr>
          <w:bCs/>
          <w:lang w:val="en"/>
        </w:rPr>
        <w:t>heir vi</w:t>
      </w:r>
      <w:r w:rsidR="0046207F">
        <w:rPr>
          <w:bCs/>
          <w:lang w:val="en"/>
        </w:rPr>
        <w:t>ew of proportionate enfor</w:t>
      </w:r>
      <w:r>
        <w:rPr>
          <w:bCs/>
          <w:lang w:val="en"/>
        </w:rPr>
        <w:t>c</w:t>
      </w:r>
      <w:r w:rsidR="0046207F">
        <w:rPr>
          <w:bCs/>
          <w:lang w:val="en"/>
        </w:rPr>
        <w:t>e</w:t>
      </w:r>
      <w:r>
        <w:rPr>
          <w:bCs/>
          <w:lang w:val="en"/>
        </w:rPr>
        <w:t>ment and sanctions</w:t>
      </w:r>
      <w:r w:rsidR="00200553">
        <w:rPr>
          <w:rStyle w:val="FootnoteReference"/>
          <w:bCs/>
          <w:lang w:val="en"/>
        </w:rPr>
        <w:footnoteReference w:id="1"/>
      </w:r>
    </w:p>
    <w:p w:rsidR="00042306" w:rsidRDefault="00042306" w:rsidP="00042306">
      <w:pPr>
        <w:pStyle w:val="ListParagraph"/>
        <w:numPr>
          <w:ilvl w:val="0"/>
          <w:numId w:val="11"/>
        </w:numPr>
        <w:rPr>
          <w:bCs/>
          <w:lang w:val="en"/>
        </w:rPr>
      </w:pPr>
      <w:r>
        <w:rPr>
          <w:bCs/>
          <w:lang w:val="en"/>
        </w:rPr>
        <w:t xml:space="preserve">2017 PSA research that develops a typology for classifying dishonesty cases based on </w:t>
      </w:r>
      <w:r w:rsidR="00781CE4">
        <w:rPr>
          <w:bCs/>
          <w:lang w:val="en"/>
        </w:rPr>
        <w:t>analyzing</w:t>
      </w:r>
      <w:r>
        <w:rPr>
          <w:bCs/>
          <w:lang w:val="en"/>
        </w:rPr>
        <w:t xml:space="preserve"> 151 cases of action taken by health regulators against professional misconduct. </w:t>
      </w:r>
      <w:r w:rsidR="00200553">
        <w:rPr>
          <w:rStyle w:val="FootnoteReference"/>
          <w:bCs/>
          <w:lang w:val="en"/>
        </w:rPr>
        <w:footnoteReference w:id="2"/>
      </w:r>
    </w:p>
    <w:p w:rsidR="00042306" w:rsidRDefault="00042306" w:rsidP="00042306">
      <w:pPr>
        <w:pStyle w:val="ListParagraph"/>
        <w:numPr>
          <w:ilvl w:val="0"/>
          <w:numId w:val="11"/>
        </w:numPr>
        <w:rPr>
          <w:bCs/>
          <w:lang w:val="en"/>
        </w:rPr>
      </w:pPr>
      <w:r>
        <w:rPr>
          <w:bCs/>
          <w:lang w:val="en"/>
        </w:rPr>
        <w:t>Solicitors Regulation Authority research</w:t>
      </w:r>
      <w:r w:rsidR="00200553">
        <w:rPr>
          <w:bCs/>
          <w:lang w:val="en"/>
        </w:rPr>
        <w:t>, A Question of Trust</w:t>
      </w:r>
      <w:r w:rsidR="00200553">
        <w:rPr>
          <w:rStyle w:val="FootnoteReference"/>
          <w:bCs/>
          <w:lang w:val="en"/>
        </w:rPr>
        <w:footnoteReference w:id="3"/>
      </w:r>
    </w:p>
    <w:p w:rsidR="00042306" w:rsidRPr="00F50281" w:rsidRDefault="00042306" w:rsidP="00042306">
      <w:pPr>
        <w:rPr>
          <w:b/>
          <w:bCs/>
          <w:lang w:val="en"/>
        </w:rPr>
      </w:pPr>
      <w:r w:rsidRPr="00F50281">
        <w:rPr>
          <w:b/>
          <w:bCs/>
          <w:lang w:val="en"/>
        </w:rPr>
        <w:t>Research Brief</w:t>
      </w:r>
    </w:p>
    <w:p w:rsidR="00042306" w:rsidRDefault="00042306" w:rsidP="00042306">
      <w:pPr>
        <w:rPr>
          <w:bCs/>
          <w:lang w:val="en"/>
        </w:rPr>
      </w:pPr>
      <w:r>
        <w:rPr>
          <w:bCs/>
          <w:lang w:val="en"/>
        </w:rPr>
        <w:t>The aim of this study is to establish, review and summarise all the avail</w:t>
      </w:r>
      <w:r w:rsidR="0046207F">
        <w:rPr>
          <w:bCs/>
          <w:lang w:val="en"/>
        </w:rPr>
        <w:t>able evidence and literature ab</w:t>
      </w:r>
      <w:r>
        <w:rPr>
          <w:bCs/>
          <w:lang w:val="en"/>
        </w:rPr>
        <w:t>out how regula</w:t>
      </w:r>
      <w:r w:rsidR="0046207F">
        <w:rPr>
          <w:bCs/>
          <w:lang w:val="en"/>
        </w:rPr>
        <w:t xml:space="preserve">tors use their fitness </w:t>
      </w:r>
      <w:r>
        <w:rPr>
          <w:bCs/>
          <w:lang w:val="en"/>
        </w:rPr>
        <w:t>to practice power and process to</w:t>
      </w:r>
      <w:r w:rsidR="0046207F">
        <w:rPr>
          <w:bCs/>
          <w:lang w:val="en"/>
        </w:rPr>
        <w:t xml:space="preserve"> sanction serious misconduct wh</w:t>
      </w:r>
      <w:r>
        <w:rPr>
          <w:bCs/>
          <w:lang w:val="en"/>
        </w:rPr>
        <w:t>e</w:t>
      </w:r>
      <w:r w:rsidR="0046207F">
        <w:rPr>
          <w:bCs/>
          <w:lang w:val="en"/>
        </w:rPr>
        <w:t>n</w:t>
      </w:r>
      <w:r>
        <w:rPr>
          <w:bCs/>
          <w:lang w:val="en"/>
        </w:rPr>
        <w:t xml:space="preserve"> professionals do</w:t>
      </w:r>
      <w:r w:rsidR="008139A7">
        <w:rPr>
          <w:bCs/>
          <w:lang w:val="en"/>
        </w:rPr>
        <w:t xml:space="preserve"> not me</w:t>
      </w:r>
      <w:r w:rsidR="00281D85">
        <w:rPr>
          <w:bCs/>
          <w:lang w:val="en"/>
        </w:rPr>
        <w:t>e</w:t>
      </w:r>
      <w:r w:rsidR="008139A7">
        <w:rPr>
          <w:bCs/>
          <w:lang w:val="en"/>
        </w:rPr>
        <w:t>t the required standards.</w:t>
      </w:r>
    </w:p>
    <w:p w:rsidR="008139A7" w:rsidRDefault="00281D85" w:rsidP="00042306">
      <w:pPr>
        <w:rPr>
          <w:bCs/>
          <w:lang w:val="en"/>
        </w:rPr>
      </w:pPr>
      <w:r>
        <w:rPr>
          <w:bCs/>
          <w:lang w:val="en"/>
        </w:rPr>
        <w:t>It should include</w:t>
      </w:r>
      <w:r w:rsidR="008139A7">
        <w:rPr>
          <w:bCs/>
          <w:lang w:val="en"/>
        </w:rPr>
        <w:t xml:space="preserve"> literature relating to </w:t>
      </w:r>
    </w:p>
    <w:p w:rsidR="008139A7" w:rsidRDefault="008139A7" w:rsidP="008139A7">
      <w:pPr>
        <w:pStyle w:val="ListParagraph"/>
        <w:numPr>
          <w:ilvl w:val="0"/>
          <w:numId w:val="12"/>
        </w:numPr>
        <w:rPr>
          <w:bCs/>
          <w:lang w:val="en"/>
        </w:rPr>
      </w:pPr>
      <w:r>
        <w:rPr>
          <w:bCs/>
          <w:lang w:val="en"/>
        </w:rPr>
        <w:t xml:space="preserve">UK Health regulators </w:t>
      </w:r>
    </w:p>
    <w:p w:rsidR="008139A7" w:rsidRDefault="008139A7" w:rsidP="008139A7">
      <w:pPr>
        <w:pStyle w:val="ListParagraph"/>
        <w:numPr>
          <w:ilvl w:val="0"/>
          <w:numId w:val="12"/>
        </w:numPr>
        <w:rPr>
          <w:bCs/>
          <w:lang w:val="en"/>
        </w:rPr>
      </w:pPr>
      <w:r>
        <w:rPr>
          <w:bCs/>
          <w:lang w:val="en"/>
        </w:rPr>
        <w:t>Other UK regulators</w:t>
      </w:r>
    </w:p>
    <w:p w:rsidR="008139A7" w:rsidRDefault="008139A7" w:rsidP="008139A7">
      <w:pPr>
        <w:pStyle w:val="ListParagraph"/>
        <w:numPr>
          <w:ilvl w:val="0"/>
          <w:numId w:val="12"/>
        </w:numPr>
        <w:rPr>
          <w:bCs/>
          <w:lang w:val="en"/>
        </w:rPr>
      </w:pPr>
      <w:r>
        <w:rPr>
          <w:bCs/>
          <w:lang w:val="en"/>
        </w:rPr>
        <w:t>International regulators</w:t>
      </w:r>
    </w:p>
    <w:p w:rsidR="008139A7" w:rsidRDefault="008139A7" w:rsidP="008139A7">
      <w:pPr>
        <w:rPr>
          <w:bCs/>
          <w:lang w:val="en"/>
        </w:rPr>
      </w:pPr>
      <w:r>
        <w:rPr>
          <w:bCs/>
          <w:lang w:val="en"/>
        </w:rPr>
        <w:t>The study would focus o</w:t>
      </w:r>
      <w:r w:rsidR="0046207F">
        <w:rPr>
          <w:bCs/>
          <w:lang w:val="en"/>
        </w:rPr>
        <w:t xml:space="preserve">n </w:t>
      </w:r>
      <w:r>
        <w:rPr>
          <w:bCs/>
          <w:lang w:val="en"/>
        </w:rPr>
        <w:t>id</w:t>
      </w:r>
      <w:r w:rsidR="0046207F">
        <w:rPr>
          <w:bCs/>
          <w:lang w:val="en"/>
        </w:rPr>
        <w:t>entifying and summarising li</w:t>
      </w:r>
      <w:r>
        <w:rPr>
          <w:bCs/>
          <w:lang w:val="en"/>
        </w:rPr>
        <w:t>terature that would include the following (this is an in</w:t>
      </w:r>
      <w:r w:rsidR="0046207F">
        <w:rPr>
          <w:bCs/>
          <w:lang w:val="en"/>
        </w:rPr>
        <w:t>dicative, rather than an exhaus</w:t>
      </w:r>
      <w:r>
        <w:rPr>
          <w:bCs/>
          <w:lang w:val="en"/>
        </w:rPr>
        <w:t xml:space="preserve">tive list) </w:t>
      </w:r>
    </w:p>
    <w:p w:rsidR="008139A7" w:rsidRDefault="008139A7" w:rsidP="008139A7">
      <w:pPr>
        <w:rPr>
          <w:bCs/>
          <w:lang w:val="en"/>
        </w:rPr>
      </w:pPr>
      <w:r>
        <w:rPr>
          <w:bCs/>
          <w:lang w:val="en"/>
        </w:rPr>
        <w:t>What is the legal framework used by regulators to i</w:t>
      </w:r>
      <w:r w:rsidR="0046207F">
        <w:rPr>
          <w:bCs/>
          <w:lang w:val="en"/>
        </w:rPr>
        <w:t>nvestigate impairment of fitness</w:t>
      </w:r>
      <w:r>
        <w:rPr>
          <w:bCs/>
          <w:lang w:val="en"/>
        </w:rPr>
        <w:t xml:space="preserve"> to practise and professional misconduct? </w:t>
      </w:r>
    </w:p>
    <w:p w:rsidR="008139A7" w:rsidRDefault="008139A7" w:rsidP="008139A7">
      <w:pPr>
        <w:rPr>
          <w:bCs/>
          <w:lang w:val="en"/>
        </w:rPr>
      </w:pPr>
      <w:r>
        <w:rPr>
          <w:bCs/>
          <w:lang w:val="en"/>
        </w:rPr>
        <w:t>How robust i</w:t>
      </w:r>
      <w:r w:rsidR="0046207F">
        <w:rPr>
          <w:bCs/>
          <w:lang w:val="en"/>
        </w:rPr>
        <w:t>s the link to (a) public confid</w:t>
      </w:r>
      <w:r>
        <w:rPr>
          <w:bCs/>
          <w:lang w:val="en"/>
        </w:rPr>
        <w:t>e</w:t>
      </w:r>
      <w:r w:rsidR="0046207F">
        <w:rPr>
          <w:bCs/>
          <w:lang w:val="en"/>
        </w:rPr>
        <w:t>nce in the professions</w:t>
      </w:r>
      <w:r>
        <w:rPr>
          <w:bCs/>
          <w:lang w:val="en"/>
        </w:rPr>
        <w:t xml:space="preserve"> and (b) risk t</w:t>
      </w:r>
      <w:r w:rsidR="0046207F">
        <w:rPr>
          <w:bCs/>
          <w:lang w:val="en"/>
        </w:rPr>
        <w:t>o safety in regula</w:t>
      </w:r>
      <w:r>
        <w:rPr>
          <w:bCs/>
          <w:lang w:val="en"/>
        </w:rPr>
        <w:t>t</w:t>
      </w:r>
      <w:r w:rsidR="0046207F">
        <w:rPr>
          <w:bCs/>
          <w:lang w:val="en"/>
        </w:rPr>
        <w:t>ory action taken a</w:t>
      </w:r>
      <w:r>
        <w:rPr>
          <w:bCs/>
          <w:lang w:val="en"/>
        </w:rPr>
        <w:t xml:space="preserve">gainst </w:t>
      </w:r>
      <w:r w:rsidR="00781CE4">
        <w:rPr>
          <w:bCs/>
          <w:lang w:val="en"/>
        </w:rPr>
        <w:t>professionals?</w:t>
      </w:r>
      <w:r w:rsidR="0046207F">
        <w:rPr>
          <w:bCs/>
          <w:lang w:val="en"/>
        </w:rPr>
        <w:t xml:space="preserve"> What do regulators do t</w:t>
      </w:r>
      <w:r>
        <w:rPr>
          <w:bCs/>
          <w:lang w:val="en"/>
        </w:rPr>
        <w:t>o</w:t>
      </w:r>
      <w:r w:rsidR="0046207F">
        <w:rPr>
          <w:bCs/>
          <w:lang w:val="en"/>
        </w:rPr>
        <w:t xml:space="preserve"> </w:t>
      </w:r>
      <w:r>
        <w:rPr>
          <w:bCs/>
          <w:lang w:val="en"/>
        </w:rPr>
        <w:t>demonstrate and evidence the link</w:t>
      </w:r>
      <w:r w:rsidR="002C08B1">
        <w:rPr>
          <w:bCs/>
          <w:lang w:val="en"/>
        </w:rPr>
        <w:t>?</w:t>
      </w:r>
    </w:p>
    <w:p w:rsidR="008139A7" w:rsidRDefault="008139A7" w:rsidP="008139A7">
      <w:pPr>
        <w:rPr>
          <w:bCs/>
          <w:lang w:val="en"/>
        </w:rPr>
      </w:pPr>
      <w:r>
        <w:rPr>
          <w:bCs/>
          <w:lang w:val="en"/>
        </w:rPr>
        <w:t xml:space="preserve">What guidance </w:t>
      </w:r>
      <w:r w:rsidR="00F50281">
        <w:rPr>
          <w:bCs/>
          <w:lang w:val="en"/>
        </w:rPr>
        <w:t xml:space="preserve">and criteria are </w:t>
      </w:r>
      <w:r>
        <w:rPr>
          <w:bCs/>
          <w:lang w:val="en"/>
        </w:rPr>
        <w:t>used in regulatory decisio</w:t>
      </w:r>
      <w:r w:rsidR="0046207F">
        <w:rPr>
          <w:bCs/>
          <w:lang w:val="en"/>
        </w:rPr>
        <w:t>n</w:t>
      </w:r>
      <w:r>
        <w:rPr>
          <w:bCs/>
          <w:lang w:val="en"/>
        </w:rPr>
        <w:t>-making about seri</w:t>
      </w:r>
      <w:r w:rsidR="00902FAD">
        <w:rPr>
          <w:bCs/>
          <w:lang w:val="en"/>
        </w:rPr>
        <w:t>o</w:t>
      </w:r>
      <w:r w:rsidR="00F50281">
        <w:rPr>
          <w:bCs/>
          <w:lang w:val="en"/>
        </w:rPr>
        <w:t xml:space="preserve">us </w:t>
      </w:r>
      <w:r w:rsidR="00781CE4">
        <w:rPr>
          <w:bCs/>
          <w:lang w:val="en"/>
        </w:rPr>
        <w:t>misconduct?</w:t>
      </w:r>
      <w:r w:rsidR="00F50281">
        <w:rPr>
          <w:bCs/>
          <w:lang w:val="en"/>
        </w:rPr>
        <w:t xml:space="preserve"> </w:t>
      </w:r>
    </w:p>
    <w:p w:rsidR="008139A7" w:rsidRDefault="008139A7" w:rsidP="008139A7">
      <w:pPr>
        <w:rPr>
          <w:bCs/>
          <w:lang w:val="en"/>
        </w:rPr>
      </w:pPr>
      <w:r>
        <w:rPr>
          <w:bCs/>
          <w:lang w:val="en"/>
        </w:rPr>
        <w:t>What underpins patient and professional attitudes to serious miscond</w:t>
      </w:r>
      <w:r w:rsidR="0046207F">
        <w:rPr>
          <w:bCs/>
          <w:lang w:val="en"/>
        </w:rPr>
        <w:t>uct and what co</w:t>
      </w:r>
      <w:r w:rsidR="00902FAD">
        <w:rPr>
          <w:bCs/>
          <w:lang w:val="en"/>
        </w:rPr>
        <w:t>nsti</w:t>
      </w:r>
      <w:r w:rsidR="0046207F">
        <w:rPr>
          <w:bCs/>
          <w:lang w:val="en"/>
        </w:rPr>
        <w:t>tutes a proportionate and fair</w:t>
      </w:r>
      <w:r>
        <w:rPr>
          <w:bCs/>
          <w:lang w:val="en"/>
        </w:rPr>
        <w:t xml:space="preserve"> respons</w:t>
      </w:r>
      <w:r w:rsidR="0046207F">
        <w:rPr>
          <w:bCs/>
          <w:lang w:val="en"/>
        </w:rPr>
        <w:t xml:space="preserve">e </w:t>
      </w:r>
      <w:r w:rsidR="002C08B1">
        <w:rPr>
          <w:bCs/>
          <w:lang w:val="en"/>
        </w:rPr>
        <w:t>by the regulator?</w:t>
      </w:r>
      <w:r>
        <w:rPr>
          <w:bCs/>
          <w:lang w:val="en"/>
        </w:rPr>
        <w:t xml:space="preserve"> </w:t>
      </w:r>
    </w:p>
    <w:p w:rsidR="008139A7" w:rsidRDefault="008139A7" w:rsidP="008139A7">
      <w:pPr>
        <w:rPr>
          <w:bCs/>
          <w:lang w:val="en"/>
        </w:rPr>
      </w:pPr>
      <w:r>
        <w:rPr>
          <w:bCs/>
          <w:lang w:val="en"/>
        </w:rPr>
        <w:t xml:space="preserve">How </w:t>
      </w:r>
      <w:r w:rsidR="0046207F">
        <w:rPr>
          <w:bCs/>
          <w:lang w:val="en"/>
        </w:rPr>
        <w:t>consis</w:t>
      </w:r>
      <w:r>
        <w:rPr>
          <w:bCs/>
          <w:lang w:val="en"/>
        </w:rPr>
        <w:t>t</w:t>
      </w:r>
      <w:r w:rsidR="00902FAD">
        <w:rPr>
          <w:bCs/>
          <w:lang w:val="en"/>
        </w:rPr>
        <w:t>ent</w:t>
      </w:r>
      <w:r>
        <w:rPr>
          <w:bCs/>
          <w:lang w:val="en"/>
        </w:rPr>
        <w:t xml:space="preserve"> is decision-making about seriousnes</w:t>
      </w:r>
      <w:r w:rsidR="00902FAD">
        <w:rPr>
          <w:bCs/>
          <w:lang w:val="en"/>
        </w:rPr>
        <w:t>s, in terms of process and out</w:t>
      </w:r>
      <w:r w:rsidR="002C08B1">
        <w:rPr>
          <w:bCs/>
          <w:lang w:val="en"/>
        </w:rPr>
        <w:t>comes?</w:t>
      </w:r>
      <w:r>
        <w:rPr>
          <w:bCs/>
          <w:lang w:val="en"/>
        </w:rPr>
        <w:t xml:space="preserve"> </w:t>
      </w:r>
    </w:p>
    <w:p w:rsidR="008139A7" w:rsidRDefault="008139A7" w:rsidP="008139A7">
      <w:pPr>
        <w:rPr>
          <w:bCs/>
          <w:lang w:val="en"/>
        </w:rPr>
      </w:pPr>
      <w:r>
        <w:rPr>
          <w:bCs/>
          <w:lang w:val="en"/>
        </w:rPr>
        <w:t>A detai</w:t>
      </w:r>
      <w:r w:rsidR="00902FAD">
        <w:rPr>
          <w:bCs/>
          <w:lang w:val="en"/>
        </w:rPr>
        <w:t>led set of research questions f</w:t>
      </w:r>
      <w:r>
        <w:rPr>
          <w:bCs/>
          <w:lang w:val="en"/>
        </w:rPr>
        <w:t>o</w:t>
      </w:r>
      <w:r w:rsidR="00902FAD">
        <w:rPr>
          <w:bCs/>
          <w:lang w:val="en"/>
        </w:rPr>
        <w:t>r</w:t>
      </w:r>
      <w:r>
        <w:rPr>
          <w:bCs/>
          <w:lang w:val="en"/>
        </w:rPr>
        <w:t xml:space="preserve"> t</w:t>
      </w:r>
      <w:r w:rsidR="00902FAD">
        <w:rPr>
          <w:bCs/>
          <w:lang w:val="en"/>
        </w:rPr>
        <w:t>he literature review will be de</w:t>
      </w:r>
      <w:r>
        <w:rPr>
          <w:bCs/>
          <w:lang w:val="en"/>
        </w:rPr>
        <w:t>ve</w:t>
      </w:r>
      <w:r w:rsidR="00902FAD">
        <w:rPr>
          <w:bCs/>
          <w:lang w:val="en"/>
        </w:rPr>
        <w:t>l</w:t>
      </w:r>
      <w:r>
        <w:rPr>
          <w:bCs/>
          <w:lang w:val="en"/>
        </w:rPr>
        <w:t xml:space="preserve">oped and agreed between the GDC and the successfully appointed contractors. </w:t>
      </w:r>
    </w:p>
    <w:p w:rsidR="008139A7" w:rsidRDefault="008139A7" w:rsidP="008139A7">
      <w:pPr>
        <w:rPr>
          <w:bCs/>
          <w:lang w:val="en"/>
        </w:rPr>
      </w:pPr>
      <w:r>
        <w:rPr>
          <w:bCs/>
          <w:lang w:val="en"/>
        </w:rPr>
        <w:t xml:space="preserve">Deliverables </w:t>
      </w:r>
    </w:p>
    <w:p w:rsidR="008139A7" w:rsidRDefault="008139A7" w:rsidP="008139A7">
      <w:pPr>
        <w:rPr>
          <w:bCs/>
          <w:lang w:val="en"/>
        </w:rPr>
      </w:pPr>
      <w:r>
        <w:rPr>
          <w:bCs/>
          <w:lang w:val="en"/>
        </w:rPr>
        <w:t xml:space="preserve">The project </w:t>
      </w:r>
      <w:r w:rsidR="00902FAD">
        <w:rPr>
          <w:bCs/>
          <w:lang w:val="en"/>
        </w:rPr>
        <w:t>should produce a written report</w:t>
      </w:r>
      <w:r>
        <w:rPr>
          <w:bCs/>
          <w:lang w:val="en"/>
        </w:rPr>
        <w:t xml:space="preserve"> which address the agreed research questions </w:t>
      </w:r>
    </w:p>
    <w:p w:rsidR="008139A7" w:rsidRDefault="008139A7" w:rsidP="008139A7">
      <w:pPr>
        <w:rPr>
          <w:bCs/>
          <w:lang w:val="en"/>
        </w:rPr>
      </w:pPr>
      <w:r>
        <w:rPr>
          <w:bCs/>
          <w:lang w:val="en"/>
        </w:rPr>
        <w:t>Methodology</w:t>
      </w:r>
    </w:p>
    <w:p w:rsidR="008139A7" w:rsidRDefault="008139A7" w:rsidP="008139A7">
      <w:pPr>
        <w:rPr>
          <w:bCs/>
          <w:lang w:val="en"/>
        </w:rPr>
      </w:pPr>
      <w:r>
        <w:rPr>
          <w:bCs/>
          <w:lang w:val="en"/>
        </w:rPr>
        <w:lastRenderedPageBreak/>
        <w:t>The Literature</w:t>
      </w:r>
      <w:r w:rsidR="00902FAD">
        <w:rPr>
          <w:bCs/>
          <w:lang w:val="en"/>
        </w:rPr>
        <w:t xml:space="preserve"> Review should be based on avai</w:t>
      </w:r>
      <w:r>
        <w:rPr>
          <w:bCs/>
          <w:lang w:val="en"/>
        </w:rPr>
        <w:t>l</w:t>
      </w:r>
      <w:r w:rsidR="00902FAD">
        <w:rPr>
          <w:bCs/>
          <w:lang w:val="en"/>
        </w:rPr>
        <w:t>a</w:t>
      </w:r>
      <w:r>
        <w:rPr>
          <w:bCs/>
          <w:lang w:val="en"/>
        </w:rPr>
        <w:t>b</w:t>
      </w:r>
      <w:r w:rsidR="00902FAD">
        <w:rPr>
          <w:bCs/>
          <w:lang w:val="en"/>
        </w:rPr>
        <w:t>l</w:t>
      </w:r>
      <w:r>
        <w:rPr>
          <w:bCs/>
          <w:lang w:val="en"/>
        </w:rPr>
        <w:t>e literature in E</w:t>
      </w:r>
      <w:r w:rsidR="00F50281">
        <w:rPr>
          <w:bCs/>
          <w:lang w:val="en"/>
        </w:rPr>
        <w:t>ngl</w:t>
      </w:r>
      <w:r>
        <w:rPr>
          <w:bCs/>
          <w:lang w:val="en"/>
        </w:rPr>
        <w:t>ish, published since 2005 from any country wh</w:t>
      </w:r>
      <w:r w:rsidR="00902FAD">
        <w:rPr>
          <w:bCs/>
          <w:lang w:val="en"/>
        </w:rPr>
        <w:t>e</w:t>
      </w:r>
      <w:r>
        <w:rPr>
          <w:bCs/>
          <w:lang w:val="en"/>
        </w:rPr>
        <w:t>re regula</w:t>
      </w:r>
      <w:r w:rsidR="00902FAD">
        <w:rPr>
          <w:bCs/>
          <w:lang w:val="en"/>
        </w:rPr>
        <w:t>tors have Fitness to Practise p</w:t>
      </w:r>
      <w:r>
        <w:rPr>
          <w:bCs/>
          <w:lang w:val="en"/>
        </w:rPr>
        <w:t>o</w:t>
      </w:r>
      <w:r w:rsidR="00902FAD">
        <w:rPr>
          <w:bCs/>
          <w:lang w:val="en"/>
        </w:rPr>
        <w:t>w</w:t>
      </w:r>
      <w:r>
        <w:rPr>
          <w:bCs/>
          <w:lang w:val="en"/>
        </w:rPr>
        <w:t xml:space="preserve">ers </w:t>
      </w:r>
      <w:r w:rsidR="00902FAD">
        <w:rPr>
          <w:bCs/>
          <w:lang w:val="en"/>
        </w:rPr>
        <w:t>and process sanction misconduct</w:t>
      </w:r>
      <w:r>
        <w:rPr>
          <w:bCs/>
          <w:lang w:val="en"/>
        </w:rPr>
        <w:t xml:space="preserve"> when professionals do not meet the required standards. </w:t>
      </w:r>
    </w:p>
    <w:p w:rsidR="008139A7" w:rsidRDefault="008139A7" w:rsidP="008139A7">
      <w:pPr>
        <w:rPr>
          <w:bCs/>
          <w:lang w:val="en"/>
        </w:rPr>
      </w:pPr>
      <w:r>
        <w:rPr>
          <w:bCs/>
          <w:lang w:val="en"/>
        </w:rPr>
        <w:t xml:space="preserve">It should include published and ‘grey’ literature. </w:t>
      </w:r>
    </w:p>
    <w:p w:rsidR="008139A7" w:rsidRDefault="008139A7" w:rsidP="008139A7">
      <w:pPr>
        <w:rPr>
          <w:bCs/>
          <w:lang w:val="en"/>
        </w:rPr>
      </w:pPr>
      <w:r>
        <w:rPr>
          <w:bCs/>
          <w:lang w:val="en"/>
        </w:rPr>
        <w:t>Please outline your s</w:t>
      </w:r>
      <w:r w:rsidR="00902FAD">
        <w:rPr>
          <w:bCs/>
          <w:lang w:val="en"/>
        </w:rPr>
        <w:t>election cri</w:t>
      </w:r>
      <w:r>
        <w:rPr>
          <w:bCs/>
          <w:lang w:val="en"/>
        </w:rPr>
        <w:t>t</w:t>
      </w:r>
      <w:r w:rsidR="00902FAD">
        <w:rPr>
          <w:bCs/>
          <w:lang w:val="en"/>
        </w:rPr>
        <w:t>e</w:t>
      </w:r>
      <w:r>
        <w:rPr>
          <w:bCs/>
          <w:lang w:val="en"/>
        </w:rPr>
        <w:t>ria for determining the li</w:t>
      </w:r>
      <w:r w:rsidR="00902FAD">
        <w:rPr>
          <w:bCs/>
          <w:lang w:val="en"/>
        </w:rPr>
        <w:t xml:space="preserve">terature </w:t>
      </w:r>
      <w:r>
        <w:rPr>
          <w:bCs/>
          <w:lang w:val="en"/>
        </w:rPr>
        <w:t xml:space="preserve">to be included in the review. </w:t>
      </w:r>
    </w:p>
    <w:p w:rsidR="008139A7" w:rsidRDefault="00902FAD" w:rsidP="008139A7">
      <w:pPr>
        <w:rPr>
          <w:bCs/>
          <w:lang w:val="en"/>
        </w:rPr>
      </w:pPr>
      <w:r>
        <w:rPr>
          <w:bCs/>
          <w:lang w:val="en"/>
        </w:rPr>
        <w:t>Please in</w:t>
      </w:r>
      <w:r w:rsidR="008139A7">
        <w:rPr>
          <w:bCs/>
          <w:lang w:val="en"/>
        </w:rPr>
        <w:t>c</w:t>
      </w:r>
      <w:r>
        <w:rPr>
          <w:bCs/>
          <w:lang w:val="en"/>
        </w:rPr>
        <w:t>l</w:t>
      </w:r>
      <w:r w:rsidR="008139A7">
        <w:rPr>
          <w:bCs/>
          <w:lang w:val="en"/>
        </w:rPr>
        <w:t>ude details of the d</w:t>
      </w:r>
      <w:r>
        <w:rPr>
          <w:bCs/>
          <w:lang w:val="en"/>
        </w:rPr>
        <w:t>a</w:t>
      </w:r>
      <w:r w:rsidR="008139A7">
        <w:rPr>
          <w:bCs/>
          <w:lang w:val="en"/>
        </w:rPr>
        <w:t>tab</w:t>
      </w:r>
      <w:r>
        <w:rPr>
          <w:bCs/>
          <w:lang w:val="en"/>
        </w:rPr>
        <w:t>a</w:t>
      </w:r>
      <w:r w:rsidR="008139A7">
        <w:rPr>
          <w:bCs/>
          <w:lang w:val="en"/>
        </w:rPr>
        <w:t xml:space="preserve">ses, library and others sources you will be using and the type of keyword searches that you will employ. </w:t>
      </w:r>
    </w:p>
    <w:p w:rsidR="008139A7" w:rsidRDefault="008139A7" w:rsidP="008139A7">
      <w:pPr>
        <w:rPr>
          <w:bCs/>
          <w:lang w:val="en"/>
        </w:rPr>
      </w:pPr>
      <w:r>
        <w:rPr>
          <w:bCs/>
          <w:lang w:val="en"/>
        </w:rPr>
        <w:t xml:space="preserve">Please set out the methods you will use to appraise the quality of the evidence. </w:t>
      </w:r>
    </w:p>
    <w:p w:rsidR="008139A7" w:rsidRPr="00F50281" w:rsidRDefault="008139A7" w:rsidP="008139A7">
      <w:pPr>
        <w:rPr>
          <w:b/>
          <w:bCs/>
          <w:lang w:val="en"/>
        </w:rPr>
      </w:pPr>
      <w:r w:rsidRPr="00F50281">
        <w:rPr>
          <w:b/>
          <w:bCs/>
          <w:lang w:val="en"/>
        </w:rPr>
        <w:t>Respond</w:t>
      </w:r>
      <w:r w:rsidR="00E134E9" w:rsidRPr="00F50281">
        <w:rPr>
          <w:b/>
          <w:bCs/>
          <w:lang w:val="en"/>
        </w:rPr>
        <w:t xml:space="preserve">ing </w:t>
      </w:r>
      <w:r w:rsidRPr="00F50281">
        <w:rPr>
          <w:b/>
          <w:bCs/>
          <w:lang w:val="en"/>
        </w:rPr>
        <w:t xml:space="preserve">to this Tender </w:t>
      </w:r>
    </w:p>
    <w:p w:rsidR="008139A7" w:rsidRPr="008139A7" w:rsidRDefault="008139A7" w:rsidP="008139A7">
      <w:pPr>
        <w:rPr>
          <w:bCs/>
          <w:lang w:val="en"/>
        </w:rPr>
      </w:pPr>
      <w:r w:rsidRPr="008139A7">
        <w:rPr>
          <w:bCs/>
          <w:lang w:val="en"/>
        </w:rPr>
        <w:t xml:space="preserve">Evaluation and selection will be carried out as a </w:t>
      </w:r>
      <w:r w:rsidR="00781CE4" w:rsidRPr="008139A7">
        <w:rPr>
          <w:bCs/>
          <w:lang w:val="en"/>
        </w:rPr>
        <w:t>two-stage</w:t>
      </w:r>
      <w:r w:rsidRPr="008139A7">
        <w:rPr>
          <w:bCs/>
          <w:lang w:val="en"/>
        </w:rPr>
        <w:t xml:space="preserve"> process: </w:t>
      </w:r>
    </w:p>
    <w:p w:rsidR="008139A7" w:rsidRPr="008139A7" w:rsidRDefault="008139A7" w:rsidP="008139A7">
      <w:pPr>
        <w:rPr>
          <w:bCs/>
          <w:lang w:val="en"/>
        </w:rPr>
      </w:pPr>
      <w:r w:rsidRPr="008139A7">
        <w:rPr>
          <w:bCs/>
          <w:lang w:val="en"/>
        </w:rPr>
        <w:t xml:space="preserve">GDC resources are raised through an annual fee paid by </w:t>
      </w:r>
      <w:r w:rsidR="00E134E9">
        <w:rPr>
          <w:bCs/>
          <w:lang w:val="en"/>
        </w:rPr>
        <w:t xml:space="preserve">dental professionals. </w:t>
      </w:r>
      <w:r w:rsidRPr="008139A7">
        <w:rPr>
          <w:bCs/>
          <w:lang w:val="en"/>
        </w:rPr>
        <w:t xml:space="preserve">Providing value for </w:t>
      </w:r>
    </w:p>
    <w:p w:rsidR="008139A7" w:rsidRPr="008139A7" w:rsidRDefault="008139A7" w:rsidP="008139A7">
      <w:pPr>
        <w:rPr>
          <w:bCs/>
          <w:lang w:val="en"/>
        </w:rPr>
      </w:pPr>
      <w:r w:rsidRPr="008139A7">
        <w:rPr>
          <w:bCs/>
          <w:lang w:val="en"/>
        </w:rPr>
        <w:t xml:space="preserve">money and cost effectiveness are key to the GDC and best-value principles will be </w:t>
      </w:r>
    </w:p>
    <w:p w:rsidR="008139A7" w:rsidRPr="008139A7" w:rsidRDefault="008139A7" w:rsidP="008139A7">
      <w:pPr>
        <w:rPr>
          <w:bCs/>
          <w:lang w:val="en"/>
        </w:rPr>
      </w:pPr>
      <w:r w:rsidRPr="008139A7">
        <w:rPr>
          <w:bCs/>
          <w:lang w:val="en"/>
        </w:rPr>
        <w:t xml:space="preserve">adopted in the evaluation and selection of the tender. Interested parties should note that </w:t>
      </w:r>
    </w:p>
    <w:p w:rsidR="008139A7" w:rsidRPr="008139A7" w:rsidRDefault="008139A7" w:rsidP="008139A7">
      <w:pPr>
        <w:rPr>
          <w:bCs/>
          <w:lang w:val="en"/>
        </w:rPr>
      </w:pPr>
      <w:r w:rsidRPr="008139A7">
        <w:rPr>
          <w:bCs/>
          <w:lang w:val="en"/>
        </w:rPr>
        <w:t>we have a maximum budget a</w:t>
      </w:r>
      <w:r w:rsidR="00E55223">
        <w:rPr>
          <w:bCs/>
          <w:lang w:val="en"/>
        </w:rPr>
        <w:t>vailable for this project of £10</w:t>
      </w:r>
      <w:r w:rsidRPr="008139A7">
        <w:rPr>
          <w:bCs/>
          <w:lang w:val="en"/>
        </w:rPr>
        <w:t xml:space="preserve"> 000 exclusive of VAT. </w:t>
      </w:r>
    </w:p>
    <w:p w:rsidR="008139A7" w:rsidRPr="008139A7" w:rsidRDefault="008139A7" w:rsidP="008139A7">
      <w:pPr>
        <w:rPr>
          <w:bCs/>
          <w:lang w:val="en"/>
        </w:rPr>
      </w:pPr>
      <w:r w:rsidRPr="008139A7">
        <w:rPr>
          <w:bCs/>
          <w:lang w:val="en"/>
        </w:rPr>
        <w:t xml:space="preserve">If you are interested in being considered for this piece of work, please submit a proposal </w:t>
      </w:r>
    </w:p>
    <w:p w:rsidR="008139A7" w:rsidRPr="008139A7" w:rsidRDefault="008139A7" w:rsidP="008139A7">
      <w:pPr>
        <w:rPr>
          <w:bCs/>
          <w:lang w:val="en"/>
        </w:rPr>
      </w:pPr>
      <w:r w:rsidRPr="008139A7">
        <w:rPr>
          <w:bCs/>
          <w:lang w:val="en"/>
        </w:rPr>
        <w:t xml:space="preserve">in response to this Invitation to Tender. Your proposal should demonstrate: </w:t>
      </w:r>
    </w:p>
    <w:p w:rsidR="008139A7" w:rsidRPr="00E134E9" w:rsidRDefault="00902FAD" w:rsidP="00E134E9">
      <w:pPr>
        <w:pStyle w:val="ListParagraph"/>
        <w:numPr>
          <w:ilvl w:val="0"/>
          <w:numId w:val="13"/>
        </w:numPr>
        <w:rPr>
          <w:bCs/>
          <w:lang w:val="en"/>
        </w:rPr>
      </w:pPr>
      <w:r>
        <w:rPr>
          <w:bCs/>
          <w:lang w:val="en"/>
        </w:rPr>
        <w:t>u</w:t>
      </w:r>
      <w:r w:rsidR="008139A7" w:rsidRPr="00E134E9">
        <w:rPr>
          <w:bCs/>
          <w:lang w:val="en"/>
        </w:rPr>
        <w:t xml:space="preserve">nderstanding of the research brief. </w:t>
      </w:r>
    </w:p>
    <w:p w:rsidR="008139A7" w:rsidRPr="00E134E9" w:rsidRDefault="00902FAD" w:rsidP="00E134E9">
      <w:pPr>
        <w:pStyle w:val="ListParagraph"/>
        <w:numPr>
          <w:ilvl w:val="0"/>
          <w:numId w:val="13"/>
        </w:numPr>
        <w:rPr>
          <w:bCs/>
          <w:lang w:val="en"/>
        </w:rPr>
      </w:pPr>
      <w:r>
        <w:rPr>
          <w:bCs/>
          <w:lang w:val="en"/>
        </w:rPr>
        <w:t>e</w:t>
      </w:r>
      <w:r w:rsidR="008139A7" w:rsidRPr="00E134E9">
        <w:rPr>
          <w:bCs/>
          <w:lang w:val="en"/>
        </w:rPr>
        <w:t xml:space="preserve">xperience of conducting similar relevant work, including a brief description of </w:t>
      </w:r>
    </w:p>
    <w:p w:rsidR="008139A7" w:rsidRPr="00E134E9" w:rsidRDefault="008139A7" w:rsidP="00902FAD">
      <w:pPr>
        <w:pStyle w:val="ListParagraph"/>
        <w:rPr>
          <w:bCs/>
          <w:lang w:val="en"/>
        </w:rPr>
      </w:pPr>
      <w:r w:rsidRPr="00E134E9">
        <w:rPr>
          <w:bCs/>
          <w:lang w:val="en"/>
        </w:rPr>
        <w:t xml:space="preserve">specific project(s). </w:t>
      </w:r>
    </w:p>
    <w:p w:rsidR="008139A7" w:rsidRPr="00E134E9" w:rsidRDefault="00902FAD" w:rsidP="00E134E9">
      <w:pPr>
        <w:pStyle w:val="ListParagraph"/>
        <w:numPr>
          <w:ilvl w:val="0"/>
          <w:numId w:val="13"/>
        </w:numPr>
        <w:rPr>
          <w:bCs/>
          <w:lang w:val="en"/>
        </w:rPr>
      </w:pPr>
      <w:r>
        <w:rPr>
          <w:bCs/>
          <w:lang w:val="en"/>
        </w:rPr>
        <w:t>t</w:t>
      </w:r>
      <w:r w:rsidR="008139A7" w:rsidRPr="00E134E9">
        <w:rPr>
          <w:bCs/>
          <w:lang w:val="en"/>
        </w:rPr>
        <w:t xml:space="preserve">he resources and capacity that you can bring to the project. Please also include </w:t>
      </w:r>
    </w:p>
    <w:p w:rsidR="008139A7" w:rsidRPr="00E134E9" w:rsidRDefault="008139A7" w:rsidP="00902FAD">
      <w:pPr>
        <w:pStyle w:val="ListParagraph"/>
        <w:rPr>
          <w:bCs/>
          <w:lang w:val="en"/>
        </w:rPr>
      </w:pPr>
      <w:r w:rsidRPr="00E134E9">
        <w:rPr>
          <w:bCs/>
          <w:lang w:val="en"/>
        </w:rPr>
        <w:t xml:space="preserve">your project team and for each member, provide the numbers of days and daily </w:t>
      </w:r>
    </w:p>
    <w:p w:rsidR="008139A7" w:rsidRPr="00E134E9" w:rsidRDefault="008139A7" w:rsidP="00902FAD">
      <w:pPr>
        <w:pStyle w:val="ListParagraph"/>
        <w:rPr>
          <w:bCs/>
          <w:lang w:val="en"/>
        </w:rPr>
      </w:pPr>
      <w:r w:rsidRPr="00E134E9">
        <w:rPr>
          <w:bCs/>
          <w:lang w:val="en"/>
        </w:rPr>
        <w:t xml:space="preserve">rates. </w:t>
      </w:r>
    </w:p>
    <w:p w:rsidR="008139A7" w:rsidRPr="00E134E9" w:rsidRDefault="00902FAD" w:rsidP="00E134E9">
      <w:pPr>
        <w:pStyle w:val="ListParagraph"/>
        <w:numPr>
          <w:ilvl w:val="0"/>
          <w:numId w:val="13"/>
        </w:numPr>
        <w:rPr>
          <w:bCs/>
          <w:lang w:val="en"/>
        </w:rPr>
      </w:pPr>
      <w:r>
        <w:rPr>
          <w:bCs/>
          <w:lang w:val="en"/>
        </w:rPr>
        <w:t>t</w:t>
      </w:r>
      <w:r w:rsidR="008139A7" w:rsidRPr="00E134E9">
        <w:rPr>
          <w:bCs/>
          <w:lang w:val="en"/>
        </w:rPr>
        <w:t xml:space="preserve">he research methods that you will use for the project and why. </w:t>
      </w:r>
    </w:p>
    <w:p w:rsidR="008139A7" w:rsidRPr="00E134E9" w:rsidRDefault="00902FAD" w:rsidP="00E134E9">
      <w:pPr>
        <w:pStyle w:val="ListParagraph"/>
        <w:numPr>
          <w:ilvl w:val="0"/>
          <w:numId w:val="13"/>
        </w:numPr>
        <w:rPr>
          <w:bCs/>
          <w:lang w:val="en"/>
        </w:rPr>
      </w:pPr>
      <w:r>
        <w:rPr>
          <w:bCs/>
          <w:lang w:val="en"/>
        </w:rPr>
        <w:t>t</w:t>
      </w:r>
      <w:r w:rsidR="008139A7" w:rsidRPr="00E134E9">
        <w:rPr>
          <w:bCs/>
          <w:lang w:val="en"/>
        </w:rPr>
        <w:t xml:space="preserve">he costs and value for money for delivering the project. </w:t>
      </w:r>
    </w:p>
    <w:p w:rsidR="008139A7" w:rsidRPr="00E134E9" w:rsidRDefault="00902FAD" w:rsidP="00E134E9">
      <w:pPr>
        <w:pStyle w:val="ListParagraph"/>
        <w:numPr>
          <w:ilvl w:val="0"/>
          <w:numId w:val="13"/>
        </w:numPr>
        <w:rPr>
          <w:bCs/>
          <w:lang w:val="en"/>
        </w:rPr>
      </w:pPr>
      <w:r>
        <w:rPr>
          <w:bCs/>
          <w:lang w:val="en"/>
        </w:rPr>
        <w:t>h</w:t>
      </w:r>
      <w:r w:rsidR="008139A7" w:rsidRPr="00E134E9">
        <w:rPr>
          <w:bCs/>
          <w:lang w:val="en"/>
        </w:rPr>
        <w:t xml:space="preserve">ow you will reflect equality and diversity considerations in delivering the project. </w:t>
      </w:r>
    </w:p>
    <w:p w:rsidR="008139A7" w:rsidRPr="00E134E9" w:rsidRDefault="00902FAD" w:rsidP="00E134E9">
      <w:pPr>
        <w:pStyle w:val="ListParagraph"/>
        <w:numPr>
          <w:ilvl w:val="0"/>
          <w:numId w:val="13"/>
        </w:numPr>
        <w:rPr>
          <w:bCs/>
          <w:lang w:val="en"/>
        </w:rPr>
      </w:pPr>
      <w:r>
        <w:rPr>
          <w:bCs/>
          <w:lang w:val="en"/>
        </w:rPr>
        <w:t>y</w:t>
      </w:r>
      <w:r w:rsidR="008139A7" w:rsidRPr="00E134E9">
        <w:rPr>
          <w:bCs/>
          <w:lang w:val="en"/>
        </w:rPr>
        <w:t xml:space="preserve">our approach to project management including the key project risks and how </w:t>
      </w:r>
    </w:p>
    <w:p w:rsidR="008139A7" w:rsidRPr="00E134E9" w:rsidRDefault="008139A7" w:rsidP="00902FAD">
      <w:pPr>
        <w:pStyle w:val="ListParagraph"/>
        <w:rPr>
          <w:bCs/>
          <w:lang w:val="en"/>
        </w:rPr>
      </w:pPr>
      <w:r w:rsidRPr="00E134E9">
        <w:rPr>
          <w:bCs/>
          <w:lang w:val="en"/>
        </w:rPr>
        <w:t xml:space="preserve">you would plan to mitigate them. </w:t>
      </w:r>
    </w:p>
    <w:p w:rsidR="008139A7" w:rsidRPr="00E134E9" w:rsidRDefault="008139A7" w:rsidP="00E134E9">
      <w:pPr>
        <w:pStyle w:val="ListParagraph"/>
        <w:numPr>
          <w:ilvl w:val="0"/>
          <w:numId w:val="13"/>
        </w:numPr>
        <w:rPr>
          <w:bCs/>
          <w:lang w:val="en"/>
        </w:rPr>
      </w:pPr>
      <w:r w:rsidRPr="00E134E9">
        <w:rPr>
          <w:bCs/>
          <w:lang w:val="en"/>
        </w:rPr>
        <w:t xml:space="preserve">An outline project plan with details of key milestones and deliverables and an </w:t>
      </w:r>
    </w:p>
    <w:p w:rsidR="008139A7" w:rsidRPr="00E134E9" w:rsidRDefault="008139A7" w:rsidP="00902FAD">
      <w:pPr>
        <w:pStyle w:val="ListParagraph"/>
        <w:rPr>
          <w:bCs/>
          <w:lang w:val="en"/>
        </w:rPr>
      </w:pPr>
      <w:r w:rsidRPr="00E134E9">
        <w:rPr>
          <w:bCs/>
          <w:lang w:val="en"/>
        </w:rPr>
        <w:t xml:space="preserve">explanation of how you will use the time available and ensure that the project is </w:t>
      </w:r>
    </w:p>
    <w:p w:rsidR="008139A7" w:rsidRPr="00E134E9" w:rsidRDefault="008139A7" w:rsidP="00902FAD">
      <w:pPr>
        <w:pStyle w:val="ListParagraph"/>
        <w:rPr>
          <w:bCs/>
          <w:lang w:val="en"/>
        </w:rPr>
      </w:pPr>
      <w:r w:rsidRPr="00E134E9">
        <w:rPr>
          <w:bCs/>
          <w:lang w:val="en"/>
        </w:rPr>
        <w:t xml:space="preserve">delivered on time. </w:t>
      </w:r>
    </w:p>
    <w:p w:rsidR="00281D85" w:rsidRPr="008139A7" w:rsidRDefault="00281D85" w:rsidP="00281D85">
      <w:pPr>
        <w:rPr>
          <w:bCs/>
          <w:lang w:val="en"/>
        </w:rPr>
      </w:pPr>
      <w:r w:rsidRPr="008139A7">
        <w:rPr>
          <w:bCs/>
          <w:lang w:val="en"/>
        </w:rPr>
        <w:t xml:space="preserve">Your application will be evaluated against these criteria. It should be no longer than </w:t>
      </w:r>
    </w:p>
    <w:p w:rsidR="00281D85" w:rsidRPr="008139A7" w:rsidRDefault="00281D85" w:rsidP="00281D85">
      <w:pPr>
        <w:rPr>
          <w:bCs/>
          <w:lang w:val="en"/>
        </w:rPr>
      </w:pPr>
      <w:r>
        <w:rPr>
          <w:bCs/>
          <w:lang w:val="en"/>
        </w:rPr>
        <w:t xml:space="preserve">10 </w:t>
      </w:r>
      <w:r w:rsidRPr="008139A7">
        <w:rPr>
          <w:bCs/>
          <w:lang w:val="en"/>
        </w:rPr>
        <w:t xml:space="preserve">A4 sides. </w:t>
      </w:r>
    </w:p>
    <w:p w:rsidR="00281D85" w:rsidRPr="008139A7" w:rsidRDefault="00281D85" w:rsidP="00281D85">
      <w:pPr>
        <w:rPr>
          <w:bCs/>
          <w:lang w:val="en"/>
        </w:rPr>
      </w:pPr>
      <w:r w:rsidRPr="008139A7">
        <w:rPr>
          <w:bCs/>
          <w:lang w:val="en"/>
        </w:rPr>
        <w:t xml:space="preserve">Interviews </w:t>
      </w:r>
    </w:p>
    <w:p w:rsidR="00281D85" w:rsidRPr="008139A7" w:rsidRDefault="00281D85" w:rsidP="00281D85">
      <w:pPr>
        <w:rPr>
          <w:bCs/>
          <w:lang w:val="en"/>
        </w:rPr>
      </w:pPr>
      <w:r>
        <w:rPr>
          <w:bCs/>
          <w:lang w:val="en"/>
        </w:rPr>
        <w:t xml:space="preserve">The GDC may interview </w:t>
      </w:r>
      <w:r w:rsidRPr="008139A7">
        <w:rPr>
          <w:bCs/>
          <w:lang w:val="en"/>
        </w:rPr>
        <w:t>shortlisted applicants</w:t>
      </w:r>
      <w:r>
        <w:rPr>
          <w:bCs/>
          <w:lang w:val="en"/>
        </w:rPr>
        <w:t>.</w:t>
      </w:r>
      <w:r w:rsidRPr="008139A7">
        <w:rPr>
          <w:bCs/>
          <w:lang w:val="en"/>
        </w:rPr>
        <w:t xml:space="preserve"> Details and </w:t>
      </w:r>
    </w:p>
    <w:p w:rsidR="00281D85" w:rsidRPr="008139A7" w:rsidRDefault="00281D85" w:rsidP="00281D85">
      <w:pPr>
        <w:rPr>
          <w:bCs/>
          <w:lang w:val="en"/>
        </w:rPr>
      </w:pPr>
      <w:r w:rsidRPr="008139A7">
        <w:rPr>
          <w:bCs/>
          <w:lang w:val="en"/>
        </w:rPr>
        <w:t xml:space="preserve">instructions for the interviews will be provided in advance and the successful candidate </w:t>
      </w:r>
    </w:p>
    <w:p w:rsidR="00281D85" w:rsidRPr="008139A7" w:rsidRDefault="00281D85" w:rsidP="00281D85">
      <w:pPr>
        <w:rPr>
          <w:bCs/>
          <w:lang w:val="en"/>
        </w:rPr>
      </w:pPr>
      <w:r w:rsidRPr="008139A7">
        <w:rPr>
          <w:bCs/>
          <w:lang w:val="en"/>
        </w:rPr>
        <w:t xml:space="preserve">informed as soon as possible after the interview. Where necessary the GDC reserves </w:t>
      </w:r>
    </w:p>
    <w:p w:rsidR="00281D85" w:rsidRPr="008139A7" w:rsidRDefault="00281D85" w:rsidP="00281D85">
      <w:pPr>
        <w:rPr>
          <w:bCs/>
          <w:lang w:val="en"/>
        </w:rPr>
      </w:pPr>
      <w:r w:rsidRPr="008139A7">
        <w:rPr>
          <w:bCs/>
          <w:lang w:val="en"/>
        </w:rPr>
        <w:lastRenderedPageBreak/>
        <w:t xml:space="preserve">the right to undertake further stages of interview. </w:t>
      </w:r>
    </w:p>
    <w:p w:rsidR="00281D85" w:rsidRPr="008139A7" w:rsidRDefault="00281D85" w:rsidP="00281D85">
      <w:pPr>
        <w:rPr>
          <w:bCs/>
          <w:lang w:val="en"/>
        </w:rPr>
      </w:pPr>
      <w:r>
        <w:rPr>
          <w:bCs/>
          <w:lang w:val="en"/>
        </w:rPr>
        <w:t>An indicative</w:t>
      </w:r>
      <w:r w:rsidRPr="008139A7">
        <w:rPr>
          <w:bCs/>
          <w:lang w:val="en"/>
        </w:rPr>
        <w:t xml:space="preserve"> timetable for the selection process and project delivery is set out below. </w:t>
      </w:r>
      <w:r>
        <w:rPr>
          <w:bCs/>
          <w:lang w:val="en"/>
        </w:rPr>
        <w:t xml:space="preserve">You should include an outline plan with key milestones and deliverables. A more detailed project plan will be agreed with the contractor, once appointed. </w:t>
      </w:r>
    </w:p>
    <w:p w:rsidR="00281D85" w:rsidRDefault="00281D85" w:rsidP="008139A7">
      <w:pPr>
        <w:rPr>
          <w:bCs/>
          <w:lang w:val="en"/>
        </w:rPr>
      </w:pPr>
    </w:p>
    <w:p w:rsidR="00F50281" w:rsidRDefault="00F50281" w:rsidP="008139A7">
      <w:pPr>
        <w:rPr>
          <w:bCs/>
          <w:lang w:val="en"/>
        </w:rPr>
      </w:pPr>
    </w:p>
    <w:p w:rsidR="00F50281" w:rsidRDefault="00F50281" w:rsidP="008139A7">
      <w:pPr>
        <w:rPr>
          <w:bCs/>
          <w:lang w:val="en"/>
        </w:rPr>
      </w:pPr>
    </w:p>
    <w:p w:rsidR="00482545" w:rsidRPr="00F50281" w:rsidRDefault="00482545" w:rsidP="008139A7">
      <w:pPr>
        <w:rPr>
          <w:b/>
          <w:bCs/>
          <w:lang w:val="en"/>
        </w:rPr>
      </w:pPr>
      <w:r w:rsidRPr="00F50281">
        <w:rPr>
          <w:b/>
          <w:bCs/>
          <w:lang w:val="en"/>
        </w:rPr>
        <w:t>Indicative Timetable</w:t>
      </w:r>
    </w:p>
    <w:tbl>
      <w:tblPr>
        <w:tblStyle w:val="TableGrid"/>
        <w:tblW w:w="0" w:type="auto"/>
        <w:tblLook w:val="04A0" w:firstRow="1" w:lastRow="0" w:firstColumn="1" w:lastColumn="0" w:noHBand="0" w:noVBand="1"/>
      </w:tblPr>
      <w:tblGrid>
        <w:gridCol w:w="4508"/>
        <w:gridCol w:w="4508"/>
      </w:tblGrid>
      <w:tr w:rsidR="00482545" w:rsidTr="00482545">
        <w:tc>
          <w:tcPr>
            <w:tcW w:w="4508" w:type="dxa"/>
          </w:tcPr>
          <w:p w:rsidR="00482545" w:rsidRDefault="00281D85" w:rsidP="008139A7">
            <w:pPr>
              <w:rPr>
                <w:bCs/>
                <w:lang w:val="en"/>
              </w:rPr>
            </w:pPr>
            <w:r>
              <w:rPr>
                <w:bCs/>
                <w:lang w:val="en"/>
              </w:rPr>
              <w:t>Return ITT document</w:t>
            </w:r>
          </w:p>
        </w:tc>
        <w:tc>
          <w:tcPr>
            <w:tcW w:w="4508" w:type="dxa"/>
          </w:tcPr>
          <w:p w:rsidR="00482545" w:rsidRDefault="00281D85" w:rsidP="008139A7">
            <w:pPr>
              <w:rPr>
                <w:bCs/>
                <w:lang w:val="en"/>
              </w:rPr>
            </w:pPr>
            <w:r>
              <w:rPr>
                <w:bCs/>
                <w:lang w:val="en"/>
              </w:rPr>
              <w:t>6 September 2017</w:t>
            </w:r>
          </w:p>
        </w:tc>
      </w:tr>
      <w:tr w:rsidR="00482545" w:rsidTr="00482545">
        <w:tc>
          <w:tcPr>
            <w:tcW w:w="4508" w:type="dxa"/>
          </w:tcPr>
          <w:p w:rsidR="00482545" w:rsidRDefault="00281D85" w:rsidP="008139A7">
            <w:pPr>
              <w:rPr>
                <w:bCs/>
                <w:lang w:val="en"/>
              </w:rPr>
            </w:pPr>
            <w:r>
              <w:rPr>
                <w:bCs/>
                <w:lang w:val="en"/>
              </w:rPr>
              <w:t>Shortlisted applicants notified</w:t>
            </w:r>
          </w:p>
        </w:tc>
        <w:tc>
          <w:tcPr>
            <w:tcW w:w="4508" w:type="dxa"/>
          </w:tcPr>
          <w:p w:rsidR="00482545" w:rsidRDefault="00281D85" w:rsidP="008139A7">
            <w:pPr>
              <w:rPr>
                <w:bCs/>
                <w:lang w:val="en"/>
              </w:rPr>
            </w:pPr>
            <w:r>
              <w:rPr>
                <w:bCs/>
                <w:lang w:val="en"/>
              </w:rPr>
              <w:t>11 September</w:t>
            </w:r>
          </w:p>
        </w:tc>
      </w:tr>
      <w:tr w:rsidR="00482545" w:rsidTr="00482545">
        <w:tc>
          <w:tcPr>
            <w:tcW w:w="4508" w:type="dxa"/>
          </w:tcPr>
          <w:p w:rsidR="00482545" w:rsidRDefault="00281D85" w:rsidP="008139A7">
            <w:pPr>
              <w:rPr>
                <w:bCs/>
                <w:lang w:val="en"/>
              </w:rPr>
            </w:pPr>
            <w:r>
              <w:rPr>
                <w:bCs/>
                <w:lang w:val="en"/>
              </w:rPr>
              <w:t>Interviews with shortlisted candidates</w:t>
            </w:r>
          </w:p>
        </w:tc>
        <w:tc>
          <w:tcPr>
            <w:tcW w:w="4508" w:type="dxa"/>
          </w:tcPr>
          <w:p w:rsidR="00482545" w:rsidRDefault="00281D85" w:rsidP="008139A7">
            <w:pPr>
              <w:rPr>
                <w:bCs/>
                <w:lang w:val="en"/>
              </w:rPr>
            </w:pPr>
            <w:r>
              <w:rPr>
                <w:bCs/>
                <w:lang w:val="en"/>
              </w:rPr>
              <w:t>Week beginning 18 September</w:t>
            </w:r>
          </w:p>
        </w:tc>
      </w:tr>
      <w:tr w:rsidR="00482545" w:rsidTr="00482545">
        <w:tc>
          <w:tcPr>
            <w:tcW w:w="4508" w:type="dxa"/>
          </w:tcPr>
          <w:p w:rsidR="00482545" w:rsidRDefault="00281D85" w:rsidP="008139A7">
            <w:pPr>
              <w:rPr>
                <w:bCs/>
                <w:lang w:val="en"/>
              </w:rPr>
            </w:pPr>
            <w:r>
              <w:rPr>
                <w:bCs/>
                <w:lang w:val="en"/>
              </w:rPr>
              <w:t>Project inception meeting</w:t>
            </w:r>
          </w:p>
        </w:tc>
        <w:tc>
          <w:tcPr>
            <w:tcW w:w="4508" w:type="dxa"/>
          </w:tcPr>
          <w:p w:rsidR="00482545" w:rsidRDefault="00281D85" w:rsidP="008139A7">
            <w:pPr>
              <w:rPr>
                <w:bCs/>
                <w:lang w:val="en"/>
              </w:rPr>
            </w:pPr>
            <w:r>
              <w:rPr>
                <w:bCs/>
                <w:lang w:val="en"/>
              </w:rPr>
              <w:t xml:space="preserve">Week beginning 25 September </w:t>
            </w:r>
          </w:p>
        </w:tc>
      </w:tr>
    </w:tbl>
    <w:p w:rsidR="00482545" w:rsidRDefault="00482545" w:rsidP="008139A7">
      <w:pPr>
        <w:rPr>
          <w:bCs/>
          <w:lang w:val="en"/>
        </w:rPr>
      </w:pPr>
    </w:p>
    <w:p w:rsidR="008139A7" w:rsidRPr="008139A7" w:rsidRDefault="008139A7" w:rsidP="008139A7">
      <w:pPr>
        <w:rPr>
          <w:bCs/>
          <w:lang w:val="en"/>
        </w:rPr>
      </w:pPr>
      <w:r w:rsidRPr="008139A7">
        <w:rPr>
          <w:bCs/>
          <w:lang w:val="en"/>
        </w:rPr>
        <w:t xml:space="preserve">Please email your application – including email and telephone contact details - to the </w:t>
      </w:r>
    </w:p>
    <w:p w:rsidR="008139A7" w:rsidRPr="008139A7" w:rsidRDefault="00716F2A" w:rsidP="008139A7">
      <w:pPr>
        <w:rPr>
          <w:bCs/>
          <w:lang w:val="en"/>
        </w:rPr>
      </w:pPr>
      <w:hyperlink r:id="rId10" w:history="1">
        <w:r w:rsidR="00902FAD" w:rsidRPr="00C80BED">
          <w:rPr>
            <w:rStyle w:val="Hyperlink"/>
            <w:lang w:val="en"/>
          </w:rPr>
          <w:t>research@gdc-uk.org</w:t>
        </w:r>
      </w:hyperlink>
      <w:r w:rsidR="00902FAD">
        <w:rPr>
          <w:bCs/>
          <w:lang w:val="en"/>
        </w:rPr>
        <w:t xml:space="preserve"> </w:t>
      </w:r>
      <w:r w:rsidR="008139A7" w:rsidRPr="008139A7">
        <w:rPr>
          <w:bCs/>
          <w:lang w:val="en"/>
        </w:rPr>
        <w:t xml:space="preserve">at the address below. </w:t>
      </w:r>
      <w:r w:rsidR="00EB54F3">
        <w:rPr>
          <w:bCs/>
          <w:lang w:val="en"/>
        </w:rPr>
        <w:t xml:space="preserve">The deadline for receipt of your response to the ITT is </w:t>
      </w:r>
    </w:p>
    <w:p w:rsidR="008139A7" w:rsidRPr="008139A7" w:rsidRDefault="0041779D" w:rsidP="008139A7">
      <w:pPr>
        <w:rPr>
          <w:bCs/>
          <w:lang w:val="en"/>
        </w:rPr>
      </w:pPr>
      <w:r>
        <w:rPr>
          <w:bCs/>
          <w:lang w:val="en"/>
        </w:rPr>
        <w:t xml:space="preserve">6 September 2017. </w:t>
      </w:r>
      <w:r w:rsidR="008139A7" w:rsidRPr="008139A7">
        <w:rPr>
          <w:bCs/>
          <w:lang w:val="en"/>
        </w:rPr>
        <w:t xml:space="preserve"> </w:t>
      </w:r>
    </w:p>
    <w:p w:rsidR="008139A7" w:rsidRPr="008139A7" w:rsidRDefault="008139A7" w:rsidP="008139A7">
      <w:pPr>
        <w:rPr>
          <w:bCs/>
          <w:lang w:val="en"/>
        </w:rPr>
      </w:pPr>
      <w:r w:rsidRPr="008139A7">
        <w:rPr>
          <w:bCs/>
          <w:lang w:val="en"/>
        </w:rPr>
        <w:t xml:space="preserve"> </w:t>
      </w:r>
    </w:p>
    <w:p w:rsidR="008139A7" w:rsidRPr="008139A7" w:rsidRDefault="008139A7" w:rsidP="008139A7">
      <w:pPr>
        <w:rPr>
          <w:bCs/>
          <w:lang w:val="en"/>
        </w:rPr>
      </w:pPr>
    </w:p>
    <w:p w:rsidR="008139A7" w:rsidRPr="008139A7" w:rsidRDefault="008139A7" w:rsidP="008139A7">
      <w:pPr>
        <w:rPr>
          <w:bCs/>
          <w:lang w:val="en"/>
        </w:rPr>
      </w:pPr>
      <w:r w:rsidRPr="008139A7">
        <w:rPr>
          <w:bCs/>
          <w:lang w:val="en"/>
        </w:rPr>
        <w:t xml:space="preserve"> </w:t>
      </w:r>
    </w:p>
    <w:p w:rsidR="008139A7" w:rsidRPr="008139A7" w:rsidRDefault="008139A7" w:rsidP="008139A7">
      <w:pPr>
        <w:rPr>
          <w:bCs/>
          <w:lang w:val="en"/>
        </w:rPr>
      </w:pPr>
    </w:p>
    <w:p w:rsidR="008139A7" w:rsidRPr="008139A7" w:rsidRDefault="008139A7" w:rsidP="008139A7">
      <w:pPr>
        <w:rPr>
          <w:bCs/>
          <w:lang w:val="en"/>
        </w:rPr>
      </w:pPr>
    </w:p>
    <w:p w:rsidR="008139A7" w:rsidRDefault="008139A7" w:rsidP="008139A7">
      <w:pPr>
        <w:rPr>
          <w:bCs/>
          <w:lang w:val="en"/>
        </w:rPr>
      </w:pPr>
    </w:p>
    <w:p w:rsidR="008139A7" w:rsidRDefault="008139A7" w:rsidP="008139A7">
      <w:pPr>
        <w:rPr>
          <w:bCs/>
          <w:lang w:val="en"/>
        </w:rPr>
      </w:pPr>
    </w:p>
    <w:p w:rsidR="008139A7" w:rsidRDefault="008139A7" w:rsidP="008139A7">
      <w:pPr>
        <w:rPr>
          <w:bCs/>
          <w:lang w:val="en"/>
        </w:rPr>
      </w:pPr>
    </w:p>
    <w:p w:rsidR="008139A7" w:rsidRDefault="008139A7" w:rsidP="008139A7">
      <w:pPr>
        <w:rPr>
          <w:bCs/>
          <w:lang w:val="en"/>
        </w:rPr>
      </w:pPr>
    </w:p>
    <w:p w:rsidR="008139A7" w:rsidRDefault="008139A7" w:rsidP="008139A7">
      <w:pPr>
        <w:rPr>
          <w:bCs/>
          <w:lang w:val="en"/>
        </w:rPr>
      </w:pPr>
    </w:p>
    <w:p w:rsidR="008139A7" w:rsidRDefault="008139A7" w:rsidP="008139A7">
      <w:pPr>
        <w:rPr>
          <w:bCs/>
          <w:lang w:val="en"/>
        </w:rPr>
      </w:pPr>
    </w:p>
    <w:p w:rsidR="008139A7" w:rsidRPr="008139A7" w:rsidRDefault="008139A7" w:rsidP="008139A7">
      <w:pPr>
        <w:rPr>
          <w:bCs/>
          <w:lang w:val="en"/>
        </w:rPr>
      </w:pPr>
    </w:p>
    <w:p w:rsidR="00042306" w:rsidRDefault="00042306" w:rsidP="00AF4234">
      <w:pPr>
        <w:ind w:left="360"/>
        <w:rPr>
          <w:bCs/>
          <w:lang w:val="en"/>
        </w:rPr>
      </w:pPr>
    </w:p>
    <w:p w:rsidR="002C06A3" w:rsidRPr="00040FFE" w:rsidRDefault="00040FFE" w:rsidP="00AF4234">
      <w:pPr>
        <w:ind w:left="360"/>
      </w:pPr>
      <w:r w:rsidRPr="00AF4234">
        <w:rPr>
          <w:bCs/>
          <w:lang w:val="en"/>
        </w:rPr>
        <w:t xml:space="preserve"> </w:t>
      </w:r>
    </w:p>
    <w:p w:rsidR="002C06A3" w:rsidRDefault="002C06A3" w:rsidP="002C06A3"/>
    <w:p w:rsidR="002C06A3" w:rsidRDefault="002C06A3" w:rsidP="002C06A3"/>
    <w:p w:rsidR="002C06A3" w:rsidRDefault="002C06A3" w:rsidP="002C06A3">
      <w:pPr>
        <w:ind w:left="360"/>
      </w:pPr>
    </w:p>
    <w:sectPr w:rsidR="002C06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6F2A" w:rsidRDefault="00716F2A" w:rsidP="00200553">
      <w:pPr>
        <w:spacing w:after="0" w:line="240" w:lineRule="auto"/>
      </w:pPr>
      <w:r>
        <w:separator/>
      </w:r>
    </w:p>
  </w:endnote>
  <w:endnote w:type="continuationSeparator" w:id="0">
    <w:p w:rsidR="00716F2A" w:rsidRDefault="00716F2A" w:rsidP="00200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6F2A" w:rsidRDefault="00716F2A" w:rsidP="00200553">
      <w:pPr>
        <w:spacing w:after="0" w:line="240" w:lineRule="auto"/>
      </w:pPr>
      <w:r>
        <w:separator/>
      </w:r>
    </w:p>
  </w:footnote>
  <w:footnote w:type="continuationSeparator" w:id="0">
    <w:p w:rsidR="00716F2A" w:rsidRDefault="00716F2A" w:rsidP="00200553">
      <w:pPr>
        <w:spacing w:after="0" w:line="240" w:lineRule="auto"/>
      </w:pPr>
      <w:r>
        <w:continuationSeparator/>
      </w:r>
    </w:p>
  </w:footnote>
  <w:footnote w:id="1">
    <w:p w:rsidR="00200553" w:rsidRDefault="00200553">
      <w:pPr>
        <w:pStyle w:val="FootnoteText"/>
      </w:pPr>
      <w:r>
        <w:rPr>
          <w:rStyle w:val="FootnoteReference"/>
        </w:rPr>
        <w:footnoteRef/>
      </w:r>
      <w:r>
        <w:t xml:space="preserve"> Dishonest behaviour by health and care professionals, Professional Standards Authority 2016</w:t>
      </w:r>
    </w:p>
  </w:footnote>
  <w:footnote w:id="2">
    <w:p w:rsidR="00200553" w:rsidRDefault="00200553">
      <w:pPr>
        <w:pStyle w:val="FootnoteText"/>
      </w:pPr>
      <w:r>
        <w:rPr>
          <w:rStyle w:val="FootnoteReference"/>
        </w:rPr>
        <w:footnoteRef/>
      </w:r>
      <w:r>
        <w:t xml:space="preserve"> A Typology of Dishonesty, Professional Standards Authority 2017</w:t>
      </w:r>
    </w:p>
  </w:footnote>
  <w:footnote w:id="3">
    <w:p w:rsidR="00200553" w:rsidRDefault="00200553">
      <w:pPr>
        <w:pStyle w:val="FootnoteText"/>
      </w:pPr>
      <w:r>
        <w:rPr>
          <w:rStyle w:val="FootnoteReference"/>
        </w:rPr>
        <w:footnoteRef/>
      </w:r>
      <w:r>
        <w:t xml:space="preserve"> </w:t>
      </w:r>
      <w:r w:rsidRPr="00EC099B">
        <w:t>A Question of Trust: report on quantitative data collected</w:t>
      </w:r>
      <w:r>
        <w:t>. Solicitors Regulation Authority 2017</w:t>
      </w:r>
    </w:p>
    <w:p w:rsidR="00200553" w:rsidRDefault="0020055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D3A0E"/>
    <w:multiLevelType w:val="hybridMultilevel"/>
    <w:tmpl w:val="1054BB9E"/>
    <w:lvl w:ilvl="0" w:tplc="80B404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CC1A86"/>
    <w:multiLevelType w:val="hybridMultilevel"/>
    <w:tmpl w:val="58BE0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96F62"/>
    <w:multiLevelType w:val="hybridMultilevel"/>
    <w:tmpl w:val="57386D18"/>
    <w:lvl w:ilvl="0" w:tplc="D706B5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C86915"/>
    <w:multiLevelType w:val="hybridMultilevel"/>
    <w:tmpl w:val="2348E0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E86D35"/>
    <w:multiLevelType w:val="hybridMultilevel"/>
    <w:tmpl w:val="8C44B5AE"/>
    <w:lvl w:ilvl="0" w:tplc="0F9655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13CD0"/>
    <w:multiLevelType w:val="hybridMultilevel"/>
    <w:tmpl w:val="6658A35A"/>
    <w:lvl w:ilvl="0" w:tplc="93C093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9A657C"/>
    <w:multiLevelType w:val="hybridMultilevel"/>
    <w:tmpl w:val="44A0F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B57C51"/>
    <w:multiLevelType w:val="hybridMultilevel"/>
    <w:tmpl w:val="32904EFA"/>
    <w:lvl w:ilvl="0" w:tplc="A10007D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4352FA"/>
    <w:multiLevelType w:val="hybridMultilevel"/>
    <w:tmpl w:val="2B1E9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8D565D"/>
    <w:multiLevelType w:val="hybridMultilevel"/>
    <w:tmpl w:val="F38618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5C32F32"/>
    <w:multiLevelType w:val="hybridMultilevel"/>
    <w:tmpl w:val="3FAE4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F07DE6"/>
    <w:multiLevelType w:val="hybridMultilevel"/>
    <w:tmpl w:val="F75C4A8E"/>
    <w:lvl w:ilvl="0" w:tplc="68B6A0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F64128"/>
    <w:multiLevelType w:val="hybridMultilevel"/>
    <w:tmpl w:val="CEAE9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1"/>
  </w:num>
  <w:num w:numId="4">
    <w:abstractNumId w:val="0"/>
  </w:num>
  <w:num w:numId="5">
    <w:abstractNumId w:val="5"/>
  </w:num>
  <w:num w:numId="6">
    <w:abstractNumId w:val="10"/>
  </w:num>
  <w:num w:numId="7">
    <w:abstractNumId w:val="8"/>
  </w:num>
  <w:num w:numId="8">
    <w:abstractNumId w:val="3"/>
  </w:num>
  <w:num w:numId="9">
    <w:abstractNumId w:val="4"/>
  </w:num>
  <w:num w:numId="10">
    <w:abstractNumId w:val="6"/>
  </w:num>
  <w:num w:numId="11">
    <w:abstractNumId w:val="9"/>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6A3"/>
    <w:rsid w:val="00040FFE"/>
    <w:rsid w:val="00042306"/>
    <w:rsid w:val="000F7FDE"/>
    <w:rsid w:val="001A74F5"/>
    <w:rsid w:val="00200553"/>
    <w:rsid w:val="00275701"/>
    <w:rsid w:val="00281D85"/>
    <w:rsid w:val="002C06A3"/>
    <w:rsid w:val="002C08B1"/>
    <w:rsid w:val="0041779D"/>
    <w:rsid w:val="0046207F"/>
    <w:rsid w:val="00482545"/>
    <w:rsid w:val="005A515B"/>
    <w:rsid w:val="00716F2A"/>
    <w:rsid w:val="00781CE4"/>
    <w:rsid w:val="008139A7"/>
    <w:rsid w:val="008C5D99"/>
    <w:rsid w:val="008C668D"/>
    <w:rsid w:val="00902FAD"/>
    <w:rsid w:val="0098632F"/>
    <w:rsid w:val="00AF4234"/>
    <w:rsid w:val="00B4179C"/>
    <w:rsid w:val="00B93593"/>
    <w:rsid w:val="00BB6744"/>
    <w:rsid w:val="00BC59DD"/>
    <w:rsid w:val="00C26315"/>
    <w:rsid w:val="00E134E9"/>
    <w:rsid w:val="00E54070"/>
    <w:rsid w:val="00E55223"/>
    <w:rsid w:val="00E80A88"/>
    <w:rsid w:val="00EB54F3"/>
    <w:rsid w:val="00EC482B"/>
    <w:rsid w:val="00F50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CABA8"/>
  <w15:chartTrackingRefBased/>
  <w15:docId w15:val="{E62697AE-2154-4C1D-A82E-197DD96CC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06A3"/>
    <w:pPr>
      <w:ind w:left="720"/>
      <w:contextualSpacing/>
    </w:pPr>
  </w:style>
  <w:style w:type="character" w:styleId="Hyperlink">
    <w:name w:val="Hyperlink"/>
    <w:basedOn w:val="DefaultParagraphFont"/>
    <w:uiPriority w:val="99"/>
    <w:unhideWhenUsed/>
    <w:rsid w:val="00AF4234"/>
    <w:rPr>
      <w:color w:val="0563C1" w:themeColor="hyperlink"/>
      <w:u w:val="single"/>
    </w:rPr>
  </w:style>
  <w:style w:type="character" w:styleId="UnresolvedMention">
    <w:name w:val="Unresolved Mention"/>
    <w:basedOn w:val="DefaultParagraphFont"/>
    <w:uiPriority w:val="99"/>
    <w:semiHidden/>
    <w:unhideWhenUsed/>
    <w:rsid w:val="00AF4234"/>
    <w:rPr>
      <w:color w:val="808080"/>
      <w:shd w:val="clear" w:color="auto" w:fill="E6E6E6"/>
    </w:rPr>
  </w:style>
  <w:style w:type="character" w:styleId="FollowedHyperlink">
    <w:name w:val="FollowedHyperlink"/>
    <w:basedOn w:val="DefaultParagraphFont"/>
    <w:uiPriority w:val="99"/>
    <w:semiHidden/>
    <w:unhideWhenUsed/>
    <w:rsid w:val="00AF4234"/>
    <w:rPr>
      <w:color w:val="954F72" w:themeColor="followedHyperlink"/>
      <w:u w:val="single"/>
    </w:rPr>
  </w:style>
  <w:style w:type="table" w:styleId="TableGrid">
    <w:name w:val="Table Grid"/>
    <w:basedOn w:val="TableNormal"/>
    <w:uiPriority w:val="39"/>
    <w:rsid w:val="00482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005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0553"/>
    <w:rPr>
      <w:sz w:val="20"/>
      <w:szCs w:val="20"/>
    </w:rPr>
  </w:style>
  <w:style w:type="character" w:styleId="FootnoteReference">
    <w:name w:val="footnote reference"/>
    <w:basedOn w:val="DefaultParagraphFont"/>
    <w:uiPriority w:val="99"/>
    <w:semiHidden/>
    <w:unhideWhenUsed/>
    <w:rsid w:val="00200553"/>
    <w:rPr>
      <w:vertAlign w:val="superscript"/>
    </w:rPr>
  </w:style>
  <w:style w:type="paragraph" w:styleId="BalloonText">
    <w:name w:val="Balloon Text"/>
    <w:basedOn w:val="Normal"/>
    <w:link w:val="BalloonTextChar"/>
    <w:uiPriority w:val="99"/>
    <w:semiHidden/>
    <w:unhideWhenUsed/>
    <w:rsid w:val="00EB54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4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ndards.gdc-uk.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esearch@gdc-uk.org" TargetMode="External"/><Relationship Id="rId4" Type="http://schemas.openxmlformats.org/officeDocument/2006/relationships/settings" Target="settings.xml"/><Relationship Id="rId9" Type="http://schemas.openxmlformats.org/officeDocument/2006/relationships/hyperlink" Target="https://www.gdc-uk.org/api/files/Shifting%20the%20Bal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1D3A8-920F-4D9C-8EFB-A3F65E674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1236</Words>
  <Characters>7047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Rubin</dc:creator>
  <cp:keywords/>
  <dc:description/>
  <cp:lastModifiedBy>David Robins</cp:lastModifiedBy>
  <cp:revision>3</cp:revision>
  <cp:lastPrinted>2017-08-23T14:52:00Z</cp:lastPrinted>
  <dcterms:created xsi:type="dcterms:W3CDTF">2017-08-25T13:08:00Z</dcterms:created>
  <dcterms:modified xsi:type="dcterms:W3CDTF">2017-08-25T13:09:00Z</dcterms:modified>
</cp:coreProperties>
</file>