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8FB7F" w14:textId="6A930A44" w:rsidR="008923EF" w:rsidRDefault="008923EF" w:rsidP="003B49DF">
      <w:pPr>
        <w:rPr>
          <w:noProof/>
          <w:lang w:eastAsia="en-GB"/>
        </w:rPr>
      </w:pPr>
    </w:p>
    <w:p w14:paraId="712B8519" w14:textId="72CFE407" w:rsidR="00D21394" w:rsidRDefault="00FD2422" w:rsidP="00FD2422">
      <w:pPr>
        <w:pStyle w:val="Heading1"/>
      </w:pPr>
      <w:r>
        <w:rPr>
          <w:b w:val="0"/>
          <w:bCs w:val="0"/>
          <w:noProof/>
          <w:lang w:eastAsia="en-GB"/>
        </w:rPr>
        <w:drawing>
          <wp:inline distT="0" distB="0" distL="0" distR="0" wp14:anchorId="2C6BD13D" wp14:editId="73EAD77D">
            <wp:extent cx="3438525" cy="1016607"/>
            <wp:effectExtent l="0" t="0" r="0" b="0"/>
            <wp:docPr id="2" name="Picture 2" descr="C:\Users\MaParker\AppData\Local\Microsoft\Windows\INetCache\Content.MSO\60FF2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rker\AppData\Local\Microsoft\Windows\INetCache\Content.MSO\60FF2BB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6020" cy="1036562"/>
                    </a:xfrm>
                    <a:prstGeom prst="rect">
                      <a:avLst/>
                    </a:prstGeom>
                    <a:noFill/>
                    <a:ln>
                      <a:noFill/>
                    </a:ln>
                  </pic:spPr>
                </pic:pic>
              </a:graphicData>
            </a:graphic>
          </wp:inline>
        </w:drawing>
      </w:r>
    </w:p>
    <w:p w14:paraId="13B1EB2F" w14:textId="370CEC5D" w:rsidR="008923EF" w:rsidRDefault="008923EF" w:rsidP="003B49DF">
      <w:pPr>
        <w:pStyle w:val="Heading1"/>
      </w:pPr>
    </w:p>
    <w:p w14:paraId="6226E58C" w14:textId="77777777" w:rsidR="00951B45" w:rsidRPr="00C211C2" w:rsidRDefault="00951B45" w:rsidP="00C211C2">
      <w:pPr>
        <w:pStyle w:val="Heading1"/>
        <w:spacing w:before="100" w:beforeAutospacing="1" w:after="100" w:afterAutospacing="1"/>
        <w:rPr>
          <w:color w:val="0070C0"/>
        </w:rPr>
      </w:pPr>
      <w:r w:rsidRPr="00C211C2">
        <w:rPr>
          <w:color w:val="0070C0"/>
        </w:rPr>
        <w:t>Soft Market Test</w:t>
      </w:r>
    </w:p>
    <w:p w14:paraId="6226E58D" w14:textId="77777777" w:rsidR="00951B45" w:rsidRPr="00C211C2" w:rsidRDefault="00951B45" w:rsidP="00C211C2">
      <w:pPr>
        <w:spacing w:before="100" w:beforeAutospacing="1" w:after="100" w:afterAutospacing="1"/>
        <w:jc w:val="center"/>
        <w:rPr>
          <w:rFonts w:cs="Arial"/>
          <w:b/>
          <w:bCs/>
          <w:color w:val="0070C0"/>
          <w:sz w:val="28"/>
          <w:szCs w:val="28"/>
        </w:rPr>
      </w:pPr>
      <w:r w:rsidRPr="00C211C2">
        <w:rPr>
          <w:rFonts w:cs="Arial"/>
          <w:b/>
          <w:bCs/>
          <w:color w:val="0070C0"/>
          <w:sz w:val="28"/>
          <w:szCs w:val="28"/>
        </w:rPr>
        <w:t>For</w:t>
      </w:r>
    </w:p>
    <w:p w14:paraId="6226E592" w14:textId="5684DFDC" w:rsidR="00AF4590" w:rsidRPr="00C211C2" w:rsidRDefault="35C17A3B" w:rsidP="00C211C2">
      <w:pPr>
        <w:spacing w:before="100" w:beforeAutospacing="1" w:after="100" w:afterAutospacing="1"/>
        <w:jc w:val="center"/>
        <w:rPr>
          <w:rFonts w:cs="Arial"/>
          <w:b/>
          <w:bCs/>
          <w:color w:val="0070C0"/>
          <w:sz w:val="28"/>
          <w:szCs w:val="28"/>
        </w:rPr>
        <w:sectPr w:rsidR="00AF4590" w:rsidRPr="00C211C2">
          <w:headerReference w:type="default" r:id="rId11"/>
          <w:pgSz w:w="11906" w:h="16838"/>
          <w:pgMar w:top="1440" w:right="1440" w:bottom="1440" w:left="1440" w:header="708" w:footer="708" w:gutter="0"/>
          <w:cols w:space="708"/>
          <w:docGrid w:linePitch="360"/>
        </w:sectPr>
      </w:pPr>
      <w:r w:rsidRPr="00C211C2">
        <w:rPr>
          <w:rFonts w:cs="Arial"/>
          <w:b/>
          <w:bCs/>
          <w:color w:val="0070C0"/>
          <w:sz w:val="28"/>
          <w:szCs w:val="28"/>
        </w:rPr>
        <w:t xml:space="preserve">Property Asset Management System </w:t>
      </w:r>
    </w:p>
    <w:p w14:paraId="6226E593" w14:textId="77777777" w:rsidR="00CC58BD" w:rsidRPr="004B3DBA" w:rsidRDefault="00CC58BD" w:rsidP="00AF4590">
      <w:pPr>
        <w:pStyle w:val="Heading1"/>
        <w:rPr>
          <w:color w:val="0070C0"/>
        </w:rPr>
      </w:pPr>
      <w:r w:rsidRPr="004B3DBA">
        <w:rPr>
          <w:color w:val="0070C0"/>
        </w:rPr>
        <w:lastRenderedPageBreak/>
        <w:t>Section 1: Introduction</w:t>
      </w:r>
    </w:p>
    <w:p w14:paraId="6226E594" w14:textId="77777777" w:rsidR="00AF4590" w:rsidRPr="00C211C2" w:rsidRDefault="00CC58BD" w:rsidP="008F632F">
      <w:pPr>
        <w:pStyle w:val="Heading2"/>
        <w:rPr>
          <w:color w:val="auto"/>
        </w:rPr>
      </w:pPr>
      <w:r w:rsidRPr="00C211C2">
        <w:rPr>
          <w:color w:val="auto"/>
        </w:rPr>
        <w:t>General Requirements</w:t>
      </w:r>
    </w:p>
    <w:p w14:paraId="6226E595" w14:textId="48B7248C" w:rsidR="00AF4590" w:rsidRDefault="07C44BE0" w:rsidP="008F632F">
      <w:pPr>
        <w:pStyle w:val="BodyNumbered"/>
      </w:pPr>
      <w:r>
        <w:t xml:space="preserve">The purpose of this document is to briefly explain to suppliers the business and technical requirements and the expected scope </w:t>
      </w:r>
      <w:r w:rsidRPr="00C211C2">
        <w:t xml:space="preserve">of the Property Asset Management System in order that suppliers can explain the relevance of products, </w:t>
      </w:r>
      <w:r w:rsidR="0067662B" w:rsidRPr="00C211C2">
        <w:t>services,</w:t>
      </w:r>
      <w:r w:rsidRPr="00C211C2">
        <w:t xml:space="preserve"> </w:t>
      </w:r>
      <w:r>
        <w:t>and their experience to the requirements.</w:t>
      </w:r>
    </w:p>
    <w:p w14:paraId="6226E596" w14:textId="77777777" w:rsidR="008F632F" w:rsidRDefault="008F632F" w:rsidP="008F632F">
      <w:pPr>
        <w:pStyle w:val="BodyNumbered"/>
        <w:numPr>
          <w:ilvl w:val="0"/>
          <w:numId w:val="0"/>
        </w:numPr>
        <w:ind w:left="792"/>
      </w:pPr>
    </w:p>
    <w:p w14:paraId="6226E597" w14:textId="1EF9D3CE" w:rsidR="00AF4590" w:rsidRPr="00C211C2" w:rsidRDefault="00AF4590" w:rsidP="008F632F">
      <w:pPr>
        <w:pStyle w:val="BodyNumbered"/>
      </w:pPr>
      <w:r w:rsidRPr="00C211C2">
        <w:rPr>
          <w:rStyle w:val="Strong"/>
          <w:color w:val="FF0000"/>
        </w:rPr>
        <w:t>Please note:</w:t>
      </w:r>
      <w:r w:rsidRPr="00C211C2">
        <w:rPr>
          <w:color w:val="FF0000"/>
        </w:rPr>
        <w:t xml:space="preserve"> this market testing exercise is </w:t>
      </w:r>
      <w:r w:rsidRPr="00C211C2">
        <w:rPr>
          <w:rStyle w:val="Strong"/>
          <w:color w:val="FF0000"/>
        </w:rPr>
        <w:t>not</w:t>
      </w:r>
      <w:r w:rsidRPr="00C211C2">
        <w:rPr>
          <w:color w:val="FF0000"/>
        </w:rPr>
        <w:t xml:space="preserve"> an invitation to tender or a request for formal expressions of interest. </w:t>
      </w:r>
      <w:r w:rsidRPr="00C211C2">
        <w:t>This document does not form any pa</w:t>
      </w:r>
      <w:r w:rsidR="00B10C3E" w:rsidRPr="00C211C2">
        <w:t xml:space="preserve">rt of an invitation to tender. </w:t>
      </w:r>
      <w:r w:rsidR="00FD2422" w:rsidRPr="00C211C2">
        <w:t>West Northamptonshire</w:t>
      </w:r>
      <w:r w:rsidR="00B10C3E" w:rsidRPr="00C211C2">
        <w:t xml:space="preserve"> Council (</w:t>
      </w:r>
      <w:r w:rsidR="00FD2422" w:rsidRPr="00C211C2">
        <w:t>WNC</w:t>
      </w:r>
      <w:r w:rsidR="00B10C3E" w:rsidRPr="00C211C2">
        <w:t>)</w:t>
      </w:r>
      <w:r w:rsidRPr="00C211C2">
        <w:t xml:space="preserve"> is issuing this request for </w:t>
      </w:r>
      <w:r w:rsidRPr="00C211C2">
        <w:rPr>
          <w:rStyle w:val="Strong"/>
        </w:rPr>
        <w:t>information only</w:t>
      </w:r>
      <w:r w:rsidRPr="00C211C2">
        <w:t xml:space="preserve">. Any supplier invited to present to </w:t>
      </w:r>
      <w:r w:rsidR="00FD2422" w:rsidRPr="00C211C2">
        <w:t>WNC</w:t>
      </w:r>
      <w:r w:rsidRPr="00C211C2">
        <w:t xml:space="preserve"> is doing so to support market research only and to help make any potential procurement process more focused and efficient. No supplier selection or supplier preference is implied.</w:t>
      </w:r>
    </w:p>
    <w:p w14:paraId="6226E598" w14:textId="77777777" w:rsidR="00AF4590" w:rsidRPr="00C211C2" w:rsidRDefault="00AF4590" w:rsidP="008F632F">
      <w:pPr>
        <w:pStyle w:val="Heading2"/>
        <w:rPr>
          <w:color w:val="auto"/>
        </w:rPr>
      </w:pPr>
      <w:r w:rsidRPr="00C211C2">
        <w:rPr>
          <w:color w:val="auto"/>
        </w:rPr>
        <w:t>Confidentiality</w:t>
      </w:r>
      <w:r w:rsidR="00207253" w:rsidRPr="00C211C2">
        <w:rPr>
          <w:color w:val="auto"/>
        </w:rPr>
        <w:t xml:space="preserve"> and Freedom of Information (FOI)</w:t>
      </w:r>
    </w:p>
    <w:p w14:paraId="6226E599" w14:textId="49682D32" w:rsidR="00AF4590" w:rsidRDefault="00AF4590" w:rsidP="008F632F">
      <w:pPr>
        <w:pStyle w:val="BodyNumbered"/>
      </w:pPr>
      <w:r w:rsidRPr="00C211C2">
        <w:rPr>
          <w:rStyle w:val="Strong"/>
          <w:b w:val="0"/>
          <w:bCs w:val="0"/>
        </w:rPr>
        <w:t>Please note:</w:t>
      </w:r>
      <w:r>
        <w:t xml:space="preserve"> all information included in this Soft Market Test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8F632F">
      <w:pPr>
        <w:pStyle w:val="BodyNumbered"/>
        <w:numPr>
          <w:ilvl w:val="0"/>
          <w:numId w:val="0"/>
        </w:numPr>
        <w:ind w:left="792"/>
      </w:pPr>
    </w:p>
    <w:p w14:paraId="6226E59B" w14:textId="77777777" w:rsidR="00AF4590" w:rsidRDefault="00AF4590" w:rsidP="008F632F">
      <w:pPr>
        <w:pStyle w:val="BodyNumbered"/>
      </w:pPr>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7C798051" w14:textId="28A25575" w:rsidR="007A5B87" w:rsidRPr="00C211C2" w:rsidRDefault="00CC58BD" w:rsidP="007A5B87">
      <w:pPr>
        <w:pStyle w:val="Heading2"/>
        <w:rPr>
          <w:color w:val="auto"/>
        </w:rPr>
      </w:pPr>
      <w:r w:rsidRPr="00C211C2">
        <w:rPr>
          <w:color w:val="auto"/>
        </w:rPr>
        <w:t>Background</w:t>
      </w:r>
    </w:p>
    <w:p w14:paraId="2AF1A98A" w14:textId="6F446840" w:rsidR="008F632F" w:rsidRPr="00C211C2" w:rsidRDefault="2FFBFDBC" w:rsidP="280958BC">
      <w:pPr>
        <w:pStyle w:val="Optional"/>
        <w:rPr>
          <w:color w:val="auto"/>
        </w:rPr>
      </w:pPr>
      <w:r w:rsidRPr="71923212">
        <w:rPr>
          <w:rFonts w:ascii="Calibri" w:eastAsia="Calibri" w:hAnsi="Calibri" w:cs="Calibri"/>
          <w:color w:val="auto"/>
        </w:rPr>
        <w:t xml:space="preserve">In April 2021 the formation of the new West Northamptonshire Council (WNC) and North Northamptonshire (NNC) unitary authorities took place. The formation of West Northamptonshire Council brought together (part of) Northamptonshire County, Northampton Borough, South Northants and Daventry District Councils. As a result a requirement for a single, centralised Property Asset Management system to cover Estates, planned and reactive maintenance, Facility Management and Construction projects has been identified. The implementation of a new, fit for purpose solution will be key to delivering a comprehensive and robust </w:t>
      </w:r>
      <w:r w:rsidR="0067662B" w:rsidRPr="71923212">
        <w:rPr>
          <w:rFonts w:ascii="Calibri" w:eastAsia="Calibri" w:hAnsi="Calibri" w:cs="Calibri"/>
          <w:color w:val="auto"/>
        </w:rPr>
        <w:t>Estate’s</w:t>
      </w:r>
      <w:r w:rsidRPr="71923212">
        <w:rPr>
          <w:rFonts w:ascii="Calibri" w:eastAsia="Calibri" w:hAnsi="Calibri" w:cs="Calibri"/>
          <w:color w:val="auto"/>
        </w:rPr>
        <w:t xml:space="preserve"> service to WNC. In line with the Councils best value objectives, the new system will seek to streamline business processes, ensure that relevant senior officers have clarity on the estate, the operational costs of that estate and provide the tools needed to ensure that the total cost of constructing, owning, </w:t>
      </w:r>
      <w:r w:rsidR="0067662B" w:rsidRPr="71923212">
        <w:rPr>
          <w:rFonts w:ascii="Calibri" w:eastAsia="Calibri" w:hAnsi="Calibri" w:cs="Calibri"/>
          <w:color w:val="auto"/>
        </w:rPr>
        <w:t>maintaining,</w:t>
      </w:r>
      <w:r w:rsidRPr="71923212">
        <w:rPr>
          <w:rFonts w:ascii="Calibri" w:eastAsia="Calibri" w:hAnsi="Calibri" w:cs="Calibri"/>
          <w:color w:val="auto"/>
        </w:rPr>
        <w:t xml:space="preserve"> and operating these assets are fully understood. </w:t>
      </w:r>
      <w:r w:rsidRPr="71923212">
        <w:rPr>
          <w:color w:val="auto"/>
        </w:rPr>
        <w:t xml:space="preserve"> </w:t>
      </w:r>
    </w:p>
    <w:p w14:paraId="58B92AAB" w14:textId="37943F6F" w:rsidR="008F632F" w:rsidRPr="00CC58BD" w:rsidRDefault="008F632F" w:rsidP="280958BC">
      <w:pPr>
        <w:pStyle w:val="Optional"/>
        <w:numPr>
          <w:ilvl w:val="1"/>
          <w:numId w:val="0"/>
        </w:numPr>
        <w:rPr>
          <w:szCs w:val="24"/>
        </w:rPr>
      </w:pPr>
    </w:p>
    <w:p w14:paraId="6226E5A1" w14:textId="1CFD5D44" w:rsidR="008F632F" w:rsidRPr="00CC58BD" w:rsidRDefault="008F632F" w:rsidP="280958BC">
      <w:pPr>
        <w:pStyle w:val="Optional"/>
        <w:numPr>
          <w:ilvl w:val="1"/>
          <w:numId w:val="0"/>
        </w:numPr>
        <w:rPr>
          <w:szCs w:val="24"/>
        </w:rPr>
      </w:pPr>
    </w:p>
    <w:p w14:paraId="6226E5A4" w14:textId="77777777" w:rsidR="00CC58BD" w:rsidRPr="00C211C2" w:rsidRDefault="00CC58BD" w:rsidP="008F632F">
      <w:pPr>
        <w:pStyle w:val="Heading2"/>
        <w:rPr>
          <w:color w:val="auto"/>
        </w:rPr>
      </w:pPr>
      <w:r w:rsidRPr="00C211C2">
        <w:rPr>
          <w:color w:val="auto"/>
        </w:rPr>
        <w:t>Soft Market Test Timetable</w:t>
      </w:r>
    </w:p>
    <w:p w14:paraId="6226E5A5" w14:textId="7FA638B8" w:rsidR="00CC58BD" w:rsidRDefault="79B1F464" w:rsidP="008F632F">
      <w:pPr>
        <w:pStyle w:val="BodyNumbered"/>
      </w:pPr>
      <w:r>
        <w:t xml:space="preserve">Please read this document and if you feel that your organisation is able to contribute to this exercise, please complete the questionnaire at the end of this document and return, via email to </w:t>
      </w:r>
      <w:hyperlink r:id="rId12" w:history="1">
        <w:r w:rsidR="00C211C2" w:rsidRPr="00122739">
          <w:rPr>
            <w:rStyle w:val="Hyperlink"/>
          </w:rPr>
          <w:t>daryl.read@westnorthants.gov.uk</w:t>
        </w:r>
      </w:hyperlink>
      <w:r w:rsidR="00C211C2">
        <w:t xml:space="preserve"> </w:t>
      </w:r>
      <w:r>
        <w:t>by</w:t>
      </w:r>
      <w:r w:rsidR="00C211C2" w:rsidRPr="00C211C2">
        <w:t xml:space="preserve"> </w:t>
      </w:r>
      <w:r w:rsidR="003A3A2D">
        <w:t>22</w:t>
      </w:r>
      <w:r w:rsidR="003A3A2D" w:rsidRPr="003A3A2D">
        <w:rPr>
          <w:vertAlign w:val="superscript"/>
        </w:rPr>
        <w:t>nd</w:t>
      </w:r>
      <w:r w:rsidR="003A3A2D">
        <w:t xml:space="preserve"> August 2022. Any questions please also direct them to the above named.</w:t>
      </w:r>
    </w:p>
    <w:p w14:paraId="6226E5A6" w14:textId="77777777" w:rsidR="008F632F" w:rsidRDefault="008F632F" w:rsidP="008F632F">
      <w:pPr>
        <w:pStyle w:val="BodyNumbered"/>
        <w:numPr>
          <w:ilvl w:val="0"/>
          <w:numId w:val="0"/>
        </w:numPr>
        <w:ind w:left="792"/>
      </w:pPr>
    </w:p>
    <w:p w14:paraId="7093C490" w14:textId="54E29A4B" w:rsidR="00ED6A90" w:rsidRDefault="79B1F464" w:rsidP="00ED6A90">
      <w:pPr>
        <w:pStyle w:val="BodyNumbered"/>
        <w:ind w:left="788" w:hanging="431"/>
      </w:pPr>
      <w:r w:rsidRPr="003A3A2D">
        <w:t>Following receipt of the questionnaires, a m</w:t>
      </w:r>
      <w:r w:rsidR="00A55A1E">
        <w:t>in</w:t>
      </w:r>
      <w:r w:rsidRPr="003A3A2D">
        <w:t>imum of 3 respondents will be invited to attend separate workshop sessions to present and discuss their responses</w:t>
      </w:r>
      <w:r w:rsidR="00ED6A90">
        <w:t>, this will be based purely around the responses below and will provide no advantage on the deci</w:t>
      </w:r>
      <w:r w:rsidR="004E27F1">
        <w:t>si</w:t>
      </w:r>
      <w:r w:rsidR="00ED6A90">
        <w:t>on process</w:t>
      </w:r>
      <w:r w:rsidR="004E27F1">
        <w:t xml:space="preserve"> going forward</w:t>
      </w:r>
      <w:r w:rsidR="00ED6A90">
        <w:t>.</w:t>
      </w:r>
    </w:p>
    <w:p w14:paraId="34B5778A" w14:textId="77777777" w:rsidR="00ED6A90" w:rsidRDefault="00ED6A90" w:rsidP="00ED6A90">
      <w:pPr>
        <w:pStyle w:val="BodyNumbered"/>
        <w:numPr>
          <w:ilvl w:val="0"/>
          <w:numId w:val="0"/>
        </w:numPr>
      </w:pPr>
    </w:p>
    <w:p w14:paraId="43ECDAD4" w14:textId="2ED69567" w:rsidR="00ED6A90" w:rsidRDefault="00ED6A90" w:rsidP="00ED6A90">
      <w:pPr>
        <w:pStyle w:val="BodyNumbered"/>
        <w:ind w:left="788" w:hanging="431"/>
      </w:pPr>
      <w:r w:rsidRPr="00ED6A90">
        <w:t xml:space="preserve">A decision will then be made internally </w:t>
      </w:r>
      <w:r w:rsidR="00A55A1E">
        <w:t xml:space="preserve">following governed approval </w:t>
      </w:r>
      <w:r w:rsidRPr="00ED6A90">
        <w:t xml:space="preserve">on the best procurement approach on whether we use a national Framework or </w:t>
      </w:r>
      <w:r w:rsidR="00A55A1E">
        <w:t xml:space="preserve">via a full </w:t>
      </w:r>
      <w:r w:rsidRPr="00ED6A90">
        <w:t>tender process.</w:t>
      </w:r>
    </w:p>
    <w:p w14:paraId="37AC0203" w14:textId="77777777" w:rsidR="00ED6A90" w:rsidRDefault="00ED6A90" w:rsidP="00ED6A90">
      <w:pPr>
        <w:pStyle w:val="BodyNumbered"/>
        <w:numPr>
          <w:ilvl w:val="0"/>
          <w:numId w:val="0"/>
        </w:numPr>
      </w:pPr>
    </w:p>
    <w:p w14:paraId="6AA287AB" w14:textId="77777777" w:rsidR="00ED6A90" w:rsidRDefault="00ED6A90" w:rsidP="00ED6A90">
      <w:pPr>
        <w:pStyle w:val="BodyNumbered"/>
        <w:numPr>
          <w:ilvl w:val="0"/>
          <w:numId w:val="0"/>
        </w:numPr>
        <w:ind w:left="360"/>
      </w:pPr>
    </w:p>
    <w:p w14:paraId="6226E5A8" w14:textId="469F5C3E" w:rsidR="00325F7E" w:rsidRPr="00ED6A90" w:rsidRDefault="79B1F464" w:rsidP="00ED6A90">
      <w:pPr>
        <w:pStyle w:val="BodyNumbered"/>
        <w:numPr>
          <w:ilvl w:val="0"/>
          <w:numId w:val="0"/>
        </w:numPr>
        <w:rPr>
          <w:b/>
          <w:bCs/>
        </w:rPr>
      </w:pPr>
      <w:r w:rsidRPr="00ED6A90">
        <w:rPr>
          <w:b/>
          <w:bCs/>
        </w:rPr>
        <w:t>The timetable is provided below:</w:t>
      </w:r>
    </w:p>
    <w:tbl>
      <w:tblPr>
        <w:tblStyle w:val="TableGrid"/>
        <w:tblW w:w="5000" w:type="pct"/>
        <w:tblLook w:val="04A0" w:firstRow="1" w:lastRow="0" w:firstColumn="1" w:lastColumn="0" w:noHBand="0" w:noVBand="1"/>
      </w:tblPr>
      <w:tblGrid>
        <w:gridCol w:w="7509"/>
        <w:gridCol w:w="1507"/>
      </w:tblGrid>
      <w:tr w:rsidR="00CC58BD" w14:paraId="6226E5AB" w14:textId="77777777" w:rsidTr="0067662B">
        <w:trPr>
          <w:trHeight w:val="567"/>
        </w:trPr>
        <w:tc>
          <w:tcPr>
            <w:tcW w:w="4164" w:type="pct"/>
            <w:shd w:val="clear" w:color="auto" w:fill="BFBFBF" w:themeFill="background1" w:themeFillShade="BF"/>
            <w:vAlign w:val="center"/>
          </w:tcPr>
          <w:p w14:paraId="6226E5A9" w14:textId="77777777" w:rsidR="00CC58BD" w:rsidRPr="00AF4590" w:rsidRDefault="00CC58BD" w:rsidP="0067662B">
            <w:pPr>
              <w:rPr>
                <w:rStyle w:val="Strong"/>
              </w:rPr>
            </w:pPr>
            <w:r w:rsidRPr="00AF4590">
              <w:rPr>
                <w:rStyle w:val="Strong"/>
              </w:rPr>
              <w:t>Stage</w:t>
            </w:r>
          </w:p>
        </w:tc>
        <w:tc>
          <w:tcPr>
            <w:tcW w:w="836" w:type="pct"/>
            <w:shd w:val="clear" w:color="auto" w:fill="BFBFBF" w:themeFill="background1" w:themeFillShade="BF"/>
            <w:vAlign w:val="center"/>
          </w:tcPr>
          <w:p w14:paraId="6226E5AA" w14:textId="77777777" w:rsidR="00CC58BD" w:rsidRPr="00AF4590" w:rsidRDefault="00CC58BD" w:rsidP="0067662B">
            <w:pPr>
              <w:rPr>
                <w:rStyle w:val="Strong"/>
              </w:rPr>
            </w:pPr>
            <w:r w:rsidRPr="00AF4590">
              <w:rPr>
                <w:rStyle w:val="Strong"/>
              </w:rPr>
              <w:t>Date</w:t>
            </w:r>
          </w:p>
        </w:tc>
      </w:tr>
      <w:tr w:rsidR="00CC58BD" w14:paraId="6226E5AE" w14:textId="77777777" w:rsidTr="7356EB49">
        <w:tc>
          <w:tcPr>
            <w:tcW w:w="4164" w:type="pct"/>
          </w:tcPr>
          <w:p w14:paraId="6226E5AC" w14:textId="479EFB34" w:rsidR="00CC58BD" w:rsidRDefault="00CC58BD" w:rsidP="008F632F">
            <w:r>
              <w:t>Deadline for receipt of responses to Soft Market Test</w:t>
            </w:r>
          </w:p>
        </w:tc>
        <w:tc>
          <w:tcPr>
            <w:tcW w:w="836" w:type="pct"/>
          </w:tcPr>
          <w:p w14:paraId="6226E5AD" w14:textId="78A518CE" w:rsidR="00CC58BD" w:rsidRPr="00207253" w:rsidRDefault="003A3A2D" w:rsidP="00B722DD">
            <w:pPr>
              <w:spacing w:after="200" w:line="276" w:lineRule="auto"/>
              <w:jc w:val="center"/>
              <w:rPr>
                <w:color w:val="FF0000"/>
              </w:rPr>
            </w:pPr>
            <w:r>
              <w:rPr>
                <w:color w:val="FF0000"/>
              </w:rPr>
              <w:t>22</w:t>
            </w:r>
            <w:r w:rsidRPr="003A3A2D">
              <w:rPr>
                <w:color w:val="FF0000"/>
                <w:vertAlign w:val="superscript"/>
              </w:rPr>
              <w:t>nd</w:t>
            </w:r>
            <w:r>
              <w:rPr>
                <w:color w:val="FF0000"/>
              </w:rPr>
              <w:t xml:space="preserve"> August 2022</w:t>
            </w:r>
          </w:p>
        </w:tc>
      </w:tr>
      <w:tr w:rsidR="00ED6A90" w14:paraId="1273B3C7" w14:textId="77777777" w:rsidTr="7356EB49">
        <w:tc>
          <w:tcPr>
            <w:tcW w:w="4164" w:type="pct"/>
          </w:tcPr>
          <w:p w14:paraId="22FF7780" w14:textId="7365DCF7" w:rsidR="00ED6A90" w:rsidRDefault="00ED6A90" w:rsidP="008F632F">
            <w:r>
              <w:t>Notification of Invite to Demo</w:t>
            </w:r>
          </w:p>
        </w:tc>
        <w:tc>
          <w:tcPr>
            <w:tcW w:w="836" w:type="pct"/>
          </w:tcPr>
          <w:p w14:paraId="3D982FEF" w14:textId="72E70216" w:rsidR="00ED6A90" w:rsidRPr="7356EB49" w:rsidRDefault="00ED6A90" w:rsidP="00B722DD">
            <w:pPr>
              <w:jc w:val="center"/>
              <w:rPr>
                <w:color w:val="FF0000"/>
              </w:rPr>
            </w:pPr>
            <w:r>
              <w:rPr>
                <w:color w:val="FF0000"/>
              </w:rPr>
              <w:t>2</w:t>
            </w:r>
            <w:r w:rsidR="00B722DD">
              <w:rPr>
                <w:color w:val="FF0000"/>
              </w:rPr>
              <w:t>4</w:t>
            </w:r>
            <w:r w:rsidRPr="00ED6A90">
              <w:rPr>
                <w:color w:val="FF0000"/>
                <w:vertAlign w:val="superscript"/>
              </w:rPr>
              <w:t>th</w:t>
            </w:r>
            <w:r>
              <w:rPr>
                <w:color w:val="FF0000"/>
              </w:rPr>
              <w:t xml:space="preserve"> August 2022</w:t>
            </w:r>
          </w:p>
        </w:tc>
      </w:tr>
      <w:tr w:rsidR="00207253" w14:paraId="6226E5B1" w14:textId="77777777" w:rsidTr="7356EB49">
        <w:tc>
          <w:tcPr>
            <w:tcW w:w="4164" w:type="pct"/>
          </w:tcPr>
          <w:p w14:paraId="484F30DA" w14:textId="543D75E1" w:rsidR="00207253" w:rsidRDefault="00B722DD" w:rsidP="008F632F">
            <w:r>
              <w:t xml:space="preserve">Demonstrations – proposed (Please can you confirm </w:t>
            </w:r>
            <w:r w:rsidR="0067662B">
              <w:t>availability</w:t>
            </w:r>
            <w:r>
              <w:t xml:space="preserve"> for this day)</w:t>
            </w:r>
          </w:p>
          <w:p w14:paraId="6226E5AF" w14:textId="4BC46478" w:rsidR="00ED6A90" w:rsidRDefault="00ED6A90" w:rsidP="008F632F"/>
        </w:tc>
        <w:tc>
          <w:tcPr>
            <w:tcW w:w="836" w:type="pct"/>
          </w:tcPr>
          <w:p w14:paraId="6226E5B0" w14:textId="74D588EE" w:rsidR="00207253" w:rsidRPr="00207253" w:rsidRDefault="00B722DD" w:rsidP="00B722DD">
            <w:pPr>
              <w:jc w:val="center"/>
              <w:rPr>
                <w:color w:val="FF0000"/>
              </w:rPr>
            </w:pPr>
            <w:r>
              <w:rPr>
                <w:color w:val="FF0000"/>
              </w:rPr>
              <w:t>1</w:t>
            </w:r>
            <w:r w:rsidRPr="00B722DD">
              <w:rPr>
                <w:color w:val="FF0000"/>
                <w:vertAlign w:val="superscript"/>
              </w:rPr>
              <w:t>st</w:t>
            </w:r>
            <w:r>
              <w:rPr>
                <w:color w:val="FF0000"/>
              </w:rPr>
              <w:t xml:space="preserve"> </w:t>
            </w:r>
            <w:r w:rsidR="00ED6A90">
              <w:rPr>
                <w:color w:val="FF0000"/>
              </w:rPr>
              <w:t>Sept 2022</w:t>
            </w:r>
          </w:p>
        </w:tc>
      </w:tr>
      <w:tr w:rsidR="00B722DD" w14:paraId="63CBF810" w14:textId="77777777" w:rsidTr="00B722DD">
        <w:trPr>
          <w:trHeight w:val="567"/>
        </w:trPr>
        <w:tc>
          <w:tcPr>
            <w:tcW w:w="4164" w:type="pct"/>
          </w:tcPr>
          <w:p w14:paraId="5EBDE7E3" w14:textId="77777777" w:rsidR="00B722DD" w:rsidRDefault="00B722DD" w:rsidP="008F632F"/>
        </w:tc>
        <w:tc>
          <w:tcPr>
            <w:tcW w:w="836" w:type="pct"/>
          </w:tcPr>
          <w:p w14:paraId="3675E481" w14:textId="7FD51ECB" w:rsidR="00B722DD" w:rsidRDefault="00B722DD" w:rsidP="00B722DD">
            <w:pPr>
              <w:jc w:val="center"/>
              <w:rPr>
                <w:color w:val="FF0000"/>
              </w:rPr>
            </w:pPr>
            <w:r>
              <w:rPr>
                <w:color w:val="FF0000"/>
              </w:rPr>
              <w:t>Yes / No</w:t>
            </w:r>
          </w:p>
        </w:tc>
      </w:tr>
      <w:tr w:rsidR="00207253" w14:paraId="6226E5B4" w14:textId="77777777" w:rsidTr="7356EB49">
        <w:tc>
          <w:tcPr>
            <w:tcW w:w="4164" w:type="pct"/>
          </w:tcPr>
          <w:p w14:paraId="6226E5B2" w14:textId="3F7D40F0" w:rsidR="00207253" w:rsidRDefault="00207253" w:rsidP="008F632F">
            <w:r>
              <w:t>Decision on way forward</w:t>
            </w:r>
            <w:r w:rsidR="00B722DD">
              <w:t xml:space="preserve"> – Late September 2022</w:t>
            </w:r>
          </w:p>
        </w:tc>
        <w:tc>
          <w:tcPr>
            <w:tcW w:w="836" w:type="pct"/>
          </w:tcPr>
          <w:p w14:paraId="6226E5B3" w14:textId="516D4D7E" w:rsidR="00207253" w:rsidRPr="00207253" w:rsidRDefault="00B722DD" w:rsidP="00B722DD">
            <w:pPr>
              <w:spacing w:after="200" w:line="276" w:lineRule="auto"/>
              <w:jc w:val="center"/>
              <w:rPr>
                <w:color w:val="FF0000"/>
              </w:rPr>
            </w:pPr>
            <w:r>
              <w:rPr>
                <w:color w:val="FF0000"/>
              </w:rPr>
              <w:t>TBC</w:t>
            </w:r>
          </w:p>
        </w:tc>
      </w:tr>
    </w:tbl>
    <w:p w14:paraId="6226E5B5" w14:textId="77777777" w:rsidR="008F632F" w:rsidRPr="008F632F" w:rsidRDefault="008F632F" w:rsidP="008F632F"/>
    <w:p w14:paraId="6226E5B6" w14:textId="77777777" w:rsidR="00CC58BD" w:rsidRDefault="00CC58BD" w:rsidP="008F632F">
      <w:pPr>
        <w:pStyle w:val="BodyNumbered"/>
      </w:pPr>
      <w:r w:rsidRPr="00AF4590">
        <w:t>Potential responders will not be prejudiced in any future procurement processes by either responding or not responding to this soft market test exercise.</w:t>
      </w:r>
    </w:p>
    <w:p w14:paraId="2F440A0A" w14:textId="77777777" w:rsidR="00740580" w:rsidRDefault="00740580">
      <w:pPr>
        <w:rPr>
          <w:rFonts w:eastAsiaTheme="majorEastAsia" w:cstheme="majorBidi"/>
          <w:b/>
          <w:bCs/>
          <w:color w:val="00D2FF"/>
          <w:sz w:val="28"/>
          <w:szCs w:val="28"/>
        </w:rPr>
      </w:pPr>
      <w:r>
        <w:br w:type="page"/>
      </w:r>
    </w:p>
    <w:p w14:paraId="6226E5B7" w14:textId="401636E0" w:rsidR="00CC58BD" w:rsidRPr="004B3DBA" w:rsidRDefault="00CC58BD">
      <w:pPr>
        <w:pStyle w:val="Heading1"/>
        <w:rPr>
          <w:color w:val="0070C0"/>
        </w:rPr>
      </w:pPr>
      <w:r w:rsidRPr="004B3DBA">
        <w:rPr>
          <w:color w:val="0070C0"/>
        </w:rPr>
        <w:t>Section 2: Identification of Requirement</w:t>
      </w:r>
    </w:p>
    <w:p w14:paraId="6226E5B8" w14:textId="77777777" w:rsidR="00D56EA8" w:rsidRPr="003A3A2D" w:rsidRDefault="00D56EA8" w:rsidP="008F632F">
      <w:pPr>
        <w:pStyle w:val="Heading2"/>
        <w:rPr>
          <w:color w:val="auto"/>
        </w:rPr>
      </w:pPr>
      <w:r w:rsidRPr="440B82A9">
        <w:rPr>
          <w:color w:val="auto"/>
        </w:rPr>
        <w:t>Current Situation</w:t>
      </w:r>
    </w:p>
    <w:p w14:paraId="53903419" w14:textId="402F84CA" w:rsidR="280958BC" w:rsidRPr="003A3A2D" w:rsidRDefault="2FFBFDBC" w:rsidP="21071146">
      <w:pPr>
        <w:pStyle w:val="Optional"/>
        <w:rPr>
          <w:color w:val="auto"/>
        </w:rPr>
      </w:pPr>
      <w:r w:rsidRPr="440B82A9">
        <w:rPr>
          <w:rFonts w:ascii="Calibri" w:eastAsia="Calibri" w:hAnsi="Calibri" w:cs="Calibri"/>
          <w:color w:val="auto"/>
        </w:rPr>
        <w:t xml:space="preserve">Across the former Northamptonshire legacy councils which now make up WNC there are different approaches to Estates and Facilities Management. Different Systems and Excel spreadsheets are currently being utilised to monitor and deliver the Estates, Maintenance, Facilities and Construction Project Management services. </w:t>
      </w:r>
    </w:p>
    <w:p w14:paraId="21D8FC50" w14:textId="75B31721" w:rsidR="280958BC" w:rsidRPr="003A3A2D" w:rsidRDefault="2FFBFDBC" w:rsidP="6ECFFF77">
      <w:pPr>
        <w:pStyle w:val="Optional"/>
        <w:rPr>
          <w:color w:val="auto"/>
        </w:rPr>
      </w:pPr>
      <w:r w:rsidRPr="440B82A9">
        <w:rPr>
          <w:rFonts w:ascii="Calibri" w:eastAsia="Calibri" w:hAnsi="Calibri" w:cs="Calibri"/>
          <w:color w:val="auto"/>
        </w:rPr>
        <w:t>The systems do not currently integrate with each other or the WNC finance system, and as such it is not possible for the Council to understand the “true cost” of occupying and maintaining and developing its new Estate from a single system.</w:t>
      </w:r>
    </w:p>
    <w:p w14:paraId="4B1B992F" w14:textId="3C944684" w:rsidR="6ECFFF77" w:rsidRPr="003A3A2D" w:rsidRDefault="13A021EC" w:rsidP="21071146">
      <w:pPr>
        <w:pStyle w:val="Optional"/>
        <w:rPr>
          <w:rFonts w:eastAsiaTheme="minorEastAsia"/>
          <w:color w:val="auto"/>
        </w:rPr>
      </w:pPr>
      <w:r w:rsidRPr="440B82A9">
        <w:rPr>
          <w:rFonts w:ascii="Calibri" w:eastAsia="Calibri" w:hAnsi="Calibri" w:cs="Calibri"/>
          <w:color w:val="auto"/>
        </w:rPr>
        <w:t xml:space="preserve">In order to meet the changing needs of the business an integrated and hosted Asset Management Solution is required to transform and provide a total solution for asset and facilities management activity. This will need to accommodate the split of North/West data from the legacy systems, consolidate disparate systems and provide robust financial oversight. </w:t>
      </w:r>
    </w:p>
    <w:p w14:paraId="103F11ED" w14:textId="0AA8CDF8" w:rsidR="6ECFFF77" w:rsidRDefault="6ECFFF77" w:rsidP="6ECFFF77">
      <w:pPr>
        <w:pStyle w:val="Optional"/>
        <w:numPr>
          <w:ilvl w:val="1"/>
          <w:numId w:val="0"/>
        </w:numPr>
        <w:rPr>
          <w:rFonts w:ascii="Calibri" w:eastAsia="Calibri" w:hAnsi="Calibri" w:cs="Calibri"/>
          <w:color w:val="201F1E"/>
          <w:sz w:val="22"/>
        </w:rPr>
      </w:pPr>
      <w:r w:rsidRPr="6ECFFF77">
        <w:rPr>
          <w:rFonts w:ascii="Calibri" w:eastAsia="Calibri" w:hAnsi="Calibri" w:cs="Calibri"/>
          <w:szCs w:val="24"/>
        </w:rPr>
        <w:t xml:space="preserve"> </w:t>
      </w:r>
      <w:r>
        <w:tab/>
      </w:r>
      <w:r w:rsidRPr="6ECFFF77">
        <w:rPr>
          <w:rFonts w:ascii="Calibri" w:hAnsi="Calibri"/>
          <w:b/>
          <w:bCs/>
          <w:color w:val="7030A0"/>
          <w:szCs w:val="24"/>
        </w:rPr>
        <w:t xml:space="preserve"> </w:t>
      </w:r>
    </w:p>
    <w:p w14:paraId="6226E5BB" w14:textId="77777777" w:rsidR="00D56EA8" w:rsidRPr="003A3A2D" w:rsidRDefault="565C5A94" w:rsidP="008F632F">
      <w:pPr>
        <w:pStyle w:val="Heading2"/>
        <w:rPr>
          <w:color w:val="auto"/>
        </w:rPr>
      </w:pPr>
      <w:r w:rsidRPr="003A3A2D">
        <w:rPr>
          <w:color w:val="auto"/>
        </w:rPr>
        <w:t>Our Requirements</w:t>
      </w:r>
    </w:p>
    <w:p w14:paraId="6226E5BC" w14:textId="2DA1428D" w:rsidR="000352F9" w:rsidRPr="00A871C1" w:rsidRDefault="2FFBFDBC" w:rsidP="71923212">
      <w:pPr>
        <w:pStyle w:val="Optional"/>
        <w:rPr>
          <w:rFonts w:eastAsiaTheme="minorEastAsia"/>
          <w:color w:val="auto"/>
        </w:rPr>
      </w:pPr>
      <w:r w:rsidRPr="71923212">
        <w:rPr>
          <w:rFonts w:ascii="Calibri" w:eastAsia="Calibri" w:hAnsi="Calibri" w:cs="Calibri"/>
          <w:color w:val="auto"/>
        </w:rPr>
        <w:t xml:space="preserve">A single, easily configurable centralised Property Asset Management system which can interface to Unit 4 ERP  and other specified applications to record all activity across WNC properties including </w:t>
      </w:r>
      <w:r w:rsidR="0067662B" w:rsidRPr="71923212">
        <w:rPr>
          <w:rFonts w:ascii="Calibri" w:eastAsia="Calibri" w:hAnsi="Calibri" w:cs="Calibri"/>
          <w:color w:val="auto"/>
        </w:rPr>
        <w:t>leasing,</w:t>
      </w:r>
      <w:r w:rsidRPr="71923212">
        <w:rPr>
          <w:rFonts w:ascii="Calibri" w:eastAsia="Calibri" w:hAnsi="Calibri" w:cs="Calibri"/>
          <w:color w:val="auto"/>
        </w:rPr>
        <w:t xml:space="preserve"> maintenance and costs for Estates, Facilities Management and Construction projects.</w:t>
      </w:r>
    </w:p>
    <w:p w14:paraId="1E82E388" w14:textId="77777777" w:rsidR="00A871C1" w:rsidRPr="003A3A2D" w:rsidRDefault="00A871C1" w:rsidP="00A871C1">
      <w:pPr>
        <w:pStyle w:val="Optional"/>
        <w:numPr>
          <w:ilvl w:val="0"/>
          <w:numId w:val="0"/>
        </w:numPr>
        <w:ind w:left="792"/>
        <w:rPr>
          <w:rFonts w:eastAsiaTheme="minorEastAsia"/>
          <w:color w:val="auto"/>
        </w:rPr>
      </w:pPr>
    </w:p>
    <w:p w14:paraId="35993975" w14:textId="1F16B349" w:rsidR="4DAB7159" w:rsidRPr="00A871C1" w:rsidRDefault="5F966E93" w:rsidP="7356EB49">
      <w:pPr>
        <w:pStyle w:val="Optional"/>
        <w:rPr>
          <w:color w:val="auto"/>
        </w:rPr>
      </w:pPr>
      <w:r w:rsidRPr="003A3A2D">
        <w:rPr>
          <w:rFonts w:ascii="Calibri" w:eastAsia="Calibri" w:hAnsi="Calibri" w:cs="Calibri"/>
          <w:color w:val="auto"/>
        </w:rPr>
        <w:t>A system that will provide the functionality to support the Councils commitment to becoming Carbon Neutral by 2030 and in meeting the updated requirements that will be imposed on Landlords under the MEES (Minimum Energy Efficiency Standards) relating to existing leases, that will come into force in April 2023.</w:t>
      </w:r>
    </w:p>
    <w:p w14:paraId="44E8AF7E" w14:textId="77777777" w:rsidR="00A871C1" w:rsidRPr="003A3A2D" w:rsidRDefault="00A871C1" w:rsidP="00A871C1">
      <w:pPr>
        <w:pStyle w:val="Optional"/>
        <w:numPr>
          <w:ilvl w:val="0"/>
          <w:numId w:val="0"/>
        </w:numPr>
        <w:ind w:left="792"/>
        <w:rPr>
          <w:color w:val="auto"/>
        </w:rPr>
      </w:pPr>
    </w:p>
    <w:p w14:paraId="17C3A0E5" w14:textId="5424B3E8" w:rsidR="4DAB7159" w:rsidRPr="00A871C1" w:rsidRDefault="7356EB49" w:rsidP="00A871C1">
      <w:pPr>
        <w:pStyle w:val="Optional"/>
        <w:rPr>
          <w:color w:val="auto"/>
        </w:rPr>
      </w:pPr>
      <w:r w:rsidRPr="003A3A2D">
        <w:rPr>
          <w:rFonts w:ascii="Calibri" w:eastAsia="Calibri" w:hAnsi="Calibri" w:cs="Calibri"/>
          <w:color w:val="auto"/>
          <w:szCs w:val="24"/>
        </w:rPr>
        <w:t>A system that allows both contractors and customers to easily access information, raise re-active requests and update and store required documentation for any planned maintenance activity.</w:t>
      </w:r>
    </w:p>
    <w:p w14:paraId="6226E5BD" w14:textId="67BD60C2" w:rsidR="000352F9" w:rsidRPr="00A871C1" w:rsidRDefault="0EC759F2" w:rsidP="1FB957AF">
      <w:pPr>
        <w:pStyle w:val="BodyNumbered"/>
      </w:pPr>
      <w:r w:rsidRPr="00A871C1">
        <w:t>We are looking for a solution that will</w:t>
      </w:r>
      <w:r w:rsidR="00B722DD" w:rsidRPr="00A871C1">
        <w:t xml:space="preserve"> meet the requirements set out in Appendix A, </w:t>
      </w:r>
      <w:r w:rsidR="0067662B" w:rsidRPr="00A871C1">
        <w:t>along</w:t>
      </w:r>
      <w:r w:rsidR="00B722DD" w:rsidRPr="00A871C1">
        <w:t xml:space="preserve"> with other considerations around</w:t>
      </w:r>
      <w:r w:rsidRPr="00A871C1">
        <w:t xml:space="preserve">: </w:t>
      </w:r>
    </w:p>
    <w:p w14:paraId="4D48868E" w14:textId="7B9E71D3" w:rsidR="00FC37DA" w:rsidRPr="00A871C1" w:rsidRDefault="00B722DD" w:rsidP="00B722DD">
      <w:pPr>
        <w:pStyle w:val="BodyNumbered"/>
        <w:numPr>
          <w:ilvl w:val="0"/>
          <w:numId w:val="21"/>
        </w:numPr>
      </w:pPr>
      <w:r w:rsidRPr="00A871C1">
        <w:t xml:space="preserve">Migration from the existing database. </w:t>
      </w:r>
    </w:p>
    <w:p w14:paraId="0F0580A9" w14:textId="4CF90D09" w:rsidR="00FC37DA" w:rsidRPr="00B722DD" w:rsidRDefault="00B722DD" w:rsidP="00B722DD">
      <w:pPr>
        <w:pStyle w:val="BodyNumbered"/>
        <w:numPr>
          <w:ilvl w:val="0"/>
          <w:numId w:val="21"/>
        </w:numPr>
      </w:pPr>
      <w:r w:rsidRPr="00A871C1">
        <w:t>Integration with external data sources.</w:t>
      </w:r>
      <w:r>
        <w:br/>
      </w:r>
    </w:p>
    <w:p w14:paraId="4677A513" w14:textId="77777777" w:rsidR="003F1670" w:rsidRDefault="003F1670" w:rsidP="003F1670">
      <w:pPr>
        <w:ind w:left="360"/>
      </w:pPr>
    </w:p>
    <w:p w14:paraId="34CC48D2" w14:textId="77777777" w:rsidR="00740580" w:rsidRDefault="00740580">
      <w:pPr>
        <w:rPr>
          <w:rFonts w:eastAsiaTheme="majorEastAsia" w:cstheme="majorBidi"/>
          <w:b/>
          <w:bCs/>
          <w:color w:val="00D2FF"/>
          <w:sz w:val="28"/>
          <w:szCs w:val="28"/>
        </w:rPr>
      </w:pPr>
      <w:r>
        <w:br w:type="page"/>
      </w:r>
    </w:p>
    <w:p w14:paraId="6226E5C0" w14:textId="40111594" w:rsidR="00CC58BD" w:rsidRDefault="00CC58BD" w:rsidP="003A3A2D">
      <w:pPr>
        <w:pStyle w:val="Heading1"/>
        <w:jc w:val="left"/>
        <w:rPr>
          <w:color w:val="0070C0"/>
        </w:rPr>
      </w:pPr>
      <w:r w:rsidRPr="004B3DBA">
        <w:rPr>
          <w:color w:val="0070C0"/>
        </w:rPr>
        <w:t>Section 3: Supporting information</w:t>
      </w:r>
    </w:p>
    <w:p w14:paraId="6A75B3B1" w14:textId="77777777" w:rsidR="003A3A2D" w:rsidRPr="003A3A2D" w:rsidRDefault="003A3A2D" w:rsidP="003A3A2D"/>
    <w:p w14:paraId="6226E5C2" w14:textId="407B80D7" w:rsidR="00207253" w:rsidRDefault="442597BD" w:rsidP="008F632F">
      <w:pPr>
        <w:pStyle w:val="Heading2"/>
        <w:rPr>
          <w:color w:val="auto"/>
        </w:rPr>
      </w:pPr>
      <w:r w:rsidRPr="003A3A2D">
        <w:rPr>
          <w:color w:val="auto"/>
        </w:rPr>
        <w:t>Section A</w:t>
      </w:r>
      <w:r w:rsidR="41E9D59D" w:rsidRPr="003A3A2D">
        <w:rPr>
          <w:color w:val="auto"/>
        </w:rPr>
        <w:t>:</w:t>
      </w:r>
      <w:r w:rsidRPr="003A3A2D">
        <w:rPr>
          <w:color w:val="auto"/>
        </w:rPr>
        <w:t xml:space="preserve"> Organisation and Contact Details</w:t>
      </w:r>
    </w:p>
    <w:p w14:paraId="5D0A9564" w14:textId="77777777" w:rsidR="003A3A2D" w:rsidRPr="003A3A2D" w:rsidRDefault="003A3A2D" w:rsidP="003A3A2D">
      <w:pPr>
        <w:spacing w:after="120"/>
      </w:pPr>
    </w:p>
    <w:tbl>
      <w:tblPr>
        <w:tblStyle w:val="TableGrid"/>
        <w:tblW w:w="4841" w:type="pct"/>
        <w:tblLook w:val="04A0" w:firstRow="1" w:lastRow="0" w:firstColumn="1" w:lastColumn="0" w:noHBand="0" w:noVBand="1"/>
      </w:tblPr>
      <w:tblGrid>
        <w:gridCol w:w="4364"/>
        <w:gridCol w:w="4365"/>
      </w:tblGrid>
      <w:tr w:rsidR="003A0220" w:rsidRPr="000A60CE" w14:paraId="6226E5C5" w14:textId="77777777" w:rsidTr="003A0220">
        <w:tc>
          <w:tcPr>
            <w:tcW w:w="2500"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2500" w:type="pct"/>
          </w:tcPr>
          <w:p w14:paraId="6226E5C4" w14:textId="77777777" w:rsidR="000E295A" w:rsidRPr="000A60CE" w:rsidRDefault="000A60CE" w:rsidP="00CC58BD">
            <w:pPr>
              <w:rPr>
                <w:rStyle w:val="Strong"/>
              </w:rPr>
            </w:pPr>
            <w:r w:rsidRPr="000A60CE">
              <w:rPr>
                <w:rStyle w:val="Strong"/>
              </w:rPr>
              <w:t>Response</w:t>
            </w:r>
          </w:p>
        </w:tc>
      </w:tr>
      <w:tr w:rsidR="003A0220" w14:paraId="6226E5C8" w14:textId="77777777" w:rsidTr="003A0220">
        <w:tc>
          <w:tcPr>
            <w:tcW w:w="2500" w:type="pct"/>
            <w:shd w:val="clear" w:color="auto" w:fill="D9D9D9" w:themeFill="background1" w:themeFillShade="D9"/>
          </w:tcPr>
          <w:p w14:paraId="4C1D8AA7" w14:textId="77777777" w:rsidR="000A60CE" w:rsidRDefault="000A60CE" w:rsidP="00CC58BD">
            <w:r>
              <w:t>Name of your organisation</w:t>
            </w:r>
          </w:p>
          <w:p w14:paraId="6226E5C6" w14:textId="0BA82198" w:rsidR="003A0220" w:rsidRDefault="003A0220" w:rsidP="00CC58BD"/>
        </w:tc>
        <w:tc>
          <w:tcPr>
            <w:tcW w:w="2500" w:type="pct"/>
          </w:tcPr>
          <w:p w14:paraId="6226E5C7" w14:textId="77777777" w:rsidR="000A60CE" w:rsidRDefault="000A60CE" w:rsidP="00CC58BD"/>
        </w:tc>
      </w:tr>
      <w:tr w:rsidR="003A0220" w14:paraId="6226E5D1" w14:textId="77777777" w:rsidTr="003A0220">
        <w:tc>
          <w:tcPr>
            <w:tcW w:w="2500" w:type="pct"/>
            <w:shd w:val="clear" w:color="auto" w:fill="D9D9D9" w:themeFill="background1" w:themeFillShade="D9"/>
          </w:tcPr>
          <w:p w14:paraId="1DBA97F9" w14:textId="77777777" w:rsidR="000E295A" w:rsidRDefault="00207253" w:rsidP="00207253">
            <w:r>
              <w:t>What if any local connections do you have with the authority?</w:t>
            </w:r>
          </w:p>
          <w:p w14:paraId="6226E5CF" w14:textId="245CF89E" w:rsidR="003A0220" w:rsidRDefault="003A0220" w:rsidP="00207253"/>
        </w:tc>
        <w:tc>
          <w:tcPr>
            <w:tcW w:w="2500" w:type="pct"/>
          </w:tcPr>
          <w:p w14:paraId="6226E5D0" w14:textId="77777777" w:rsidR="000E295A" w:rsidRDefault="000E295A" w:rsidP="00CC58BD"/>
        </w:tc>
      </w:tr>
      <w:tr w:rsidR="003A0220" w14:paraId="6226E5D4" w14:textId="77777777" w:rsidTr="003A0220">
        <w:tc>
          <w:tcPr>
            <w:tcW w:w="2500" w:type="pct"/>
            <w:shd w:val="clear" w:color="auto" w:fill="D9D9D9" w:themeFill="background1" w:themeFillShade="D9"/>
          </w:tcPr>
          <w:p w14:paraId="12969C20" w14:textId="3C32A7C0" w:rsidR="000E295A" w:rsidRDefault="00207253" w:rsidP="00CC58BD">
            <w:r>
              <w:t xml:space="preserve">Name of person whom </w:t>
            </w:r>
            <w:r w:rsidR="0067662B">
              <w:t>a</w:t>
            </w:r>
            <w:r>
              <w:t xml:space="preserve"> </w:t>
            </w:r>
            <w:r w:rsidR="0067662B">
              <w:t>query</w:t>
            </w:r>
            <w:r>
              <w:t xml:space="preserve"> relating to this questionnaire should be addressed</w:t>
            </w:r>
            <w:r w:rsidR="003A0220">
              <w:t>.</w:t>
            </w:r>
          </w:p>
          <w:p w14:paraId="6226E5D2" w14:textId="2BC07D60" w:rsidR="003A0220" w:rsidRDefault="003A0220" w:rsidP="00CC58BD"/>
        </w:tc>
        <w:tc>
          <w:tcPr>
            <w:tcW w:w="2500" w:type="pct"/>
          </w:tcPr>
          <w:p w14:paraId="6226E5D3" w14:textId="77777777" w:rsidR="000E295A" w:rsidRDefault="000E295A" w:rsidP="00CC58BD"/>
        </w:tc>
      </w:tr>
      <w:tr w:rsidR="003A0220" w14:paraId="6226E5D7" w14:textId="77777777" w:rsidTr="003A0220">
        <w:tc>
          <w:tcPr>
            <w:tcW w:w="2500" w:type="pct"/>
            <w:shd w:val="clear" w:color="auto" w:fill="D9D9D9" w:themeFill="background1" w:themeFillShade="D9"/>
          </w:tcPr>
          <w:p w14:paraId="39C8D28E" w14:textId="77777777" w:rsidR="000E295A" w:rsidRDefault="00207253" w:rsidP="00207253">
            <w:r>
              <w:t>Telephone Number</w:t>
            </w:r>
          </w:p>
          <w:p w14:paraId="6226E5D5" w14:textId="36F03FB5" w:rsidR="003A0220" w:rsidRDefault="003A0220" w:rsidP="00207253"/>
        </w:tc>
        <w:tc>
          <w:tcPr>
            <w:tcW w:w="2500" w:type="pct"/>
          </w:tcPr>
          <w:p w14:paraId="6226E5D6" w14:textId="77777777" w:rsidR="000E295A" w:rsidRDefault="000E295A" w:rsidP="00CC58BD"/>
        </w:tc>
      </w:tr>
      <w:tr w:rsidR="003A0220" w14:paraId="6226E5DA" w14:textId="77777777" w:rsidTr="003A0220">
        <w:trPr>
          <w:trHeight w:val="567"/>
        </w:trPr>
        <w:tc>
          <w:tcPr>
            <w:tcW w:w="2500" w:type="pct"/>
            <w:shd w:val="clear" w:color="auto" w:fill="D9D9D9" w:themeFill="background1" w:themeFillShade="D9"/>
          </w:tcPr>
          <w:p w14:paraId="53F28ADE" w14:textId="77777777" w:rsidR="000E295A" w:rsidRDefault="00207253" w:rsidP="003A3A2D">
            <w:pPr>
              <w:spacing w:after="120"/>
            </w:pPr>
            <w:r>
              <w:t>Email</w:t>
            </w:r>
          </w:p>
          <w:p w14:paraId="6226E5D8" w14:textId="68425638" w:rsidR="003A0220" w:rsidRDefault="003A0220" w:rsidP="003A3A2D">
            <w:pPr>
              <w:spacing w:after="120"/>
            </w:pPr>
          </w:p>
        </w:tc>
        <w:tc>
          <w:tcPr>
            <w:tcW w:w="2500" w:type="pct"/>
          </w:tcPr>
          <w:p w14:paraId="6226E5D9" w14:textId="77777777" w:rsidR="000E295A" w:rsidRDefault="000E295A" w:rsidP="003A3A2D">
            <w:pPr>
              <w:spacing w:after="120"/>
            </w:pPr>
          </w:p>
        </w:tc>
      </w:tr>
    </w:tbl>
    <w:p w14:paraId="6226E5DE" w14:textId="2430C043" w:rsidR="00CC58BD" w:rsidRPr="003A3A2D" w:rsidRDefault="442597BD" w:rsidP="003A3A2D">
      <w:pPr>
        <w:pStyle w:val="Heading2"/>
        <w:spacing w:before="240" w:after="120"/>
        <w:ind w:left="357" w:hanging="357"/>
        <w:rPr>
          <w:color w:val="auto"/>
        </w:rPr>
      </w:pPr>
      <w:r w:rsidRPr="003A3A2D">
        <w:rPr>
          <w:color w:val="auto"/>
        </w:rPr>
        <w:t>Section B</w:t>
      </w:r>
      <w:r w:rsidR="41E9D59D" w:rsidRPr="003A3A2D">
        <w:rPr>
          <w:color w:val="auto"/>
        </w:rPr>
        <w:t>:</w:t>
      </w:r>
      <w:r w:rsidRPr="003A3A2D">
        <w:rPr>
          <w:color w:val="auto"/>
        </w:rPr>
        <w:t xml:space="preserve"> Questions</w:t>
      </w:r>
    </w:p>
    <w:p w14:paraId="7D4C9DF5" w14:textId="77777777" w:rsidR="003A3A2D" w:rsidRPr="003A3A2D" w:rsidRDefault="003A3A2D" w:rsidP="003A3A2D">
      <w:pPr>
        <w:spacing w:after="120"/>
      </w:pPr>
    </w:p>
    <w:p w14:paraId="6226E5DF" w14:textId="66FB0AE6" w:rsidR="000A60CE" w:rsidRDefault="000A60CE" w:rsidP="000A60CE">
      <w:r>
        <w:t xml:space="preserve">Please </w:t>
      </w:r>
      <w:r w:rsidR="0067662B">
        <w:t>note</w:t>
      </w:r>
      <w:r>
        <w:t xml:space="preserve"> you do not need to resize the table; it will automatically adjust to fit your response. </w:t>
      </w:r>
    </w:p>
    <w:p w14:paraId="041AF33C" w14:textId="3A85F8C3" w:rsidR="00BA1F44" w:rsidRPr="00BA1F44" w:rsidRDefault="00BA1F44" w:rsidP="000A60CE">
      <w:r w:rsidRPr="00BA1F44">
        <w:t>Explain/</w:t>
      </w:r>
      <w:r w:rsidR="0067662B" w:rsidRPr="00BA1F44">
        <w:t>Demonstration</w:t>
      </w:r>
      <w:r w:rsidRPr="00BA1F44">
        <w:t xml:space="preserve"> – Is to provide a written overview in the </w:t>
      </w:r>
      <w:r w:rsidR="0067662B" w:rsidRPr="00BA1F44">
        <w:t>first</w:t>
      </w:r>
      <w:r w:rsidRPr="00BA1F44">
        <w:t xml:space="preserve"> instance, with a proviso that if you are </w:t>
      </w:r>
      <w:r w:rsidR="0067662B" w:rsidRPr="00BA1F44">
        <w:t>invited</w:t>
      </w:r>
      <w:r w:rsidRPr="00BA1F44">
        <w:t xml:space="preserve"> in to the SMT demo you will need to </w:t>
      </w:r>
      <w:r w:rsidR="0067662B" w:rsidRPr="00BA1F44">
        <w:t>demonstrate</w:t>
      </w:r>
      <w:r w:rsidRPr="00BA1F44">
        <w:t xml:space="preserve"> this proposal visually.</w:t>
      </w:r>
    </w:p>
    <w:tbl>
      <w:tblPr>
        <w:tblStyle w:val="TableGrid"/>
        <w:tblW w:w="4871" w:type="pct"/>
        <w:tblLook w:val="04A0" w:firstRow="1" w:lastRow="0" w:firstColumn="1" w:lastColumn="0" w:noHBand="0" w:noVBand="1"/>
      </w:tblPr>
      <w:tblGrid>
        <w:gridCol w:w="3397"/>
        <w:gridCol w:w="994"/>
        <w:gridCol w:w="4392"/>
      </w:tblGrid>
      <w:tr w:rsidR="008E0E30" w:rsidRPr="000A60CE" w14:paraId="6226E5E2" w14:textId="77777777" w:rsidTr="008E0E30">
        <w:trPr>
          <w:trHeight w:val="454"/>
        </w:trPr>
        <w:tc>
          <w:tcPr>
            <w:tcW w:w="1934" w:type="pct"/>
            <w:shd w:val="clear" w:color="auto" w:fill="BFBFBF" w:themeFill="background1" w:themeFillShade="BF"/>
            <w:vAlign w:val="center"/>
          </w:tcPr>
          <w:p w14:paraId="6226E5E0" w14:textId="77777777" w:rsidR="00A871C1" w:rsidRPr="008E0E30" w:rsidRDefault="00A871C1" w:rsidP="008E0E30">
            <w:pPr>
              <w:rPr>
                <w:rStyle w:val="Strong"/>
                <w:sz w:val="28"/>
                <w:szCs w:val="28"/>
              </w:rPr>
            </w:pPr>
            <w:r w:rsidRPr="008E0E30">
              <w:rPr>
                <w:rStyle w:val="Strong"/>
                <w:sz w:val="28"/>
                <w:szCs w:val="28"/>
              </w:rPr>
              <w:t>Question</w:t>
            </w:r>
          </w:p>
        </w:tc>
        <w:tc>
          <w:tcPr>
            <w:tcW w:w="566" w:type="pct"/>
            <w:shd w:val="clear" w:color="auto" w:fill="BFBFBF" w:themeFill="background1" w:themeFillShade="BF"/>
            <w:vAlign w:val="center"/>
          </w:tcPr>
          <w:p w14:paraId="604C1CC3" w14:textId="31A4D1C9" w:rsidR="00A871C1" w:rsidRPr="008E0E30" w:rsidRDefault="00A871C1" w:rsidP="008E0E30">
            <w:pPr>
              <w:jc w:val="center"/>
              <w:rPr>
                <w:rStyle w:val="Strong"/>
                <w:sz w:val="28"/>
                <w:szCs w:val="28"/>
              </w:rPr>
            </w:pPr>
            <w:r w:rsidRPr="008E0E30">
              <w:rPr>
                <w:rStyle w:val="Strong"/>
                <w:sz w:val="28"/>
                <w:szCs w:val="28"/>
              </w:rPr>
              <w:t>Max Word Count</w:t>
            </w:r>
          </w:p>
        </w:tc>
        <w:tc>
          <w:tcPr>
            <w:tcW w:w="2500" w:type="pct"/>
            <w:shd w:val="clear" w:color="auto" w:fill="BFBFBF" w:themeFill="background1" w:themeFillShade="BF"/>
            <w:vAlign w:val="center"/>
          </w:tcPr>
          <w:p w14:paraId="6226E5E1" w14:textId="0BCD5BEC" w:rsidR="00A871C1" w:rsidRPr="008E0E30" w:rsidRDefault="00A871C1" w:rsidP="008E0E30">
            <w:pPr>
              <w:jc w:val="center"/>
              <w:rPr>
                <w:rStyle w:val="Strong"/>
                <w:sz w:val="28"/>
                <w:szCs w:val="28"/>
              </w:rPr>
            </w:pPr>
            <w:r w:rsidRPr="008E0E30">
              <w:rPr>
                <w:rStyle w:val="Strong"/>
                <w:sz w:val="28"/>
                <w:szCs w:val="28"/>
              </w:rPr>
              <w:t>Response</w:t>
            </w:r>
          </w:p>
        </w:tc>
      </w:tr>
      <w:tr w:rsidR="00A871C1" w14:paraId="6226E5E5" w14:textId="77777777" w:rsidTr="008E0E30">
        <w:tc>
          <w:tcPr>
            <w:tcW w:w="1934" w:type="pct"/>
            <w:shd w:val="clear" w:color="auto" w:fill="auto"/>
            <w:vAlign w:val="center"/>
          </w:tcPr>
          <w:p w14:paraId="05F34FE5" w14:textId="6B2A0C15" w:rsidR="00A871C1" w:rsidRPr="008E0E30" w:rsidRDefault="00A871C1" w:rsidP="008E0E30">
            <w:r w:rsidRPr="008E0E30">
              <w:t>1. What is the name of the solution you propose?</w:t>
            </w:r>
          </w:p>
          <w:p w14:paraId="6226E5E3" w14:textId="2F811444" w:rsidR="00A871C1" w:rsidRPr="008E0E30" w:rsidRDefault="00A871C1" w:rsidP="008E0E30"/>
        </w:tc>
        <w:tc>
          <w:tcPr>
            <w:tcW w:w="566" w:type="pct"/>
          </w:tcPr>
          <w:p w14:paraId="6B04AE4D" w14:textId="52751499" w:rsidR="00A871C1" w:rsidRDefault="00A871C1" w:rsidP="00A871C1">
            <w:pPr>
              <w:jc w:val="center"/>
            </w:pPr>
            <w:r>
              <w:t>50</w:t>
            </w:r>
          </w:p>
        </w:tc>
        <w:tc>
          <w:tcPr>
            <w:tcW w:w="2500" w:type="pct"/>
          </w:tcPr>
          <w:p w14:paraId="6226E5E4" w14:textId="62F84F3C" w:rsidR="00A871C1" w:rsidRDefault="00A871C1" w:rsidP="008F632F"/>
        </w:tc>
      </w:tr>
      <w:tr w:rsidR="00A871C1" w14:paraId="6226E5EB" w14:textId="77777777" w:rsidTr="008E0E30">
        <w:tc>
          <w:tcPr>
            <w:tcW w:w="1934" w:type="pct"/>
            <w:shd w:val="clear" w:color="auto" w:fill="auto"/>
            <w:vAlign w:val="center"/>
          </w:tcPr>
          <w:p w14:paraId="3482490B" w14:textId="104C8857" w:rsidR="00A871C1" w:rsidRPr="008E0E30" w:rsidRDefault="00A871C1" w:rsidP="008E0E30">
            <w:r w:rsidRPr="008E0E30">
              <w:t>2. How long would your proposal take to implement?</w:t>
            </w:r>
          </w:p>
          <w:p w14:paraId="6226E5E9" w14:textId="624CB9D7" w:rsidR="00A871C1" w:rsidRPr="008E0E30" w:rsidRDefault="00A871C1" w:rsidP="008E0E30"/>
        </w:tc>
        <w:tc>
          <w:tcPr>
            <w:tcW w:w="566" w:type="pct"/>
          </w:tcPr>
          <w:p w14:paraId="6049A1F5" w14:textId="6026221A" w:rsidR="00A871C1" w:rsidRDefault="00A871C1" w:rsidP="00A871C1">
            <w:pPr>
              <w:jc w:val="center"/>
            </w:pPr>
            <w:r>
              <w:t>50</w:t>
            </w:r>
          </w:p>
        </w:tc>
        <w:tc>
          <w:tcPr>
            <w:tcW w:w="2500" w:type="pct"/>
          </w:tcPr>
          <w:p w14:paraId="6226E5EA" w14:textId="2D9FA354" w:rsidR="00A871C1" w:rsidRDefault="00A871C1" w:rsidP="008F632F"/>
        </w:tc>
      </w:tr>
      <w:tr w:rsidR="00A871C1" w14:paraId="6226E5EE" w14:textId="77777777" w:rsidTr="008E0E30">
        <w:tc>
          <w:tcPr>
            <w:tcW w:w="1934" w:type="pct"/>
            <w:shd w:val="clear" w:color="auto" w:fill="auto"/>
            <w:vAlign w:val="center"/>
          </w:tcPr>
          <w:p w14:paraId="7323625A" w14:textId="41265E8D" w:rsidR="00A871C1" w:rsidRPr="008E0E30" w:rsidRDefault="00A871C1" w:rsidP="008E0E30">
            <w:r w:rsidRPr="008E0E30">
              <w:t>3. If your proposal is already in use within a similar public sector organisation elsewhere: please provide a brief example of how your proposed solution is being used and state how it has met the requirements of the customer.</w:t>
            </w:r>
          </w:p>
          <w:p w14:paraId="6226E5EC" w14:textId="084250D3" w:rsidR="00A871C1" w:rsidRPr="008E0E30" w:rsidRDefault="00A871C1" w:rsidP="008E0E30"/>
        </w:tc>
        <w:tc>
          <w:tcPr>
            <w:tcW w:w="566" w:type="pct"/>
          </w:tcPr>
          <w:p w14:paraId="704E5A31" w14:textId="74436121" w:rsidR="00A871C1" w:rsidRDefault="00A871C1" w:rsidP="00A871C1">
            <w:pPr>
              <w:jc w:val="center"/>
            </w:pPr>
            <w:r>
              <w:t>50</w:t>
            </w:r>
          </w:p>
        </w:tc>
        <w:tc>
          <w:tcPr>
            <w:tcW w:w="2500" w:type="pct"/>
          </w:tcPr>
          <w:p w14:paraId="6226E5ED" w14:textId="03D7290C" w:rsidR="00A871C1" w:rsidRDefault="00A871C1" w:rsidP="008F632F"/>
        </w:tc>
      </w:tr>
      <w:tr w:rsidR="00A871C1" w14:paraId="284A3EE8" w14:textId="77777777" w:rsidTr="008E0E30">
        <w:tc>
          <w:tcPr>
            <w:tcW w:w="1934" w:type="pct"/>
            <w:shd w:val="clear" w:color="auto" w:fill="auto"/>
            <w:vAlign w:val="center"/>
          </w:tcPr>
          <w:p w14:paraId="5E7251CE" w14:textId="705336F2" w:rsidR="00A871C1" w:rsidRPr="008E0E30" w:rsidRDefault="00A871C1" w:rsidP="008E0E30">
            <w:r w:rsidRPr="008E0E30">
              <w:t>4. Explain how your solution will support the lifecycle of a building from acquisition and ongoing maintenance including reporting faults to the helpdesk and through to management of void properties and potential sale/demolition including any system prompts/workflows.</w:t>
            </w:r>
          </w:p>
          <w:p w14:paraId="3CB6499F" w14:textId="0E5748AE" w:rsidR="00A871C1" w:rsidRPr="008E0E30" w:rsidRDefault="00A871C1" w:rsidP="008E0E30">
            <w:pPr>
              <w:rPr>
                <w:szCs w:val="24"/>
              </w:rPr>
            </w:pPr>
          </w:p>
        </w:tc>
        <w:tc>
          <w:tcPr>
            <w:tcW w:w="566" w:type="pct"/>
          </w:tcPr>
          <w:p w14:paraId="226EFA6D" w14:textId="4E7EDA68" w:rsidR="00A871C1" w:rsidRDefault="00A871C1" w:rsidP="00A871C1">
            <w:pPr>
              <w:jc w:val="center"/>
              <w:rPr>
                <w:szCs w:val="24"/>
              </w:rPr>
            </w:pPr>
            <w:r>
              <w:rPr>
                <w:szCs w:val="24"/>
              </w:rPr>
              <w:t>500</w:t>
            </w:r>
          </w:p>
        </w:tc>
        <w:tc>
          <w:tcPr>
            <w:tcW w:w="2500" w:type="pct"/>
          </w:tcPr>
          <w:p w14:paraId="064CB9AE" w14:textId="08E709C8" w:rsidR="00A871C1" w:rsidRDefault="00A871C1" w:rsidP="7356EB49">
            <w:pPr>
              <w:rPr>
                <w:szCs w:val="24"/>
              </w:rPr>
            </w:pPr>
          </w:p>
        </w:tc>
      </w:tr>
      <w:tr w:rsidR="00A871C1" w14:paraId="4BAAA910" w14:textId="77777777" w:rsidTr="008E0E30">
        <w:tc>
          <w:tcPr>
            <w:tcW w:w="1934" w:type="pct"/>
            <w:shd w:val="clear" w:color="auto" w:fill="auto"/>
            <w:vAlign w:val="center"/>
          </w:tcPr>
          <w:p w14:paraId="0C547FB1" w14:textId="561760FA" w:rsidR="00A871C1" w:rsidRPr="008E0E30" w:rsidRDefault="00A871C1" w:rsidP="008E0E30">
            <w:r w:rsidRPr="008E0E30">
              <w:t>5. Explain how the solution will support asset valuation to ensure CIPFA compliance.</w:t>
            </w:r>
          </w:p>
        </w:tc>
        <w:tc>
          <w:tcPr>
            <w:tcW w:w="566" w:type="pct"/>
          </w:tcPr>
          <w:p w14:paraId="436F4503" w14:textId="2173C4E9" w:rsidR="00A871C1" w:rsidRPr="008E0E30" w:rsidRDefault="00A871C1" w:rsidP="00A871C1">
            <w:pPr>
              <w:jc w:val="center"/>
            </w:pPr>
            <w:r w:rsidRPr="008E0E30">
              <w:t>500</w:t>
            </w:r>
          </w:p>
        </w:tc>
        <w:tc>
          <w:tcPr>
            <w:tcW w:w="2500" w:type="pct"/>
          </w:tcPr>
          <w:p w14:paraId="262AADEB" w14:textId="1689E6FD" w:rsidR="00A871C1" w:rsidRDefault="00A871C1" w:rsidP="7356EB49">
            <w:pPr>
              <w:rPr>
                <w:b/>
                <w:bCs/>
              </w:rPr>
            </w:pPr>
          </w:p>
        </w:tc>
      </w:tr>
      <w:tr w:rsidR="00A871C1" w14:paraId="7DBA9ABB" w14:textId="77777777" w:rsidTr="008E0E30">
        <w:tc>
          <w:tcPr>
            <w:tcW w:w="1934" w:type="pct"/>
            <w:shd w:val="clear" w:color="auto" w:fill="auto"/>
            <w:vAlign w:val="center"/>
          </w:tcPr>
          <w:p w14:paraId="1578A727" w14:textId="58236F98" w:rsidR="00A871C1" w:rsidRPr="008E0E30" w:rsidRDefault="00A871C1" w:rsidP="008E0E30">
            <w:r w:rsidRPr="008E0E30">
              <w:t>6. Explain how the solution will support rent and service charging activity.</w:t>
            </w:r>
          </w:p>
          <w:p w14:paraId="4141341C" w14:textId="1FD5A587" w:rsidR="00A871C1" w:rsidRPr="008E0E30" w:rsidRDefault="00A871C1" w:rsidP="008E0E30">
            <w:pPr>
              <w:rPr>
                <w:szCs w:val="24"/>
              </w:rPr>
            </w:pPr>
          </w:p>
        </w:tc>
        <w:tc>
          <w:tcPr>
            <w:tcW w:w="566" w:type="pct"/>
          </w:tcPr>
          <w:p w14:paraId="7B142B35" w14:textId="60A8FE00" w:rsidR="00A871C1" w:rsidRPr="008E0E30" w:rsidRDefault="00A871C1" w:rsidP="00A871C1">
            <w:pPr>
              <w:jc w:val="center"/>
              <w:rPr>
                <w:szCs w:val="24"/>
              </w:rPr>
            </w:pPr>
            <w:r w:rsidRPr="008E0E30">
              <w:rPr>
                <w:szCs w:val="24"/>
              </w:rPr>
              <w:t>500</w:t>
            </w:r>
          </w:p>
        </w:tc>
        <w:tc>
          <w:tcPr>
            <w:tcW w:w="2500" w:type="pct"/>
          </w:tcPr>
          <w:p w14:paraId="477934F1" w14:textId="1EB75A69" w:rsidR="00A871C1" w:rsidRDefault="00A871C1" w:rsidP="440B82A9">
            <w:pPr>
              <w:rPr>
                <w:b/>
                <w:bCs/>
                <w:szCs w:val="24"/>
              </w:rPr>
            </w:pPr>
          </w:p>
        </w:tc>
      </w:tr>
      <w:tr w:rsidR="00A871C1" w14:paraId="03CEA280" w14:textId="77777777" w:rsidTr="008E0E30">
        <w:tc>
          <w:tcPr>
            <w:tcW w:w="1934" w:type="pct"/>
            <w:shd w:val="clear" w:color="auto" w:fill="auto"/>
            <w:vAlign w:val="center"/>
          </w:tcPr>
          <w:p w14:paraId="004AB3A5" w14:textId="76674D40" w:rsidR="00A871C1" w:rsidRPr="008E0E30" w:rsidRDefault="00A871C1" w:rsidP="008E0E30">
            <w:r w:rsidRPr="008E0E30">
              <w:t>7. Explain how the solution utilises National Schedule of Rates within the reactive and planned maintenance activity and provide rates-based orders to contractors.</w:t>
            </w:r>
          </w:p>
          <w:p w14:paraId="65889280" w14:textId="2EEE1FE7" w:rsidR="00A871C1" w:rsidRPr="008E0E30" w:rsidRDefault="00A871C1" w:rsidP="008E0E30">
            <w:pPr>
              <w:rPr>
                <w:szCs w:val="24"/>
              </w:rPr>
            </w:pPr>
          </w:p>
        </w:tc>
        <w:tc>
          <w:tcPr>
            <w:tcW w:w="566" w:type="pct"/>
          </w:tcPr>
          <w:p w14:paraId="294B47DF" w14:textId="5A22F4FD" w:rsidR="00A871C1" w:rsidRDefault="00A871C1" w:rsidP="00A871C1">
            <w:pPr>
              <w:jc w:val="center"/>
              <w:rPr>
                <w:szCs w:val="24"/>
              </w:rPr>
            </w:pPr>
            <w:r>
              <w:rPr>
                <w:szCs w:val="24"/>
              </w:rPr>
              <w:t>500</w:t>
            </w:r>
          </w:p>
        </w:tc>
        <w:tc>
          <w:tcPr>
            <w:tcW w:w="2500" w:type="pct"/>
          </w:tcPr>
          <w:p w14:paraId="3782ADCB" w14:textId="4FCA91E1" w:rsidR="00A871C1" w:rsidRDefault="00A871C1" w:rsidP="7356EB49">
            <w:pPr>
              <w:rPr>
                <w:szCs w:val="24"/>
              </w:rPr>
            </w:pPr>
          </w:p>
        </w:tc>
      </w:tr>
      <w:tr w:rsidR="00A871C1" w14:paraId="4DE1ACE0" w14:textId="77777777" w:rsidTr="008E0E30">
        <w:tc>
          <w:tcPr>
            <w:tcW w:w="1934" w:type="pct"/>
            <w:shd w:val="clear" w:color="auto" w:fill="auto"/>
            <w:vAlign w:val="center"/>
          </w:tcPr>
          <w:p w14:paraId="70FF1D94" w14:textId="59F04BA2" w:rsidR="00A871C1" w:rsidRPr="008E0E30" w:rsidRDefault="00A871C1" w:rsidP="008E0E30">
            <w:r w:rsidRPr="008E0E30">
              <w:t>8. Explain how the solution can organise, raise orders and send instructions to contractors in respect of planned and preventative maintenance in accordance with SFG20. How SFG20 is integrated with the solution.</w:t>
            </w:r>
          </w:p>
          <w:p w14:paraId="076EFA32" w14:textId="4CDA626F" w:rsidR="00A871C1" w:rsidRPr="008E0E30" w:rsidRDefault="00A871C1" w:rsidP="008E0E30">
            <w:pPr>
              <w:rPr>
                <w:szCs w:val="24"/>
              </w:rPr>
            </w:pPr>
          </w:p>
        </w:tc>
        <w:tc>
          <w:tcPr>
            <w:tcW w:w="566" w:type="pct"/>
          </w:tcPr>
          <w:p w14:paraId="4DA33D85" w14:textId="43AE7813" w:rsidR="00A871C1" w:rsidRDefault="00A871C1" w:rsidP="00A871C1">
            <w:pPr>
              <w:jc w:val="center"/>
              <w:rPr>
                <w:szCs w:val="24"/>
              </w:rPr>
            </w:pPr>
            <w:r>
              <w:rPr>
                <w:szCs w:val="24"/>
              </w:rPr>
              <w:t>500</w:t>
            </w:r>
          </w:p>
        </w:tc>
        <w:tc>
          <w:tcPr>
            <w:tcW w:w="2500" w:type="pct"/>
          </w:tcPr>
          <w:p w14:paraId="43F9AFF3" w14:textId="4810F567" w:rsidR="00A871C1" w:rsidRDefault="00A871C1" w:rsidP="7356EB49">
            <w:pPr>
              <w:rPr>
                <w:szCs w:val="24"/>
              </w:rPr>
            </w:pPr>
          </w:p>
        </w:tc>
      </w:tr>
      <w:tr w:rsidR="00A871C1" w14:paraId="1919B0D0" w14:textId="77777777" w:rsidTr="008E0E30">
        <w:tc>
          <w:tcPr>
            <w:tcW w:w="1934" w:type="pct"/>
            <w:shd w:val="clear" w:color="auto" w:fill="auto"/>
            <w:vAlign w:val="center"/>
          </w:tcPr>
          <w:p w14:paraId="0C6CC960" w14:textId="5700FC95" w:rsidR="00A871C1" w:rsidRPr="008E0E30" w:rsidRDefault="00A871C1" w:rsidP="008E0E30">
            <w:r w:rsidRPr="008E0E30">
              <w:t xml:space="preserve">9. Explain how an external contractor will access the solution, update the database (same as internal users) and upload bulk files e.g. pdf, excel, word, AutoCAD, Revit, </w:t>
            </w:r>
            <w:proofErr w:type="spellStart"/>
            <w:r w:rsidRPr="008E0E30">
              <w:t>Systemslink</w:t>
            </w:r>
            <w:proofErr w:type="spellEnd"/>
            <w:r w:rsidRPr="008E0E30">
              <w:t xml:space="preserve"> etc.</w:t>
            </w:r>
          </w:p>
          <w:p w14:paraId="7DC859A5" w14:textId="6432D045" w:rsidR="00A871C1" w:rsidRPr="008E0E30" w:rsidRDefault="00A871C1" w:rsidP="008E0E30"/>
        </w:tc>
        <w:tc>
          <w:tcPr>
            <w:tcW w:w="566" w:type="pct"/>
          </w:tcPr>
          <w:p w14:paraId="4F584348" w14:textId="75809830" w:rsidR="00A871C1" w:rsidRDefault="00A871C1" w:rsidP="00A871C1">
            <w:pPr>
              <w:jc w:val="center"/>
              <w:rPr>
                <w:szCs w:val="24"/>
              </w:rPr>
            </w:pPr>
            <w:r>
              <w:rPr>
                <w:szCs w:val="24"/>
              </w:rPr>
              <w:t>500</w:t>
            </w:r>
          </w:p>
        </w:tc>
        <w:tc>
          <w:tcPr>
            <w:tcW w:w="2500" w:type="pct"/>
          </w:tcPr>
          <w:p w14:paraId="6B8F8681" w14:textId="0A7BEDA3" w:rsidR="00A871C1" w:rsidRDefault="00A871C1" w:rsidP="7356EB49">
            <w:pPr>
              <w:rPr>
                <w:szCs w:val="24"/>
              </w:rPr>
            </w:pPr>
          </w:p>
        </w:tc>
      </w:tr>
      <w:tr w:rsidR="00A871C1" w14:paraId="44B2C76C" w14:textId="77777777" w:rsidTr="008E0E30">
        <w:tc>
          <w:tcPr>
            <w:tcW w:w="1934" w:type="pct"/>
            <w:shd w:val="clear" w:color="auto" w:fill="auto"/>
            <w:vAlign w:val="center"/>
          </w:tcPr>
          <w:p w14:paraId="03D008AE" w14:textId="59EB8BED" w:rsidR="00A871C1" w:rsidRPr="008E0E30" w:rsidRDefault="00A871C1" w:rsidP="008E0E30">
            <w:r w:rsidRPr="008E0E30">
              <w:t xml:space="preserve">10. Explain how the solution will enable the Council to project manage construction and maintenance activity allowing contractors/consultants to manage workflow and administrate processes. For example, design information being accessed by multiple users at the same time. </w:t>
            </w:r>
          </w:p>
          <w:p w14:paraId="4D36C9EF" w14:textId="44762757" w:rsidR="00A871C1" w:rsidRPr="008E0E30" w:rsidRDefault="00A871C1" w:rsidP="008E0E30">
            <w:pPr>
              <w:rPr>
                <w:szCs w:val="24"/>
              </w:rPr>
            </w:pPr>
          </w:p>
        </w:tc>
        <w:tc>
          <w:tcPr>
            <w:tcW w:w="566" w:type="pct"/>
          </w:tcPr>
          <w:p w14:paraId="67F577D9" w14:textId="7E818C28" w:rsidR="00A871C1" w:rsidRDefault="00A871C1" w:rsidP="00A871C1">
            <w:pPr>
              <w:jc w:val="center"/>
              <w:rPr>
                <w:szCs w:val="24"/>
              </w:rPr>
            </w:pPr>
            <w:r>
              <w:rPr>
                <w:szCs w:val="24"/>
              </w:rPr>
              <w:t>500</w:t>
            </w:r>
          </w:p>
        </w:tc>
        <w:tc>
          <w:tcPr>
            <w:tcW w:w="2500" w:type="pct"/>
          </w:tcPr>
          <w:p w14:paraId="3BF02E66" w14:textId="0819FC6C" w:rsidR="00A871C1" w:rsidRDefault="00A871C1" w:rsidP="7356EB49">
            <w:pPr>
              <w:rPr>
                <w:szCs w:val="24"/>
              </w:rPr>
            </w:pPr>
          </w:p>
        </w:tc>
      </w:tr>
      <w:tr w:rsidR="00A871C1" w14:paraId="6226E5F4" w14:textId="77777777" w:rsidTr="008E0E30">
        <w:tc>
          <w:tcPr>
            <w:tcW w:w="1934" w:type="pct"/>
            <w:shd w:val="clear" w:color="auto" w:fill="auto"/>
            <w:vAlign w:val="center"/>
          </w:tcPr>
          <w:p w14:paraId="44BA34CD" w14:textId="4BAB546D" w:rsidR="00A871C1" w:rsidRPr="008E0E30" w:rsidRDefault="00A871C1" w:rsidP="008E0E30">
            <w:r w:rsidRPr="008E0E30">
              <w:t>11. Explain how the solution can support auto population of data changes in a range of data in your system. (e.g. amending naming conventions across a number of properties) and mass data upload through use of comma separated files.</w:t>
            </w:r>
          </w:p>
          <w:p w14:paraId="6226E5F2" w14:textId="5EE9A70B" w:rsidR="00A871C1" w:rsidRPr="008E0E30" w:rsidRDefault="00A871C1" w:rsidP="008E0E30"/>
        </w:tc>
        <w:tc>
          <w:tcPr>
            <w:tcW w:w="566" w:type="pct"/>
          </w:tcPr>
          <w:p w14:paraId="5D9D4E6F" w14:textId="1995299A" w:rsidR="00A871C1" w:rsidRDefault="00A871C1" w:rsidP="00A871C1">
            <w:pPr>
              <w:jc w:val="center"/>
            </w:pPr>
            <w:r>
              <w:t>500</w:t>
            </w:r>
          </w:p>
        </w:tc>
        <w:tc>
          <w:tcPr>
            <w:tcW w:w="2500" w:type="pct"/>
          </w:tcPr>
          <w:p w14:paraId="6226E5F3" w14:textId="4F03BE03" w:rsidR="00A871C1" w:rsidRDefault="00A871C1" w:rsidP="008F632F"/>
        </w:tc>
      </w:tr>
      <w:tr w:rsidR="00A871C1" w14:paraId="0EB7A774" w14:textId="77777777" w:rsidTr="008E0E30">
        <w:tc>
          <w:tcPr>
            <w:tcW w:w="1934" w:type="pct"/>
            <w:shd w:val="clear" w:color="auto" w:fill="auto"/>
            <w:vAlign w:val="center"/>
          </w:tcPr>
          <w:p w14:paraId="2BDF305B" w14:textId="2064DE93" w:rsidR="00A871C1" w:rsidRPr="008E0E30" w:rsidRDefault="00A871C1" w:rsidP="008E0E30">
            <w:r w:rsidRPr="008E0E30">
              <w:t>12. Explain how the solution will meet the statutory requirements around net capacity function for schools.</w:t>
            </w:r>
          </w:p>
          <w:p w14:paraId="29C254A5" w14:textId="36887437" w:rsidR="00A871C1" w:rsidRPr="008E0E30" w:rsidRDefault="00A871C1" w:rsidP="008E0E30"/>
        </w:tc>
        <w:tc>
          <w:tcPr>
            <w:tcW w:w="566" w:type="pct"/>
          </w:tcPr>
          <w:p w14:paraId="29A58E4E" w14:textId="59855CE3" w:rsidR="00A871C1" w:rsidRDefault="00A871C1" w:rsidP="00A871C1">
            <w:pPr>
              <w:jc w:val="center"/>
              <w:rPr>
                <w:szCs w:val="24"/>
              </w:rPr>
            </w:pPr>
            <w:r>
              <w:rPr>
                <w:szCs w:val="24"/>
              </w:rPr>
              <w:t>500</w:t>
            </w:r>
          </w:p>
        </w:tc>
        <w:tc>
          <w:tcPr>
            <w:tcW w:w="2500" w:type="pct"/>
          </w:tcPr>
          <w:p w14:paraId="1FA6017A" w14:textId="76D6CDE4" w:rsidR="00A871C1" w:rsidRDefault="00A871C1" w:rsidP="35783F23">
            <w:pPr>
              <w:rPr>
                <w:szCs w:val="24"/>
              </w:rPr>
            </w:pPr>
          </w:p>
        </w:tc>
      </w:tr>
      <w:tr w:rsidR="00A871C1" w14:paraId="2233AE3A" w14:textId="77777777" w:rsidTr="008E0E30">
        <w:tc>
          <w:tcPr>
            <w:tcW w:w="1934" w:type="pct"/>
            <w:shd w:val="clear" w:color="auto" w:fill="auto"/>
            <w:vAlign w:val="center"/>
          </w:tcPr>
          <w:p w14:paraId="6ADD457C" w14:textId="71C43E8C" w:rsidR="00A871C1" w:rsidRPr="008E0E30" w:rsidRDefault="00A871C1" w:rsidP="008E0E30">
            <w:r w:rsidRPr="008E0E30">
              <w:t>13. Explain the system ability to generate reports and performance data as example cost of ownership, maintenance, rent and service charges, project cost, project progression, helpdesk cost, statutory inspection etc.</w:t>
            </w:r>
          </w:p>
          <w:p w14:paraId="134CE47B" w14:textId="77777777" w:rsidR="00A871C1" w:rsidRPr="008E0E30" w:rsidRDefault="00A871C1" w:rsidP="008E0E30"/>
          <w:p w14:paraId="7E1EF63C" w14:textId="2C4EECC0" w:rsidR="00A871C1" w:rsidRPr="008E0E30" w:rsidRDefault="00A871C1" w:rsidP="008E0E30"/>
        </w:tc>
        <w:tc>
          <w:tcPr>
            <w:tcW w:w="566" w:type="pct"/>
          </w:tcPr>
          <w:p w14:paraId="71332ABB" w14:textId="0EDAA53E" w:rsidR="00A871C1" w:rsidRDefault="00A871C1" w:rsidP="00A871C1">
            <w:pPr>
              <w:jc w:val="center"/>
              <w:rPr>
                <w:szCs w:val="24"/>
              </w:rPr>
            </w:pPr>
            <w:r>
              <w:rPr>
                <w:szCs w:val="24"/>
              </w:rPr>
              <w:t>500</w:t>
            </w:r>
          </w:p>
        </w:tc>
        <w:tc>
          <w:tcPr>
            <w:tcW w:w="2500" w:type="pct"/>
          </w:tcPr>
          <w:p w14:paraId="714F6645" w14:textId="4F50FE28" w:rsidR="00A871C1" w:rsidRDefault="00A871C1" w:rsidP="35783F23">
            <w:pPr>
              <w:rPr>
                <w:szCs w:val="24"/>
              </w:rPr>
            </w:pPr>
          </w:p>
        </w:tc>
      </w:tr>
      <w:tr w:rsidR="00A871C1" w14:paraId="0DE1B1CA" w14:textId="77777777" w:rsidTr="008E0E30">
        <w:tc>
          <w:tcPr>
            <w:tcW w:w="1934" w:type="pct"/>
            <w:shd w:val="clear" w:color="auto" w:fill="auto"/>
            <w:vAlign w:val="center"/>
          </w:tcPr>
          <w:p w14:paraId="52AD7061" w14:textId="7D086A98" w:rsidR="00A871C1" w:rsidRPr="008E0E30" w:rsidRDefault="00A871C1" w:rsidP="008E0E30">
            <w:r w:rsidRPr="008E0E30">
              <w:t>14. Explain how your solution will support the Council’s Cloud-First IT strategy while ensuring that personal and corporate data remains secure.</w:t>
            </w:r>
          </w:p>
        </w:tc>
        <w:tc>
          <w:tcPr>
            <w:tcW w:w="566" w:type="pct"/>
          </w:tcPr>
          <w:p w14:paraId="0BA6C880" w14:textId="64E065F7" w:rsidR="00A871C1" w:rsidRDefault="00A871C1" w:rsidP="008E0E30">
            <w:pPr>
              <w:jc w:val="center"/>
              <w:rPr>
                <w:szCs w:val="24"/>
              </w:rPr>
            </w:pPr>
            <w:r>
              <w:rPr>
                <w:szCs w:val="24"/>
              </w:rPr>
              <w:t>500</w:t>
            </w:r>
          </w:p>
        </w:tc>
        <w:tc>
          <w:tcPr>
            <w:tcW w:w="2500" w:type="pct"/>
          </w:tcPr>
          <w:p w14:paraId="62BD292E" w14:textId="52FB3ED8" w:rsidR="00A871C1" w:rsidRDefault="00A871C1" w:rsidP="35783F23">
            <w:pPr>
              <w:rPr>
                <w:szCs w:val="24"/>
              </w:rPr>
            </w:pPr>
          </w:p>
        </w:tc>
      </w:tr>
      <w:tr w:rsidR="00A871C1" w14:paraId="128F569D" w14:textId="77777777" w:rsidTr="008E0E30">
        <w:tc>
          <w:tcPr>
            <w:tcW w:w="1934" w:type="pct"/>
            <w:shd w:val="clear" w:color="auto" w:fill="auto"/>
            <w:vAlign w:val="center"/>
          </w:tcPr>
          <w:p w14:paraId="402F41DD" w14:textId="09F8C154" w:rsidR="00A871C1" w:rsidRPr="008E0E30" w:rsidRDefault="00A871C1" w:rsidP="008E0E30">
            <w:r w:rsidRPr="008E0E30">
              <w:t>15. Explain how your solution would support the on-going split of data, operational and property responsibilities between West Northants and North Northants</w:t>
            </w:r>
          </w:p>
        </w:tc>
        <w:tc>
          <w:tcPr>
            <w:tcW w:w="566" w:type="pct"/>
          </w:tcPr>
          <w:p w14:paraId="33998D08" w14:textId="361F9C61" w:rsidR="00A871C1" w:rsidRDefault="00A871C1" w:rsidP="008E0E30">
            <w:pPr>
              <w:jc w:val="center"/>
              <w:rPr>
                <w:szCs w:val="24"/>
              </w:rPr>
            </w:pPr>
            <w:r>
              <w:rPr>
                <w:szCs w:val="24"/>
              </w:rPr>
              <w:t>500</w:t>
            </w:r>
          </w:p>
        </w:tc>
        <w:tc>
          <w:tcPr>
            <w:tcW w:w="2500" w:type="pct"/>
          </w:tcPr>
          <w:p w14:paraId="6FFE8709" w14:textId="18669CC9" w:rsidR="00A871C1" w:rsidRDefault="00A871C1" w:rsidP="35783F23">
            <w:pPr>
              <w:rPr>
                <w:szCs w:val="24"/>
              </w:rPr>
            </w:pPr>
          </w:p>
        </w:tc>
      </w:tr>
      <w:tr w:rsidR="00A871C1" w14:paraId="34E99E88" w14:textId="77777777" w:rsidTr="008E0E30">
        <w:tc>
          <w:tcPr>
            <w:tcW w:w="1934" w:type="pct"/>
            <w:shd w:val="clear" w:color="auto" w:fill="auto"/>
            <w:vAlign w:val="center"/>
          </w:tcPr>
          <w:p w14:paraId="0ACBB663" w14:textId="0821A3E4" w:rsidR="00A871C1" w:rsidRPr="008E0E30" w:rsidRDefault="00A871C1" w:rsidP="008E0E30">
            <w:r w:rsidRPr="008E0E30">
              <w:t>16. National Frameworks – Please can you indicate if or what Frameworks you currently are an approved supplier on i.e. CCS, Digital Marketplace, YPO, HealthTrust Europe etc.</w:t>
            </w:r>
          </w:p>
        </w:tc>
        <w:tc>
          <w:tcPr>
            <w:tcW w:w="566" w:type="pct"/>
          </w:tcPr>
          <w:p w14:paraId="18D9E061" w14:textId="795B6780" w:rsidR="00A871C1" w:rsidRDefault="008E0E30" w:rsidP="008E0E30">
            <w:pPr>
              <w:jc w:val="center"/>
              <w:rPr>
                <w:szCs w:val="24"/>
              </w:rPr>
            </w:pPr>
            <w:r>
              <w:rPr>
                <w:szCs w:val="24"/>
              </w:rPr>
              <w:t>100</w:t>
            </w:r>
          </w:p>
        </w:tc>
        <w:tc>
          <w:tcPr>
            <w:tcW w:w="2500" w:type="pct"/>
          </w:tcPr>
          <w:p w14:paraId="4420AF15" w14:textId="24C446B9" w:rsidR="00A871C1" w:rsidRDefault="00A871C1" w:rsidP="35783F23">
            <w:pPr>
              <w:rPr>
                <w:szCs w:val="24"/>
              </w:rPr>
            </w:pPr>
          </w:p>
        </w:tc>
      </w:tr>
      <w:tr w:rsidR="00A871C1" w14:paraId="14512051" w14:textId="77777777" w:rsidTr="008E0E30">
        <w:tc>
          <w:tcPr>
            <w:tcW w:w="1934" w:type="pct"/>
            <w:shd w:val="clear" w:color="auto" w:fill="auto"/>
            <w:vAlign w:val="center"/>
          </w:tcPr>
          <w:p w14:paraId="043A8865" w14:textId="6BEAD3BD" w:rsidR="00A871C1" w:rsidRPr="008E0E30" w:rsidRDefault="00A871C1" w:rsidP="008E0E30">
            <w:r w:rsidRPr="008E0E30">
              <w:t>17. Indicative Costs to meet requirements within Appendix A</w:t>
            </w:r>
          </w:p>
        </w:tc>
        <w:tc>
          <w:tcPr>
            <w:tcW w:w="566" w:type="pct"/>
          </w:tcPr>
          <w:p w14:paraId="7FCCE2F7" w14:textId="0C692BFA" w:rsidR="00A871C1" w:rsidRDefault="008E0E30" w:rsidP="008E0E30">
            <w:pPr>
              <w:jc w:val="center"/>
              <w:rPr>
                <w:szCs w:val="24"/>
              </w:rPr>
            </w:pPr>
            <w:r>
              <w:rPr>
                <w:szCs w:val="24"/>
              </w:rPr>
              <w:t>100</w:t>
            </w:r>
          </w:p>
        </w:tc>
        <w:tc>
          <w:tcPr>
            <w:tcW w:w="2500" w:type="pct"/>
          </w:tcPr>
          <w:p w14:paraId="548F30D4" w14:textId="7981B36A" w:rsidR="00A871C1" w:rsidRDefault="00A871C1" w:rsidP="00BA1F44">
            <w:pPr>
              <w:rPr>
                <w:szCs w:val="24"/>
              </w:rPr>
            </w:pPr>
            <w:r>
              <w:rPr>
                <w:szCs w:val="24"/>
              </w:rPr>
              <w:t>£</w:t>
            </w:r>
          </w:p>
        </w:tc>
      </w:tr>
    </w:tbl>
    <w:p w14:paraId="29A86AFE" w14:textId="2BC77922" w:rsidR="7356EB49" w:rsidRDefault="7356EB49"/>
    <w:p w14:paraId="6226E5F8" w14:textId="6868D3F7" w:rsidR="00207253" w:rsidRPr="0067662B" w:rsidRDefault="00BA1F44" w:rsidP="7356EB49">
      <w:r w:rsidRPr="0067662B">
        <w:t>Please remember we are only looking for an overview prior to coming out to full procurement.</w:t>
      </w:r>
    </w:p>
    <w:p w14:paraId="1898943B" w14:textId="230D63C0" w:rsidR="00BA1F44" w:rsidRDefault="0067662B" w:rsidP="7356EB49">
      <w:r w:rsidRPr="0067662B">
        <w:t>Depending</w:t>
      </w:r>
      <w:r w:rsidR="00BA1F44" w:rsidRPr="0067662B">
        <w:t xml:space="preserve"> on our route to Market there will be a further opportunity to provide a full demonstration to showcase a proposed submission.</w:t>
      </w:r>
    </w:p>
    <w:p w14:paraId="53B89131" w14:textId="6AA6F9D6" w:rsidR="00F517C9" w:rsidRDefault="00F517C9" w:rsidP="7356EB49"/>
    <w:p w14:paraId="3F329CFC" w14:textId="77777777" w:rsidR="00F517C9" w:rsidRDefault="00F517C9" w:rsidP="00F517C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14:paraId="22CB7C4F" w14:textId="77777777" w:rsidR="00F517C9" w:rsidRPr="0067662B" w:rsidRDefault="00F517C9" w:rsidP="7356EB49"/>
    <w:sectPr w:rsidR="00F517C9" w:rsidRPr="0067662B"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B5C5" w14:textId="77777777" w:rsidR="006A136F" w:rsidRDefault="006A136F" w:rsidP="00E02C0A">
      <w:pPr>
        <w:spacing w:after="0" w:line="240" w:lineRule="auto"/>
      </w:pPr>
      <w:r>
        <w:separator/>
      </w:r>
    </w:p>
  </w:endnote>
  <w:endnote w:type="continuationSeparator" w:id="0">
    <w:p w14:paraId="55CF3D27" w14:textId="77777777" w:rsidR="006A136F" w:rsidRDefault="006A136F" w:rsidP="00E02C0A">
      <w:pPr>
        <w:spacing w:after="0" w:line="240" w:lineRule="auto"/>
      </w:pPr>
      <w:r>
        <w:continuationSeparator/>
      </w:r>
    </w:p>
  </w:endnote>
  <w:endnote w:type="continuationNotice" w:id="1">
    <w:p w14:paraId="297B53D1" w14:textId="77777777" w:rsidR="002F58DB" w:rsidRDefault="002F5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B4AFC" w14:textId="77777777" w:rsidR="006A136F" w:rsidRDefault="006A136F" w:rsidP="00E02C0A">
      <w:pPr>
        <w:spacing w:after="0" w:line="240" w:lineRule="auto"/>
      </w:pPr>
      <w:r>
        <w:separator/>
      </w:r>
    </w:p>
  </w:footnote>
  <w:footnote w:type="continuationSeparator" w:id="0">
    <w:p w14:paraId="01505BB6" w14:textId="77777777" w:rsidR="006A136F" w:rsidRDefault="006A136F" w:rsidP="00E02C0A">
      <w:pPr>
        <w:spacing w:after="0" w:line="240" w:lineRule="auto"/>
      </w:pPr>
      <w:r>
        <w:continuationSeparator/>
      </w:r>
    </w:p>
  </w:footnote>
  <w:footnote w:type="continuationNotice" w:id="1">
    <w:p w14:paraId="53F688DB" w14:textId="77777777" w:rsidR="002F58DB" w:rsidRDefault="002F58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01358B10" w:rsidR="00E02C0A" w:rsidRDefault="00577011" w:rsidP="008923EF">
    <w:pPr>
      <w:pStyle w:val="Header"/>
      <w:tabs>
        <w:tab w:val="clear" w:pos="4513"/>
      </w:tabs>
    </w:pPr>
    <w:r>
      <w:rPr>
        <w:noProof/>
        <w:lang w:eastAsia="en-GB"/>
      </w:rPr>
      <mc:AlternateContent>
        <mc:Choice Requires="wps">
          <w:drawing>
            <wp:anchor distT="45720" distB="45720" distL="114300" distR="114300" simplePos="0" relativeHeight="251658240" behindDoc="0" locked="0" layoutInCell="1" allowOverlap="1" wp14:anchorId="6325B044" wp14:editId="7E24A519">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0EE9EA92" w14:textId="208EEF5F"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w:pict>
            <v:shapetype id="_x0000_t202" coordsize="21600,21600" o:spt="202" path="m,l,21600r21600,l21600,xe" w14:anchorId="6325B044">
              <v:stroke joinstyle="miter"/>
              <v:path gradientshapeok="t" o:connecttype="rect"/>
            </v:shapetype>
            <v:shape id="Text Box 2" style="position:absolute;margin-left:-33.25pt;margin-top:-16pt;width:146.25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PIAIAAB0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">
              <v:textbox>
                <w:txbxContent>
                  <w:p w:rsidRPr="00D32C66" w:rsidR="00E02C0A" w:rsidP="00E02C0A" w:rsidRDefault="00E02C0A" w14:paraId="0EE9EA92" w14:textId="208EEF5F">
                    <w:pPr>
                      <w:rPr>
                        <w:sz w:val="28"/>
                        <w:szCs w:val="28"/>
                      </w:rPr>
                    </w:pPr>
                  </w:p>
                </w:txbxContent>
              </v:textbox>
              <w10:wrap type="square"/>
            </v:shape>
          </w:pict>
        </mc:Fallback>
      </mc:AlternateContent>
    </w:r>
    <w:r w:rsidR="008923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444584"/>
    <w:multiLevelType w:val="multilevel"/>
    <w:tmpl w:val="112C199C"/>
    <w:lvl w:ilvl="0">
      <w:start w:val="1"/>
      <w:numFmt w:val="decimal"/>
      <w:pStyle w:val="Heading2"/>
      <w:lvlText w:val="%1."/>
      <w:lvlJc w:val="left"/>
      <w:pPr>
        <w:ind w:left="360" w:hanging="360"/>
      </w:pPr>
    </w:lvl>
    <w:lvl w:ilvl="1">
      <w:start w:val="1"/>
      <w:numFmt w:val="decimal"/>
      <w:pStyle w:val="BodyNumbered"/>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E5FC4"/>
    <w:multiLevelType w:val="hybridMultilevel"/>
    <w:tmpl w:val="412A4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56788B"/>
    <w:multiLevelType w:val="hybridMultilevel"/>
    <w:tmpl w:val="9398C3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084557"/>
    <w:multiLevelType w:val="hybridMultilevel"/>
    <w:tmpl w:val="CEC4EB6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8" w15:restartNumberingAfterBreak="0">
    <w:nsid w:val="6CAF54B3"/>
    <w:multiLevelType w:val="hybridMultilevel"/>
    <w:tmpl w:val="4E3A5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3"/>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0"/>
  </w:num>
  <w:num w:numId="17">
    <w:abstractNumId w:val="11"/>
  </w:num>
  <w:num w:numId="18">
    <w:abstractNumId w:val="14"/>
  </w:num>
  <w:num w:numId="19">
    <w:abstractNumId w:val="15"/>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352F9"/>
    <w:rsid w:val="00087765"/>
    <w:rsid w:val="000A60CE"/>
    <w:rsid w:val="000B6B6B"/>
    <w:rsid w:val="000E295A"/>
    <w:rsid w:val="00131A6E"/>
    <w:rsid w:val="00134078"/>
    <w:rsid w:val="00196484"/>
    <w:rsid w:val="001C611F"/>
    <w:rsid w:val="00207253"/>
    <w:rsid w:val="002B7C81"/>
    <w:rsid w:val="002F58DB"/>
    <w:rsid w:val="00325F7E"/>
    <w:rsid w:val="00340C0B"/>
    <w:rsid w:val="003413D7"/>
    <w:rsid w:val="003A0220"/>
    <w:rsid w:val="003A3A2D"/>
    <w:rsid w:val="003A73C6"/>
    <w:rsid w:val="003B49DF"/>
    <w:rsid w:val="003F1670"/>
    <w:rsid w:val="003F3E30"/>
    <w:rsid w:val="00415E0D"/>
    <w:rsid w:val="00455C5A"/>
    <w:rsid w:val="004B11BF"/>
    <w:rsid w:val="004B3DBA"/>
    <w:rsid w:val="004E27F1"/>
    <w:rsid w:val="00501587"/>
    <w:rsid w:val="00522ADB"/>
    <w:rsid w:val="0055544B"/>
    <w:rsid w:val="00577011"/>
    <w:rsid w:val="005B083C"/>
    <w:rsid w:val="005C5EDA"/>
    <w:rsid w:val="005E0BF1"/>
    <w:rsid w:val="005F4765"/>
    <w:rsid w:val="006031F1"/>
    <w:rsid w:val="006204E3"/>
    <w:rsid w:val="0067662B"/>
    <w:rsid w:val="00697234"/>
    <w:rsid w:val="006A136F"/>
    <w:rsid w:val="006B0354"/>
    <w:rsid w:val="006F18FA"/>
    <w:rsid w:val="00725B41"/>
    <w:rsid w:val="00740580"/>
    <w:rsid w:val="0077774B"/>
    <w:rsid w:val="007A4972"/>
    <w:rsid w:val="007A5B87"/>
    <w:rsid w:val="00807E62"/>
    <w:rsid w:val="00817BAB"/>
    <w:rsid w:val="00840FCE"/>
    <w:rsid w:val="008813BD"/>
    <w:rsid w:val="008923EF"/>
    <w:rsid w:val="008D0B17"/>
    <w:rsid w:val="008D5ABD"/>
    <w:rsid w:val="008E065E"/>
    <w:rsid w:val="008E0E30"/>
    <w:rsid w:val="008E3F92"/>
    <w:rsid w:val="008F632F"/>
    <w:rsid w:val="009109FC"/>
    <w:rsid w:val="0092376E"/>
    <w:rsid w:val="009332F5"/>
    <w:rsid w:val="00951B45"/>
    <w:rsid w:val="009542AB"/>
    <w:rsid w:val="00960625"/>
    <w:rsid w:val="009E23AD"/>
    <w:rsid w:val="009E76B5"/>
    <w:rsid w:val="00A55A1E"/>
    <w:rsid w:val="00A871C1"/>
    <w:rsid w:val="00AE70C5"/>
    <w:rsid w:val="00AF4590"/>
    <w:rsid w:val="00B07E3E"/>
    <w:rsid w:val="00B10C3E"/>
    <w:rsid w:val="00B450F2"/>
    <w:rsid w:val="00B722DD"/>
    <w:rsid w:val="00B73360"/>
    <w:rsid w:val="00BA1F44"/>
    <w:rsid w:val="00C12C80"/>
    <w:rsid w:val="00C211C2"/>
    <w:rsid w:val="00C272E3"/>
    <w:rsid w:val="00C948C2"/>
    <w:rsid w:val="00CC58BD"/>
    <w:rsid w:val="00D21394"/>
    <w:rsid w:val="00D40A5D"/>
    <w:rsid w:val="00D56EA8"/>
    <w:rsid w:val="00D61186"/>
    <w:rsid w:val="00D618FB"/>
    <w:rsid w:val="00DD1D6E"/>
    <w:rsid w:val="00DD7A7F"/>
    <w:rsid w:val="00DF05AF"/>
    <w:rsid w:val="00E02C0A"/>
    <w:rsid w:val="00E21895"/>
    <w:rsid w:val="00E50161"/>
    <w:rsid w:val="00E61F2D"/>
    <w:rsid w:val="00E70354"/>
    <w:rsid w:val="00E76242"/>
    <w:rsid w:val="00EA3E22"/>
    <w:rsid w:val="00ED6A90"/>
    <w:rsid w:val="00F1425B"/>
    <w:rsid w:val="00F517C9"/>
    <w:rsid w:val="00FC37DA"/>
    <w:rsid w:val="00FD2422"/>
    <w:rsid w:val="012325D5"/>
    <w:rsid w:val="01557E16"/>
    <w:rsid w:val="016EE850"/>
    <w:rsid w:val="0190BEA5"/>
    <w:rsid w:val="01DE65BB"/>
    <w:rsid w:val="01E2E9B4"/>
    <w:rsid w:val="0228F56F"/>
    <w:rsid w:val="02B8FDE5"/>
    <w:rsid w:val="037123C0"/>
    <w:rsid w:val="03D3CC79"/>
    <w:rsid w:val="03D6C783"/>
    <w:rsid w:val="0400FCCC"/>
    <w:rsid w:val="0405B42A"/>
    <w:rsid w:val="051C14EB"/>
    <w:rsid w:val="054AFAA4"/>
    <w:rsid w:val="061579FC"/>
    <w:rsid w:val="0695477E"/>
    <w:rsid w:val="07848182"/>
    <w:rsid w:val="07C44BE0"/>
    <w:rsid w:val="0802934C"/>
    <w:rsid w:val="083D0CFF"/>
    <w:rsid w:val="08CE82C1"/>
    <w:rsid w:val="08FCBF3A"/>
    <w:rsid w:val="0933DBC9"/>
    <w:rsid w:val="0970E2AA"/>
    <w:rsid w:val="097C7CF5"/>
    <w:rsid w:val="0A5C365A"/>
    <w:rsid w:val="0B184D56"/>
    <w:rsid w:val="0B7A030F"/>
    <w:rsid w:val="0B848465"/>
    <w:rsid w:val="0C5FE02B"/>
    <w:rsid w:val="0CAA9367"/>
    <w:rsid w:val="0CEA259E"/>
    <w:rsid w:val="0CF16883"/>
    <w:rsid w:val="0D12A5C4"/>
    <w:rsid w:val="0D1DA193"/>
    <w:rsid w:val="0DF3C306"/>
    <w:rsid w:val="0E4FEE18"/>
    <w:rsid w:val="0E93D518"/>
    <w:rsid w:val="0E9DD633"/>
    <w:rsid w:val="0EC759F2"/>
    <w:rsid w:val="0EDFA4F9"/>
    <w:rsid w:val="0EEB22A0"/>
    <w:rsid w:val="0F8A65E9"/>
    <w:rsid w:val="0FB7C68A"/>
    <w:rsid w:val="0FBC5C42"/>
    <w:rsid w:val="103C2F2D"/>
    <w:rsid w:val="1045F068"/>
    <w:rsid w:val="10D4B3F2"/>
    <w:rsid w:val="117B8A5E"/>
    <w:rsid w:val="117C05E8"/>
    <w:rsid w:val="11CD0971"/>
    <w:rsid w:val="11E616E7"/>
    <w:rsid w:val="122022DA"/>
    <w:rsid w:val="13235F3B"/>
    <w:rsid w:val="133F2EDC"/>
    <w:rsid w:val="13A021EC"/>
    <w:rsid w:val="13E9F043"/>
    <w:rsid w:val="1402544C"/>
    <w:rsid w:val="14C49A62"/>
    <w:rsid w:val="15090AE9"/>
    <w:rsid w:val="1541255C"/>
    <w:rsid w:val="1585651C"/>
    <w:rsid w:val="16127569"/>
    <w:rsid w:val="1616DADE"/>
    <w:rsid w:val="16BAB73D"/>
    <w:rsid w:val="17219105"/>
    <w:rsid w:val="17AE45CA"/>
    <w:rsid w:val="1840ABAB"/>
    <w:rsid w:val="188BAED1"/>
    <w:rsid w:val="188F645E"/>
    <w:rsid w:val="18C29AF3"/>
    <w:rsid w:val="18DFC5D7"/>
    <w:rsid w:val="19139F5C"/>
    <w:rsid w:val="192A2ECB"/>
    <w:rsid w:val="1992A0BF"/>
    <w:rsid w:val="19C9E3AD"/>
    <w:rsid w:val="19D439AB"/>
    <w:rsid w:val="1AB000B7"/>
    <w:rsid w:val="1ADA3394"/>
    <w:rsid w:val="1AE2C41D"/>
    <w:rsid w:val="1B54B88E"/>
    <w:rsid w:val="1B802279"/>
    <w:rsid w:val="1BACE0A4"/>
    <w:rsid w:val="1C3BD8A5"/>
    <w:rsid w:val="1C4B401E"/>
    <w:rsid w:val="1C81B6ED"/>
    <w:rsid w:val="1C83E9CC"/>
    <w:rsid w:val="1CDA3320"/>
    <w:rsid w:val="1D3F940B"/>
    <w:rsid w:val="1D509E8B"/>
    <w:rsid w:val="1D98C00F"/>
    <w:rsid w:val="1DE7107F"/>
    <w:rsid w:val="1E11D456"/>
    <w:rsid w:val="1E1D874E"/>
    <w:rsid w:val="1E310D8D"/>
    <w:rsid w:val="1E9D54D0"/>
    <w:rsid w:val="1ECC88F4"/>
    <w:rsid w:val="1ED840AB"/>
    <w:rsid w:val="1F25FE75"/>
    <w:rsid w:val="1F9F3485"/>
    <w:rsid w:val="1FB957AF"/>
    <w:rsid w:val="20437B2F"/>
    <w:rsid w:val="20487126"/>
    <w:rsid w:val="20F3E655"/>
    <w:rsid w:val="21071146"/>
    <w:rsid w:val="211284C0"/>
    <w:rsid w:val="2138C30D"/>
    <w:rsid w:val="21FFD219"/>
    <w:rsid w:val="22333FF3"/>
    <w:rsid w:val="225D9F37"/>
    <w:rsid w:val="22BC343A"/>
    <w:rsid w:val="22CDBD39"/>
    <w:rsid w:val="22DA02F3"/>
    <w:rsid w:val="2334A360"/>
    <w:rsid w:val="23B7F289"/>
    <w:rsid w:val="24080193"/>
    <w:rsid w:val="2458049B"/>
    <w:rsid w:val="25FAA0E4"/>
    <w:rsid w:val="264FB1BF"/>
    <w:rsid w:val="26514556"/>
    <w:rsid w:val="26D3433C"/>
    <w:rsid w:val="26F780D1"/>
    <w:rsid w:val="2751E995"/>
    <w:rsid w:val="27967145"/>
    <w:rsid w:val="27BFB1A0"/>
    <w:rsid w:val="27E0E9BF"/>
    <w:rsid w:val="280958BC"/>
    <w:rsid w:val="281788F2"/>
    <w:rsid w:val="283564B7"/>
    <w:rsid w:val="286D1DD1"/>
    <w:rsid w:val="28758937"/>
    <w:rsid w:val="2881B5B8"/>
    <w:rsid w:val="292B75BE"/>
    <w:rsid w:val="293241A6"/>
    <w:rsid w:val="294616CB"/>
    <w:rsid w:val="29494477"/>
    <w:rsid w:val="29E7F4FD"/>
    <w:rsid w:val="2A46C1E4"/>
    <w:rsid w:val="2A79D4CF"/>
    <w:rsid w:val="2A835F1F"/>
    <w:rsid w:val="2B4F29B4"/>
    <w:rsid w:val="2B6C5498"/>
    <w:rsid w:val="2B8A78FD"/>
    <w:rsid w:val="2B8F2306"/>
    <w:rsid w:val="2BB1C997"/>
    <w:rsid w:val="2BE91E0A"/>
    <w:rsid w:val="2C2098C8"/>
    <w:rsid w:val="2C69516E"/>
    <w:rsid w:val="2C80E539"/>
    <w:rsid w:val="2CCD9A31"/>
    <w:rsid w:val="2D4D99F8"/>
    <w:rsid w:val="2D68F9EA"/>
    <w:rsid w:val="2D984A2A"/>
    <w:rsid w:val="2E1CB59A"/>
    <w:rsid w:val="2E2FE812"/>
    <w:rsid w:val="2E323BF0"/>
    <w:rsid w:val="2E6325D8"/>
    <w:rsid w:val="2F5EF725"/>
    <w:rsid w:val="2FA0AB8F"/>
    <w:rsid w:val="2FB885FB"/>
    <w:rsid w:val="2FC07381"/>
    <w:rsid w:val="2FFBFDBC"/>
    <w:rsid w:val="30902199"/>
    <w:rsid w:val="309F5F36"/>
    <w:rsid w:val="30BD9C4E"/>
    <w:rsid w:val="3134398F"/>
    <w:rsid w:val="313FEF58"/>
    <w:rsid w:val="315746B5"/>
    <w:rsid w:val="315C43E2"/>
    <w:rsid w:val="31BFC68F"/>
    <w:rsid w:val="321C6B7D"/>
    <w:rsid w:val="323A3378"/>
    <w:rsid w:val="3245E670"/>
    <w:rsid w:val="326B365E"/>
    <w:rsid w:val="32BD86C0"/>
    <w:rsid w:val="32DBBFB9"/>
    <w:rsid w:val="32F81443"/>
    <w:rsid w:val="33035935"/>
    <w:rsid w:val="330F832E"/>
    <w:rsid w:val="3314CE0E"/>
    <w:rsid w:val="33999D73"/>
    <w:rsid w:val="33D6FFF8"/>
    <w:rsid w:val="341266F9"/>
    <w:rsid w:val="348EE777"/>
    <w:rsid w:val="34E1FE95"/>
    <w:rsid w:val="352A4C59"/>
    <w:rsid w:val="35783F23"/>
    <w:rsid w:val="35C17A3B"/>
    <w:rsid w:val="35F70B57"/>
    <w:rsid w:val="362AB7D8"/>
    <w:rsid w:val="362C8759"/>
    <w:rsid w:val="367B67F7"/>
    <w:rsid w:val="372DC7FC"/>
    <w:rsid w:val="37C857BA"/>
    <w:rsid w:val="38173858"/>
    <w:rsid w:val="38A78849"/>
    <w:rsid w:val="38C9985D"/>
    <w:rsid w:val="38F413FE"/>
    <w:rsid w:val="394B013D"/>
    <w:rsid w:val="3968F0E5"/>
    <w:rsid w:val="39B308B9"/>
    <w:rsid w:val="39CC3116"/>
    <w:rsid w:val="39FDBD7C"/>
    <w:rsid w:val="3A45455D"/>
    <w:rsid w:val="3A6568BE"/>
    <w:rsid w:val="3A812C5C"/>
    <w:rsid w:val="3B032628"/>
    <w:rsid w:val="3B695005"/>
    <w:rsid w:val="3C13E142"/>
    <w:rsid w:val="3C5B0340"/>
    <w:rsid w:val="3C904F82"/>
    <w:rsid w:val="3C9BC8DD"/>
    <w:rsid w:val="3D7CE61F"/>
    <w:rsid w:val="3DD91131"/>
    <w:rsid w:val="3E42950D"/>
    <w:rsid w:val="3E8679DC"/>
    <w:rsid w:val="3E8974E6"/>
    <w:rsid w:val="3EA6CE95"/>
    <w:rsid w:val="3EB80642"/>
    <w:rsid w:val="3EC4E69E"/>
    <w:rsid w:val="3F1EC75A"/>
    <w:rsid w:val="3FBF0A0C"/>
    <w:rsid w:val="3FD6974B"/>
    <w:rsid w:val="403B729A"/>
    <w:rsid w:val="404BA286"/>
    <w:rsid w:val="40507FCE"/>
    <w:rsid w:val="40C8275F"/>
    <w:rsid w:val="40E484F2"/>
    <w:rsid w:val="4147F4E1"/>
    <w:rsid w:val="4163C0A5"/>
    <w:rsid w:val="41DC7C88"/>
    <w:rsid w:val="41E9D59D"/>
    <w:rsid w:val="422A56B2"/>
    <w:rsid w:val="4263F7C0"/>
    <w:rsid w:val="437461EA"/>
    <w:rsid w:val="43C9E24C"/>
    <w:rsid w:val="440B82A9"/>
    <w:rsid w:val="442597BD"/>
    <w:rsid w:val="4510324B"/>
    <w:rsid w:val="461FD340"/>
    <w:rsid w:val="46AC02AC"/>
    <w:rsid w:val="472AF4BB"/>
    <w:rsid w:val="47349E95"/>
    <w:rsid w:val="47AC45B1"/>
    <w:rsid w:val="47C98479"/>
    <w:rsid w:val="481D9C32"/>
    <w:rsid w:val="48232140"/>
    <w:rsid w:val="4938330E"/>
    <w:rsid w:val="495306C6"/>
    <w:rsid w:val="495F8BD7"/>
    <w:rsid w:val="4969128D"/>
    <w:rsid w:val="49A35B5D"/>
    <w:rsid w:val="49EFDFE3"/>
    <w:rsid w:val="49FB3F0F"/>
    <w:rsid w:val="4A2B566C"/>
    <w:rsid w:val="4A919EB1"/>
    <w:rsid w:val="4A9FB9CD"/>
    <w:rsid w:val="4B9E8A01"/>
    <w:rsid w:val="4BC836B6"/>
    <w:rsid w:val="4BEF26B2"/>
    <w:rsid w:val="4BFE65DE"/>
    <w:rsid w:val="4D076229"/>
    <w:rsid w:val="4D8FB4E9"/>
    <w:rsid w:val="4DAB7159"/>
    <w:rsid w:val="4EA6BF5A"/>
    <w:rsid w:val="4F0DB691"/>
    <w:rsid w:val="4F13917D"/>
    <w:rsid w:val="4FC2484A"/>
    <w:rsid w:val="4FE6B2F8"/>
    <w:rsid w:val="50345948"/>
    <w:rsid w:val="515E18AB"/>
    <w:rsid w:val="51940A6A"/>
    <w:rsid w:val="522B0D58"/>
    <w:rsid w:val="532202BB"/>
    <w:rsid w:val="5392733A"/>
    <w:rsid w:val="53F04F66"/>
    <w:rsid w:val="544DA469"/>
    <w:rsid w:val="54611A4D"/>
    <w:rsid w:val="5486E70E"/>
    <w:rsid w:val="54ABC534"/>
    <w:rsid w:val="54DA2C95"/>
    <w:rsid w:val="5511DC96"/>
    <w:rsid w:val="55934304"/>
    <w:rsid w:val="563BC2B2"/>
    <w:rsid w:val="565C5A94"/>
    <w:rsid w:val="56EBB37A"/>
    <w:rsid w:val="57BE87D0"/>
    <w:rsid w:val="58034BEE"/>
    <w:rsid w:val="58AC769B"/>
    <w:rsid w:val="58C3C089"/>
    <w:rsid w:val="5921158C"/>
    <w:rsid w:val="59C2FCD7"/>
    <w:rsid w:val="5AAFAA92"/>
    <w:rsid w:val="5B364D12"/>
    <w:rsid w:val="5BF5A14E"/>
    <w:rsid w:val="5BF99E50"/>
    <w:rsid w:val="5CC1D169"/>
    <w:rsid w:val="5CD6BD11"/>
    <w:rsid w:val="5D37429E"/>
    <w:rsid w:val="5D4422FA"/>
    <w:rsid w:val="5D8982AA"/>
    <w:rsid w:val="5D9171AF"/>
    <w:rsid w:val="5DAB935A"/>
    <w:rsid w:val="5DCABE60"/>
    <w:rsid w:val="5DEDF4F1"/>
    <w:rsid w:val="5DEE94C1"/>
    <w:rsid w:val="5E0FED8F"/>
    <w:rsid w:val="5ED6DF67"/>
    <w:rsid w:val="5F0AB1FE"/>
    <w:rsid w:val="5F54DB8C"/>
    <w:rsid w:val="5F61E91B"/>
    <w:rsid w:val="5F966E93"/>
    <w:rsid w:val="5FBEE86C"/>
    <w:rsid w:val="5FF24307"/>
    <w:rsid w:val="601C43AA"/>
    <w:rsid w:val="601F0DB8"/>
    <w:rsid w:val="6059110F"/>
    <w:rsid w:val="60C5878F"/>
    <w:rsid w:val="60E23ACE"/>
    <w:rsid w:val="60FB2F5F"/>
    <w:rsid w:val="6110A22F"/>
    <w:rsid w:val="616F86AF"/>
    <w:rsid w:val="61C8F1C2"/>
    <w:rsid w:val="61F4E170"/>
    <w:rsid w:val="61F9F6AC"/>
    <w:rsid w:val="62B56B89"/>
    <w:rsid w:val="63112013"/>
    <w:rsid w:val="632AA091"/>
    <w:rsid w:val="63602311"/>
    <w:rsid w:val="63A68422"/>
    <w:rsid w:val="646BB5B9"/>
    <w:rsid w:val="64E55532"/>
    <w:rsid w:val="64EAB7A0"/>
    <w:rsid w:val="64FBF372"/>
    <w:rsid w:val="652C8232"/>
    <w:rsid w:val="659C8394"/>
    <w:rsid w:val="65B3DAF1"/>
    <w:rsid w:val="666C4953"/>
    <w:rsid w:val="669CD88E"/>
    <w:rsid w:val="66C4CDDB"/>
    <w:rsid w:val="673064F0"/>
    <w:rsid w:val="67A3567B"/>
    <w:rsid w:val="67AAF1D3"/>
    <w:rsid w:val="6873E8CB"/>
    <w:rsid w:val="68741AFE"/>
    <w:rsid w:val="68D42456"/>
    <w:rsid w:val="693C2BD2"/>
    <w:rsid w:val="6997781E"/>
    <w:rsid w:val="6A28013F"/>
    <w:rsid w:val="6A6FF4B7"/>
    <w:rsid w:val="6AA1220C"/>
    <w:rsid w:val="6AF3B648"/>
    <w:rsid w:val="6B1B9A80"/>
    <w:rsid w:val="6B7049B1"/>
    <w:rsid w:val="6B8D8EF1"/>
    <w:rsid w:val="6C76EE7B"/>
    <w:rsid w:val="6C8CF4F1"/>
    <w:rsid w:val="6D006AC1"/>
    <w:rsid w:val="6D411E67"/>
    <w:rsid w:val="6D502D92"/>
    <w:rsid w:val="6D64DB8E"/>
    <w:rsid w:val="6D9F3C39"/>
    <w:rsid w:val="6E0F9CF5"/>
    <w:rsid w:val="6E23554A"/>
    <w:rsid w:val="6E280EC0"/>
    <w:rsid w:val="6EA7EA73"/>
    <w:rsid w:val="6ECFFF77"/>
    <w:rsid w:val="6EDCEEC8"/>
    <w:rsid w:val="6EE4DC4E"/>
    <w:rsid w:val="6F1149DF"/>
    <w:rsid w:val="6F4365DA"/>
    <w:rsid w:val="6F7C742F"/>
    <w:rsid w:val="6F9F066A"/>
    <w:rsid w:val="6FD51FEB"/>
    <w:rsid w:val="702CA84C"/>
    <w:rsid w:val="70ECE3BE"/>
    <w:rsid w:val="70FA7C95"/>
    <w:rsid w:val="71184490"/>
    <w:rsid w:val="71923212"/>
    <w:rsid w:val="71BCF2D0"/>
    <w:rsid w:val="72334F14"/>
    <w:rsid w:val="7240E5A7"/>
    <w:rsid w:val="72A688F4"/>
    <w:rsid w:val="72C4C4D6"/>
    <w:rsid w:val="7307A4AD"/>
    <w:rsid w:val="7310CB18"/>
    <w:rsid w:val="7356EB49"/>
    <w:rsid w:val="7390817A"/>
    <w:rsid w:val="747EDE79"/>
    <w:rsid w:val="74A3750E"/>
    <w:rsid w:val="74BFF27F"/>
    <w:rsid w:val="7525616F"/>
    <w:rsid w:val="758D1857"/>
    <w:rsid w:val="75EBB5B3"/>
    <w:rsid w:val="76D4D1B2"/>
    <w:rsid w:val="77273121"/>
    <w:rsid w:val="773568CA"/>
    <w:rsid w:val="775D5337"/>
    <w:rsid w:val="7786C4E4"/>
    <w:rsid w:val="7857C6A5"/>
    <w:rsid w:val="79AC8690"/>
    <w:rsid w:val="79B1F464"/>
    <w:rsid w:val="7A59CAE4"/>
    <w:rsid w:val="7A6D098C"/>
    <w:rsid w:val="7A861702"/>
    <w:rsid w:val="7BB04A47"/>
    <w:rsid w:val="7BB9D506"/>
    <w:rsid w:val="7C13CAA1"/>
    <w:rsid w:val="7CFC8378"/>
    <w:rsid w:val="7D0CEE6D"/>
    <w:rsid w:val="7D9672A5"/>
    <w:rsid w:val="7DDD9F3B"/>
    <w:rsid w:val="7E4B0524"/>
    <w:rsid w:val="7E6EC24B"/>
    <w:rsid w:val="7EF3EEFA"/>
    <w:rsid w:val="7F03565F"/>
    <w:rsid w:val="7F1AD240"/>
    <w:rsid w:val="7F324306"/>
    <w:rsid w:val="7F796F9C"/>
    <w:rsid w:val="7F9A1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26E585"/>
  <w15:docId w15:val="{3FEF6B4D-BD75-4E82-8CD9-F8644369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C211C2"/>
    <w:rPr>
      <w:color w:val="605E5C"/>
      <w:shd w:val="clear" w:color="auto" w:fill="E1DFDD"/>
    </w:rPr>
  </w:style>
  <w:style w:type="paragraph" w:customStyle="1" w:styleId="xmsonormal">
    <w:name w:val="x_msonormal"/>
    <w:basedOn w:val="Normal"/>
    <w:rsid w:val="00F517C9"/>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09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ryl.read@westnorthant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6387E0CDF17D4186C64B0930CF08D4" ma:contentTypeVersion="6" ma:contentTypeDescription="Create a new document." ma:contentTypeScope="" ma:versionID="5d1daad97daaa20972f43df6d98c8631">
  <xsd:schema xmlns:xsd="http://www.w3.org/2001/XMLSchema" xmlns:xs="http://www.w3.org/2001/XMLSchema" xmlns:p="http://schemas.microsoft.com/office/2006/metadata/properties" xmlns:ns2="65a751d1-716a-410f-96d6-643aea2438c6" xmlns:ns3="1872dbb2-c781-4e66-bfb4-b9020081ede5" targetNamespace="http://schemas.microsoft.com/office/2006/metadata/properties" ma:root="true" ma:fieldsID="6425adc3cfc762bb5c4810a21bb11d98" ns2:_="" ns3:_="">
    <xsd:import namespace="65a751d1-716a-410f-96d6-643aea2438c6"/>
    <xsd:import namespace="1872dbb2-c781-4e66-bfb4-b9020081ed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751d1-716a-410f-96d6-643aea2438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2dbb2-c781-4e66-bfb4-b9020081ed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65a751d1-716a-410f-96d6-643aea2438c6">
      <UserInfo>
        <DisplayName>David Guest</DisplayName>
        <AccountId>19</AccountId>
        <AccountType/>
      </UserInfo>
      <UserInfo>
        <DisplayName>Lynda Collett</DisplayName>
        <AccountId>29</AccountId>
        <AccountType/>
      </UserInfo>
      <UserInfo>
        <DisplayName>Diane Cohen</DisplayName>
        <AccountId>30</AccountId>
        <AccountType/>
      </UserInfo>
    </SharedWithUsers>
  </documentManagement>
</p:properties>
</file>

<file path=customXml/itemProps1.xml><?xml version="1.0" encoding="utf-8"?>
<ds:datastoreItem xmlns:ds="http://schemas.openxmlformats.org/officeDocument/2006/customXml" ds:itemID="{720C207E-40C3-4E23-98DE-9B7C2C3C1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751d1-716a-410f-96d6-643aea2438c6"/>
    <ds:schemaRef ds:uri="1872dbb2-c781-4e66-bfb4-b9020081e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E81736E8-71A2-471D-80EC-B5BBDEB907CF}">
  <ds:schemaRefs>
    <ds:schemaRef ds:uri="http://schemas.microsoft.com/office/2006/metadata/properties"/>
    <ds:schemaRef ds:uri="65a751d1-716a-410f-96d6-643aea2438c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Daryl Read</cp:lastModifiedBy>
  <cp:revision>4</cp:revision>
  <dcterms:created xsi:type="dcterms:W3CDTF">2022-08-08T10:31:00Z</dcterms:created>
  <dcterms:modified xsi:type="dcterms:W3CDTF">2022-08-08T10:44:00Z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0x0101007F6387E0CDF17D4186C64B0930CF08D4</vt:lpwstr>
  </property>
</Properties>
</file>