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1594A993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1594A993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4B758228" w:rsidRDefault="1754B38C" w14:paraId="506D0F46" w14:textId="135491D5">
            <w:pPr>
              <w:pStyle w:val="Normal"/>
              <w:rPr>
                <w:rFonts w:ascii="Muli" w:hAnsi="Muli"/>
              </w:rPr>
            </w:pPr>
            <w:r w:rsidRPr="4B758228" w:rsidR="1754B38C">
              <w:rPr>
                <w:rFonts w:ascii="Muli" w:hAnsi="Muli" w:eastAsia="Muli" w:cs="Muli"/>
              </w:rPr>
              <w:t>Supporting the Development of an Offshore Wind Feasibility Framework for Mexico</w:t>
            </w:r>
          </w:p>
        </w:tc>
      </w:tr>
      <w:tr w:rsidR="00226A1D" w:rsidTr="1594A993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P="4B758228" w:rsidRDefault="7BAC594C" w14:paraId="3D6C36BF" w14:textId="6946C30C">
            <w:pPr>
              <w:pStyle w:val="Normal"/>
              <w:rPr>
                <w:rFonts w:ascii="Muli" w:hAnsi="Muli"/>
              </w:rPr>
            </w:pPr>
            <w:r w:rsidRPr="4B758228" w:rsidR="7BAC594C">
              <w:rPr>
                <w:rFonts w:ascii="Muli" w:hAnsi="Muli"/>
              </w:rPr>
              <w:t>7 November 2025</w:t>
            </w:r>
          </w:p>
        </w:tc>
      </w:tr>
      <w:tr w:rsidR="00226A1D" w:rsidTr="1594A993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1594A993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1594A993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:rsidR="00C40874" w:rsidP="00C40874" w:rsidRDefault="00EB7727" w14:paraId="38432724" w14:textId="5B20B8B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Providing technical advisory services </w:t>
            </w:r>
            <w:r w:rsidR="008F6FC6">
              <w:rPr>
                <w:rFonts w:ascii="Muli" w:hAnsi="Muli"/>
                <w:i/>
                <w:iCs/>
                <w:sz w:val="20"/>
                <w:szCs w:val="20"/>
              </w:rPr>
              <w:t>to develop a robust site screening methodology for offshore wind projects</w:t>
            </w:r>
            <w:r w:rsidR="00C40874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</w:p>
          <w:p w:rsidRPr="00C40874" w:rsidR="00C40874" w:rsidP="1594A993" w:rsidRDefault="00C40874" w14:paraId="71A0EAB2" w14:textId="4B8204E8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1594A993" w:rsidR="00C40874">
              <w:rPr>
                <w:rFonts w:ascii="Muli" w:hAnsi="Muli"/>
                <w:i w:val="1"/>
                <w:iCs w:val="1"/>
                <w:sz w:val="20"/>
                <w:szCs w:val="20"/>
              </w:rPr>
              <w:t>S</w:t>
            </w:r>
            <w:r w:rsidRPr="1594A993" w:rsidR="00C40874">
              <w:rPr>
                <w:rFonts w:ascii="Muli" w:hAnsi="Muli"/>
                <w:i w:val="1"/>
                <w:iCs w:val="1"/>
                <w:sz w:val="20"/>
                <w:szCs w:val="20"/>
              </w:rPr>
              <w:t>trategic</w:t>
            </w:r>
            <w:r w:rsidRPr="1594A993" w:rsidR="002377AC">
              <w:rPr>
                <w:rFonts w:ascii="Muli" w:hAnsi="Muli"/>
                <w:i w:val="1"/>
                <w:iCs w:val="1"/>
                <w:sz w:val="20"/>
                <w:szCs w:val="20"/>
              </w:rPr>
              <w:t>ally</w:t>
            </w:r>
            <w:r w:rsidRPr="1594A993" w:rsidR="00C40874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review</w:t>
            </w:r>
            <w:r w:rsidRPr="1594A993" w:rsidR="002377AC">
              <w:rPr>
                <w:rFonts w:ascii="Muli" w:hAnsi="Muli"/>
                <w:i w:val="1"/>
                <w:iCs w:val="1"/>
                <w:sz w:val="20"/>
                <w:szCs w:val="20"/>
              </w:rPr>
              <w:t>ing</w:t>
            </w:r>
            <w:r w:rsidRPr="1594A993" w:rsidR="00C40874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1594A993" w:rsidR="002377A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Mexico’s </w:t>
            </w:r>
            <w:r w:rsidRPr="1594A993" w:rsidR="00C40874">
              <w:rPr>
                <w:rFonts w:ascii="Muli" w:hAnsi="Muli"/>
                <w:i w:val="1"/>
                <w:iCs w:val="1"/>
                <w:sz w:val="20"/>
                <w:szCs w:val="20"/>
              </w:rPr>
              <w:t>existing</w:t>
            </w:r>
            <w:r w:rsidRPr="1594A993" w:rsidR="002377A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regulatory</w:t>
            </w:r>
            <w:r w:rsidRPr="1594A993" w:rsidR="00C40874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frameworks and processes</w:t>
            </w:r>
            <w:r w:rsidRPr="1594A993" w:rsidR="008102F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as well as international </w:t>
            </w:r>
            <w:r w:rsidRPr="1594A993" w:rsidR="009801AA">
              <w:rPr>
                <w:rFonts w:ascii="Muli" w:hAnsi="Muli"/>
                <w:i w:val="1"/>
                <w:iCs w:val="1"/>
                <w:sz w:val="20"/>
                <w:szCs w:val="20"/>
              </w:rPr>
              <w:t>frameworks and processes</w:t>
            </w:r>
            <w:r w:rsidRPr="1594A993" w:rsidR="52C22B4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—with particular emphasis on the United Kingdom’s offshore wind regulatory framework—</w:t>
            </w:r>
            <w:r w:rsidRPr="1594A993" w:rsidR="009801AA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1594A993" w:rsidR="66D9B573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to </w:t>
            </w:r>
            <w:r w:rsidRPr="1594A993" w:rsidR="66D9B573">
              <w:rPr>
                <w:rFonts w:ascii="Muli" w:hAnsi="Muli"/>
                <w:i w:val="1"/>
                <w:iCs w:val="1"/>
                <w:sz w:val="20"/>
                <w:szCs w:val="20"/>
              </w:rPr>
              <w:t>identify</w:t>
            </w:r>
            <w:r w:rsidRPr="1594A993" w:rsidR="66D9B573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lessons learned and formulate recommendations tailored</w:t>
            </w:r>
            <w:r w:rsidRPr="1594A993" w:rsidR="004E2EA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1594A993" w:rsidR="3C88A758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to the </w:t>
            </w:r>
            <w:r w:rsidRPr="1594A993" w:rsidR="004E2EAC">
              <w:rPr>
                <w:rFonts w:ascii="Muli" w:hAnsi="Muli"/>
                <w:i w:val="1"/>
                <w:iCs w:val="1"/>
                <w:sz w:val="20"/>
                <w:szCs w:val="20"/>
              </w:rPr>
              <w:t>Mexic</w:t>
            </w:r>
            <w:r w:rsidRPr="1594A993" w:rsidR="5D9E604F">
              <w:rPr>
                <w:rFonts w:ascii="Muli" w:hAnsi="Muli"/>
                <w:i w:val="1"/>
                <w:iCs w:val="1"/>
                <w:sz w:val="20"/>
                <w:szCs w:val="20"/>
              </w:rPr>
              <w:t>an</w:t>
            </w:r>
            <w:r w:rsidRPr="1594A993" w:rsidR="004E2EA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1594A993" w:rsidR="004E2EAC">
              <w:rPr>
                <w:rFonts w:ascii="Muli" w:hAnsi="Muli"/>
                <w:i w:val="1"/>
                <w:iCs w:val="1"/>
                <w:sz w:val="20"/>
                <w:szCs w:val="20"/>
              </w:rPr>
              <w:t>context</w:t>
            </w:r>
            <w:r w:rsidRPr="1594A993" w:rsidR="008102F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; </w:t>
            </w:r>
          </w:p>
          <w:p w:rsidR="008F6FC6" w:rsidP="00C70A66" w:rsidRDefault="00322DEB" w14:paraId="54906E07" w14:textId="4E3F9B9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Mapping </w:t>
            </w:r>
            <w:r w:rsidR="00151919">
              <w:rPr>
                <w:rFonts w:ascii="Muli" w:hAnsi="Muli"/>
                <w:i/>
                <w:iCs/>
                <w:sz w:val="20"/>
                <w:szCs w:val="20"/>
              </w:rPr>
              <w:t xml:space="preserve">of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priority </w:t>
            </w:r>
            <w:r w:rsidR="00F360D1">
              <w:rPr>
                <w:rFonts w:ascii="Muli" w:hAnsi="Muli"/>
                <w:i/>
                <w:iCs/>
                <w:sz w:val="20"/>
                <w:szCs w:val="20"/>
              </w:rPr>
              <w:t>areas</w:t>
            </w:r>
            <w:r w:rsidR="00102184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Pr="004E2EAC" w:rsidR="004E2EAC">
              <w:rPr>
                <w:rFonts w:ascii="Muli" w:hAnsi="Muli"/>
                <w:i/>
                <w:iCs/>
                <w:sz w:val="20"/>
                <w:szCs w:val="20"/>
              </w:rPr>
              <w:t>aligned with infrastructure and energy demand, identifying gaps and opportunities</w:t>
            </w:r>
            <w:r w:rsidR="00C97237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</w:p>
          <w:p w:rsidRPr="007B4960" w:rsidR="00C70A66" w:rsidP="007B4960" w:rsidRDefault="00C70A66" w14:paraId="7F8C1C50" w14:textId="27940BF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B4960"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Pr="007B4960" w:rsidR="00BA7580">
              <w:rPr>
                <w:rFonts w:ascii="Muli" w:hAnsi="Muli"/>
                <w:i/>
                <w:iCs/>
                <w:sz w:val="20"/>
                <w:szCs w:val="20"/>
              </w:rPr>
              <w:t>with counterparts</w:t>
            </w:r>
            <w:r w:rsidR="00E55F2C">
              <w:rPr>
                <w:rFonts w:ascii="Muli" w:hAnsi="Muli"/>
                <w:i/>
                <w:iCs/>
                <w:sz w:val="20"/>
                <w:szCs w:val="20"/>
              </w:rPr>
              <w:t xml:space="preserve"> along with the design &amp; delivery of technical exchanges</w:t>
            </w:r>
            <w:r w:rsidR="00210296">
              <w:rPr>
                <w:rFonts w:ascii="Muli" w:hAnsi="Muli"/>
                <w:i/>
                <w:iCs/>
                <w:sz w:val="20"/>
                <w:szCs w:val="20"/>
              </w:rPr>
              <w:t xml:space="preserve">, particularly </w:t>
            </w:r>
            <w:r w:rsidR="00E55F2C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836DB6">
              <w:rPr>
                <w:rFonts w:ascii="Muli" w:hAnsi="Muli"/>
                <w:i/>
                <w:iCs/>
                <w:sz w:val="20"/>
                <w:szCs w:val="20"/>
              </w:rPr>
              <w:t xml:space="preserve">the Government of Mexico </w:t>
            </w:r>
            <w:r w:rsidR="00E170FC">
              <w:rPr>
                <w:rFonts w:ascii="Muli" w:hAnsi="Muli"/>
                <w:i/>
                <w:iCs/>
                <w:sz w:val="20"/>
                <w:szCs w:val="20"/>
              </w:rPr>
              <w:t xml:space="preserve">for capacity-building; </w:t>
            </w:r>
            <w:r w:rsidRPr="007B4960"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176DF6" w:rsidP="00F22540" w:rsidRDefault="00A8500F" w14:paraId="64343DE8" w14:textId="7777777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1594A993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 xml:space="preserve">Personnel </w:t>
            </w:r>
          </w:p>
          <w:p w:rsidRPr="00226A1D" w:rsidR="00F77AE4" w:rsidRDefault="00E7339D" w14:paraId="628AA155" w14:textId="770D02C0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1594A993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(max </w:t>
            </w:r>
            <w:r w:rsidRPr="1594A993" w:rsidR="35113AAF">
              <w:rPr>
                <w:rFonts w:ascii="Muli" w:hAnsi="Muli"/>
                <w:b w:val="1"/>
                <w:bCs w:val="1"/>
                <w:sz w:val="20"/>
                <w:szCs w:val="20"/>
              </w:rPr>
              <w:t>700</w:t>
            </w:r>
            <w:r w:rsidRPr="1594A993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94A993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9D4" w:rsidP="00FE7553" w:rsidRDefault="007769D4" w14:paraId="37436360" w14:textId="77777777">
      <w:pPr>
        <w:spacing w:after="0" w:line="240" w:lineRule="auto"/>
      </w:pPr>
      <w:r>
        <w:separator/>
      </w:r>
    </w:p>
  </w:endnote>
  <w:endnote w:type="continuationSeparator" w:id="0">
    <w:p w:rsidR="007769D4" w:rsidP="00FE7553" w:rsidRDefault="007769D4" w14:paraId="7C2930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9D4" w:rsidP="00FE7553" w:rsidRDefault="007769D4" w14:paraId="42B9B697" w14:textId="77777777">
      <w:pPr>
        <w:spacing w:after="0" w:line="240" w:lineRule="auto"/>
      </w:pPr>
      <w:r>
        <w:separator/>
      </w:r>
    </w:p>
  </w:footnote>
  <w:footnote w:type="continuationSeparator" w:id="0">
    <w:p w:rsidR="007769D4" w:rsidP="00FE7553" w:rsidRDefault="007769D4" w14:paraId="0177B7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75576"/>
    <w:rsid w:val="000924DF"/>
    <w:rsid w:val="00100378"/>
    <w:rsid w:val="00102184"/>
    <w:rsid w:val="00134787"/>
    <w:rsid w:val="00141651"/>
    <w:rsid w:val="00151919"/>
    <w:rsid w:val="00176DF6"/>
    <w:rsid w:val="00193D7C"/>
    <w:rsid w:val="001A7F1F"/>
    <w:rsid w:val="001B6D32"/>
    <w:rsid w:val="001D60BD"/>
    <w:rsid w:val="001E5D13"/>
    <w:rsid w:val="00210296"/>
    <w:rsid w:val="002127C4"/>
    <w:rsid w:val="00226A1D"/>
    <w:rsid w:val="002377AC"/>
    <w:rsid w:val="00245E14"/>
    <w:rsid w:val="002479CB"/>
    <w:rsid w:val="00255ABA"/>
    <w:rsid w:val="0027548E"/>
    <w:rsid w:val="00287B30"/>
    <w:rsid w:val="002D3584"/>
    <w:rsid w:val="002E2435"/>
    <w:rsid w:val="002F08F9"/>
    <w:rsid w:val="002F0FE0"/>
    <w:rsid w:val="00322DEB"/>
    <w:rsid w:val="00340F84"/>
    <w:rsid w:val="00361187"/>
    <w:rsid w:val="0040162F"/>
    <w:rsid w:val="004275E9"/>
    <w:rsid w:val="00442D1F"/>
    <w:rsid w:val="00450E6D"/>
    <w:rsid w:val="004B4234"/>
    <w:rsid w:val="004C27F2"/>
    <w:rsid w:val="004C2A97"/>
    <w:rsid w:val="004E27C7"/>
    <w:rsid w:val="004E2EAC"/>
    <w:rsid w:val="004E4D28"/>
    <w:rsid w:val="004E7AF5"/>
    <w:rsid w:val="00502664"/>
    <w:rsid w:val="005165F6"/>
    <w:rsid w:val="005452E9"/>
    <w:rsid w:val="005A64E4"/>
    <w:rsid w:val="005D5398"/>
    <w:rsid w:val="005E7B30"/>
    <w:rsid w:val="00610165"/>
    <w:rsid w:val="00613AA0"/>
    <w:rsid w:val="0065736C"/>
    <w:rsid w:val="0067073C"/>
    <w:rsid w:val="00697601"/>
    <w:rsid w:val="006D07A8"/>
    <w:rsid w:val="006E77F6"/>
    <w:rsid w:val="00704B4E"/>
    <w:rsid w:val="00717F46"/>
    <w:rsid w:val="007769D4"/>
    <w:rsid w:val="00777291"/>
    <w:rsid w:val="00795E09"/>
    <w:rsid w:val="007A269C"/>
    <w:rsid w:val="007B4960"/>
    <w:rsid w:val="008102FE"/>
    <w:rsid w:val="00836DB6"/>
    <w:rsid w:val="008472D5"/>
    <w:rsid w:val="00894036"/>
    <w:rsid w:val="008956F7"/>
    <w:rsid w:val="008A691B"/>
    <w:rsid w:val="008F0D49"/>
    <w:rsid w:val="008F6FC6"/>
    <w:rsid w:val="00901D14"/>
    <w:rsid w:val="00936CD4"/>
    <w:rsid w:val="00942412"/>
    <w:rsid w:val="00947257"/>
    <w:rsid w:val="00952DEB"/>
    <w:rsid w:val="0096764B"/>
    <w:rsid w:val="00971F7E"/>
    <w:rsid w:val="009801AA"/>
    <w:rsid w:val="00993B82"/>
    <w:rsid w:val="009E57AE"/>
    <w:rsid w:val="00A00D28"/>
    <w:rsid w:val="00A427A8"/>
    <w:rsid w:val="00A43DE2"/>
    <w:rsid w:val="00A8500F"/>
    <w:rsid w:val="00AD0C49"/>
    <w:rsid w:val="00AE5281"/>
    <w:rsid w:val="00AF300E"/>
    <w:rsid w:val="00B040AD"/>
    <w:rsid w:val="00B41D0E"/>
    <w:rsid w:val="00BA7580"/>
    <w:rsid w:val="00BB0E7F"/>
    <w:rsid w:val="00C40874"/>
    <w:rsid w:val="00C70A66"/>
    <w:rsid w:val="00C97237"/>
    <w:rsid w:val="00CD5C82"/>
    <w:rsid w:val="00D119D1"/>
    <w:rsid w:val="00D57E18"/>
    <w:rsid w:val="00DB6AA9"/>
    <w:rsid w:val="00DD43D1"/>
    <w:rsid w:val="00DD483D"/>
    <w:rsid w:val="00E170FC"/>
    <w:rsid w:val="00E215DC"/>
    <w:rsid w:val="00E55F2C"/>
    <w:rsid w:val="00E7339D"/>
    <w:rsid w:val="00EA2E8B"/>
    <w:rsid w:val="00EA616F"/>
    <w:rsid w:val="00EB7727"/>
    <w:rsid w:val="00EC1FC3"/>
    <w:rsid w:val="00F0207B"/>
    <w:rsid w:val="00F11B01"/>
    <w:rsid w:val="00F1364B"/>
    <w:rsid w:val="00F1697F"/>
    <w:rsid w:val="00F22540"/>
    <w:rsid w:val="00F360D1"/>
    <w:rsid w:val="00F44396"/>
    <w:rsid w:val="00F77AE4"/>
    <w:rsid w:val="00FD1124"/>
    <w:rsid w:val="00FE7553"/>
    <w:rsid w:val="099232E6"/>
    <w:rsid w:val="0E2ABE60"/>
    <w:rsid w:val="1594A993"/>
    <w:rsid w:val="1754B38C"/>
    <w:rsid w:val="35113AAF"/>
    <w:rsid w:val="3C88A758"/>
    <w:rsid w:val="4799AC53"/>
    <w:rsid w:val="4B758228"/>
    <w:rsid w:val="52C22B4C"/>
    <w:rsid w:val="5A4D1160"/>
    <w:rsid w:val="5D9E604F"/>
    <w:rsid w:val="66D9B573"/>
    <w:rsid w:val="6C67A17F"/>
    <w:rsid w:val="7BA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6645183560edb6fbc85d88c57b497c5f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7fbe39a2a6e206792bed8d780ca998b1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BF386882-756E-4CFA-B912-45A76237D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Morshuk-Allen, Kelsea</lastModifiedBy>
  <revision>80</revision>
  <dcterms:created xsi:type="dcterms:W3CDTF">2024-10-09T10:08:00.0000000Z</dcterms:created>
  <dcterms:modified xsi:type="dcterms:W3CDTF">2025-11-06T21:10:50.5076760Z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