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BE450" w14:textId="2D785370" w:rsidR="008755C9" w:rsidRDefault="00B51D4A" w:rsidP="00B51D4A">
      <w:pPr>
        <w:pStyle w:val="Title"/>
        <w:rPr>
          <w:lang w:val="en-GB"/>
        </w:rPr>
      </w:pPr>
      <w:r>
        <w:rPr>
          <w:lang w:val="en-GB"/>
        </w:rPr>
        <w:t>Specification</w:t>
      </w:r>
    </w:p>
    <w:p w14:paraId="7C25B06C" w14:textId="68839757" w:rsidR="00B51D4A" w:rsidRDefault="00B51D4A" w:rsidP="00B51D4A">
      <w:pPr>
        <w:pStyle w:val="Subtitle"/>
      </w:pPr>
      <w:r>
        <w:t xml:space="preserve">Peter </w:t>
      </w:r>
      <w:r w:rsidRPr="00B51D4A">
        <w:t>Gooch</w:t>
      </w:r>
      <w:r>
        <w:t xml:space="preserve"> Room and </w:t>
      </w:r>
      <w:r w:rsidR="003D1C12">
        <w:t>K</w:t>
      </w:r>
      <w:r>
        <w:t>itchen, The Pavilion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51D4A" w:rsidRPr="00B51D4A" w14:paraId="7E088002" w14:textId="77777777" w:rsidTr="0072183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3F9A20" w14:textId="00ABCED3" w:rsidR="00B51D4A" w:rsidRPr="00B51D4A" w:rsidRDefault="00B51D4A" w:rsidP="00721837">
            <w:pPr>
              <w:spacing w:before="120" w:after="120"/>
              <w:rPr>
                <w:b/>
                <w:bCs/>
                <w:lang w:val="en-GB"/>
              </w:rPr>
            </w:pPr>
            <w:r w:rsidRPr="00B51D4A">
              <w:rPr>
                <w:b/>
                <w:bCs/>
                <w:lang w:val="en-GB"/>
              </w:rPr>
              <w:t>Peter Gooch Room</w:t>
            </w:r>
          </w:p>
        </w:tc>
      </w:tr>
      <w:tr w:rsidR="00B51D4A" w14:paraId="6576F954" w14:textId="77777777" w:rsidTr="00B51D4A">
        <w:tc>
          <w:tcPr>
            <w:tcW w:w="2689" w:type="dxa"/>
          </w:tcPr>
          <w:p w14:paraId="2723CA62" w14:textId="0EAAADB8" w:rsidR="00B51D4A" w:rsidRDefault="00B51D4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Fittings</w:t>
            </w:r>
          </w:p>
        </w:tc>
        <w:tc>
          <w:tcPr>
            <w:tcW w:w="6327" w:type="dxa"/>
          </w:tcPr>
          <w:p w14:paraId="072E07CF" w14:textId="4BE1FA65" w:rsidR="00B51D4A" w:rsidRDefault="00B51D4A" w:rsidP="00721837">
            <w:pPr>
              <w:pStyle w:val="ListParagraph"/>
              <w:spacing w:before="120" w:after="120"/>
            </w:pPr>
            <w:r>
              <w:t>All existing fittings removed and stored in changing rooms.</w:t>
            </w:r>
          </w:p>
          <w:p w14:paraId="2317DC9B" w14:textId="4ECA8F22" w:rsidR="00D12116" w:rsidRPr="00B51D4A" w:rsidRDefault="00D12116" w:rsidP="00721837">
            <w:pPr>
              <w:pStyle w:val="ListParagraph"/>
              <w:spacing w:before="120" w:after="120"/>
            </w:pPr>
            <w:r>
              <w:t xml:space="preserve">Wall attachments (excluding fire bell, fire exit signs, smoke detector and </w:t>
            </w:r>
            <w:proofErr w:type="spellStart"/>
            <w:r>
              <w:t>wifi</w:t>
            </w:r>
            <w:proofErr w:type="spellEnd"/>
            <w:r>
              <w:t xml:space="preserve"> booster) removed and stored in changing rooms.</w:t>
            </w:r>
          </w:p>
        </w:tc>
      </w:tr>
      <w:tr w:rsidR="00B51D4A" w14:paraId="34915CC6" w14:textId="77777777" w:rsidTr="00B51D4A">
        <w:tc>
          <w:tcPr>
            <w:tcW w:w="2689" w:type="dxa"/>
          </w:tcPr>
          <w:p w14:paraId="5650A3C6" w14:textId="0A5E39DD" w:rsidR="00B51D4A" w:rsidRDefault="00B51D4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Ceiling</w:t>
            </w:r>
          </w:p>
        </w:tc>
        <w:tc>
          <w:tcPr>
            <w:tcW w:w="6327" w:type="dxa"/>
          </w:tcPr>
          <w:p w14:paraId="68DD3BC7" w14:textId="35780D46" w:rsidR="00B51D4A" w:rsidRDefault="00BF4D60" w:rsidP="00721837">
            <w:pPr>
              <w:pStyle w:val="ListParagraph"/>
              <w:spacing w:before="120" w:after="120"/>
            </w:pPr>
            <w:r>
              <w:t>Whole ceiling recovered with plasterboard and skimmed</w:t>
            </w:r>
            <w:r w:rsidR="00AF7F52">
              <w:t>; or fixed adequately.</w:t>
            </w:r>
          </w:p>
          <w:p w14:paraId="6EA7C083" w14:textId="0AF9F101" w:rsidR="00D12116" w:rsidRDefault="00D12116" w:rsidP="00721837">
            <w:pPr>
              <w:pStyle w:val="ListParagraph"/>
              <w:spacing w:before="120" w:after="120"/>
            </w:pPr>
            <w:r>
              <w:t>Painted with minimum 2 coats, brilliant white, good quality paint (Dulux or Crown).</w:t>
            </w:r>
          </w:p>
        </w:tc>
      </w:tr>
      <w:tr w:rsidR="00B51D4A" w14:paraId="7E054784" w14:textId="77777777" w:rsidTr="00B51D4A">
        <w:tc>
          <w:tcPr>
            <w:tcW w:w="2689" w:type="dxa"/>
          </w:tcPr>
          <w:p w14:paraId="0B7666B9" w14:textId="59199D7C" w:rsidR="00B51D4A" w:rsidRDefault="00B51D4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Walls</w:t>
            </w:r>
          </w:p>
        </w:tc>
        <w:tc>
          <w:tcPr>
            <w:tcW w:w="6327" w:type="dxa"/>
          </w:tcPr>
          <w:p w14:paraId="394B460F" w14:textId="77777777" w:rsidR="00B51D4A" w:rsidRDefault="00D12116" w:rsidP="00721837">
            <w:pPr>
              <w:pStyle w:val="ListParagraph"/>
              <w:spacing w:before="120" w:after="120"/>
            </w:pPr>
            <w:r>
              <w:t xml:space="preserve">Damage </w:t>
            </w:r>
            <w:proofErr w:type="gramStart"/>
            <w:r>
              <w:t>repaired,</w:t>
            </w:r>
            <w:proofErr w:type="gramEnd"/>
            <w:r>
              <w:t xml:space="preserve"> holes filled.</w:t>
            </w:r>
          </w:p>
          <w:p w14:paraId="584F8745" w14:textId="3CF480B2" w:rsidR="00D12116" w:rsidRDefault="00D12116" w:rsidP="00721837">
            <w:pPr>
              <w:pStyle w:val="ListParagraph"/>
              <w:spacing w:before="120" w:after="120"/>
            </w:pPr>
            <w:r>
              <w:t>Painted with minimum 2 coats, good quality, durable, washable, matt finish paint (Dulux or Crown) – off white, neutral colour.</w:t>
            </w:r>
          </w:p>
        </w:tc>
      </w:tr>
      <w:tr w:rsidR="00B51D4A" w14:paraId="42D9DEBE" w14:textId="77777777" w:rsidTr="00B51D4A">
        <w:tc>
          <w:tcPr>
            <w:tcW w:w="2689" w:type="dxa"/>
          </w:tcPr>
          <w:p w14:paraId="40DD1426" w14:textId="6A20AEE3" w:rsidR="00B51D4A" w:rsidRDefault="00B51D4A" w:rsidP="00721837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Window frames &amp; enclosures</w:t>
            </w:r>
          </w:p>
        </w:tc>
        <w:tc>
          <w:tcPr>
            <w:tcW w:w="6327" w:type="dxa"/>
          </w:tcPr>
          <w:p w14:paraId="6B569621" w14:textId="77777777" w:rsidR="00B51D4A" w:rsidRDefault="00D12116" w:rsidP="00721837">
            <w:pPr>
              <w:pStyle w:val="ListParagraph"/>
              <w:spacing w:before="120" w:after="120"/>
            </w:pPr>
            <w:r>
              <w:t>Wooden sills and enclosures rubbed down, primed, painted white.</w:t>
            </w:r>
          </w:p>
          <w:p w14:paraId="7C5ACF91" w14:textId="5507A5C0" w:rsidR="00D12116" w:rsidRDefault="00D12116" w:rsidP="00721837">
            <w:pPr>
              <w:pStyle w:val="ListParagraph"/>
              <w:spacing w:before="120" w:after="120"/>
            </w:pPr>
            <w:r>
              <w:t>Plastic frames thoroughly cleaned.</w:t>
            </w:r>
          </w:p>
        </w:tc>
      </w:tr>
      <w:tr w:rsidR="00B51D4A" w14:paraId="52C009CB" w14:textId="77777777" w:rsidTr="00B51D4A">
        <w:tc>
          <w:tcPr>
            <w:tcW w:w="2689" w:type="dxa"/>
          </w:tcPr>
          <w:p w14:paraId="69459765" w14:textId="53738CEA" w:rsidR="00B51D4A" w:rsidRDefault="00D12116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Interior d</w:t>
            </w:r>
            <w:r w:rsidR="00B51D4A">
              <w:rPr>
                <w:lang w:val="en-GB"/>
              </w:rPr>
              <w:t>oors</w:t>
            </w:r>
          </w:p>
        </w:tc>
        <w:tc>
          <w:tcPr>
            <w:tcW w:w="6327" w:type="dxa"/>
          </w:tcPr>
          <w:p w14:paraId="2D866BD6" w14:textId="77777777" w:rsidR="00B51D4A" w:rsidRDefault="00D12116" w:rsidP="00721837">
            <w:pPr>
              <w:pStyle w:val="ListParagraph"/>
              <w:spacing w:before="120" w:after="120"/>
            </w:pPr>
            <w:r>
              <w:t>Painted with Ronseal or similar.</w:t>
            </w:r>
          </w:p>
          <w:p w14:paraId="7B7794B9" w14:textId="77777777" w:rsidR="00D12116" w:rsidRDefault="00D12116" w:rsidP="00721837">
            <w:pPr>
              <w:pStyle w:val="ListParagraph"/>
              <w:spacing w:before="120" w:after="120"/>
            </w:pPr>
            <w:r>
              <w:t>Door closers fitted where missing.</w:t>
            </w:r>
          </w:p>
          <w:p w14:paraId="4B44FB05" w14:textId="77777777" w:rsidR="00D12116" w:rsidRDefault="00D12116" w:rsidP="00721837">
            <w:pPr>
              <w:pStyle w:val="ListParagraph"/>
              <w:spacing w:before="120" w:after="120"/>
            </w:pPr>
            <w:r>
              <w:t xml:space="preserve">Doors adjusted, </w:t>
            </w:r>
            <w:r w:rsidR="0096640A">
              <w:t>fixed</w:t>
            </w:r>
            <w:r>
              <w:t xml:space="preserve"> as required.</w:t>
            </w:r>
          </w:p>
          <w:p w14:paraId="2DCDFF18" w14:textId="5A464439" w:rsidR="00465E4D" w:rsidRDefault="00465E4D" w:rsidP="00721837">
            <w:pPr>
              <w:pStyle w:val="ListParagraph"/>
              <w:spacing w:before="120" w:after="120"/>
            </w:pPr>
            <w:r>
              <w:t>Northmost door replaced.</w:t>
            </w:r>
          </w:p>
        </w:tc>
      </w:tr>
      <w:tr w:rsidR="00B51D4A" w14:paraId="1C63192D" w14:textId="77777777" w:rsidTr="00B51D4A">
        <w:tc>
          <w:tcPr>
            <w:tcW w:w="2689" w:type="dxa"/>
          </w:tcPr>
          <w:p w14:paraId="705FAD94" w14:textId="3A4283FF" w:rsidR="00B51D4A" w:rsidRDefault="00B51D4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Radiators</w:t>
            </w:r>
          </w:p>
        </w:tc>
        <w:tc>
          <w:tcPr>
            <w:tcW w:w="6327" w:type="dxa"/>
          </w:tcPr>
          <w:p w14:paraId="28D6A2F4" w14:textId="77777777" w:rsidR="00B51D4A" w:rsidRDefault="00D12116" w:rsidP="00721837">
            <w:pPr>
              <w:pStyle w:val="ListParagraph"/>
              <w:spacing w:before="120" w:after="120"/>
            </w:pPr>
            <w:r>
              <w:t>Rubbed down</w:t>
            </w:r>
            <w:r w:rsidR="0096640A">
              <w:t>, primed, painted to match the two new radiators.</w:t>
            </w:r>
          </w:p>
          <w:p w14:paraId="2192EB8C" w14:textId="74604653" w:rsidR="0096640A" w:rsidRDefault="0096640A" w:rsidP="00721837">
            <w:pPr>
              <w:pStyle w:val="ListParagraph"/>
              <w:spacing w:before="120" w:after="120"/>
            </w:pPr>
            <w:r>
              <w:t>Pipes painted same colour as wall.</w:t>
            </w:r>
          </w:p>
        </w:tc>
      </w:tr>
      <w:tr w:rsidR="00B51D4A" w14:paraId="034D4732" w14:textId="77777777" w:rsidTr="00B51D4A">
        <w:tc>
          <w:tcPr>
            <w:tcW w:w="2689" w:type="dxa"/>
          </w:tcPr>
          <w:p w14:paraId="4B7E8670" w14:textId="48CAF9EB" w:rsidR="00B51D4A" w:rsidRDefault="00B51D4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Floor</w:t>
            </w:r>
          </w:p>
        </w:tc>
        <w:tc>
          <w:tcPr>
            <w:tcW w:w="6327" w:type="dxa"/>
          </w:tcPr>
          <w:p w14:paraId="07ECF4F7" w14:textId="77777777" w:rsidR="0096640A" w:rsidRDefault="0096640A" w:rsidP="00721837">
            <w:pPr>
              <w:pStyle w:val="ListParagraph"/>
              <w:spacing w:before="120" w:after="120"/>
            </w:pPr>
            <w:r>
              <w:t>Deep cleaned.</w:t>
            </w:r>
          </w:p>
          <w:p w14:paraId="031092E8" w14:textId="77777777" w:rsidR="0096640A" w:rsidRDefault="0096640A" w:rsidP="00721837">
            <w:pPr>
              <w:pStyle w:val="ListParagraph"/>
              <w:spacing w:before="120" w:after="120"/>
            </w:pPr>
            <w:r>
              <w:t>Re-grouted where necessary.</w:t>
            </w:r>
          </w:p>
          <w:p w14:paraId="4FF84A75" w14:textId="74AFF6F8" w:rsidR="0096640A" w:rsidRDefault="0096640A" w:rsidP="00721837">
            <w:pPr>
              <w:pStyle w:val="ListParagraph"/>
              <w:spacing w:before="120" w:after="120"/>
            </w:pPr>
            <w:r>
              <w:t>Door mat replaced.</w:t>
            </w:r>
          </w:p>
        </w:tc>
      </w:tr>
      <w:tr w:rsidR="00D12116" w14:paraId="7235CF90" w14:textId="77777777" w:rsidTr="00B51D4A">
        <w:tc>
          <w:tcPr>
            <w:tcW w:w="2689" w:type="dxa"/>
          </w:tcPr>
          <w:p w14:paraId="7217BCA6" w14:textId="090CDCFC" w:rsidR="00D12116" w:rsidRDefault="00D12116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Electrics</w:t>
            </w:r>
          </w:p>
        </w:tc>
        <w:tc>
          <w:tcPr>
            <w:tcW w:w="6327" w:type="dxa"/>
          </w:tcPr>
          <w:p w14:paraId="13AD161B" w14:textId="2E757504" w:rsidR="00D12116" w:rsidRDefault="00D12116" w:rsidP="00721837">
            <w:pPr>
              <w:pStyle w:val="ListParagraph"/>
              <w:spacing w:before="120" w:after="120"/>
            </w:pPr>
            <w:r>
              <w:t>Lights replaced</w:t>
            </w:r>
            <w:r w:rsidR="003D28C4">
              <w:t xml:space="preserve"> to existing number and dimensions.</w:t>
            </w:r>
          </w:p>
        </w:tc>
      </w:tr>
    </w:tbl>
    <w:p w14:paraId="5852E1E4" w14:textId="2BDA4DED" w:rsidR="00B51D4A" w:rsidRDefault="00B51D4A" w:rsidP="00B51D4A">
      <w:pPr>
        <w:rPr>
          <w:lang w:val="en-GB"/>
        </w:rPr>
      </w:pPr>
    </w:p>
    <w:p w14:paraId="518963AB" w14:textId="77777777" w:rsidR="00721837" w:rsidRDefault="0072183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51D4A" w:rsidRPr="00B51D4A" w14:paraId="6D871223" w14:textId="77777777" w:rsidTr="00806057">
        <w:trPr>
          <w:cantSplit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312A66A" w14:textId="0739DABE" w:rsidR="00B51D4A" w:rsidRPr="00B51D4A" w:rsidRDefault="00B51D4A" w:rsidP="00721837">
            <w:pPr>
              <w:spacing w:before="120" w:after="120"/>
              <w:rPr>
                <w:b/>
                <w:bCs/>
                <w:lang w:val="en-GB"/>
              </w:rPr>
            </w:pPr>
            <w:r w:rsidRPr="00B51D4A">
              <w:rPr>
                <w:b/>
                <w:bCs/>
                <w:lang w:val="en-GB"/>
              </w:rPr>
              <w:lastRenderedPageBreak/>
              <w:t>Kitchen</w:t>
            </w:r>
            <w:r w:rsidR="0096640A">
              <w:rPr>
                <w:b/>
                <w:bCs/>
                <w:lang w:val="en-GB"/>
              </w:rPr>
              <w:t xml:space="preserve"> (excluding walk-in cupboard)</w:t>
            </w:r>
          </w:p>
        </w:tc>
      </w:tr>
      <w:tr w:rsidR="0096640A" w14:paraId="04474C3F" w14:textId="77777777" w:rsidTr="009A4FBB">
        <w:trPr>
          <w:cantSplit/>
        </w:trPr>
        <w:tc>
          <w:tcPr>
            <w:tcW w:w="2689" w:type="dxa"/>
          </w:tcPr>
          <w:p w14:paraId="71CFBC8D" w14:textId="77777777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Fittings</w:t>
            </w:r>
          </w:p>
        </w:tc>
        <w:tc>
          <w:tcPr>
            <w:tcW w:w="6327" w:type="dxa"/>
          </w:tcPr>
          <w:p w14:paraId="1E747140" w14:textId="77777777" w:rsidR="0096640A" w:rsidRDefault="0096640A" w:rsidP="00721837">
            <w:pPr>
              <w:pStyle w:val="ListParagraph"/>
              <w:spacing w:before="120" w:after="120"/>
            </w:pPr>
            <w:r>
              <w:t>All existing fittings removed and stored in changing rooms.</w:t>
            </w:r>
          </w:p>
          <w:p w14:paraId="65F4E114" w14:textId="77777777" w:rsidR="0096640A" w:rsidRDefault="0096640A" w:rsidP="00721837">
            <w:pPr>
              <w:pStyle w:val="ListParagraph"/>
              <w:spacing w:before="120" w:after="120"/>
            </w:pPr>
            <w:r>
              <w:t>Any wall attachments removed and stored in changing rooms.</w:t>
            </w:r>
          </w:p>
          <w:p w14:paraId="49816688" w14:textId="37561FE4" w:rsidR="005B6AAD" w:rsidRPr="0096640A" w:rsidRDefault="00415DCF" w:rsidP="00721837">
            <w:pPr>
              <w:pStyle w:val="ListParagraph"/>
              <w:spacing w:before="120" w:after="120"/>
            </w:pPr>
            <w:r>
              <w:t>N</w:t>
            </w:r>
            <w:r w:rsidR="005B6AAD" w:rsidRPr="00EA2E81">
              <w:t xml:space="preserve">ew industrial cooker </w:t>
            </w:r>
            <w:r w:rsidR="009457AF">
              <w:t>(</w:t>
            </w:r>
            <w:r w:rsidR="00843B25">
              <w:t xml:space="preserve">&lt;600mm width) </w:t>
            </w:r>
            <w:r w:rsidR="005B6AAD" w:rsidRPr="00EA2E81">
              <w:t xml:space="preserve">installed including oven and </w:t>
            </w:r>
            <w:r w:rsidR="0027567B">
              <w:t>four gas</w:t>
            </w:r>
            <w:r w:rsidR="00DD3DD2" w:rsidRPr="00EA2E81">
              <w:t xml:space="preserve"> </w:t>
            </w:r>
            <w:r w:rsidR="005B6AAD" w:rsidRPr="00EA2E81">
              <w:t>stove tops</w:t>
            </w:r>
            <w:r w:rsidR="000F055B">
              <w:t xml:space="preserve">, to be placed </w:t>
            </w:r>
            <w:r w:rsidR="00E0727C">
              <w:t xml:space="preserve">on south wall. </w:t>
            </w:r>
            <w:r w:rsidR="00617162" w:rsidRPr="00EA2E81">
              <w:t>Adequate gas and electricity supply</w:t>
            </w:r>
            <w:r w:rsidR="00E0727C">
              <w:t>.</w:t>
            </w:r>
          </w:p>
        </w:tc>
      </w:tr>
      <w:tr w:rsidR="0096640A" w14:paraId="6208C244" w14:textId="77777777" w:rsidTr="009A4FBB">
        <w:trPr>
          <w:cantSplit/>
        </w:trPr>
        <w:tc>
          <w:tcPr>
            <w:tcW w:w="2689" w:type="dxa"/>
          </w:tcPr>
          <w:p w14:paraId="0AA8DAC3" w14:textId="3510440B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Cabinets (</w:t>
            </w:r>
            <w:proofErr w:type="spellStart"/>
            <w:r>
              <w:rPr>
                <w:lang w:val="en-GB"/>
              </w:rPr>
              <w:t>incl</w:t>
            </w:r>
            <w:proofErr w:type="spellEnd"/>
            <w:r>
              <w:rPr>
                <w:lang w:val="en-GB"/>
              </w:rPr>
              <w:t xml:space="preserve"> sink)</w:t>
            </w:r>
          </w:p>
        </w:tc>
        <w:tc>
          <w:tcPr>
            <w:tcW w:w="6327" w:type="dxa"/>
          </w:tcPr>
          <w:p w14:paraId="4E9979D0" w14:textId="77777777" w:rsidR="0096640A" w:rsidRDefault="0096640A" w:rsidP="00721837">
            <w:pPr>
              <w:pStyle w:val="ListParagraph"/>
              <w:spacing w:before="120" w:after="120"/>
            </w:pPr>
            <w:r>
              <w:t>Existing units and sink removed</w:t>
            </w:r>
            <w:r w:rsidR="00CC4732">
              <w:t>.</w:t>
            </w:r>
          </w:p>
          <w:p w14:paraId="1A66793A" w14:textId="075820B6" w:rsidR="00CC4732" w:rsidRDefault="00CC4732" w:rsidP="00721837">
            <w:pPr>
              <w:pStyle w:val="ListParagraph"/>
              <w:spacing w:before="120" w:after="120"/>
            </w:pPr>
            <w:r>
              <w:t>New kitchen units installed</w:t>
            </w:r>
            <w:r w:rsidR="00A46EBE">
              <w:t xml:space="preserve">: </w:t>
            </w:r>
            <w:r w:rsidR="00573650">
              <w:t>two</w:t>
            </w:r>
            <w:r w:rsidR="00A46EBE">
              <w:t xml:space="preserve"> overhead 5</w:t>
            </w:r>
            <w:r w:rsidR="00843B25">
              <w:t>0</w:t>
            </w:r>
            <w:r w:rsidR="00A46EBE">
              <w:t>0mm units</w:t>
            </w:r>
            <w:r w:rsidR="00573650">
              <w:t xml:space="preserve"> (north wall)</w:t>
            </w:r>
            <w:r w:rsidR="00A46EBE">
              <w:t xml:space="preserve">; </w:t>
            </w:r>
            <w:r w:rsidR="00573650">
              <w:t>two</w:t>
            </w:r>
            <w:r w:rsidR="00A46EBE">
              <w:t xml:space="preserve"> overhead</w:t>
            </w:r>
            <w:r w:rsidR="00B46F2A">
              <w:t xml:space="preserve"> 50</w:t>
            </w:r>
            <w:r w:rsidR="00843B25">
              <w:t>0</w:t>
            </w:r>
            <w:r w:rsidR="00B46F2A">
              <w:t>mm unit</w:t>
            </w:r>
            <w:r w:rsidR="00573650">
              <w:t>s (south wall</w:t>
            </w:r>
            <w:r w:rsidR="00AE41F3">
              <w:t xml:space="preserve">, to right of </w:t>
            </w:r>
            <w:r w:rsidR="00D758A3">
              <w:t>central pipe</w:t>
            </w:r>
            <w:r w:rsidR="00573650">
              <w:t>)</w:t>
            </w:r>
            <w:r w:rsidR="00B46F2A">
              <w:t xml:space="preserve">; </w:t>
            </w:r>
            <w:r w:rsidR="00607ED9" w:rsidRPr="00EA2E81">
              <w:t>two 60</w:t>
            </w:r>
            <w:r w:rsidR="00843B25">
              <w:t>0</w:t>
            </w:r>
            <w:r w:rsidR="00607ED9" w:rsidRPr="00EA2E81">
              <w:t>mm units</w:t>
            </w:r>
            <w:r w:rsidR="00511501" w:rsidRPr="00EA2E81">
              <w:t xml:space="preserve"> (south wal</w:t>
            </w:r>
            <w:r w:rsidR="00AD630D">
              <w:t>l)</w:t>
            </w:r>
            <w:r w:rsidR="00FC3435">
              <w:t>; new units and sink/drainer (east wall) to meet units on north wall</w:t>
            </w:r>
            <w:r w:rsidR="00AD3E03">
              <w:t>.</w:t>
            </w:r>
            <w:r w:rsidR="00843B25">
              <w:t xml:space="preserve"> </w:t>
            </w:r>
            <w:r w:rsidR="00C133D5">
              <w:t>Cabinet doors to be smooth with built in handles and easy to clean.</w:t>
            </w:r>
            <w:r w:rsidR="0094414B">
              <w:t xml:space="preserve"> Cabinets from Howden</w:t>
            </w:r>
            <w:r w:rsidR="009301EA">
              <w:t xml:space="preserve">s or </w:t>
            </w:r>
            <w:proofErr w:type="spellStart"/>
            <w:r w:rsidR="009301EA">
              <w:t>Benchmarx</w:t>
            </w:r>
            <w:proofErr w:type="spellEnd"/>
            <w:r w:rsidR="009301EA">
              <w:t xml:space="preserve"> onl</w:t>
            </w:r>
            <w:r w:rsidR="0005014B">
              <w:t>y.</w:t>
            </w:r>
          </w:p>
          <w:p w14:paraId="0ADD2CB5" w14:textId="48FE575A" w:rsidR="00F67047" w:rsidRDefault="00F67047" w:rsidP="00721837">
            <w:pPr>
              <w:pStyle w:val="ListParagraph"/>
              <w:spacing w:before="120" w:after="120"/>
            </w:pPr>
            <w:r>
              <w:t>Work surfaces on all floor units.</w:t>
            </w:r>
          </w:p>
        </w:tc>
      </w:tr>
      <w:tr w:rsidR="0096640A" w14:paraId="73A469F0" w14:textId="77777777" w:rsidTr="009A4FBB">
        <w:trPr>
          <w:cantSplit/>
        </w:trPr>
        <w:tc>
          <w:tcPr>
            <w:tcW w:w="2689" w:type="dxa"/>
          </w:tcPr>
          <w:p w14:paraId="3E44C263" w14:textId="77777777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Ceiling</w:t>
            </w:r>
          </w:p>
        </w:tc>
        <w:tc>
          <w:tcPr>
            <w:tcW w:w="6327" w:type="dxa"/>
          </w:tcPr>
          <w:p w14:paraId="2C6FC886" w14:textId="4DA9DEC5" w:rsidR="0096640A" w:rsidRDefault="00BF4D60" w:rsidP="00721837">
            <w:pPr>
              <w:pStyle w:val="ListParagraph"/>
              <w:spacing w:before="120" w:after="120"/>
            </w:pPr>
            <w:r>
              <w:t>Whole ceiling recovered with plasterboard and skimmed</w:t>
            </w:r>
            <w:r w:rsidR="0096640A">
              <w:t>.</w:t>
            </w:r>
          </w:p>
          <w:p w14:paraId="6EE21DF6" w14:textId="20DEE54B" w:rsidR="0096640A" w:rsidRDefault="0096640A" w:rsidP="00721837">
            <w:pPr>
              <w:pStyle w:val="ListParagraph"/>
              <w:spacing w:before="120" w:after="120"/>
            </w:pPr>
            <w:r>
              <w:t>Painted with minimum 2 coats, brilliant white, good quality paint (Dulux or Crown).</w:t>
            </w:r>
          </w:p>
        </w:tc>
      </w:tr>
      <w:tr w:rsidR="0096640A" w14:paraId="7F484571" w14:textId="77777777" w:rsidTr="009A4FBB">
        <w:trPr>
          <w:cantSplit/>
        </w:trPr>
        <w:tc>
          <w:tcPr>
            <w:tcW w:w="2689" w:type="dxa"/>
          </w:tcPr>
          <w:p w14:paraId="05811AE5" w14:textId="77777777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Walls</w:t>
            </w:r>
          </w:p>
        </w:tc>
        <w:tc>
          <w:tcPr>
            <w:tcW w:w="6327" w:type="dxa"/>
          </w:tcPr>
          <w:p w14:paraId="55C95FFD" w14:textId="3BDC36E4" w:rsidR="0096640A" w:rsidRDefault="0096640A" w:rsidP="00721837">
            <w:pPr>
              <w:pStyle w:val="ListParagraph"/>
              <w:spacing w:before="120" w:after="120"/>
            </w:pPr>
            <w:r>
              <w:t xml:space="preserve">Damage </w:t>
            </w:r>
            <w:proofErr w:type="gramStart"/>
            <w:r>
              <w:t>repaired,</w:t>
            </w:r>
            <w:proofErr w:type="gramEnd"/>
            <w:r>
              <w:t xml:space="preserve"> holes filled.</w:t>
            </w:r>
          </w:p>
          <w:p w14:paraId="0A32927C" w14:textId="12104F2F" w:rsidR="0096640A" w:rsidRDefault="0096640A" w:rsidP="00721837">
            <w:pPr>
              <w:pStyle w:val="ListParagraph"/>
              <w:spacing w:before="120" w:after="120"/>
            </w:pPr>
            <w:r>
              <w:t>Tiles around sink area removed</w:t>
            </w:r>
            <w:r w:rsidR="00AD3E03">
              <w:t>.</w:t>
            </w:r>
          </w:p>
          <w:p w14:paraId="16BA7274" w14:textId="773E6C7F" w:rsidR="00AD3E03" w:rsidRDefault="00AD3E03" w:rsidP="00721837">
            <w:pPr>
              <w:pStyle w:val="ListParagraph"/>
              <w:spacing w:before="120" w:after="120"/>
            </w:pPr>
            <w:r>
              <w:t>New white tiles above all work surfaces to height of bottom of overhead units.</w:t>
            </w:r>
          </w:p>
          <w:p w14:paraId="44F17CA9" w14:textId="220F386D" w:rsidR="0096640A" w:rsidRDefault="0096640A" w:rsidP="00721837">
            <w:pPr>
              <w:pStyle w:val="ListParagraph"/>
              <w:spacing w:before="120" w:after="120"/>
            </w:pPr>
            <w:r>
              <w:t>Painted with minimum 2 coats, good quality, durable, washable, matt finish paint (Dulux or Crown) – off white, neutral colour.</w:t>
            </w:r>
          </w:p>
        </w:tc>
      </w:tr>
      <w:tr w:rsidR="0096640A" w14:paraId="555B2AB1" w14:textId="77777777" w:rsidTr="009A4FBB">
        <w:trPr>
          <w:cantSplit/>
        </w:trPr>
        <w:tc>
          <w:tcPr>
            <w:tcW w:w="2689" w:type="dxa"/>
          </w:tcPr>
          <w:p w14:paraId="129D0F64" w14:textId="7CD19B18" w:rsidR="0096640A" w:rsidRDefault="0096640A" w:rsidP="00721837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Window frame &amp; enclosure</w:t>
            </w:r>
          </w:p>
        </w:tc>
        <w:tc>
          <w:tcPr>
            <w:tcW w:w="6327" w:type="dxa"/>
          </w:tcPr>
          <w:p w14:paraId="0BD08914" w14:textId="77777777" w:rsidR="0096640A" w:rsidRDefault="0096640A" w:rsidP="00721837">
            <w:pPr>
              <w:pStyle w:val="ListParagraph"/>
              <w:spacing w:before="120" w:after="120"/>
            </w:pPr>
            <w:r>
              <w:t>Wooden sills and enclosures rubbed down, primed, painted white.</w:t>
            </w:r>
          </w:p>
          <w:p w14:paraId="2E64353D" w14:textId="5A27768B" w:rsidR="0096640A" w:rsidRDefault="0096640A" w:rsidP="00721837">
            <w:pPr>
              <w:pStyle w:val="ListParagraph"/>
              <w:spacing w:before="120" w:after="120"/>
            </w:pPr>
            <w:r>
              <w:t>Plastic frames thoroughly cleaned.</w:t>
            </w:r>
          </w:p>
        </w:tc>
      </w:tr>
      <w:tr w:rsidR="0096640A" w14:paraId="39648FA7" w14:textId="77777777" w:rsidTr="009A4FBB">
        <w:trPr>
          <w:cantSplit/>
        </w:trPr>
        <w:tc>
          <w:tcPr>
            <w:tcW w:w="2689" w:type="dxa"/>
          </w:tcPr>
          <w:p w14:paraId="2581B7B9" w14:textId="3753C78E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Interior doors</w:t>
            </w:r>
          </w:p>
        </w:tc>
        <w:tc>
          <w:tcPr>
            <w:tcW w:w="6327" w:type="dxa"/>
          </w:tcPr>
          <w:p w14:paraId="3960EB87" w14:textId="77777777" w:rsidR="0096640A" w:rsidRDefault="0096640A" w:rsidP="00721837">
            <w:pPr>
              <w:pStyle w:val="ListParagraph"/>
              <w:spacing w:before="120" w:after="120"/>
            </w:pPr>
            <w:r>
              <w:t>Painted with Ronseal or similar.</w:t>
            </w:r>
          </w:p>
          <w:p w14:paraId="7C71EB80" w14:textId="665B5769" w:rsidR="0096640A" w:rsidRDefault="0096640A" w:rsidP="00721837">
            <w:pPr>
              <w:pStyle w:val="ListParagraph"/>
              <w:spacing w:before="120" w:after="120"/>
            </w:pPr>
            <w:r>
              <w:t>Door closers fitted where missing.</w:t>
            </w:r>
          </w:p>
        </w:tc>
      </w:tr>
      <w:tr w:rsidR="0096640A" w14:paraId="50CCFCC0" w14:textId="77777777" w:rsidTr="009A4FBB">
        <w:trPr>
          <w:cantSplit/>
        </w:trPr>
        <w:tc>
          <w:tcPr>
            <w:tcW w:w="2689" w:type="dxa"/>
          </w:tcPr>
          <w:p w14:paraId="10919A73" w14:textId="77777777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Floor</w:t>
            </w:r>
          </w:p>
        </w:tc>
        <w:tc>
          <w:tcPr>
            <w:tcW w:w="6327" w:type="dxa"/>
          </w:tcPr>
          <w:p w14:paraId="759D5110" w14:textId="77777777" w:rsidR="0096640A" w:rsidRDefault="0096640A" w:rsidP="00721837">
            <w:pPr>
              <w:pStyle w:val="ListParagraph"/>
              <w:spacing w:before="120" w:after="120"/>
            </w:pPr>
            <w:r>
              <w:t>Deep cleaned.</w:t>
            </w:r>
          </w:p>
          <w:p w14:paraId="3CDEF796" w14:textId="61ADBABA" w:rsidR="0096640A" w:rsidRDefault="0096640A" w:rsidP="00721837">
            <w:pPr>
              <w:pStyle w:val="ListParagraph"/>
              <w:spacing w:before="120" w:after="120"/>
            </w:pPr>
            <w:r>
              <w:t>Re-grouted where necessary.</w:t>
            </w:r>
          </w:p>
        </w:tc>
      </w:tr>
      <w:tr w:rsidR="0096640A" w14:paraId="6426244B" w14:textId="77777777" w:rsidTr="009A4FBB">
        <w:trPr>
          <w:cantSplit/>
        </w:trPr>
        <w:tc>
          <w:tcPr>
            <w:tcW w:w="2689" w:type="dxa"/>
          </w:tcPr>
          <w:p w14:paraId="754C33CE" w14:textId="25DC8369" w:rsidR="0096640A" w:rsidRDefault="0096640A" w:rsidP="007218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Electrics</w:t>
            </w:r>
          </w:p>
        </w:tc>
        <w:tc>
          <w:tcPr>
            <w:tcW w:w="6327" w:type="dxa"/>
          </w:tcPr>
          <w:p w14:paraId="0A6E1152" w14:textId="344E03B1" w:rsidR="0096640A" w:rsidRDefault="0096640A" w:rsidP="00721837">
            <w:pPr>
              <w:pStyle w:val="ListParagraph"/>
              <w:spacing w:before="120" w:after="120"/>
            </w:pPr>
            <w:r>
              <w:t>Lights replaced</w:t>
            </w:r>
            <w:r w:rsidR="003D28C4">
              <w:t>.</w:t>
            </w:r>
          </w:p>
          <w:p w14:paraId="076C6332" w14:textId="385C7F1B" w:rsidR="0096640A" w:rsidRDefault="0096640A" w:rsidP="00721837">
            <w:pPr>
              <w:pStyle w:val="ListParagraph"/>
              <w:spacing w:before="120" w:after="120"/>
            </w:pPr>
            <w:r>
              <w:t xml:space="preserve">Extension electrical socket </w:t>
            </w:r>
            <w:r w:rsidR="00AF7F52">
              <w:t>(</w:t>
            </w:r>
            <w:r w:rsidR="003D28C4">
              <w:t xml:space="preserve">two sockets) </w:t>
            </w:r>
            <w:r>
              <w:t>to supply refrigerator.</w:t>
            </w:r>
          </w:p>
        </w:tc>
      </w:tr>
      <w:tr w:rsidR="0081723A" w14:paraId="174213B6" w14:textId="77777777" w:rsidTr="0042322E">
        <w:trPr>
          <w:cantSplit/>
        </w:trPr>
        <w:tc>
          <w:tcPr>
            <w:tcW w:w="9016" w:type="dxa"/>
            <w:gridSpan w:val="2"/>
          </w:tcPr>
          <w:p w14:paraId="37321450" w14:textId="42B6E973" w:rsidR="0081723A" w:rsidRDefault="0081723A" w:rsidP="00721837">
            <w:pPr>
              <w:pStyle w:val="ListParagraph"/>
              <w:spacing w:before="120" w:after="120"/>
            </w:pPr>
            <w:r>
              <w:lastRenderedPageBreak/>
              <w:t xml:space="preserve">All </w:t>
            </w:r>
            <w:r w:rsidR="00BB28DF">
              <w:t xml:space="preserve">fixtures and </w:t>
            </w:r>
            <w:r>
              <w:t>fittings to comply with relevant commercial kitchens regulations.</w:t>
            </w:r>
          </w:p>
        </w:tc>
      </w:tr>
    </w:tbl>
    <w:p w14:paraId="75DC5853" w14:textId="7E124AA9" w:rsidR="00AA24CC" w:rsidRDefault="00AA24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A556A" w:rsidRPr="00B51D4A" w14:paraId="1F12BDD5" w14:textId="77777777" w:rsidTr="00675A53">
        <w:trPr>
          <w:cantSplit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04788854" w14:textId="54C3C7FF" w:rsidR="00DA556A" w:rsidRPr="00B51D4A" w:rsidRDefault="00DA556A" w:rsidP="00675A53">
            <w:pPr>
              <w:spacing w:before="120" w:after="12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Contractor’s recommendations</w:t>
            </w:r>
          </w:p>
        </w:tc>
      </w:tr>
      <w:tr w:rsidR="00DA556A" w14:paraId="04229060" w14:textId="77777777" w:rsidTr="008E4EE3">
        <w:trPr>
          <w:cantSplit/>
          <w:trHeight w:val="12019"/>
        </w:trPr>
        <w:tc>
          <w:tcPr>
            <w:tcW w:w="2689" w:type="dxa"/>
          </w:tcPr>
          <w:p w14:paraId="2D095A83" w14:textId="2E9AE78A" w:rsidR="00DA556A" w:rsidRDefault="00DA556A" w:rsidP="00DA556A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Any recommendations respecting the above</w:t>
            </w:r>
          </w:p>
        </w:tc>
        <w:tc>
          <w:tcPr>
            <w:tcW w:w="6327" w:type="dxa"/>
          </w:tcPr>
          <w:p w14:paraId="2A39BD5E" w14:textId="79EFBB3F" w:rsidR="00DA556A" w:rsidRPr="0096640A" w:rsidRDefault="00DA556A" w:rsidP="00DA556A">
            <w:pPr>
              <w:spacing w:before="120" w:after="120"/>
              <w:ind w:left="461" w:hanging="360"/>
            </w:pPr>
          </w:p>
        </w:tc>
      </w:tr>
    </w:tbl>
    <w:p w14:paraId="723F60FC" w14:textId="77777777" w:rsidR="00DA556A" w:rsidRPr="00B51D4A" w:rsidRDefault="00DA556A" w:rsidP="00B51D4A">
      <w:pPr>
        <w:rPr>
          <w:lang w:val="en-GB"/>
        </w:rPr>
      </w:pPr>
    </w:p>
    <w:sectPr w:rsidR="00DA556A" w:rsidRPr="00B51D4A" w:rsidSect="009A4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ED055" w14:textId="77777777" w:rsidR="0064168F" w:rsidRDefault="0064168F" w:rsidP="002B03E7">
      <w:pPr>
        <w:spacing w:before="0"/>
      </w:pPr>
      <w:r>
        <w:separator/>
      </w:r>
    </w:p>
  </w:endnote>
  <w:endnote w:type="continuationSeparator" w:id="0">
    <w:p w14:paraId="11A957F4" w14:textId="77777777" w:rsidR="0064168F" w:rsidRDefault="0064168F" w:rsidP="002B03E7">
      <w:pPr>
        <w:spacing w:before="0"/>
      </w:pPr>
      <w:r>
        <w:continuationSeparator/>
      </w:r>
    </w:p>
  </w:endnote>
  <w:endnote w:type="continuationNotice" w:id="1">
    <w:p w14:paraId="075ABE44" w14:textId="77777777" w:rsidR="00646DBB" w:rsidRDefault="00646D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FA82F" w14:textId="77777777" w:rsidR="009E6B1D" w:rsidRDefault="009E6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D47A" w14:textId="77777777" w:rsidR="009E6B1D" w:rsidRDefault="009E6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357E6" w14:textId="77777777" w:rsidR="009E6B1D" w:rsidRDefault="009E6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1A83" w14:textId="77777777" w:rsidR="0064168F" w:rsidRDefault="0064168F" w:rsidP="002B03E7">
      <w:pPr>
        <w:spacing w:before="0"/>
      </w:pPr>
      <w:r>
        <w:separator/>
      </w:r>
    </w:p>
  </w:footnote>
  <w:footnote w:type="continuationSeparator" w:id="0">
    <w:p w14:paraId="466E3A08" w14:textId="77777777" w:rsidR="0064168F" w:rsidRDefault="0064168F" w:rsidP="002B03E7">
      <w:pPr>
        <w:spacing w:before="0"/>
      </w:pPr>
      <w:r>
        <w:continuationSeparator/>
      </w:r>
    </w:p>
  </w:footnote>
  <w:footnote w:type="continuationNotice" w:id="1">
    <w:p w14:paraId="423B4A1F" w14:textId="77777777" w:rsidR="00646DBB" w:rsidRDefault="00646DB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5D9A" w14:textId="586A7726" w:rsidR="009E6B1D" w:rsidRDefault="00ED3113">
    <w:pPr>
      <w:pStyle w:val="Header"/>
    </w:pPr>
    <w:r>
      <w:rPr>
        <w:noProof/>
      </w:rPr>
      <w:pict w14:anchorId="3AA49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616126" o:spid="_x0000_s2050" type="#_x0000_t136" style="position:absolute;left:0;text-align:left;margin-left:0;margin-top:0;width:454.5pt;height:181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82CC" w14:textId="1B3D70F8" w:rsidR="009E6B1D" w:rsidRDefault="00ED3113">
    <w:pPr>
      <w:pStyle w:val="Header"/>
    </w:pPr>
    <w:r>
      <w:rPr>
        <w:noProof/>
      </w:rPr>
      <w:pict w14:anchorId="76FB2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616127" o:spid="_x0000_s2051" type="#_x0000_t136" style="position:absolute;left:0;text-align:left;margin-left:0;margin-top:0;width:454.5pt;height:181.8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6CBA4" w14:textId="5620AEDF" w:rsidR="009A4FBB" w:rsidRDefault="00ED3113" w:rsidP="009A4FBB">
    <w:pPr>
      <w:pStyle w:val="TPCHeader1"/>
    </w:pPr>
    <w:r>
      <w:rPr>
        <w:noProof/>
      </w:rPr>
      <w:pict w14:anchorId="6FE598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616125" o:spid="_x0000_s2049" type="#_x0000_t136" style="position:absolute;left:0;text-align:left;margin-left:0;margin-top:0;width:454.5pt;height:181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&quot;;font-size:1pt" string="DRAFT"/>
          <w10:wrap anchorx="margin" anchory="margin"/>
        </v:shape>
      </w:pict>
    </w:r>
    <w:r w:rsidR="009A4FBB">
      <w:rPr>
        <w:noProof/>
      </w:rPr>
      <w:drawing>
        <wp:anchor distT="0" distB="0" distL="114300" distR="114300" simplePos="0" relativeHeight="251658240" behindDoc="1" locked="0" layoutInCell="1" allowOverlap="1" wp14:anchorId="66B0EAD9" wp14:editId="2C2E780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01700" cy="805180"/>
          <wp:effectExtent l="0" t="0" r="0" b="0"/>
          <wp:wrapTight wrapText="bothSides">
            <wp:wrapPolygon edited="0">
              <wp:start x="0" y="0"/>
              <wp:lineTo x="0" y="20953"/>
              <wp:lineTo x="20992" y="20953"/>
              <wp:lineTo x="2099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9" t="15311" r="13692" b="25806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FBB">
      <w:t>THEALE PARISH COUNCIL</w:t>
    </w:r>
  </w:p>
  <w:p w14:paraId="36AF0561" w14:textId="77777777" w:rsidR="009A4FBB" w:rsidRDefault="009A4FBB" w:rsidP="009A4FBB">
    <w:pPr>
      <w:pStyle w:val="TPCHeader2"/>
    </w:pPr>
    <w:r>
      <w:t>Parish Office, The Pavilion, Englefield Road, Theale, Reading, RG7 5AS</w:t>
    </w:r>
  </w:p>
  <w:p w14:paraId="736E39EB" w14:textId="77777777" w:rsidR="009A4FBB" w:rsidRDefault="009A4FBB" w:rsidP="009A4FBB">
    <w:pPr>
      <w:pStyle w:val="TPCHeader3"/>
    </w:pPr>
    <w:r>
      <w:t>Telephone: 0118 9306592 – E-mail: enquiries@thealeparishcouncil.gov.uk</w:t>
    </w:r>
    <w:r>
      <w:tab/>
    </w:r>
  </w:p>
  <w:p w14:paraId="05208CD5" w14:textId="77777777" w:rsidR="009A4FBB" w:rsidRDefault="009A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26698"/>
    <w:multiLevelType w:val="hybridMultilevel"/>
    <w:tmpl w:val="5B02BCCE"/>
    <w:lvl w:ilvl="0" w:tplc="C75C95F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D758B"/>
    <w:multiLevelType w:val="multilevel"/>
    <w:tmpl w:val="28023E04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TPClist"/>
      <w:lvlText w:val="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E7"/>
    <w:rsid w:val="0005014B"/>
    <w:rsid w:val="000E6645"/>
    <w:rsid w:val="000F055B"/>
    <w:rsid w:val="001E32D6"/>
    <w:rsid w:val="00211D80"/>
    <w:rsid w:val="0027567B"/>
    <w:rsid w:val="002B03E7"/>
    <w:rsid w:val="002E7299"/>
    <w:rsid w:val="003D1C12"/>
    <w:rsid w:val="003D28C4"/>
    <w:rsid w:val="00415DCF"/>
    <w:rsid w:val="00465E4D"/>
    <w:rsid w:val="004E251D"/>
    <w:rsid w:val="00511501"/>
    <w:rsid w:val="00573650"/>
    <w:rsid w:val="005B6AAD"/>
    <w:rsid w:val="00607ED9"/>
    <w:rsid w:val="00617162"/>
    <w:rsid w:val="00625804"/>
    <w:rsid w:val="00627D57"/>
    <w:rsid w:val="0064168F"/>
    <w:rsid w:val="00646DBB"/>
    <w:rsid w:val="00721837"/>
    <w:rsid w:val="00806057"/>
    <w:rsid w:val="0081723A"/>
    <w:rsid w:val="00840755"/>
    <w:rsid w:val="00843B25"/>
    <w:rsid w:val="0086146B"/>
    <w:rsid w:val="008755C9"/>
    <w:rsid w:val="00890094"/>
    <w:rsid w:val="008C6C62"/>
    <w:rsid w:val="008E4EE3"/>
    <w:rsid w:val="009301EA"/>
    <w:rsid w:val="0094414B"/>
    <w:rsid w:val="009457AF"/>
    <w:rsid w:val="0096640A"/>
    <w:rsid w:val="009A4FBB"/>
    <w:rsid w:val="009E6B1D"/>
    <w:rsid w:val="00A46EBE"/>
    <w:rsid w:val="00AA24CC"/>
    <w:rsid w:val="00AC0F6B"/>
    <w:rsid w:val="00AD3E03"/>
    <w:rsid w:val="00AD630D"/>
    <w:rsid w:val="00AE41F3"/>
    <w:rsid w:val="00AF7F52"/>
    <w:rsid w:val="00B46F2A"/>
    <w:rsid w:val="00B51D4A"/>
    <w:rsid w:val="00BB28DF"/>
    <w:rsid w:val="00BC3B8B"/>
    <w:rsid w:val="00BE2308"/>
    <w:rsid w:val="00BF05F5"/>
    <w:rsid w:val="00BF4D60"/>
    <w:rsid w:val="00C133D5"/>
    <w:rsid w:val="00CC4732"/>
    <w:rsid w:val="00CD1BC2"/>
    <w:rsid w:val="00D12116"/>
    <w:rsid w:val="00D758A3"/>
    <w:rsid w:val="00DA556A"/>
    <w:rsid w:val="00DD3DD2"/>
    <w:rsid w:val="00E025B0"/>
    <w:rsid w:val="00E0727C"/>
    <w:rsid w:val="00EA24E9"/>
    <w:rsid w:val="00EA2E81"/>
    <w:rsid w:val="00F67047"/>
    <w:rsid w:val="00FC2AA4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7322F1"/>
  <w15:chartTrackingRefBased/>
  <w15:docId w15:val="{B9BB1170-5F2C-46FA-B8E5-500D5CF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6A"/>
    <w:pPr>
      <w:spacing w:after="0"/>
      <w:jc w:val="both"/>
    </w:pPr>
    <w:rPr>
      <w:rFonts w:ascii="Arial Nova" w:hAnsi="Arial Nova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1BC2"/>
    <w:pPr>
      <w:keepNext/>
      <w:spacing w:before="240"/>
      <w:ind w:left="680" w:hanging="68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D1BC2"/>
    <w:pPr>
      <w:keepNext/>
      <w:ind w:left="680" w:hanging="68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D1BC2"/>
    <w:pPr>
      <w:keepNext/>
      <w:keepLines/>
      <w:ind w:left="680" w:hanging="68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D1BC2"/>
    <w:pPr>
      <w:keepNext/>
      <w:keepLines/>
      <w:spacing w:before="40"/>
      <w:ind w:left="680" w:hanging="68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1BC2"/>
    <w:pPr>
      <w:keepNext/>
      <w:keepLines/>
      <w:spacing w:before="40"/>
      <w:ind w:left="680" w:hanging="68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1BC2"/>
    <w:pPr>
      <w:keepNext/>
      <w:keepLines/>
      <w:spacing w:before="40"/>
      <w:ind w:left="680" w:hanging="68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1BC2"/>
    <w:pPr>
      <w:keepNext/>
      <w:keepLines/>
      <w:spacing w:before="40"/>
      <w:ind w:left="680" w:hanging="68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D1BC2"/>
    <w:pPr>
      <w:keepNext/>
      <w:keepLines/>
      <w:spacing w:before="40"/>
      <w:ind w:left="680" w:hanging="68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1BC2"/>
    <w:pPr>
      <w:keepNext/>
      <w:keepLines/>
      <w:spacing w:before="40"/>
      <w:ind w:left="680" w:hanging="6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REVIEW">
    <w:name w:val="POLICY REVIEW"/>
    <w:qFormat/>
    <w:rsid w:val="00CD1BC2"/>
    <w:pPr>
      <w:spacing w:before="80" w:after="80"/>
    </w:pPr>
    <w:rPr>
      <w:rFonts w:ascii="Arial Nova" w:hAnsi="Arial Nova"/>
      <w:szCs w:val="18"/>
    </w:rPr>
  </w:style>
  <w:style w:type="paragraph" w:styleId="Title">
    <w:name w:val="Title"/>
    <w:basedOn w:val="Normal"/>
    <w:next w:val="Normal"/>
    <w:link w:val="TitleChar"/>
    <w:qFormat/>
    <w:rsid w:val="00CD1BC2"/>
    <w:rPr>
      <w:rFonts w:asciiTheme="majorHAnsi" w:eastAsiaTheme="majorEastAsia" w:hAnsiTheme="majorHAnsi" w:cstheme="majorHAnsi"/>
      <w:b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CD1BC2"/>
    <w:rPr>
      <w:rFonts w:asciiTheme="majorHAnsi" w:eastAsiaTheme="majorEastAsia" w:hAnsiTheme="majorHAnsi" w:cstheme="majorHAnsi"/>
      <w:b/>
      <w:sz w:val="48"/>
      <w:szCs w:val="52"/>
      <w:lang w:val="en-US"/>
    </w:rPr>
  </w:style>
  <w:style w:type="paragraph" w:customStyle="1" w:styleId="THEALEPARISHCOUNCIL">
    <w:name w:val="THEALE PARISH COUNCIL"/>
    <w:qFormat/>
    <w:rsid w:val="00CD1BC2"/>
    <w:pPr>
      <w:spacing w:before="0"/>
    </w:pPr>
    <w:rPr>
      <w:rFonts w:ascii="Arial" w:hAnsi="Arial"/>
      <w:b/>
      <w:noProof/>
      <w:color w:val="7F7F7F"/>
      <w:sz w:val="36"/>
      <w:szCs w:val="16"/>
    </w:rPr>
  </w:style>
  <w:style w:type="paragraph" w:customStyle="1" w:styleId="Style1">
    <w:name w:val="Style1"/>
    <w:basedOn w:val="THEALEPARISHCOUNCIL"/>
    <w:qFormat/>
    <w:rsid w:val="00CD1BC2"/>
    <w:rPr>
      <w:b w:val="0"/>
      <w:sz w:val="22"/>
    </w:rPr>
  </w:style>
  <w:style w:type="paragraph" w:customStyle="1" w:styleId="Style2">
    <w:name w:val="Style2"/>
    <w:basedOn w:val="THEALEPARISHCOUNCIL"/>
    <w:qFormat/>
    <w:rsid w:val="00CD1BC2"/>
    <w:rPr>
      <w:b w:val="0"/>
      <w:sz w:val="18"/>
    </w:rPr>
  </w:style>
  <w:style w:type="character" w:customStyle="1" w:styleId="Heading1Char">
    <w:name w:val="Heading 1 Char"/>
    <w:link w:val="Heading1"/>
    <w:rsid w:val="00CD1BC2"/>
    <w:rPr>
      <w:rFonts w:ascii="Calibri Light" w:eastAsiaTheme="majorEastAsia" w:hAnsi="Calibri Light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CD1BC2"/>
    <w:rPr>
      <w:rFonts w:ascii="Calibri Light" w:eastAsiaTheme="majorEastAsia" w:hAnsi="Calibri Light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D1BC2"/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CD1BC2"/>
    <w:rPr>
      <w:rFonts w:asciiTheme="majorHAnsi" w:eastAsiaTheme="majorEastAsia" w:hAnsiTheme="majorHAnsi" w:cstheme="majorBidi"/>
      <w:i/>
      <w:iCs/>
      <w:color w:val="A5A5A5" w:themeColor="accent1" w:themeShade="BF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CD1BC2"/>
    <w:rPr>
      <w:rFonts w:asciiTheme="majorHAnsi" w:eastAsiaTheme="majorEastAsia" w:hAnsiTheme="majorHAnsi" w:cstheme="majorBidi"/>
      <w:color w:val="A5A5A5" w:themeColor="accent1" w:themeShade="BF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CD1BC2"/>
    <w:rPr>
      <w:rFonts w:asciiTheme="majorHAnsi" w:eastAsiaTheme="majorEastAsia" w:hAnsiTheme="majorHAnsi" w:cstheme="majorBidi"/>
      <w:color w:val="6E6E6E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CD1BC2"/>
    <w:rPr>
      <w:rFonts w:asciiTheme="majorHAnsi" w:eastAsiaTheme="majorEastAsia" w:hAnsiTheme="majorHAnsi" w:cstheme="majorBidi"/>
      <w:i/>
      <w:iCs/>
      <w:color w:val="6E6E6E" w:themeColor="accent1" w:themeShade="7F"/>
      <w:sz w:val="22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CD1B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CD1B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CD1BC2"/>
    <w:pPr>
      <w:spacing w:before="0" w:after="200"/>
      <w:ind w:left="680" w:hanging="680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Title"/>
    <w:next w:val="Normal"/>
    <w:link w:val="SubtitleChar"/>
    <w:qFormat/>
    <w:rsid w:val="00B51D4A"/>
    <w:pPr>
      <w:spacing w:before="0" w:after="120"/>
      <w:jc w:val="left"/>
    </w:pPr>
    <w:rPr>
      <w:b w:val="0"/>
      <w:bCs/>
      <w:sz w:val="32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rsid w:val="00B51D4A"/>
    <w:rPr>
      <w:rFonts w:asciiTheme="majorHAnsi" w:eastAsiaTheme="majorEastAsia" w:hAnsiTheme="majorHAnsi" w:cstheme="majorHAnsi"/>
      <w:bCs/>
      <w:sz w:val="32"/>
      <w:szCs w:val="36"/>
    </w:rPr>
  </w:style>
  <w:style w:type="character" w:styleId="Strong">
    <w:name w:val="Strong"/>
    <w:basedOn w:val="DefaultParagraphFont"/>
    <w:qFormat/>
    <w:rsid w:val="00CD1BC2"/>
    <w:rPr>
      <w:b/>
      <w:bCs/>
    </w:rPr>
  </w:style>
  <w:style w:type="character" w:styleId="Emphasis">
    <w:name w:val="Emphasis"/>
    <w:basedOn w:val="DefaultParagraphFont"/>
    <w:rsid w:val="00BE2308"/>
    <w:rPr>
      <w:i/>
      <w:iCs/>
    </w:rPr>
  </w:style>
  <w:style w:type="paragraph" w:styleId="NoSpacing">
    <w:name w:val="No Spacing"/>
    <w:uiPriority w:val="1"/>
    <w:qFormat/>
    <w:rsid w:val="00CD1BC2"/>
    <w:pPr>
      <w:spacing w:before="0" w:after="0"/>
    </w:pPr>
    <w:rPr>
      <w:rFonts w:ascii="Arial Nova" w:hAnsi="Arial Nova"/>
      <w:sz w:val="22"/>
    </w:rPr>
  </w:style>
  <w:style w:type="paragraph" w:styleId="ListParagraph">
    <w:name w:val="List Paragraph"/>
    <w:basedOn w:val="Normal"/>
    <w:uiPriority w:val="34"/>
    <w:qFormat/>
    <w:rsid w:val="00B51D4A"/>
    <w:pPr>
      <w:numPr>
        <w:numId w:val="4"/>
      </w:numPr>
      <w:spacing w:before="0"/>
      <w:ind w:left="461"/>
      <w:jc w:val="left"/>
    </w:pPr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D1BC2"/>
    <w:pPr>
      <w:spacing w:before="200" w:after="160"/>
      <w:ind w:left="864" w:right="864" w:hanging="68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BC2"/>
    <w:rPr>
      <w:rFonts w:ascii="Arial Nova" w:hAnsi="Arial Nova"/>
      <w:i/>
      <w:iCs/>
      <w:color w:val="404040" w:themeColor="text1" w:themeTint="BF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BC2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hanging="680"/>
      <w:jc w:val="center"/>
    </w:pPr>
    <w:rPr>
      <w:rFonts w:eastAsiaTheme="majorEastAsia" w:cstheme="majorBidi"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BC2"/>
    <w:rPr>
      <w:rFonts w:ascii="Arial Nova" w:eastAsiaTheme="majorEastAsia" w:hAnsi="Arial Nova" w:cstheme="majorBidi"/>
      <w:i/>
      <w:iCs/>
      <w:color w:val="DDDDDD" w:themeColor="accent1"/>
      <w:sz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CD1B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1BC2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CD1BC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D1BC2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D1BC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BC2"/>
    <w:pPr>
      <w:keepLines/>
      <w:outlineLvl w:val="9"/>
    </w:pPr>
    <w:rPr>
      <w:rFonts w:asciiTheme="majorHAnsi" w:hAnsiTheme="majorHAnsi"/>
      <w:b w:val="0"/>
      <w:bCs w:val="0"/>
      <w:color w:val="A5A5A5" w:themeColor="accent1" w:themeShade="BF"/>
      <w:kern w:val="0"/>
    </w:rPr>
  </w:style>
  <w:style w:type="paragraph" w:customStyle="1" w:styleId="TPCHeader1">
    <w:name w:val="TPC Header 1"/>
    <w:qFormat/>
    <w:rsid w:val="00CD1BC2"/>
    <w:pPr>
      <w:spacing w:before="0" w:after="0"/>
      <w:ind w:left="680" w:hanging="680"/>
    </w:pPr>
    <w:rPr>
      <w:rFonts w:ascii="Arial" w:hAnsi="Arial"/>
      <w:b/>
      <w:color w:val="7F7F7F"/>
      <w:sz w:val="36"/>
      <w:szCs w:val="16"/>
    </w:rPr>
  </w:style>
  <w:style w:type="paragraph" w:customStyle="1" w:styleId="TPCHeader2">
    <w:name w:val="TPC Header 2"/>
    <w:basedOn w:val="TPCHeader1"/>
    <w:qFormat/>
    <w:rsid w:val="00CD1BC2"/>
    <w:pPr>
      <w:spacing w:before="80" w:after="80"/>
    </w:pPr>
    <w:rPr>
      <w:b w:val="0"/>
      <w:sz w:val="22"/>
    </w:rPr>
  </w:style>
  <w:style w:type="paragraph" w:customStyle="1" w:styleId="TPCHeader3">
    <w:name w:val="TPC Header 3"/>
    <w:basedOn w:val="TPCHeader2"/>
    <w:qFormat/>
    <w:rsid w:val="00CD1BC2"/>
    <w:rPr>
      <w:sz w:val="18"/>
    </w:rPr>
  </w:style>
  <w:style w:type="paragraph" w:customStyle="1" w:styleId="TPClist">
    <w:name w:val="TPC list"/>
    <w:basedOn w:val="List"/>
    <w:qFormat/>
    <w:rsid w:val="00CD1BC2"/>
    <w:pPr>
      <w:numPr>
        <w:ilvl w:val="3"/>
        <w:numId w:val="3"/>
      </w:numPr>
      <w:contextualSpacing w:val="0"/>
    </w:pPr>
  </w:style>
  <w:style w:type="paragraph" w:styleId="List">
    <w:name w:val="List"/>
    <w:basedOn w:val="Normal"/>
    <w:uiPriority w:val="99"/>
    <w:semiHidden/>
    <w:unhideWhenUsed/>
    <w:rsid w:val="00CD1BC2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E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B03E7"/>
    <w:rPr>
      <w:rFonts w:ascii="Arial Nova" w:hAnsi="Arial Nova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03E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B03E7"/>
    <w:rPr>
      <w:rFonts w:ascii="Arial Nova" w:hAnsi="Arial Nova"/>
      <w:sz w:val="22"/>
      <w:lang w:val="en-US"/>
    </w:rPr>
  </w:style>
  <w:style w:type="table" w:styleId="TableGrid">
    <w:name w:val="Table Grid"/>
    <w:basedOn w:val="TableNormal"/>
    <w:uiPriority w:val="39"/>
    <w:rsid w:val="00B51D4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E0EFFE493CE4B9F328D63AA228F7D" ma:contentTypeVersion="13" ma:contentTypeDescription="Create a new document." ma:contentTypeScope="" ma:versionID="bffe72eb346099edf05f1f7dc574bf91">
  <xsd:schema xmlns:xsd="http://www.w3.org/2001/XMLSchema" xmlns:xs="http://www.w3.org/2001/XMLSchema" xmlns:p="http://schemas.microsoft.com/office/2006/metadata/properties" xmlns:ns3="a98dd98c-61c4-43a9-aec6-0031a9cb218d" xmlns:ns4="e5ee9f9a-192b-4bf6-9b0f-147ef716aae8" targetNamespace="http://schemas.microsoft.com/office/2006/metadata/properties" ma:root="true" ma:fieldsID="eb25475db134b3ef430e839c7f2d2548" ns3:_="" ns4:_="">
    <xsd:import namespace="a98dd98c-61c4-43a9-aec6-0031a9cb218d"/>
    <xsd:import namespace="e5ee9f9a-192b-4bf6-9b0f-147ef716aa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d98c-61c4-43a9-aec6-0031a9cb2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e9f9a-192b-4bf6-9b0f-147ef716a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1F519-F255-4ED3-99AA-C51F19C6B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14717-D7CD-4792-AF28-25EAC5C1A332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e5ee9f9a-192b-4bf6-9b0f-147ef716aae8"/>
    <ds:schemaRef ds:uri="http://schemas.microsoft.com/office/2006/documentManagement/types"/>
    <ds:schemaRef ds:uri="a98dd98c-61c4-43a9-aec6-0031a9cb218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EF4B3F-9636-46A0-8131-B357F4489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dd98c-61c4-43a9-aec6-0031a9cb218d"/>
    <ds:schemaRef ds:uri="e5ee9f9a-192b-4bf6-9b0f-147ef716a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Manley</dc:creator>
  <cp:keywords/>
  <dc:description/>
  <cp:lastModifiedBy>Enquiries</cp:lastModifiedBy>
  <cp:revision>2</cp:revision>
  <cp:lastPrinted>2020-07-22T13:30:00Z</cp:lastPrinted>
  <dcterms:created xsi:type="dcterms:W3CDTF">2020-07-30T07:29:00Z</dcterms:created>
  <dcterms:modified xsi:type="dcterms:W3CDTF">2020-07-30T07:29:00Z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0x010100638E0EFFE493CE4B9F328D63AA228F7D</vt:lpwstr>
  </property>
</Properties>
</file>