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2F62A3B4"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830114" w:rsidRPr="00830114">
        <w:t>RSSB2627 - IMP-RCM Implementation case study for the T1010 XIRCM toolkit</w:t>
      </w:r>
    </w:p>
    <w:p w14:paraId="367CB7EE" w14:textId="73683531" w:rsidR="00E52B87" w:rsidRPr="00E52B87" w:rsidRDefault="00E52B87" w:rsidP="00E52B87">
      <w:pPr>
        <w:pStyle w:val="CoverTitle"/>
      </w:pPr>
    </w:p>
    <w:p w14:paraId="69A8EB25" w14:textId="43E1E157" w:rsidR="00E52B87" w:rsidRPr="00E52B87" w:rsidRDefault="00E52B87" w:rsidP="00E52B87">
      <w:pPr>
        <w:pStyle w:val="CoverSubTitle"/>
      </w:pPr>
      <w:r w:rsidRPr="00E52B87">
        <w:t xml:space="preserve">Deadline: </w:t>
      </w:r>
      <w:r w:rsidR="005356EB">
        <w:t xml:space="preserve">Friday </w:t>
      </w:r>
      <w:r w:rsidR="00F64D0D">
        <w:t>22</w:t>
      </w:r>
      <w:r w:rsidR="00F64D0D" w:rsidRPr="00F64D0D">
        <w:rPr>
          <w:vertAlign w:val="superscript"/>
        </w:rPr>
        <w:t>nd</w:t>
      </w:r>
      <w:r w:rsidR="00036276">
        <w:t xml:space="preserve"> September</w:t>
      </w:r>
      <w:r w:rsidR="006D1C93">
        <w:t xml:space="preserve"> </w:t>
      </w:r>
      <w:r w:rsidR="002A7571">
        <w:t>201</w:t>
      </w:r>
      <w:r w:rsidR="00833C7A">
        <w:t>7</w:t>
      </w:r>
      <w:r w:rsidRPr="00E52B87">
        <w:t xml:space="preserve"> </w:t>
      </w:r>
    </w:p>
    <w:p w14:paraId="1051D870" w14:textId="2ACE051A" w:rsidR="00E52B87" w:rsidRPr="00E52B87" w:rsidRDefault="00E52B87" w:rsidP="00E52B87">
      <w:pPr>
        <w:pStyle w:val="CoverSubTitle"/>
      </w:pPr>
      <w:r w:rsidRPr="00E52B87">
        <w:t xml:space="preserve">ITT Reference: </w:t>
      </w:r>
      <w:r w:rsidR="0095659E">
        <w:t xml:space="preserve"> </w:t>
      </w:r>
      <w:r w:rsidR="00830114" w:rsidRPr="00830114">
        <w:t>RSSB2627 - IMP-RCM Implementation case study for the T1010 XIRCM toolkit</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973C45" w14:paraId="023E1417" w14:textId="77777777" w:rsidTr="00973C45">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E3B512A" w14:textId="77777777" w:rsidR="00973C45" w:rsidRDefault="00973C45">
            <w:pPr>
              <w:spacing w:before="120" w:after="120"/>
              <w:rPr>
                <w:rFonts w:ascii="Calibri" w:hAnsi="Calibri" w:cs="Calibri"/>
                <w:b/>
                <w:bCs/>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4A5A881" w14:textId="77777777" w:rsidR="00973C45" w:rsidRDefault="00973C45">
            <w:pPr>
              <w:spacing w:before="120" w:after="120"/>
              <w:jc w:val="center"/>
              <w:rPr>
                <w:b/>
                <w:bCs/>
              </w:rPr>
            </w:pPr>
            <w:r>
              <w:rPr>
                <w:b/>
                <w:bCs/>
              </w:rPr>
              <w:t>Start Date</w:t>
            </w:r>
          </w:p>
        </w:tc>
      </w:tr>
      <w:tr w:rsidR="00973C45" w14:paraId="0EC44672" w14:textId="77777777" w:rsidTr="00973C4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9564D0" w14:textId="77777777" w:rsidR="00973C45" w:rsidRDefault="00973C45">
            <w:pPr>
              <w:spacing w:before="120" w:after="120"/>
              <w:jc w:val="both"/>
            </w:pPr>
            <w:r>
              <w:t xml:space="preserve">Expression of interest meeting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58494AB7" w14:textId="2C42FDCD" w:rsidR="00973C45" w:rsidRDefault="00973C45">
            <w:pPr>
              <w:spacing w:before="120" w:after="120"/>
            </w:pPr>
          </w:p>
        </w:tc>
      </w:tr>
      <w:tr w:rsidR="00973C45" w14:paraId="20EE06B7" w14:textId="77777777" w:rsidTr="00973C4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ACF2F79" w14:textId="77777777" w:rsidR="00973C45" w:rsidRDefault="00973C45">
            <w:pPr>
              <w:spacing w:before="120" w:after="120"/>
              <w:jc w:val="both"/>
            </w:pPr>
            <w:r>
              <w:t>RFP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95D074E" w14:textId="77777777" w:rsidR="00973C45" w:rsidRDefault="00973C45">
            <w:pPr>
              <w:spacing w:before="120" w:after="120"/>
            </w:pPr>
            <w:r>
              <w:t>21 08 2017</w:t>
            </w:r>
          </w:p>
        </w:tc>
      </w:tr>
      <w:tr w:rsidR="00973C45" w14:paraId="0EED5659" w14:textId="77777777" w:rsidTr="00973C45">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68469FA" w14:textId="77777777" w:rsidR="00973C45" w:rsidRDefault="00973C45">
            <w:pPr>
              <w:spacing w:before="120" w:after="120"/>
              <w:jc w:val="both"/>
            </w:pPr>
            <w: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00E29150" w14:textId="77777777" w:rsidR="00973C45" w:rsidRDefault="00973C45">
            <w:pPr>
              <w:spacing w:before="120" w:after="120"/>
            </w:pPr>
            <w:r>
              <w:t>15 09 2017; 17:00 hours</w:t>
            </w:r>
          </w:p>
        </w:tc>
      </w:tr>
      <w:tr w:rsidR="00973C45" w14:paraId="67BD0804" w14:textId="77777777" w:rsidTr="00973C45">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2165539" w14:textId="77777777" w:rsidR="00973C45" w:rsidRDefault="00973C45">
            <w:pPr>
              <w:spacing w:before="120" w:after="120"/>
              <w:jc w:val="both"/>
              <w:rPr>
                <w:b/>
                <w:bCs/>
                <w:color w:val="FF0000"/>
              </w:rPr>
            </w:pPr>
            <w:r>
              <w:rPr>
                <w:b/>
                <w:bCs/>
                <w:color w:val="FF0000"/>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DD03639" w14:textId="77777777" w:rsidR="00973C45" w:rsidRDefault="00973C45">
            <w:pPr>
              <w:spacing w:before="120" w:after="120"/>
              <w:rPr>
                <w:b/>
                <w:bCs/>
                <w:color w:val="FF0000"/>
              </w:rPr>
            </w:pPr>
            <w:r>
              <w:rPr>
                <w:b/>
                <w:bCs/>
                <w:color w:val="FF0000"/>
              </w:rPr>
              <w:t>22 09 2017; 17:00 hours</w:t>
            </w:r>
          </w:p>
        </w:tc>
      </w:tr>
      <w:tr w:rsidR="00973C45" w14:paraId="21028724" w14:textId="77777777" w:rsidTr="00973C45">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9E95D17" w14:textId="77777777" w:rsidR="00973C45" w:rsidRDefault="00973C45">
            <w:pPr>
              <w:spacing w:before="120" w:after="120"/>
              <w:jc w:val="both"/>
            </w:pPr>
            <w:r>
              <w:t xml:space="preserve">Post Tender Clarification  &amp; Evaluation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8A51AD0" w14:textId="77777777" w:rsidR="00973C45" w:rsidRDefault="00973C45">
            <w:pPr>
              <w:spacing w:before="120" w:after="120"/>
            </w:pPr>
            <w:r>
              <w:t>W/C 25 09 2017</w:t>
            </w:r>
          </w:p>
        </w:tc>
      </w:tr>
      <w:tr w:rsidR="00973C45" w14:paraId="5B00D344" w14:textId="77777777" w:rsidTr="00973C4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90720EE" w14:textId="77777777" w:rsidR="00973C45" w:rsidRDefault="00973C45">
            <w:pPr>
              <w:spacing w:before="120" w:after="120"/>
              <w:jc w:val="both"/>
            </w:pPr>
            <w: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218734C9" w14:textId="77777777" w:rsidR="00973C45" w:rsidRDefault="00973C45">
            <w:pPr>
              <w:spacing w:before="120" w:after="120"/>
            </w:pPr>
            <w:r>
              <w:t>W/C 02 10 2017</w:t>
            </w:r>
          </w:p>
        </w:tc>
      </w:tr>
      <w:tr w:rsidR="00973C45" w14:paraId="7CE951F1" w14:textId="77777777" w:rsidTr="00973C4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9B5C626" w14:textId="77777777" w:rsidR="00973C45" w:rsidRDefault="00973C45">
            <w:pPr>
              <w:spacing w:before="120" w:after="120"/>
              <w:jc w:val="both"/>
            </w:pPr>
            <w: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5D7F6F9A" w14:textId="77777777" w:rsidR="00973C45" w:rsidRDefault="00973C45">
            <w:pPr>
              <w:spacing w:before="120" w:after="120"/>
            </w:pPr>
            <w:r>
              <w:t xml:space="preserve">W/C 09 10 2017 </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bookmarkStart w:id="2" w:name="_GoBack"/>
      <w:bookmarkEnd w:id="2"/>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B2A5CDB" w14:textId="5A7CD796" w:rsidR="00036276" w:rsidRPr="00036276" w:rsidRDefault="000140D4" w:rsidP="00036276">
      <w:pPr>
        <w:pStyle w:val="Heading1"/>
        <w:numPr>
          <w:ilvl w:val="0"/>
          <w:numId w:val="0"/>
        </w:numPr>
      </w:pPr>
      <w:r>
        <w:lastRenderedPageBreak/>
        <w:t xml:space="preserve">7.0 TENDER EVALUATION </w:t>
      </w:r>
      <w:r w:rsidRPr="00E52B87">
        <w:t>(</w:t>
      </w:r>
      <w:r>
        <w:t>SELECTION CRITERIA</w:t>
      </w:r>
      <w:r w:rsidR="00973C45">
        <w:t>)</w:t>
      </w:r>
    </w:p>
    <w:p w14:paraId="0144D30D" w14:textId="0D9F6F33" w:rsidR="006D1C93" w:rsidRDefault="006D1C93" w:rsidP="006D1C93">
      <w:pPr>
        <w:pStyle w:val="Body"/>
      </w:pPr>
    </w:p>
    <w:tbl>
      <w:tblPr>
        <w:tblStyle w:val="TableGrid"/>
        <w:tblW w:w="545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94"/>
        <w:gridCol w:w="4318"/>
        <w:gridCol w:w="8074"/>
      </w:tblGrid>
      <w:tr w:rsidR="00973C45" w:rsidRPr="00A073A1" w14:paraId="0CC6D389" w14:textId="77777777" w:rsidTr="005C6A5B">
        <w:trPr>
          <w:trHeight w:val="876"/>
          <w:tblHeader/>
        </w:trPr>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9F81D2" w14:textId="77777777" w:rsidR="00973C45" w:rsidRPr="00A073A1" w:rsidRDefault="00973C45" w:rsidP="005C6A5B">
            <w:pPr>
              <w:spacing w:after="120" w:line="300" w:lineRule="exact"/>
              <w:rPr>
                <w:rFonts w:asciiTheme="minorHAnsi" w:hAnsiTheme="minorHAnsi" w:cs="Arial"/>
                <w:b/>
              </w:rPr>
            </w:pPr>
            <w:r>
              <w:rPr>
                <w:rFonts w:asciiTheme="minorHAnsi" w:hAnsiTheme="minorHAnsi" w:cs="Arial"/>
                <w:b/>
              </w:rPr>
              <w:lastRenderedPageBreak/>
              <w:t>Heading</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442922" w14:textId="77777777" w:rsidR="00973C45" w:rsidRPr="00A073A1" w:rsidRDefault="00973C45" w:rsidP="005C6A5B">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EAE101" w14:textId="77777777" w:rsidR="00973C45" w:rsidRPr="00A073A1" w:rsidRDefault="00973C45" w:rsidP="005C6A5B">
            <w:pPr>
              <w:spacing w:after="120" w:line="300" w:lineRule="exact"/>
              <w:rPr>
                <w:rFonts w:asciiTheme="minorHAnsi" w:hAnsiTheme="minorHAnsi" w:cs="Arial"/>
                <w:b/>
              </w:rPr>
            </w:pPr>
            <w:r w:rsidRPr="00A073A1">
              <w:rPr>
                <w:rFonts w:asciiTheme="minorHAnsi" w:hAnsiTheme="minorHAnsi" w:cs="Arial"/>
                <w:b/>
              </w:rPr>
              <w:t>Evaluation Criteria</w:t>
            </w:r>
          </w:p>
        </w:tc>
      </w:tr>
      <w:tr w:rsidR="00973C45" w:rsidRPr="00A073A1" w14:paraId="08E009C3" w14:textId="77777777" w:rsidTr="005C6A5B">
        <w:trPr>
          <w:trHeight w:val="2617"/>
          <w:tblHeader/>
        </w:trPr>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ADDF06" w14:textId="77777777" w:rsidR="00973C45" w:rsidRPr="00A073A1" w:rsidRDefault="00973C45" w:rsidP="005C6A5B">
            <w:pPr>
              <w:spacing w:after="120" w:line="300" w:lineRule="exact"/>
              <w:rPr>
                <w:rFonts w:asciiTheme="minorHAnsi" w:hAnsiTheme="minorHAnsi" w:cs="Arial"/>
              </w:rPr>
            </w:pPr>
            <w:r>
              <w:rPr>
                <w:rFonts w:asciiTheme="minorHAnsi" w:hAnsiTheme="minorHAnsi" w:cs="Arial"/>
              </w:rPr>
              <w:t>S1</w:t>
            </w:r>
            <w:r w:rsidRPr="00A073A1">
              <w:rPr>
                <w:rFonts w:asciiTheme="minorHAnsi" w:hAnsiTheme="minorHAnsi" w:cs="Arial"/>
              </w:rPr>
              <w:t xml:space="preserve"> E</w:t>
            </w:r>
            <w:r>
              <w:rPr>
                <w:rFonts w:asciiTheme="minorHAnsi" w:hAnsiTheme="minorHAnsi" w:cs="Arial"/>
              </w:rPr>
              <w:t>xperience of developing a data-sharing architecture</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51C21F" w14:textId="77777777" w:rsidR="00973C45" w:rsidRDefault="00973C45" w:rsidP="005C6A5B">
            <w:pPr>
              <w:spacing w:after="120" w:line="300" w:lineRule="exact"/>
              <w:rPr>
                <w:rFonts w:asciiTheme="minorHAnsi" w:hAnsiTheme="minorHAnsi" w:cs="Arial"/>
              </w:rPr>
            </w:pPr>
            <w:r>
              <w:rPr>
                <w:rFonts w:asciiTheme="minorHAnsi" w:hAnsiTheme="minorHAnsi" w:cs="Arial"/>
              </w:rPr>
              <w:t>Provide a brief description of 2 projects, delivered in the last 2 years, in which you facilitated the development of a data-sharing solution. Provide a concise explanation on why they are relevant to the needs of this project.</w:t>
            </w:r>
          </w:p>
        </w:tc>
        <w:tc>
          <w:tcPr>
            <w:tcW w:w="2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0EA0B" w14:textId="77777777" w:rsidR="00973C45" w:rsidRDefault="00973C45" w:rsidP="005C6A5B">
            <w:pPr>
              <w:spacing w:after="120" w:line="300" w:lineRule="exact"/>
              <w:rPr>
                <w:rFonts w:asciiTheme="minorHAnsi" w:hAnsiTheme="minorHAnsi" w:cs="Arial"/>
              </w:rPr>
            </w:pPr>
            <w:r w:rsidRPr="00A073A1">
              <w:rPr>
                <w:rFonts w:asciiTheme="minorHAnsi" w:hAnsiTheme="minorHAnsi" w:cs="Arial"/>
              </w:rPr>
              <w:t>Pass/Fail</w:t>
            </w:r>
          </w:p>
          <w:p w14:paraId="5C6F661C" w14:textId="77777777" w:rsidR="00973C45" w:rsidRDefault="00973C45" w:rsidP="005C6A5B">
            <w:pPr>
              <w:spacing w:after="120" w:line="300" w:lineRule="exact"/>
              <w:rPr>
                <w:rFonts w:asciiTheme="minorHAnsi" w:hAnsiTheme="minorHAnsi" w:cs="Arial"/>
              </w:rPr>
            </w:pPr>
            <w:r>
              <w:rPr>
                <w:rFonts w:asciiTheme="minorHAnsi" w:hAnsiTheme="minorHAnsi" w:cs="Arial"/>
              </w:rPr>
              <w:t>Pass = The supplier has provided a brief description of a minimum of 2 projects, delivered in the last 2 years, in which the tenderer has facilitated the development of a data-sharing solution. Additionally, the tenderer provides a concise explanation as to why the minimum of 2 projects references are relevant to the needs of this project.</w:t>
            </w:r>
          </w:p>
          <w:p w14:paraId="38AD3044" w14:textId="77777777" w:rsidR="00973C45" w:rsidRDefault="00973C45" w:rsidP="005C6A5B">
            <w:pPr>
              <w:spacing w:after="120" w:line="300" w:lineRule="exact"/>
              <w:rPr>
                <w:rFonts w:asciiTheme="minorHAnsi" w:hAnsiTheme="minorHAnsi" w:cs="Arial"/>
              </w:rPr>
            </w:pPr>
          </w:p>
          <w:p w14:paraId="6721705A" w14:textId="77777777" w:rsidR="00973C45" w:rsidRPr="00A073A1" w:rsidRDefault="00973C45" w:rsidP="005C6A5B">
            <w:pPr>
              <w:spacing w:after="120" w:line="300" w:lineRule="exact"/>
              <w:rPr>
                <w:rFonts w:asciiTheme="minorHAnsi" w:hAnsiTheme="minorHAnsi" w:cs="Arial"/>
              </w:rPr>
            </w:pPr>
            <w:r>
              <w:rPr>
                <w:rFonts w:asciiTheme="minorHAnsi" w:hAnsiTheme="minorHAnsi" w:cs="Arial"/>
              </w:rPr>
              <w:t>Fail = The supplier has not provided a brief description of a minimum of 2 projects, delivered in the last 2 years, in which the tenderer has facilitated the development of data sharing solution or said projects are to RSSB’s satisfaction in terms of quality or the tenderer has not provided a concise explanation as to why and how the referenced projects are relevant to the needs of this project.</w:t>
            </w:r>
          </w:p>
        </w:tc>
      </w:tr>
      <w:tr w:rsidR="00973C45" w:rsidRPr="00A073A1" w14:paraId="7CAE11E3" w14:textId="77777777" w:rsidTr="005C6A5B">
        <w:trPr>
          <w:trHeight w:val="724"/>
          <w:tblHeader/>
        </w:trPr>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E321E2" w14:textId="77777777" w:rsidR="00973C45" w:rsidRPr="00A073A1" w:rsidRDefault="00973C45" w:rsidP="005C6A5B">
            <w:pPr>
              <w:spacing w:after="120" w:line="300" w:lineRule="exact"/>
              <w:rPr>
                <w:rFonts w:asciiTheme="minorHAnsi" w:hAnsiTheme="minorHAnsi" w:cs="Arial"/>
              </w:rPr>
            </w:pPr>
            <w:r>
              <w:rPr>
                <w:rFonts w:asciiTheme="minorHAnsi" w:hAnsiTheme="minorHAnsi" w:cs="Arial"/>
              </w:rPr>
              <w:lastRenderedPageBreak/>
              <w:t>S2</w:t>
            </w:r>
            <w:r w:rsidRPr="00A073A1">
              <w:rPr>
                <w:rFonts w:asciiTheme="minorHAnsi" w:hAnsiTheme="minorHAnsi" w:cs="Arial"/>
              </w:rPr>
              <w:t xml:space="preserve"> Experience </w:t>
            </w:r>
            <w:r>
              <w:rPr>
                <w:rFonts w:asciiTheme="minorHAnsi" w:hAnsiTheme="minorHAnsi" w:cs="Arial"/>
              </w:rPr>
              <w:t>acting as an intermediary between parties</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979CBD" w14:textId="77777777" w:rsidR="00973C45" w:rsidRPr="00A073A1" w:rsidRDefault="00973C45" w:rsidP="005C6A5B">
            <w:pPr>
              <w:spacing w:after="120" w:line="300" w:lineRule="exact"/>
              <w:rPr>
                <w:rFonts w:asciiTheme="minorHAnsi" w:hAnsiTheme="minorHAnsi" w:cs="Arial"/>
              </w:rPr>
            </w:pPr>
            <w:r>
              <w:rPr>
                <w:rFonts w:asciiTheme="minorHAnsi" w:hAnsiTheme="minorHAnsi" w:cs="Arial"/>
              </w:rPr>
              <w:t>Provide a brief description of two</w:t>
            </w:r>
            <w:r w:rsidRPr="00A073A1">
              <w:rPr>
                <w:rFonts w:asciiTheme="minorHAnsi" w:hAnsiTheme="minorHAnsi" w:cs="Arial"/>
              </w:rPr>
              <w:t xml:space="preserve"> projects</w:t>
            </w:r>
            <w:r>
              <w:rPr>
                <w:rFonts w:asciiTheme="minorHAnsi" w:hAnsiTheme="minorHAnsi" w:cs="Arial"/>
              </w:rPr>
              <w:t>, delivered in the last 5 years, in which you helped to mediate a technical solution between 2 parties. Provide a concise explanation on why they are relevant to the needs of this project.</w:t>
            </w:r>
          </w:p>
        </w:tc>
        <w:tc>
          <w:tcPr>
            <w:tcW w:w="2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64DCFE" w14:textId="77777777" w:rsidR="00973C45" w:rsidRDefault="00973C45" w:rsidP="005C6A5B">
            <w:pPr>
              <w:spacing w:after="120" w:line="300" w:lineRule="exact"/>
              <w:rPr>
                <w:rFonts w:asciiTheme="minorHAnsi" w:hAnsiTheme="minorHAnsi" w:cs="Arial"/>
              </w:rPr>
            </w:pPr>
            <w:r w:rsidRPr="00A073A1">
              <w:rPr>
                <w:rFonts w:asciiTheme="minorHAnsi" w:hAnsiTheme="minorHAnsi" w:cs="Arial"/>
              </w:rPr>
              <w:t>Pass/Fail</w:t>
            </w:r>
          </w:p>
          <w:p w14:paraId="0C7EF06A" w14:textId="77777777" w:rsidR="00973C45" w:rsidRDefault="00973C45" w:rsidP="005C6A5B">
            <w:pPr>
              <w:spacing w:after="120" w:line="300" w:lineRule="exact"/>
              <w:rPr>
                <w:rFonts w:asciiTheme="minorHAnsi" w:hAnsiTheme="minorHAnsi" w:cs="Arial"/>
              </w:rPr>
            </w:pPr>
            <w:r>
              <w:rPr>
                <w:rFonts w:asciiTheme="minorHAnsi" w:hAnsiTheme="minorHAnsi" w:cs="Arial"/>
              </w:rPr>
              <w:t>Pass = The supplier has provided a brief description of two projects, delivered in the last 5 years, in which the supplier has helped to mediate a technical solution between two parties and the supplier has provided a concise explanation as to how and why the referenced projects are relevant to the needs of this project.</w:t>
            </w:r>
          </w:p>
          <w:p w14:paraId="7CD9DACF" w14:textId="77777777" w:rsidR="00973C45" w:rsidRDefault="00973C45" w:rsidP="005C6A5B">
            <w:pPr>
              <w:spacing w:after="120" w:line="300" w:lineRule="exact"/>
              <w:rPr>
                <w:rFonts w:asciiTheme="minorHAnsi" w:hAnsiTheme="minorHAnsi" w:cs="Arial"/>
              </w:rPr>
            </w:pPr>
          </w:p>
          <w:p w14:paraId="4CAC4244" w14:textId="77777777" w:rsidR="00973C45" w:rsidRDefault="00973C45" w:rsidP="005C6A5B">
            <w:pPr>
              <w:spacing w:after="120" w:line="300" w:lineRule="exact"/>
              <w:rPr>
                <w:rFonts w:asciiTheme="minorHAnsi" w:hAnsiTheme="minorHAnsi" w:cs="Arial"/>
              </w:rPr>
            </w:pPr>
            <w:r>
              <w:rPr>
                <w:rFonts w:asciiTheme="minorHAnsi" w:hAnsiTheme="minorHAnsi" w:cs="Arial"/>
              </w:rPr>
              <w:t>Fail = The supplier has not provided a brief description of two projects, delivered in the last 5 years, in which the supplier has helped to mediate a technical solution between two parties or the supplier has not provided a concise explanation as to how and why the referenced projects are relevant to the needs of this project or the supplier has not provided two projects of which are a high degree of quality.</w:t>
            </w:r>
          </w:p>
          <w:p w14:paraId="07770957" w14:textId="77777777" w:rsidR="00973C45" w:rsidRPr="00A073A1" w:rsidRDefault="00973C45" w:rsidP="005C6A5B">
            <w:pPr>
              <w:spacing w:after="120" w:line="300" w:lineRule="exact"/>
              <w:rPr>
                <w:rFonts w:asciiTheme="minorHAnsi" w:hAnsiTheme="minorHAnsi" w:cs="Arial"/>
              </w:rPr>
            </w:pPr>
          </w:p>
        </w:tc>
      </w:tr>
      <w:tr w:rsidR="00973C45" w:rsidRPr="00A073A1" w14:paraId="7D2F0A1E" w14:textId="77777777" w:rsidTr="005C6A5B">
        <w:trPr>
          <w:trHeight w:val="724"/>
          <w:tblHeader/>
        </w:trPr>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F13603" w14:textId="77777777" w:rsidR="00973C45" w:rsidRDefault="00973C45" w:rsidP="005C6A5B">
            <w:pPr>
              <w:spacing w:after="120" w:line="300" w:lineRule="exact"/>
              <w:rPr>
                <w:rFonts w:asciiTheme="minorHAnsi" w:hAnsiTheme="minorHAnsi" w:cs="Arial"/>
              </w:rPr>
            </w:pPr>
            <w:r>
              <w:rPr>
                <w:rFonts w:asciiTheme="minorHAnsi" w:hAnsiTheme="minorHAnsi" w:cs="Arial"/>
              </w:rPr>
              <w:t>S3 Experience of working with railway companies</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B1F75F" w14:textId="77777777" w:rsidR="00973C45" w:rsidRDefault="00973C45" w:rsidP="005C6A5B">
            <w:pPr>
              <w:spacing w:after="120" w:line="300" w:lineRule="exact"/>
              <w:rPr>
                <w:rFonts w:asciiTheme="minorHAnsi" w:hAnsiTheme="minorHAnsi" w:cs="Arial"/>
              </w:rPr>
            </w:pPr>
            <w:r>
              <w:rPr>
                <w:rFonts w:asciiTheme="minorHAnsi" w:hAnsiTheme="minorHAnsi" w:cs="Arial"/>
              </w:rPr>
              <w:t>Provide a brief description of 2 projects, delivered over the last 5 years, in which you worked with railway organisations.</w:t>
            </w:r>
          </w:p>
        </w:tc>
        <w:tc>
          <w:tcPr>
            <w:tcW w:w="2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6BA8AB" w14:textId="77777777" w:rsidR="00973C45" w:rsidRDefault="00973C45" w:rsidP="005C6A5B">
            <w:pPr>
              <w:spacing w:after="120" w:line="300" w:lineRule="exact"/>
              <w:rPr>
                <w:rFonts w:asciiTheme="minorHAnsi" w:hAnsiTheme="minorHAnsi" w:cs="Arial"/>
              </w:rPr>
            </w:pPr>
            <w:r>
              <w:rPr>
                <w:rFonts w:asciiTheme="minorHAnsi" w:hAnsiTheme="minorHAnsi" w:cs="Arial"/>
              </w:rPr>
              <w:t>Pass/Fail</w:t>
            </w:r>
          </w:p>
          <w:p w14:paraId="17326198" w14:textId="77777777" w:rsidR="00973C45" w:rsidRDefault="00973C45" w:rsidP="005C6A5B">
            <w:pPr>
              <w:spacing w:after="120" w:line="300" w:lineRule="exact"/>
              <w:rPr>
                <w:rFonts w:asciiTheme="minorHAnsi" w:hAnsiTheme="minorHAnsi" w:cs="Arial"/>
              </w:rPr>
            </w:pPr>
          </w:p>
          <w:p w14:paraId="02D6C3E9" w14:textId="77777777" w:rsidR="00973C45" w:rsidRDefault="00973C45" w:rsidP="005C6A5B">
            <w:pPr>
              <w:spacing w:after="120" w:line="300" w:lineRule="exact"/>
              <w:rPr>
                <w:rFonts w:asciiTheme="minorHAnsi" w:hAnsiTheme="minorHAnsi" w:cs="Arial"/>
              </w:rPr>
            </w:pPr>
            <w:r>
              <w:rPr>
                <w:rFonts w:asciiTheme="minorHAnsi" w:hAnsiTheme="minorHAnsi" w:cs="Arial"/>
              </w:rPr>
              <w:t xml:space="preserve">Pass = The supplier has provided a brief description of 2 projects, delivered over the last 5 years,  in which the supplier details their experience of having worked with railway organisations. </w:t>
            </w:r>
          </w:p>
          <w:p w14:paraId="04268442" w14:textId="77777777" w:rsidR="00973C45" w:rsidRDefault="00973C45" w:rsidP="005C6A5B">
            <w:pPr>
              <w:spacing w:after="120" w:line="300" w:lineRule="exact"/>
              <w:rPr>
                <w:rFonts w:asciiTheme="minorHAnsi" w:hAnsiTheme="minorHAnsi" w:cs="Arial"/>
              </w:rPr>
            </w:pPr>
          </w:p>
          <w:p w14:paraId="54AC9DD0" w14:textId="77777777" w:rsidR="00973C45" w:rsidRPr="00A073A1" w:rsidRDefault="00973C45" w:rsidP="005C6A5B">
            <w:pPr>
              <w:spacing w:after="120" w:line="300" w:lineRule="exact"/>
              <w:rPr>
                <w:rFonts w:asciiTheme="minorHAnsi" w:hAnsiTheme="minorHAnsi" w:cs="Arial"/>
              </w:rPr>
            </w:pPr>
            <w:r>
              <w:rPr>
                <w:rFonts w:asciiTheme="minorHAnsi" w:hAnsiTheme="minorHAnsi" w:cs="Arial"/>
              </w:rPr>
              <w:t xml:space="preserve">Fail = The supplier has not provided a brief description of at least two projects where the supplier demonstrates experienced of having worked with railway organisations or the two referenced projects by the supplier are not go a high degree of quality </w:t>
            </w:r>
          </w:p>
        </w:tc>
      </w:tr>
    </w:tbl>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3672D0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58B5421E" w14:textId="178F26E9" w:rsidR="000140D4" w:rsidRDefault="000140D4" w:rsidP="00E52B87">
      <w:pPr>
        <w:pStyle w:val="Body"/>
        <w:rPr>
          <w:rFonts w:asciiTheme="minorHAnsi" w:hAnsiTheme="minorHAnsi"/>
          <w:b/>
        </w:rPr>
      </w:pP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37"/>
        <w:gridCol w:w="3905"/>
        <w:gridCol w:w="2553"/>
        <w:gridCol w:w="918"/>
      </w:tblGrid>
      <w:tr w:rsidR="00973C45" w:rsidRPr="00A073A1" w14:paraId="3FA38757"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61F684" w14:textId="77777777" w:rsidR="00973C45" w:rsidRPr="00A073A1" w:rsidRDefault="00973C45" w:rsidP="005C6A5B">
            <w:pPr>
              <w:spacing w:after="120" w:line="300" w:lineRule="exact"/>
              <w:rPr>
                <w:rFonts w:asciiTheme="minorHAnsi" w:hAnsiTheme="minorHAnsi" w:cs="Arial"/>
                <w:b/>
              </w:rPr>
            </w:pPr>
            <w:r>
              <w:rPr>
                <w:rFonts w:asciiTheme="minorHAnsi" w:hAnsiTheme="minorHAnsi" w:cs="Arial"/>
                <w:b/>
              </w:rPr>
              <w:t>Heading</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3B2509" w14:textId="77777777" w:rsidR="00973C45" w:rsidRPr="00A073A1" w:rsidRDefault="00973C45" w:rsidP="005C6A5B">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088026" w14:textId="77777777" w:rsidR="00973C45" w:rsidRPr="00A073A1" w:rsidRDefault="00973C45" w:rsidP="005C6A5B">
            <w:pPr>
              <w:spacing w:after="120" w:line="300" w:lineRule="exact"/>
              <w:rPr>
                <w:rFonts w:asciiTheme="minorHAnsi" w:hAnsiTheme="minorHAnsi" w:cs="Arial"/>
                <w:b/>
              </w:rPr>
            </w:pPr>
            <w:r w:rsidRPr="00A073A1">
              <w:rPr>
                <w:rFonts w:asciiTheme="minorHAnsi" w:hAnsiTheme="minorHAnsi" w:cs="Arial"/>
                <w:b/>
              </w:rPr>
              <w:t>Evaluation Criteria</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28D5EC" w14:textId="77777777" w:rsidR="00973C45" w:rsidRPr="00A073A1" w:rsidRDefault="00973C45" w:rsidP="005C6A5B">
            <w:pPr>
              <w:spacing w:after="120" w:line="300" w:lineRule="exact"/>
              <w:rPr>
                <w:rFonts w:asciiTheme="minorHAnsi" w:hAnsiTheme="minorHAnsi" w:cs="Arial"/>
                <w:b/>
              </w:rPr>
            </w:pPr>
            <w:r w:rsidRPr="00A073A1">
              <w:rPr>
                <w:rFonts w:asciiTheme="minorHAnsi" w:hAnsiTheme="minorHAnsi" w:cs="Arial"/>
                <w:b/>
              </w:rPr>
              <w:t xml:space="preserve">Weight </w:t>
            </w:r>
          </w:p>
        </w:tc>
      </w:tr>
      <w:tr w:rsidR="00973C45" w:rsidRPr="00A073A1" w14:paraId="33E02B45"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8BFA48" w14:textId="77777777" w:rsidR="00973C45" w:rsidRPr="00A073A1" w:rsidRDefault="00973C45" w:rsidP="005C6A5B">
            <w:pPr>
              <w:spacing w:after="120" w:line="300" w:lineRule="exact"/>
              <w:rPr>
                <w:rFonts w:asciiTheme="minorHAnsi" w:hAnsiTheme="minorHAnsi" w:cs="Arial"/>
              </w:rPr>
            </w:pPr>
            <w:r w:rsidRPr="00A073A1">
              <w:rPr>
                <w:rFonts w:asciiTheme="minorHAnsi" w:hAnsiTheme="minorHAnsi" w:cs="Arial"/>
              </w:rPr>
              <w:t>A</w:t>
            </w:r>
            <w:r>
              <w:rPr>
                <w:rFonts w:asciiTheme="minorHAnsi" w:hAnsiTheme="minorHAnsi" w:cs="Arial"/>
              </w:rPr>
              <w:t>1</w:t>
            </w:r>
            <w:r w:rsidRPr="00A073A1">
              <w:rPr>
                <w:rFonts w:asciiTheme="minorHAnsi" w:hAnsiTheme="minorHAnsi" w:cs="Arial"/>
              </w:rPr>
              <w:t xml:space="preserve"> Project Delivery</w:t>
            </w:r>
            <w:r>
              <w:rPr>
                <w:rFonts w:asciiTheme="minorHAnsi" w:hAnsiTheme="minorHAnsi" w:cs="Arial"/>
              </w:rPr>
              <w:t>: Resourcing</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0D88A7" w14:textId="77777777" w:rsidR="00973C45" w:rsidRPr="00A073A1" w:rsidRDefault="00973C45" w:rsidP="005C6A5B">
            <w:pPr>
              <w:spacing w:after="120" w:line="300" w:lineRule="exact"/>
              <w:rPr>
                <w:rFonts w:asciiTheme="minorHAnsi" w:hAnsiTheme="minorHAnsi" w:cs="Arial"/>
              </w:rPr>
            </w:pPr>
            <w:r w:rsidRPr="00A073A1">
              <w:rPr>
                <w:rFonts w:asciiTheme="minorHAnsi" w:hAnsiTheme="minorHAnsi" w:cs="Arial"/>
              </w:rPr>
              <w:t>It is not necessary to produce</w:t>
            </w:r>
            <w:r>
              <w:rPr>
                <w:rFonts w:asciiTheme="minorHAnsi" w:hAnsiTheme="minorHAnsi" w:cs="Arial"/>
              </w:rPr>
              <w:t xml:space="preserve"> bespoke CVs but it is important to clearly identify each</w:t>
            </w:r>
            <w:r w:rsidRPr="00A073A1">
              <w:rPr>
                <w:rFonts w:asciiTheme="minorHAnsi" w:hAnsiTheme="minorHAnsi" w:cs="Arial"/>
              </w:rPr>
              <w:t xml:space="preserve"> </w:t>
            </w:r>
            <w:r>
              <w:rPr>
                <w:rFonts w:asciiTheme="minorHAnsi" w:hAnsiTheme="minorHAnsi" w:cs="Arial"/>
              </w:rPr>
              <w:t>t</w:t>
            </w:r>
            <w:r w:rsidRPr="00A073A1">
              <w:rPr>
                <w:rFonts w:asciiTheme="minorHAnsi" w:hAnsiTheme="minorHAnsi" w:cs="Arial"/>
              </w:rPr>
              <w:t>eam member’s role</w:t>
            </w:r>
            <w:r>
              <w:rPr>
                <w:rFonts w:asciiTheme="minorHAnsi" w:hAnsiTheme="minorHAnsi" w:cs="Arial"/>
              </w:rPr>
              <w:t>, their relevant experience,</w:t>
            </w:r>
            <w:r w:rsidRPr="00A073A1">
              <w:rPr>
                <w:rFonts w:asciiTheme="minorHAnsi" w:hAnsiTheme="minorHAnsi" w:cs="Arial"/>
              </w:rPr>
              <w:t xml:space="preserve"> and </w:t>
            </w:r>
            <w:r>
              <w:rPr>
                <w:rFonts w:asciiTheme="minorHAnsi" w:hAnsiTheme="minorHAnsi" w:cs="Arial"/>
              </w:rPr>
              <w:t xml:space="preserve">their </w:t>
            </w:r>
            <w:r w:rsidRPr="00A073A1">
              <w:rPr>
                <w:rFonts w:asciiTheme="minorHAnsi" w:hAnsiTheme="minorHAnsi" w:cs="Arial"/>
              </w:rPr>
              <w:t>contribution</w:t>
            </w:r>
            <w:r>
              <w:rPr>
                <w:rFonts w:asciiTheme="minorHAnsi" w:hAnsiTheme="minorHAnsi" w:cs="Arial"/>
              </w:rPr>
              <w:t xml:space="preserve"> to delivery</w:t>
            </w:r>
            <w:r w:rsidRPr="00A073A1">
              <w:rPr>
                <w:rFonts w:asciiTheme="minorHAnsi" w:hAnsiTheme="minorHAnsi" w:cs="Arial"/>
              </w:rPr>
              <w:t xml:space="preserve">. </w:t>
            </w:r>
          </w:p>
          <w:p w14:paraId="7A40491A" w14:textId="77777777" w:rsidR="00973C45" w:rsidRPr="00A073A1" w:rsidRDefault="00973C45" w:rsidP="005C6A5B">
            <w:pPr>
              <w:spacing w:after="120" w:line="300" w:lineRule="exact"/>
              <w:rPr>
                <w:rFonts w:asciiTheme="minorHAnsi" w:hAnsiTheme="minorHAnsi" w:cs="Arial"/>
              </w:rPr>
            </w:pPr>
            <w:r w:rsidRPr="00A073A1">
              <w:rPr>
                <w:rFonts w:asciiTheme="minorHAnsi" w:hAnsiTheme="minorHAnsi" w:cs="Arial"/>
              </w:rPr>
              <w:t>Provide adequate allocation of appropriate resources against deliverables</w:t>
            </w:r>
            <w:r>
              <w:rPr>
                <w:rFonts w:asciiTheme="minorHAnsi" w:hAnsiTheme="minorHAnsi" w:cs="Arial"/>
              </w:rPr>
              <w:t>.</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173DE" w14:textId="77777777" w:rsidR="00973C45" w:rsidRPr="00955D34" w:rsidRDefault="00973C45" w:rsidP="00973C45">
            <w:pPr>
              <w:pStyle w:val="TableBullet"/>
              <w:ind w:left="170" w:hanging="170"/>
            </w:pPr>
            <w:r w:rsidRPr="00A073A1">
              <w:t>Has identified relevant individuals to deliver the work</w:t>
            </w:r>
            <w:r>
              <w:t xml:space="preserve"> and that t</w:t>
            </w:r>
            <w:r w:rsidRPr="00955D34">
              <w:t>he overall mix of skills cover</w:t>
            </w:r>
            <w:r>
              <w:t>ed</w:t>
            </w:r>
            <w:r w:rsidRPr="00955D34">
              <w:t xml:space="preserve"> </w:t>
            </w:r>
            <w:r>
              <w:t>is adequate</w:t>
            </w:r>
          </w:p>
          <w:p w14:paraId="5D06C438" w14:textId="77777777" w:rsidR="00973C45" w:rsidRDefault="00973C45" w:rsidP="00973C45">
            <w:pPr>
              <w:pStyle w:val="TableBullet"/>
              <w:ind w:left="170" w:hanging="170"/>
            </w:pPr>
            <w:r w:rsidRPr="00A073A1">
              <w:t>Has provided</w:t>
            </w:r>
            <w:r>
              <w:t xml:space="preserve"> </w:t>
            </w:r>
            <w:r w:rsidRPr="00A073A1">
              <w:t>a credible plan for delivering successful outcomes</w:t>
            </w:r>
            <w:r>
              <w:t xml:space="preserve"> to time, quality, and cost criteria</w:t>
            </w:r>
          </w:p>
          <w:p w14:paraId="67A27780" w14:textId="77777777" w:rsidR="00973C45" w:rsidRDefault="00973C45" w:rsidP="00973C45">
            <w:pPr>
              <w:pStyle w:val="TableBullet"/>
              <w:ind w:left="170" w:hanging="170"/>
            </w:pPr>
            <w:r>
              <w:t xml:space="preserve">The tenderers proposed project team is an overall high quality </w:t>
            </w:r>
          </w:p>
          <w:p w14:paraId="5ECF5D90" w14:textId="77777777" w:rsidR="00973C45" w:rsidRDefault="00973C45" w:rsidP="00973C45">
            <w:pPr>
              <w:pStyle w:val="TableBullet"/>
              <w:ind w:left="170" w:hanging="170"/>
            </w:pPr>
            <w:r>
              <w:t>The tenderers proposed project team has skills specific to the requirements of this project</w:t>
            </w:r>
          </w:p>
          <w:p w14:paraId="54454503" w14:textId="77777777" w:rsidR="00973C45" w:rsidRPr="00955D34" w:rsidRDefault="00973C45" w:rsidP="00973C45">
            <w:pPr>
              <w:pStyle w:val="TableBullet"/>
              <w:ind w:left="170" w:hanging="170"/>
            </w:pPr>
            <w:r>
              <w:t>The tenderers proposed project team is  an appropriate mixture of management levels</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756CEB" w14:textId="77777777" w:rsidR="00973C45" w:rsidRPr="00A073A1" w:rsidRDefault="00973C45" w:rsidP="005C6A5B">
            <w:pPr>
              <w:spacing w:after="120" w:line="300" w:lineRule="exact"/>
              <w:rPr>
                <w:rFonts w:asciiTheme="minorHAnsi" w:hAnsiTheme="minorHAnsi" w:cs="Arial"/>
              </w:rPr>
            </w:pPr>
            <w:r>
              <w:rPr>
                <w:rFonts w:asciiTheme="minorHAnsi" w:hAnsiTheme="minorHAnsi" w:cs="Arial"/>
              </w:rPr>
              <w:t>15</w:t>
            </w:r>
            <w:r w:rsidRPr="00A073A1">
              <w:rPr>
                <w:rFonts w:asciiTheme="minorHAnsi" w:hAnsiTheme="minorHAnsi" w:cs="Arial"/>
              </w:rPr>
              <w:t>%</w:t>
            </w:r>
          </w:p>
        </w:tc>
      </w:tr>
      <w:tr w:rsidR="00973C45" w:rsidRPr="00A073A1" w14:paraId="15B72AE3"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E8BCE0" w14:textId="77777777" w:rsidR="00973C45" w:rsidRPr="00A073A1" w:rsidRDefault="00973C45" w:rsidP="005C6A5B">
            <w:pPr>
              <w:spacing w:after="120" w:line="300" w:lineRule="exact"/>
              <w:rPr>
                <w:rFonts w:asciiTheme="minorHAnsi" w:hAnsiTheme="minorHAnsi" w:cs="Arial"/>
              </w:rPr>
            </w:pPr>
            <w:r>
              <w:rPr>
                <w:rFonts w:asciiTheme="minorHAnsi" w:hAnsiTheme="minorHAnsi" w:cs="Arial"/>
              </w:rPr>
              <w:t>A2 Project delivery: Risk management</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A2B54E" w14:textId="77777777" w:rsidR="00973C45" w:rsidRDefault="00973C45" w:rsidP="005C6A5B">
            <w:pPr>
              <w:spacing w:after="120" w:line="300" w:lineRule="exact"/>
              <w:rPr>
                <w:rFonts w:asciiTheme="minorHAnsi" w:hAnsiTheme="minorHAnsi" w:cs="Arial"/>
              </w:rPr>
            </w:pPr>
            <w:r>
              <w:rPr>
                <w:rFonts w:asciiTheme="minorHAnsi" w:hAnsiTheme="minorHAnsi" w:cs="Arial"/>
              </w:rPr>
              <w:t>Please identify any risks associated with delivery of this work and clarify how</w:t>
            </w:r>
            <w:r w:rsidRPr="00A073A1">
              <w:rPr>
                <w:rFonts w:asciiTheme="minorHAnsi" w:hAnsiTheme="minorHAnsi" w:cs="Arial"/>
              </w:rPr>
              <w:t xml:space="preserve"> </w:t>
            </w:r>
            <w:r>
              <w:rPr>
                <w:rFonts w:asciiTheme="minorHAnsi" w:hAnsiTheme="minorHAnsi" w:cs="Arial"/>
              </w:rPr>
              <w:t xml:space="preserve">you </w:t>
            </w:r>
            <w:r w:rsidRPr="00A073A1">
              <w:rPr>
                <w:rFonts w:asciiTheme="minorHAnsi" w:hAnsiTheme="minorHAnsi" w:cs="Arial"/>
              </w:rPr>
              <w:t xml:space="preserve">will manage </w:t>
            </w:r>
            <w:r>
              <w:rPr>
                <w:rFonts w:asciiTheme="minorHAnsi" w:hAnsiTheme="minorHAnsi" w:cs="Arial"/>
              </w:rPr>
              <w:t>these.</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123DE9" w14:textId="77777777" w:rsidR="00973C45" w:rsidRDefault="00973C45" w:rsidP="00973C45">
            <w:pPr>
              <w:pStyle w:val="TableBullet"/>
              <w:ind w:left="170" w:hanging="170"/>
            </w:pPr>
            <w:r>
              <w:t>Proposed risks are specific to this project</w:t>
            </w:r>
          </w:p>
          <w:p w14:paraId="6FDE05E8" w14:textId="77777777" w:rsidR="00973C45" w:rsidRDefault="00973C45" w:rsidP="00973C45">
            <w:pPr>
              <w:pStyle w:val="TableBullet"/>
              <w:ind w:left="170" w:hanging="170"/>
            </w:pPr>
            <w:r>
              <w:t>Proposed mitigation of identified risk is specific to this project</w:t>
            </w:r>
          </w:p>
          <w:p w14:paraId="339595A2" w14:textId="77777777" w:rsidR="00973C45" w:rsidRPr="00A073A1" w:rsidRDefault="00973C45" w:rsidP="00973C45">
            <w:pPr>
              <w:pStyle w:val="TableBullet"/>
              <w:ind w:left="170" w:hanging="170"/>
            </w:pPr>
            <w:r>
              <w:t>The tenderer identifies appropriate ways of managing these risks.</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9A478A" w14:textId="77777777" w:rsidR="00973C45" w:rsidRDefault="00973C45" w:rsidP="005C6A5B">
            <w:pPr>
              <w:spacing w:after="120" w:line="300" w:lineRule="exact"/>
              <w:rPr>
                <w:rFonts w:asciiTheme="minorHAnsi" w:hAnsiTheme="minorHAnsi" w:cs="Arial"/>
              </w:rPr>
            </w:pPr>
            <w:r>
              <w:rPr>
                <w:rFonts w:asciiTheme="minorHAnsi" w:hAnsiTheme="minorHAnsi" w:cs="Arial"/>
              </w:rPr>
              <w:t>10%</w:t>
            </w:r>
          </w:p>
        </w:tc>
      </w:tr>
      <w:tr w:rsidR="00973C45" w:rsidRPr="00A073A1" w14:paraId="25C0830D"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F51152" w14:textId="77777777" w:rsidR="00973C45" w:rsidRDefault="00973C45" w:rsidP="005C6A5B">
            <w:pPr>
              <w:spacing w:after="120" w:line="300" w:lineRule="exact"/>
              <w:rPr>
                <w:rFonts w:asciiTheme="minorHAnsi" w:hAnsiTheme="minorHAnsi" w:cs="Arial"/>
              </w:rPr>
            </w:pPr>
            <w:r>
              <w:rPr>
                <w:rFonts w:asciiTheme="minorHAnsi" w:hAnsiTheme="minorHAnsi" w:cs="Arial"/>
              </w:rPr>
              <w:t>A2 Technical ability</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A63BE0" w14:textId="77777777" w:rsidR="00973C45" w:rsidRDefault="00973C45" w:rsidP="005C6A5B">
            <w:pPr>
              <w:spacing w:after="120" w:line="300" w:lineRule="exact"/>
              <w:rPr>
                <w:rFonts w:asciiTheme="minorHAnsi" w:hAnsiTheme="minorHAnsi" w:cs="Arial"/>
              </w:rPr>
            </w:pPr>
            <w:r>
              <w:rPr>
                <w:rFonts w:asciiTheme="minorHAnsi" w:hAnsiTheme="minorHAnsi" w:cs="Arial"/>
              </w:rPr>
              <w:t>Demonstrate the appropriate technical ability to deliver the deliverables requested.</w:t>
            </w:r>
          </w:p>
          <w:p w14:paraId="2653C5FC" w14:textId="77777777" w:rsidR="00973C45" w:rsidRDefault="00973C45" w:rsidP="005C6A5B">
            <w:pPr>
              <w:spacing w:after="120" w:line="300" w:lineRule="exact"/>
              <w:rPr>
                <w:rFonts w:asciiTheme="minorHAnsi" w:hAnsiTheme="minorHAnsi" w:cs="Arial"/>
              </w:rPr>
            </w:pPr>
            <w:r>
              <w:rPr>
                <w:rFonts w:asciiTheme="minorHAnsi" w:hAnsiTheme="minorHAnsi" w:cs="Arial"/>
              </w:rPr>
              <w:t>Explain how the approach offered recognises the necessary engagement with project partners.</w:t>
            </w:r>
          </w:p>
          <w:p w14:paraId="76DF2491" w14:textId="77777777" w:rsidR="00973C45" w:rsidRDefault="00973C45" w:rsidP="005C6A5B">
            <w:pPr>
              <w:spacing w:after="120" w:line="300" w:lineRule="exact"/>
              <w:rPr>
                <w:rFonts w:asciiTheme="minorHAnsi" w:hAnsiTheme="minorHAnsi" w:cs="Arial"/>
              </w:rPr>
            </w:pPr>
            <w:r>
              <w:rPr>
                <w:rFonts w:asciiTheme="minorHAnsi" w:hAnsiTheme="minorHAnsi" w:cs="Arial"/>
              </w:rPr>
              <w:t xml:space="preserve">Explain how you will ensure </w:t>
            </w:r>
            <w:r w:rsidRPr="00A073A1">
              <w:rPr>
                <w:rFonts w:asciiTheme="minorHAnsi" w:hAnsiTheme="minorHAnsi" w:cs="Arial"/>
              </w:rPr>
              <w:t>th</w:t>
            </w:r>
            <w:r>
              <w:rPr>
                <w:rFonts w:asciiTheme="minorHAnsi" w:hAnsiTheme="minorHAnsi" w:cs="Arial"/>
              </w:rPr>
              <w:t>e content of the deliverables is high quality.</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8ACE93" w14:textId="77777777" w:rsidR="00973C45" w:rsidRDefault="00973C45" w:rsidP="00973C45">
            <w:pPr>
              <w:pStyle w:val="TableBullet"/>
              <w:ind w:left="170" w:hanging="170"/>
            </w:pPr>
            <w:r>
              <w:t>Has proposed a thorough technical approach</w:t>
            </w:r>
          </w:p>
          <w:p w14:paraId="0D23E001" w14:textId="77777777" w:rsidR="00973C45" w:rsidRDefault="00973C45" w:rsidP="00973C45">
            <w:pPr>
              <w:pStyle w:val="TableBullet"/>
              <w:ind w:left="170" w:hanging="170"/>
            </w:pPr>
            <w:r>
              <w:t>The proposed approach provides RSSB with a high degree of confidence in the tenderer’s technical ability</w:t>
            </w:r>
          </w:p>
          <w:p w14:paraId="345550D8" w14:textId="77777777" w:rsidR="00973C45" w:rsidRDefault="00973C45" w:rsidP="00973C45">
            <w:pPr>
              <w:pStyle w:val="TableBullet"/>
              <w:ind w:left="170" w:hanging="170"/>
            </w:pPr>
            <w:r>
              <w:lastRenderedPageBreak/>
              <w:t>There is confidence that the tenderer can work with project partners</w:t>
            </w:r>
          </w:p>
          <w:p w14:paraId="480B3713" w14:textId="77777777" w:rsidR="00973C45" w:rsidRPr="008F22C7" w:rsidRDefault="00973C45" w:rsidP="00973C45">
            <w:pPr>
              <w:pStyle w:val="TableBullet"/>
              <w:ind w:left="170" w:hanging="170"/>
            </w:pPr>
            <w:r>
              <w:t>There is confidence that the deliverables will be of appropriate quality</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4CAE1D" w14:textId="77777777" w:rsidR="00973C45" w:rsidRDefault="00973C45" w:rsidP="005C6A5B">
            <w:pPr>
              <w:spacing w:after="120" w:line="300" w:lineRule="exact"/>
              <w:rPr>
                <w:rFonts w:asciiTheme="minorHAnsi" w:hAnsiTheme="minorHAnsi" w:cs="Arial"/>
              </w:rPr>
            </w:pPr>
            <w:r>
              <w:rPr>
                <w:rFonts w:asciiTheme="minorHAnsi" w:hAnsiTheme="minorHAnsi" w:cs="Arial"/>
              </w:rPr>
              <w:lastRenderedPageBreak/>
              <w:t>40%</w:t>
            </w:r>
          </w:p>
        </w:tc>
      </w:tr>
      <w:tr w:rsidR="00973C45" w:rsidRPr="00A073A1" w14:paraId="3FCF960F"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704E94" w14:textId="77777777" w:rsidR="00973C45" w:rsidRDefault="00973C45" w:rsidP="005C6A5B">
            <w:pPr>
              <w:spacing w:after="120" w:line="300" w:lineRule="exact"/>
              <w:rPr>
                <w:rFonts w:asciiTheme="minorHAnsi" w:hAnsiTheme="minorHAnsi" w:cs="Arial"/>
              </w:rPr>
            </w:pPr>
            <w:r>
              <w:rPr>
                <w:rFonts w:asciiTheme="minorHAnsi" w:hAnsiTheme="minorHAnsi" w:cs="Arial"/>
              </w:rPr>
              <w:t>A4 Communication</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838133" w14:textId="77777777" w:rsidR="00973C45" w:rsidRDefault="00973C45" w:rsidP="005C6A5B">
            <w:pPr>
              <w:spacing w:after="120" w:line="300" w:lineRule="exact"/>
              <w:rPr>
                <w:rFonts w:asciiTheme="minorHAnsi" w:hAnsiTheme="minorHAnsi" w:cs="Arial"/>
              </w:rPr>
            </w:pPr>
            <w:r>
              <w:rPr>
                <w:rFonts w:asciiTheme="minorHAnsi" w:hAnsiTheme="minorHAnsi" w:cs="Arial"/>
              </w:rPr>
              <w:t>Detail how you plan to communicate the outputs of this project, including identifying cross-industry groups to engage with and noting any post-project support you can provide.</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00378C" w14:textId="77777777" w:rsidR="00973C45" w:rsidRDefault="00973C45" w:rsidP="00973C45">
            <w:pPr>
              <w:pStyle w:val="TableBullet"/>
              <w:ind w:left="170" w:hanging="170"/>
            </w:pPr>
            <w:r>
              <w:t>Has a realistic and detailed communication plan that demonstrates added value and gives confidence to wider uptake of the outputs</w:t>
            </w:r>
          </w:p>
          <w:p w14:paraId="535FF4A3" w14:textId="77777777" w:rsidR="00973C45" w:rsidRDefault="00973C45" w:rsidP="00973C45">
            <w:pPr>
              <w:pStyle w:val="TableBullet"/>
              <w:ind w:left="170" w:hanging="170"/>
            </w:pPr>
            <w:r>
              <w:t>The proposed communication plan is specific to both RSSB and this project</w:t>
            </w:r>
          </w:p>
          <w:p w14:paraId="2338F7F2" w14:textId="77777777" w:rsidR="00973C45" w:rsidRDefault="00973C45" w:rsidP="00973C45">
            <w:pPr>
              <w:pStyle w:val="TableBullet"/>
              <w:ind w:left="170" w:hanging="170"/>
            </w:pPr>
            <w:r>
              <w:t>The proposed communication plan identifies relevant cross-industry groups</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CB383" w14:textId="77777777" w:rsidR="00973C45" w:rsidRDefault="00973C45" w:rsidP="005C6A5B">
            <w:pPr>
              <w:spacing w:after="120" w:line="300" w:lineRule="exact"/>
              <w:rPr>
                <w:rFonts w:asciiTheme="minorHAnsi" w:hAnsiTheme="minorHAnsi" w:cs="Arial"/>
              </w:rPr>
            </w:pPr>
            <w:r>
              <w:rPr>
                <w:rFonts w:asciiTheme="minorHAnsi" w:hAnsiTheme="minorHAnsi" w:cs="Arial"/>
              </w:rPr>
              <w:t>5%</w:t>
            </w:r>
          </w:p>
        </w:tc>
      </w:tr>
      <w:tr w:rsidR="00973C45" w:rsidRPr="00A073A1" w14:paraId="01B2B613" w14:textId="77777777" w:rsidTr="005C6A5B">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BCA5C1" w14:textId="77777777" w:rsidR="00973C45" w:rsidRPr="00A073A1" w:rsidRDefault="00973C45" w:rsidP="005C6A5B">
            <w:pPr>
              <w:spacing w:after="120" w:line="300" w:lineRule="exact"/>
              <w:rPr>
                <w:rFonts w:asciiTheme="minorHAnsi" w:hAnsiTheme="minorHAnsi" w:cs="Arial"/>
              </w:rPr>
            </w:pPr>
            <w:r>
              <w:rPr>
                <w:rFonts w:asciiTheme="minorHAnsi" w:hAnsiTheme="minorHAnsi" w:cs="Arial"/>
              </w:rPr>
              <w:t>A5 Cost of project</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2F8A98" w14:textId="77777777" w:rsidR="00973C45" w:rsidRPr="000203F8" w:rsidRDefault="00973C45" w:rsidP="005C6A5B">
            <w:pPr>
              <w:spacing w:after="120" w:line="300" w:lineRule="exact"/>
              <w:rPr>
                <w:rFonts w:asciiTheme="minorHAnsi" w:hAnsiTheme="minorHAnsi" w:cs="Arial"/>
              </w:rPr>
            </w:pPr>
            <w:r>
              <w:rPr>
                <w:rFonts w:asciiTheme="minorHAnsi" w:hAnsiTheme="minorHAnsi" w:cs="Arial"/>
              </w:rPr>
              <w:t xml:space="preserve">Provide </w:t>
            </w:r>
            <w:r w:rsidRPr="000203F8">
              <w:rPr>
                <w:rFonts w:asciiTheme="minorHAnsi" w:hAnsiTheme="minorHAnsi" w:cs="Arial"/>
              </w:rPr>
              <w:t>a fix</w:t>
            </w:r>
            <w:r>
              <w:rPr>
                <w:rFonts w:asciiTheme="minorHAnsi" w:hAnsiTheme="minorHAnsi" w:cs="Arial"/>
              </w:rPr>
              <w:t>ed</w:t>
            </w:r>
            <w:r w:rsidRPr="000203F8">
              <w:rPr>
                <w:rFonts w:asciiTheme="minorHAnsi" w:hAnsiTheme="minorHAnsi" w:cs="Arial"/>
              </w:rPr>
              <w:t xml:space="preserve"> cost for the project</w:t>
            </w:r>
            <w:r>
              <w:rPr>
                <w:rFonts w:asciiTheme="minorHAnsi" w:hAnsiTheme="minorHAnsi" w:cs="Arial"/>
              </w:rPr>
              <w:t xml:space="preserve"> and an associated cost break down, and explain </w:t>
            </w:r>
            <w:r w:rsidRPr="000203F8">
              <w:rPr>
                <w:rFonts w:asciiTheme="minorHAnsi" w:hAnsiTheme="minorHAnsi" w:cs="Arial"/>
              </w:rPr>
              <w:t>why this represents value for money</w:t>
            </w:r>
            <w:r>
              <w:rPr>
                <w:rFonts w:asciiTheme="minorHAnsi" w:hAnsiTheme="minorHAnsi" w:cs="Arial"/>
              </w:rPr>
              <w:t>.</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E4CCE0" w14:textId="77777777" w:rsidR="00973C45" w:rsidRPr="00A073A1" w:rsidRDefault="00973C45" w:rsidP="00973C45">
            <w:pPr>
              <w:pStyle w:val="TableBullet"/>
              <w:ind w:left="170" w:hanging="170"/>
            </w:pPr>
            <w:r w:rsidRPr="008F22C7">
              <w:t>The tender with the lowest total cost will receive 100% of the</w:t>
            </w:r>
            <w:r>
              <w:t xml:space="preserve"> available weighted score (20%). </w:t>
            </w:r>
            <w:r w:rsidRPr="008F22C7">
              <w:t>Other Tenderer’s tenders will receive a pro-rated relative to the lowest cost according to the following formula:</w:t>
            </w:r>
            <w:r>
              <w:t xml:space="preserve"> L</w:t>
            </w:r>
            <w:r w:rsidRPr="008F22C7">
              <w:t xml:space="preserve">owest tender total </w:t>
            </w:r>
            <w:r>
              <w:t>cost / this tender’s total cost * 100%</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947754" w14:textId="77777777" w:rsidR="00973C45" w:rsidRDefault="00973C45" w:rsidP="005C6A5B">
            <w:pPr>
              <w:spacing w:after="120" w:line="300" w:lineRule="exact"/>
              <w:rPr>
                <w:rFonts w:asciiTheme="minorHAnsi" w:hAnsiTheme="minorHAnsi" w:cs="Arial"/>
              </w:rPr>
            </w:pPr>
            <w:r>
              <w:rPr>
                <w:rFonts w:asciiTheme="minorHAnsi" w:hAnsiTheme="minorHAnsi" w:cs="Arial"/>
              </w:rPr>
              <w:t>30%</w:t>
            </w:r>
          </w:p>
        </w:tc>
      </w:tr>
    </w:tbl>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620F3AD" w:rsidR="00E52B87" w:rsidRDefault="004109CE" w:rsidP="00015775">
      <w:pPr>
        <w:pStyle w:val="Body"/>
        <w:rPr>
          <w:rFonts w:asciiTheme="minorHAnsi" w:hAnsiTheme="minorHAnsi"/>
          <w:b/>
        </w:rPr>
      </w:pPr>
      <w:r>
        <w:rPr>
          <w:rFonts w:asciiTheme="minorHAnsi" w:hAnsiTheme="minorHAnsi"/>
          <w:b/>
        </w:rPr>
        <w:tab/>
      </w:r>
    </w:p>
    <w:p w14:paraId="79311913" w14:textId="4C6B6090" w:rsidR="00973C45" w:rsidRDefault="00973C45" w:rsidP="00015775">
      <w:pPr>
        <w:pStyle w:val="Body"/>
        <w:rPr>
          <w:rFonts w:asciiTheme="minorHAnsi" w:hAnsiTheme="minorHAnsi"/>
          <w:b/>
        </w:rPr>
      </w:pPr>
    </w:p>
    <w:p w14:paraId="4E644C81" w14:textId="22109AAB" w:rsidR="00973C45" w:rsidRDefault="00973C45" w:rsidP="00015775">
      <w:pPr>
        <w:pStyle w:val="Body"/>
        <w:rPr>
          <w:rFonts w:asciiTheme="minorHAnsi" w:hAnsiTheme="minorHAnsi"/>
          <w:b/>
        </w:rPr>
      </w:pPr>
    </w:p>
    <w:p w14:paraId="720A5661" w14:textId="712C46DF" w:rsidR="00973C45" w:rsidRDefault="00973C45" w:rsidP="00015775">
      <w:pPr>
        <w:pStyle w:val="Body"/>
        <w:rPr>
          <w:rFonts w:asciiTheme="minorHAnsi" w:hAnsiTheme="minorHAnsi"/>
          <w:b/>
        </w:rPr>
      </w:pPr>
    </w:p>
    <w:p w14:paraId="4AA7D4B8" w14:textId="77777777" w:rsidR="00973C45" w:rsidRPr="00E52B87" w:rsidRDefault="00973C45" w:rsidP="00015775">
      <w:pPr>
        <w:pStyle w:val="Body"/>
        <w:rPr>
          <w:rFonts w:asciiTheme="minorHAnsi" w:hAnsiTheme="minorHAnsi"/>
        </w:rPr>
      </w:pP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43B0F69E" w14:textId="01E1C898" w:rsidR="00E52B87" w:rsidRPr="00B7177E" w:rsidRDefault="00E52B87" w:rsidP="00B7177E">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3A0389B9" w14:textId="20AB19ED"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 xml:space="preserve">We support rail in the areas of safety standards, knowledge and innovation and a wide range of cross- industry schemes requiring our knowledge and independence. Our work involves </w:t>
      </w:r>
      <w:r w:rsidRPr="00E52B87">
        <w:rPr>
          <w:rFonts w:asciiTheme="minorHAnsi" w:hAnsiTheme="minorHAnsi" w:cs="Arial"/>
          <w:lang w:eastAsia="en-GB"/>
        </w:rPr>
        <w:lastRenderedPageBreak/>
        <w:t>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w:t>
      </w:r>
      <w:r w:rsidRPr="005F5787">
        <w:lastRenderedPageBreak/>
        <w:t xml:space="preserve">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6F886438" w:rsidR="00823AFA" w:rsidRDefault="00823AFA" w:rsidP="005356EB">
      <w:pPr>
        <w:pStyle w:val="Body"/>
        <w:rPr>
          <w:b/>
          <w:sz w:val="36"/>
          <w:szCs w:val="36"/>
          <w:u w:val="single"/>
        </w:rPr>
      </w:pPr>
    </w:p>
    <w:p w14:paraId="5E799FBE" w14:textId="730EF05C" w:rsidR="00973C45" w:rsidRDefault="00973C45" w:rsidP="005356EB">
      <w:pPr>
        <w:pStyle w:val="Body"/>
        <w:rPr>
          <w:b/>
          <w:sz w:val="36"/>
          <w:szCs w:val="36"/>
          <w:u w:val="single"/>
        </w:rPr>
      </w:pPr>
    </w:p>
    <w:p w14:paraId="1F27FB33" w14:textId="311CAFFC" w:rsidR="00973C45" w:rsidRDefault="00973C45" w:rsidP="005356EB">
      <w:pPr>
        <w:pStyle w:val="Body"/>
        <w:rPr>
          <w:b/>
          <w:sz w:val="36"/>
          <w:szCs w:val="36"/>
          <w:u w:val="single"/>
        </w:rPr>
      </w:pPr>
    </w:p>
    <w:p w14:paraId="34982513" w14:textId="5A46B6E8" w:rsidR="00973C45" w:rsidRDefault="00973C45" w:rsidP="005356EB">
      <w:pPr>
        <w:pStyle w:val="Body"/>
        <w:rPr>
          <w:b/>
          <w:sz w:val="36"/>
          <w:szCs w:val="36"/>
          <w:u w:val="single"/>
        </w:rPr>
      </w:pPr>
    </w:p>
    <w:p w14:paraId="65E3B90C" w14:textId="38EC47E5" w:rsidR="00973C45" w:rsidRDefault="00973C45" w:rsidP="005356EB">
      <w:pPr>
        <w:pStyle w:val="Body"/>
        <w:rPr>
          <w:b/>
          <w:sz w:val="36"/>
          <w:szCs w:val="36"/>
          <w:u w:val="single"/>
        </w:rPr>
      </w:pPr>
    </w:p>
    <w:p w14:paraId="5B8EDEE0" w14:textId="56B1BDB3" w:rsidR="00973C45" w:rsidRDefault="00973C45" w:rsidP="005356EB">
      <w:pPr>
        <w:pStyle w:val="Body"/>
        <w:rPr>
          <w:b/>
          <w:sz w:val="36"/>
          <w:szCs w:val="36"/>
          <w:u w:val="single"/>
        </w:rPr>
      </w:pPr>
    </w:p>
    <w:p w14:paraId="7BC7587C" w14:textId="4B5146BF" w:rsidR="00973C45" w:rsidRDefault="00973C45" w:rsidP="005356EB">
      <w:pPr>
        <w:pStyle w:val="Body"/>
        <w:rPr>
          <w:b/>
          <w:sz w:val="36"/>
          <w:szCs w:val="36"/>
          <w:u w:val="single"/>
        </w:rPr>
      </w:pPr>
    </w:p>
    <w:p w14:paraId="0813F40B" w14:textId="370B8ADA" w:rsidR="00B7177E" w:rsidRDefault="00B7177E" w:rsidP="005356EB">
      <w:pPr>
        <w:pStyle w:val="Body"/>
        <w:rPr>
          <w:b/>
          <w:sz w:val="36"/>
          <w:szCs w:val="36"/>
          <w:u w:val="single"/>
        </w:rPr>
      </w:pPr>
    </w:p>
    <w:p w14:paraId="50DA958A" w14:textId="5C1E2A8F" w:rsidR="00B7177E" w:rsidRDefault="00B7177E" w:rsidP="005356EB">
      <w:pPr>
        <w:pStyle w:val="Body"/>
        <w:rPr>
          <w:b/>
          <w:sz w:val="36"/>
          <w:szCs w:val="36"/>
          <w:u w:val="single"/>
        </w:rPr>
      </w:pPr>
    </w:p>
    <w:p w14:paraId="0C53933C" w14:textId="21CA351E" w:rsidR="00B7177E" w:rsidRDefault="00B7177E" w:rsidP="005356EB">
      <w:pPr>
        <w:pStyle w:val="Body"/>
        <w:rPr>
          <w:b/>
          <w:sz w:val="36"/>
          <w:szCs w:val="36"/>
          <w:u w:val="single"/>
        </w:rPr>
      </w:pPr>
    </w:p>
    <w:p w14:paraId="65648C23" w14:textId="656D776C" w:rsidR="00B7177E" w:rsidRDefault="00B7177E" w:rsidP="005356EB">
      <w:pPr>
        <w:pStyle w:val="Body"/>
        <w:rPr>
          <w:b/>
          <w:sz w:val="36"/>
          <w:szCs w:val="36"/>
          <w:u w:val="single"/>
        </w:rPr>
      </w:pPr>
    </w:p>
    <w:p w14:paraId="338B608C" w14:textId="0A047507" w:rsidR="00B7177E" w:rsidRDefault="00B7177E" w:rsidP="005356EB">
      <w:pPr>
        <w:pStyle w:val="Body"/>
        <w:rPr>
          <w:b/>
          <w:sz w:val="36"/>
          <w:szCs w:val="36"/>
          <w:u w:val="single"/>
        </w:rPr>
      </w:pPr>
    </w:p>
    <w:p w14:paraId="680A376D" w14:textId="0E234ED2" w:rsidR="00B7177E" w:rsidRDefault="00B7177E" w:rsidP="005356EB">
      <w:pPr>
        <w:pStyle w:val="Body"/>
        <w:rPr>
          <w:b/>
          <w:sz w:val="36"/>
          <w:szCs w:val="36"/>
          <w:u w:val="single"/>
        </w:rPr>
      </w:pPr>
    </w:p>
    <w:p w14:paraId="7B93976A" w14:textId="48FC1D9C" w:rsidR="00B7177E" w:rsidRDefault="00B7177E" w:rsidP="005356EB">
      <w:pPr>
        <w:pStyle w:val="Body"/>
        <w:rPr>
          <w:b/>
          <w:sz w:val="36"/>
          <w:szCs w:val="36"/>
          <w:u w:val="single"/>
        </w:rPr>
      </w:pPr>
    </w:p>
    <w:p w14:paraId="0B08D86B" w14:textId="01BB06DF" w:rsidR="00B7177E" w:rsidRDefault="00B7177E" w:rsidP="005356EB">
      <w:pPr>
        <w:pStyle w:val="Body"/>
        <w:rPr>
          <w:b/>
          <w:sz w:val="36"/>
          <w:szCs w:val="36"/>
          <w:u w:val="single"/>
        </w:rPr>
      </w:pPr>
    </w:p>
    <w:p w14:paraId="7F035B05" w14:textId="4F50818C" w:rsidR="00B7177E" w:rsidRDefault="00B7177E" w:rsidP="005356EB">
      <w:pPr>
        <w:pStyle w:val="Body"/>
        <w:rPr>
          <w:b/>
          <w:sz w:val="36"/>
          <w:szCs w:val="36"/>
          <w:u w:val="single"/>
        </w:rPr>
      </w:pPr>
    </w:p>
    <w:p w14:paraId="5E86A7A8" w14:textId="40D48E2C" w:rsidR="00B7177E" w:rsidRDefault="00B7177E" w:rsidP="005356EB">
      <w:pPr>
        <w:pStyle w:val="Body"/>
        <w:rPr>
          <w:b/>
          <w:sz w:val="36"/>
          <w:szCs w:val="36"/>
          <w:u w:val="single"/>
        </w:rPr>
      </w:pPr>
    </w:p>
    <w:p w14:paraId="355EFEE8" w14:textId="77777777" w:rsidR="00B7177E" w:rsidRDefault="00B7177E"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3CC7AC89" w14:textId="77777777" w:rsidR="00B7177E" w:rsidRDefault="00B7177E" w:rsidP="00823AFA">
      <w:pPr>
        <w:pStyle w:val="Body"/>
        <w:jc w:val="center"/>
        <w:rPr>
          <w:b/>
          <w:sz w:val="36"/>
          <w:szCs w:val="36"/>
          <w:u w:val="single"/>
        </w:rPr>
      </w:pPr>
    </w:p>
    <w:p w14:paraId="623573E5" w14:textId="77777777" w:rsidR="00B7177E" w:rsidRDefault="00B7177E" w:rsidP="00823AFA">
      <w:pPr>
        <w:pStyle w:val="Body"/>
        <w:jc w:val="center"/>
        <w:rPr>
          <w:b/>
          <w:sz w:val="36"/>
          <w:szCs w:val="36"/>
          <w:u w:val="single"/>
        </w:rPr>
      </w:pPr>
    </w:p>
    <w:p w14:paraId="7BD06B3F" w14:textId="77777777" w:rsidR="00B7177E" w:rsidRDefault="00B7177E" w:rsidP="00823AFA">
      <w:pPr>
        <w:pStyle w:val="Body"/>
        <w:jc w:val="center"/>
        <w:rPr>
          <w:b/>
          <w:sz w:val="36"/>
          <w:szCs w:val="36"/>
          <w:u w:val="single"/>
        </w:rPr>
      </w:pPr>
    </w:p>
    <w:p w14:paraId="679C86F5" w14:textId="77777777" w:rsidR="00B7177E" w:rsidRDefault="00B7177E" w:rsidP="00823AFA">
      <w:pPr>
        <w:pStyle w:val="Body"/>
        <w:jc w:val="center"/>
        <w:rPr>
          <w:b/>
          <w:sz w:val="36"/>
          <w:szCs w:val="36"/>
          <w:u w:val="single"/>
        </w:rPr>
      </w:pPr>
    </w:p>
    <w:p w14:paraId="60CA3CDC" w14:textId="77777777" w:rsidR="00B7177E" w:rsidRDefault="00B7177E" w:rsidP="00823AFA">
      <w:pPr>
        <w:pStyle w:val="Body"/>
        <w:jc w:val="center"/>
        <w:rPr>
          <w:b/>
          <w:sz w:val="36"/>
          <w:szCs w:val="36"/>
          <w:u w:val="single"/>
        </w:rPr>
      </w:pPr>
    </w:p>
    <w:p w14:paraId="27FABFA4" w14:textId="77777777" w:rsidR="00B7177E" w:rsidRDefault="00B7177E" w:rsidP="00823AFA">
      <w:pPr>
        <w:pStyle w:val="Body"/>
        <w:jc w:val="center"/>
        <w:rPr>
          <w:b/>
          <w:sz w:val="36"/>
          <w:szCs w:val="36"/>
          <w:u w:val="single"/>
        </w:rPr>
      </w:pPr>
    </w:p>
    <w:p w14:paraId="664E2E14" w14:textId="1365159C"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771AF46A" w14:textId="77777777" w:rsidR="00B7177E" w:rsidRDefault="00210091" w:rsidP="00210091">
      <w:pPr>
        <w:pStyle w:val="CoverTitle"/>
      </w:pPr>
      <w:r>
        <w:t>Specification for research project</w:t>
      </w:r>
    </w:p>
    <w:p w14:paraId="36C9D4A4" w14:textId="77777777" w:rsidR="00B7177E" w:rsidRDefault="00B7177E" w:rsidP="00B7177E">
      <w:pPr>
        <w:pStyle w:val="CoverSubTitle"/>
      </w:pPr>
      <w:r>
        <w:t>Implementation of cross-industry remote condition monitoring</w:t>
      </w:r>
    </w:p>
    <w:p w14:paraId="77EF5E75" w14:textId="77777777" w:rsidR="00B7177E" w:rsidRDefault="00B7177E" w:rsidP="00B7177E">
      <w:pPr>
        <w:pStyle w:val="CoverSubTitle"/>
      </w:pPr>
      <w:r>
        <w:t>IMP-RCM (Stage 2)</w:t>
      </w:r>
    </w:p>
    <w:p w14:paraId="3507A843" w14:textId="77777777" w:rsidR="00B7177E" w:rsidRDefault="00B7177E" w:rsidP="00B7177E">
      <w:pPr>
        <w:pStyle w:val="CoverSubTitle"/>
      </w:pPr>
    </w:p>
    <w:p w14:paraId="01CEF2A0" w14:textId="77777777" w:rsidR="00B7177E" w:rsidRDefault="00B7177E" w:rsidP="00B7177E">
      <w:pPr>
        <w:pStyle w:val="CoverSubTitle"/>
      </w:pPr>
    </w:p>
    <w:p w14:paraId="7B3EA742" w14:textId="77777777" w:rsidR="00B7177E" w:rsidRDefault="00B7177E" w:rsidP="00B7177E">
      <w:pPr>
        <w:pStyle w:val="CoverSubTitle"/>
      </w:pPr>
    </w:p>
    <w:p w14:paraId="456DD9FA" w14:textId="27FA6D0F" w:rsidR="00B7177E" w:rsidRDefault="00B7177E" w:rsidP="00B7177E">
      <w:pPr>
        <w:pStyle w:val="CoverTitle"/>
        <w:rPr>
          <w:sz w:val="40"/>
        </w:rPr>
      </w:pPr>
    </w:p>
    <w:p w14:paraId="4D369644" w14:textId="0E7C7BD2" w:rsidR="00B7177E" w:rsidRDefault="00B7177E" w:rsidP="00B7177E">
      <w:pPr>
        <w:pStyle w:val="CoverTitle"/>
        <w:rPr>
          <w:sz w:val="40"/>
        </w:rPr>
      </w:pPr>
    </w:p>
    <w:p w14:paraId="58A6E840" w14:textId="77777777" w:rsidR="00B7177E" w:rsidRDefault="00B7177E" w:rsidP="00B7177E">
      <w:pPr>
        <w:pStyle w:val="CoverTitle"/>
      </w:pPr>
    </w:p>
    <w:tbl>
      <w:tblPr>
        <w:tblStyle w:val="TableGrid"/>
        <w:tblW w:w="0" w:type="auto"/>
        <w:tblLook w:val="04A0" w:firstRow="1" w:lastRow="0" w:firstColumn="1" w:lastColumn="0" w:noHBand="0" w:noVBand="1"/>
      </w:tblPr>
      <w:tblGrid>
        <w:gridCol w:w="4673"/>
        <w:gridCol w:w="3253"/>
      </w:tblGrid>
      <w:tr w:rsidR="00B7177E" w14:paraId="58498C3E" w14:textId="77777777" w:rsidTr="005C6A5B">
        <w:tc>
          <w:tcPr>
            <w:tcW w:w="4673" w:type="dxa"/>
          </w:tcPr>
          <w:p w14:paraId="22503446" w14:textId="77777777" w:rsidR="00B7177E" w:rsidRDefault="00B7177E" w:rsidP="005C6A5B">
            <w:r>
              <w:t>Procurement ID number</w:t>
            </w:r>
          </w:p>
        </w:tc>
        <w:tc>
          <w:tcPr>
            <w:tcW w:w="3253" w:type="dxa"/>
          </w:tcPr>
          <w:p w14:paraId="79F21CD8" w14:textId="77777777" w:rsidR="00B7177E" w:rsidRDefault="00B7177E" w:rsidP="005C6A5B"/>
        </w:tc>
      </w:tr>
      <w:tr w:rsidR="00B7177E" w14:paraId="24F9E538" w14:textId="77777777" w:rsidTr="005C6A5B">
        <w:tc>
          <w:tcPr>
            <w:tcW w:w="4673" w:type="dxa"/>
          </w:tcPr>
          <w:p w14:paraId="18961771" w14:textId="77777777" w:rsidR="00B7177E" w:rsidRDefault="00B7177E" w:rsidP="005C6A5B">
            <w:r>
              <w:t>Procurement Manager</w:t>
            </w:r>
          </w:p>
        </w:tc>
        <w:tc>
          <w:tcPr>
            <w:tcW w:w="3253" w:type="dxa"/>
          </w:tcPr>
          <w:p w14:paraId="510E19A0" w14:textId="77777777" w:rsidR="00B7177E" w:rsidRDefault="00B7177E" w:rsidP="005C6A5B"/>
        </w:tc>
      </w:tr>
      <w:tr w:rsidR="00B7177E" w:rsidDel="00206FB1" w14:paraId="3FBD1649" w14:textId="77777777" w:rsidTr="005C6A5B">
        <w:tc>
          <w:tcPr>
            <w:tcW w:w="4673" w:type="dxa"/>
          </w:tcPr>
          <w:p w14:paraId="21DB63DF" w14:textId="77777777" w:rsidR="00B7177E" w:rsidDel="00206FB1" w:rsidRDefault="00B7177E" w:rsidP="005C6A5B">
            <w:r>
              <w:t xml:space="preserve">Version </w:t>
            </w:r>
          </w:p>
        </w:tc>
        <w:tc>
          <w:tcPr>
            <w:tcW w:w="3253" w:type="dxa"/>
          </w:tcPr>
          <w:p w14:paraId="78932345" w14:textId="77777777" w:rsidR="00B7177E" w:rsidDel="00206FB1" w:rsidRDefault="00B7177E" w:rsidP="005C6A5B">
            <w:r>
              <w:t>1.0</w:t>
            </w:r>
          </w:p>
        </w:tc>
      </w:tr>
      <w:tr w:rsidR="00B7177E" w:rsidDel="00206FB1" w14:paraId="0455C46E" w14:textId="77777777" w:rsidTr="005C6A5B">
        <w:tc>
          <w:tcPr>
            <w:tcW w:w="4673" w:type="dxa"/>
          </w:tcPr>
          <w:p w14:paraId="540CD10D" w14:textId="77777777" w:rsidR="00B7177E" w:rsidRDefault="00B7177E" w:rsidP="005C6A5B">
            <w:r>
              <w:t>Date</w:t>
            </w:r>
          </w:p>
        </w:tc>
        <w:tc>
          <w:tcPr>
            <w:tcW w:w="3253" w:type="dxa"/>
          </w:tcPr>
          <w:p w14:paraId="0ABCB418" w14:textId="77777777" w:rsidR="00B7177E" w:rsidDel="00206FB1" w:rsidRDefault="00B7177E" w:rsidP="005C6A5B">
            <w:r>
              <w:t>August 2017</w:t>
            </w:r>
          </w:p>
        </w:tc>
      </w:tr>
    </w:tbl>
    <w:p w14:paraId="695D5CEA" w14:textId="77777777" w:rsidR="00B7177E" w:rsidRDefault="00B7177E" w:rsidP="00B7177E">
      <w:pPr>
        <w:pStyle w:val="Heading1"/>
      </w:pPr>
      <w:r w:rsidRPr="00130E32">
        <w:lastRenderedPageBreak/>
        <w:t>Background</w:t>
      </w:r>
    </w:p>
    <w:p w14:paraId="3DC27C9C" w14:textId="77777777" w:rsidR="00B7177E" w:rsidRDefault="00B7177E" w:rsidP="00B7177E">
      <w:pPr>
        <w:pStyle w:val="Body"/>
      </w:pPr>
      <w:r>
        <w:t>RSSB and the Cross Industry Remote Condition Monitoring Strategy Group (XIRCM SG) have sponsored several research projects to encourage and facilitate the sharing of remote condition monitoring (RCM) data across the rail industry – particularly where trains are gathering information about the infrastructure on which they operate or vice versa.</w:t>
      </w:r>
    </w:p>
    <w:p w14:paraId="69335352" w14:textId="77777777" w:rsidR="00B7177E" w:rsidRDefault="00B7177E" w:rsidP="00B7177E">
      <w:pPr>
        <w:pStyle w:val="Body"/>
      </w:pPr>
      <w:r>
        <w:t>The most recent of these projects is T1010 Cross-industry Remote Condition Monitoring, whose goal was to create a toolkit which could be used by parties wishing to share data across industry boundaries. The toolkit has 4 components, each addressing one of the constraints to such data sharing:</w:t>
      </w:r>
    </w:p>
    <w:p w14:paraId="71106B25" w14:textId="77777777" w:rsidR="00B7177E" w:rsidRDefault="00B7177E" w:rsidP="00B7177E">
      <w:pPr>
        <w:pStyle w:val="Bullet1"/>
        <w:ind w:left="227" w:hanging="227"/>
      </w:pPr>
      <w:r>
        <w:t>A Documentation Map (T1010-03). This shows where relevant standards and documents can be found and gives outline guidance into the use of the toolkit.</w:t>
      </w:r>
    </w:p>
    <w:p w14:paraId="1DEB5C09" w14:textId="77777777" w:rsidR="00B7177E" w:rsidRPr="00DC7B4B" w:rsidRDefault="00B7177E" w:rsidP="00B7177E">
      <w:pPr>
        <w:pStyle w:val="Bullet1"/>
        <w:ind w:left="227" w:hanging="227"/>
      </w:pPr>
      <w:r>
        <w:t xml:space="preserve">A Business Case Tool (T1010-04). This enables the costs and benefits of the data sharing initiative to be assessed, both overall and from the point of view of each of the stakeholders. This helps establish whether the exercise is worthwhile and informs the terms of the agreement between parties on sharing of costs.  </w:t>
      </w:r>
    </w:p>
    <w:p w14:paraId="693686D4" w14:textId="77777777" w:rsidR="00B7177E" w:rsidRDefault="00B7177E" w:rsidP="00B7177E">
      <w:pPr>
        <w:pStyle w:val="Bullet1"/>
        <w:ind w:left="227" w:hanging="227"/>
      </w:pPr>
      <w:r>
        <w:t>A Data Architecture (T1010-01). This defines a process structure, open data standards and common sharing methods to address the technical issues around making data available in a usable way.</w:t>
      </w:r>
    </w:p>
    <w:p w14:paraId="6BDF70BE" w14:textId="77777777" w:rsidR="00B7177E" w:rsidRDefault="00B7177E" w:rsidP="00B7177E">
      <w:pPr>
        <w:pStyle w:val="Bullet1"/>
        <w:ind w:left="227" w:hanging="227"/>
      </w:pPr>
      <w:r>
        <w:t>A Process Map and Template Contract (T1010-02). This sets out a process to work out the commercial principles, roles, and responsibilities for the participants; and provides a set of contract conditions and schedules that can form the basis of an agreement between the parties involved.</w:t>
      </w:r>
    </w:p>
    <w:p w14:paraId="75F52148" w14:textId="77777777" w:rsidR="00B7177E" w:rsidRDefault="00B7177E" w:rsidP="00B7177E">
      <w:pPr>
        <w:pStyle w:val="Body"/>
      </w:pPr>
      <w:r>
        <w:t>Following the publication of T1010, industry consultation suggested that while it covered the necessary ground, it was not readily usable in its current state. RSSB recognise that T1010 was theoretical in nature and needed to be road-tested in actual data sharing projects.</w:t>
      </w:r>
    </w:p>
    <w:p w14:paraId="580AB586" w14:textId="77777777" w:rsidR="00B7177E" w:rsidRDefault="00B7177E" w:rsidP="00B7177E">
      <w:pPr>
        <w:pStyle w:val="Body"/>
      </w:pPr>
      <w:r>
        <w:t>RSSB and XIRCM SG have identified an actual data sharing project whose stakeholders are keen to use a T1010-based approach because it offers the potential of simple future expansion in extent and scope and could form a template for future similar data sharing initiatives. The project is to pass to Network Rail Western Route track condition data gathered about their track by unattended track geometry monitoring (UTGM) equipment mounted on Crossrail Class 345 trains. These trains will run over NR Western infrastructure initially between Paddington and Heathrow Airport Junction, then later between Paddington and Reading.</w:t>
      </w:r>
    </w:p>
    <w:p w14:paraId="2DE2C4F3" w14:textId="77777777" w:rsidR="00B7177E" w:rsidRDefault="00B7177E" w:rsidP="00B7177E">
      <w:pPr>
        <w:pStyle w:val="Body"/>
      </w:pPr>
      <w:r>
        <w:t>The purpose of this commission is to support RSSB / XIRCM SG and the key project stakeholders – Crossrail and Network Rail Western – in setting up this project by doing the following:</w:t>
      </w:r>
    </w:p>
    <w:p w14:paraId="6FAA6E00" w14:textId="77777777" w:rsidR="00B7177E" w:rsidRDefault="00B7177E" w:rsidP="00B7177E">
      <w:pPr>
        <w:pStyle w:val="Bullet1"/>
        <w:ind w:left="227" w:hanging="227"/>
      </w:pPr>
      <w:r>
        <w:t>Advising them on the use of the T1010 toolkit to define the business case, determine an approach for commercial agreement, and address the technical challenges of this project.</w:t>
      </w:r>
    </w:p>
    <w:p w14:paraId="784ADA07" w14:textId="77777777" w:rsidR="00B7177E" w:rsidRDefault="00B7177E" w:rsidP="00B7177E">
      <w:pPr>
        <w:pStyle w:val="Bullet1"/>
        <w:ind w:left="227" w:hanging="227"/>
      </w:pPr>
      <w:r>
        <w:t>Assisting them in setting up a prototype data broker to mediate the data exchange, demonstrating the key elements of the Data Bus approach of T1010.</w:t>
      </w:r>
    </w:p>
    <w:p w14:paraId="6A9B2B43" w14:textId="77777777" w:rsidR="00B7177E" w:rsidRDefault="00B7177E" w:rsidP="00B7177E">
      <w:pPr>
        <w:pStyle w:val="Bullet1"/>
        <w:ind w:left="227" w:hanging="227"/>
      </w:pPr>
      <w:r>
        <w:lastRenderedPageBreak/>
        <w:t>Using the experience gained in this exercise to provide additional guidance in the use of the T1010-01 toolkit so that it is more readily applicable to future RCM data sharing projects.</w:t>
      </w:r>
    </w:p>
    <w:p w14:paraId="5DD798C2" w14:textId="77777777" w:rsidR="00B7177E" w:rsidRDefault="00B7177E" w:rsidP="00B7177E">
      <w:pPr>
        <w:pStyle w:val="Body"/>
      </w:pPr>
      <w:r>
        <w:t>Though it is not a necessary output of the project, there is an expectation that the prototype data broker set up as part of it could be adapted and extended to support the data exchange in production.</w:t>
      </w:r>
    </w:p>
    <w:p w14:paraId="330C2823" w14:textId="77777777" w:rsidR="00B7177E" w:rsidRPr="00130E32" w:rsidRDefault="00B7177E" w:rsidP="00B7177E">
      <w:pPr>
        <w:pStyle w:val="Body"/>
      </w:pPr>
    </w:p>
    <w:p w14:paraId="746CA280" w14:textId="77777777" w:rsidR="00B7177E" w:rsidRDefault="00B7177E" w:rsidP="00B7177E">
      <w:pPr>
        <w:rPr>
          <w:rFonts w:ascii="Calibri" w:hAnsi="Calibri" w:cs="Arial"/>
          <w:color w:val="00968E"/>
          <w:sz w:val="36"/>
          <w:lang w:eastAsia="en-GB"/>
        </w:rPr>
      </w:pPr>
      <w:r>
        <w:br w:type="page"/>
      </w:r>
    </w:p>
    <w:p w14:paraId="06A2F5E6" w14:textId="77777777" w:rsidR="00B7177E" w:rsidRDefault="00B7177E" w:rsidP="00B7177E">
      <w:pPr>
        <w:pStyle w:val="Heading1"/>
      </w:pPr>
      <w:r>
        <w:lastRenderedPageBreak/>
        <w:t>Work package objectives</w:t>
      </w:r>
    </w:p>
    <w:p w14:paraId="34C03386" w14:textId="77777777" w:rsidR="00B7177E" w:rsidRDefault="00B7177E" w:rsidP="00B7177E">
      <w:pPr>
        <w:pStyle w:val="Body"/>
      </w:pPr>
      <w:r>
        <w:t>In this project RSSB, and their supplier to Stage 2, are to facilitate the work being done by Crossrail and NR Western Route to share UTGM data and, while doing so, to further RSSB’s goal to improve the T1010 toolkit and documentation so that it is more generally useful for RCM data sharing projects.</w:t>
      </w:r>
    </w:p>
    <w:p w14:paraId="4C8573A5" w14:textId="77777777" w:rsidR="00B7177E" w:rsidRDefault="00B7177E" w:rsidP="00B7177E">
      <w:pPr>
        <w:pStyle w:val="Body"/>
      </w:pPr>
      <w:r>
        <w:t>The supplier of Stage 2, therefore, is responsible for three basic tasks:</w:t>
      </w:r>
    </w:p>
    <w:p w14:paraId="36B26439" w14:textId="77777777" w:rsidR="00B7177E" w:rsidRDefault="00B7177E" w:rsidP="00B7177E">
      <w:pPr>
        <w:pStyle w:val="Bullet1"/>
        <w:ind w:left="227" w:hanging="227"/>
      </w:pPr>
      <w:r>
        <w:t>Supporting the main stakeholders in setting up the project, including establishing a joint business case (per T1010-04) and commercial agreement (per T1010-02) and defining the end user requirements.</w:t>
      </w:r>
    </w:p>
    <w:p w14:paraId="74BBAC08" w14:textId="77777777" w:rsidR="00B7177E" w:rsidRDefault="00B7177E" w:rsidP="00B7177E">
      <w:pPr>
        <w:pStyle w:val="Bullet1"/>
        <w:ind w:left="227" w:hanging="227"/>
      </w:pPr>
      <w:r>
        <w:t>Helping the NR/Crossrail data interchange project to create</w:t>
      </w:r>
      <w:r w:rsidDel="00364DF7">
        <w:t xml:space="preserve"> </w:t>
      </w:r>
      <w:r>
        <w:t>a prototype Data Broker that can implement the data interchange on an experimental basis, conforming to the principles set out in T1010-01. This should be able to demonstrate to the stakeholders and to the industry at large that the T1010 approach is technically feasible and attractive to other RCM data interchange initiatives. It should also be suitable to be worked up into a “production” broker which will support the data interchange when it goes live, if required by the key stakeholders. However further development activities, such as production-quality deployment, are not part of the project scope.</w:t>
      </w:r>
    </w:p>
    <w:p w14:paraId="5EC39A21" w14:textId="77777777" w:rsidR="00B7177E" w:rsidRDefault="00B7177E" w:rsidP="00B7177E">
      <w:pPr>
        <w:pStyle w:val="Bullet1"/>
        <w:ind w:left="227" w:hanging="227"/>
      </w:pPr>
      <w:r>
        <w:t>Developing guidance documentation to support future users of the T1010 toolkit. This should be practical in focus and should be based on the experience of using the toolkit in support of the current work. It is envisaged the content would be used to inform a formal industry guidance document.</w:t>
      </w:r>
    </w:p>
    <w:p w14:paraId="10FCBB22" w14:textId="77777777" w:rsidR="00B7177E" w:rsidRDefault="00B7177E" w:rsidP="00B7177E">
      <w:pPr>
        <w:pStyle w:val="Body"/>
      </w:pPr>
      <w:r>
        <w:t>It should be noted that the supplier to Stage 2 will not be responsible for the agreement between the stakeholders and will have no direct commitment to them. RSSB will need to reach a separate agreement with the stakeholders to make the work products available to them.</w:t>
      </w:r>
    </w:p>
    <w:p w14:paraId="4AA3C458" w14:textId="77777777" w:rsidR="00B7177E" w:rsidRPr="00AE1DCC" w:rsidRDefault="00B7177E" w:rsidP="00B7177E">
      <w:pPr>
        <w:pStyle w:val="Body"/>
      </w:pPr>
    </w:p>
    <w:p w14:paraId="07B03844" w14:textId="77777777" w:rsidR="00B7177E" w:rsidRDefault="00B7177E" w:rsidP="00B7177E">
      <w:pPr>
        <w:rPr>
          <w:rFonts w:ascii="Calibri" w:hAnsi="Calibri" w:cs="Arial"/>
          <w:color w:val="00968E"/>
          <w:sz w:val="36"/>
          <w:lang w:eastAsia="en-GB"/>
        </w:rPr>
      </w:pPr>
      <w:r>
        <w:br w:type="page"/>
      </w:r>
    </w:p>
    <w:p w14:paraId="0E6B4972" w14:textId="77777777" w:rsidR="00B7177E" w:rsidRPr="00B90DA0" w:rsidRDefault="00B7177E" w:rsidP="00B7177E">
      <w:pPr>
        <w:pStyle w:val="Heading1"/>
      </w:pPr>
      <w:r>
        <w:lastRenderedPageBreak/>
        <w:t>Scope</w:t>
      </w:r>
    </w:p>
    <w:tbl>
      <w:tblPr>
        <w:tblStyle w:val="TableGrid"/>
        <w:tblW w:w="0" w:type="auto"/>
        <w:tblInd w:w="227" w:type="dxa"/>
        <w:tblLook w:val="04A0" w:firstRow="1" w:lastRow="0" w:firstColumn="1" w:lastColumn="0" w:noHBand="0" w:noVBand="1"/>
      </w:tblPr>
      <w:tblGrid>
        <w:gridCol w:w="3963"/>
        <w:gridCol w:w="3963"/>
      </w:tblGrid>
      <w:tr w:rsidR="00B7177E" w14:paraId="6EF6CC63" w14:textId="77777777" w:rsidTr="005C6A5B">
        <w:tc>
          <w:tcPr>
            <w:tcW w:w="3963" w:type="dxa"/>
          </w:tcPr>
          <w:p w14:paraId="44ED4B7E" w14:textId="77777777" w:rsidR="00B7177E" w:rsidRPr="007617B6" w:rsidRDefault="00B7177E" w:rsidP="005C6A5B">
            <w:pPr>
              <w:pStyle w:val="BodyIndent1"/>
              <w:ind w:left="0"/>
              <w:rPr>
                <w:b/>
              </w:rPr>
            </w:pPr>
            <w:r w:rsidRPr="007617B6">
              <w:rPr>
                <w:b/>
              </w:rPr>
              <w:t xml:space="preserve">In scope </w:t>
            </w:r>
          </w:p>
        </w:tc>
        <w:tc>
          <w:tcPr>
            <w:tcW w:w="3963" w:type="dxa"/>
          </w:tcPr>
          <w:p w14:paraId="5E75F9A3" w14:textId="77777777" w:rsidR="00B7177E" w:rsidRPr="007617B6" w:rsidRDefault="00B7177E" w:rsidP="005C6A5B">
            <w:pPr>
              <w:pStyle w:val="BodyIndent1"/>
              <w:ind w:left="0"/>
              <w:rPr>
                <w:b/>
              </w:rPr>
            </w:pPr>
            <w:r w:rsidRPr="007617B6">
              <w:rPr>
                <w:b/>
              </w:rPr>
              <w:t>Out of scope</w:t>
            </w:r>
          </w:p>
        </w:tc>
      </w:tr>
      <w:tr w:rsidR="00B7177E" w14:paraId="22869727" w14:textId="77777777" w:rsidTr="005C6A5B">
        <w:tc>
          <w:tcPr>
            <w:tcW w:w="3963" w:type="dxa"/>
          </w:tcPr>
          <w:p w14:paraId="0D0BDA91" w14:textId="77777777" w:rsidR="00B7177E" w:rsidRDefault="00B7177E" w:rsidP="00B7177E">
            <w:pPr>
              <w:pStyle w:val="Body"/>
              <w:numPr>
                <w:ilvl w:val="0"/>
                <w:numId w:val="44"/>
              </w:numPr>
              <w:ind w:left="227" w:hanging="227"/>
            </w:pPr>
            <w:r>
              <w:t>Establishing UTGM data-sharing between Crossrail and Network Rail Western using a common, open-sourced data format (that is, CSV)</w:t>
            </w:r>
          </w:p>
          <w:p w14:paraId="1ACCB608" w14:textId="77777777" w:rsidR="00B7177E" w:rsidRDefault="00B7177E" w:rsidP="00B7177E">
            <w:pPr>
              <w:pStyle w:val="Body"/>
              <w:numPr>
                <w:ilvl w:val="0"/>
                <w:numId w:val="44"/>
              </w:numPr>
              <w:ind w:left="227" w:hanging="227"/>
            </w:pPr>
            <w:r>
              <w:t>Avoiding the creation or propagation of an IPR-protected data format</w:t>
            </w:r>
          </w:p>
          <w:p w14:paraId="3A702414" w14:textId="77777777" w:rsidR="00B7177E" w:rsidRDefault="00B7177E" w:rsidP="00B7177E">
            <w:pPr>
              <w:pStyle w:val="Body"/>
              <w:numPr>
                <w:ilvl w:val="0"/>
                <w:numId w:val="44"/>
              </w:numPr>
              <w:ind w:left="227" w:hanging="227"/>
            </w:pPr>
            <w:r>
              <w:t>Refining the deliverables in the T1010 toolkit based on experience of mediating between Crossrail and Network Rail Western</w:t>
            </w:r>
          </w:p>
          <w:p w14:paraId="7B24DE91" w14:textId="77777777" w:rsidR="00B7177E" w:rsidRDefault="00B7177E" w:rsidP="00B7177E">
            <w:pPr>
              <w:pStyle w:val="Body"/>
              <w:numPr>
                <w:ilvl w:val="0"/>
                <w:numId w:val="44"/>
              </w:numPr>
              <w:ind w:left="227" w:hanging="227"/>
            </w:pPr>
            <w:r>
              <w:t>Creating a guidance document to support other parties wishing to institute cross-industry data-sharing in accordance with the principles laid out by the original T1010 and refined during this work</w:t>
            </w:r>
          </w:p>
          <w:p w14:paraId="507B4F92" w14:textId="77777777" w:rsidR="00B7177E" w:rsidRDefault="00B7177E" w:rsidP="00B7177E">
            <w:pPr>
              <w:pStyle w:val="Body"/>
              <w:numPr>
                <w:ilvl w:val="0"/>
                <w:numId w:val="44"/>
              </w:numPr>
              <w:ind w:left="227" w:hanging="227"/>
            </w:pPr>
            <w:r>
              <w:t>Developing a functioning prototype data broker to transfer data between the 2 parties (noting the relevant data visibility restrictions etc)</w:t>
            </w:r>
          </w:p>
          <w:p w14:paraId="25A86749" w14:textId="77777777" w:rsidR="00B7177E" w:rsidRPr="004E0FFB" w:rsidRDefault="00B7177E" w:rsidP="00B7177E">
            <w:pPr>
              <w:pStyle w:val="Body"/>
              <w:numPr>
                <w:ilvl w:val="0"/>
                <w:numId w:val="44"/>
              </w:numPr>
              <w:ind w:left="227" w:hanging="227"/>
            </w:pPr>
            <w:r>
              <w:t xml:space="preserve"> Demonstrating the successful application of the T1010 approach (as evidenced by the successful delivery of this project) to interested industries groups</w:t>
            </w:r>
          </w:p>
        </w:tc>
        <w:tc>
          <w:tcPr>
            <w:tcW w:w="3963" w:type="dxa"/>
          </w:tcPr>
          <w:p w14:paraId="488F2DCA" w14:textId="77777777" w:rsidR="00B7177E" w:rsidRDefault="00B7177E" w:rsidP="00B7177E">
            <w:pPr>
              <w:pStyle w:val="Body"/>
              <w:numPr>
                <w:ilvl w:val="0"/>
                <w:numId w:val="44"/>
              </w:numPr>
              <w:ind w:left="227" w:hanging="227"/>
            </w:pPr>
            <w:r>
              <w:t>Maintaining an ongoing service contract for exchanging UGTM data between Crossrail and Network Rail Western following the end of the project (although there is no prohibition on the parties reaching a commercial agreement to do so following the end of the project)</w:t>
            </w:r>
          </w:p>
          <w:p w14:paraId="37DC8928" w14:textId="77777777" w:rsidR="00B7177E" w:rsidRDefault="00B7177E" w:rsidP="00B7177E">
            <w:pPr>
              <w:pStyle w:val="Body"/>
              <w:numPr>
                <w:ilvl w:val="0"/>
                <w:numId w:val="44"/>
              </w:numPr>
              <w:ind w:left="227" w:hanging="227"/>
            </w:pPr>
            <w:r>
              <w:t>Disclosing any IPR-protected information related to the data broker solution implemented</w:t>
            </w:r>
          </w:p>
        </w:tc>
      </w:tr>
    </w:tbl>
    <w:p w14:paraId="206181EB" w14:textId="77777777" w:rsidR="00B7177E" w:rsidRDefault="00B7177E" w:rsidP="00B7177E">
      <w:pPr>
        <w:pStyle w:val="BodyIndent1"/>
        <w:ind w:left="0"/>
      </w:pPr>
    </w:p>
    <w:p w14:paraId="57C1EA8A" w14:textId="77777777" w:rsidR="00B7177E" w:rsidRPr="009A1653" w:rsidRDefault="00B7177E" w:rsidP="00B7177E">
      <w:pPr>
        <w:pStyle w:val="Body"/>
      </w:pPr>
    </w:p>
    <w:p w14:paraId="454F85A0" w14:textId="77777777" w:rsidR="00B7177E" w:rsidRDefault="00B7177E" w:rsidP="00B7177E">
      <w:pPr>
        <w:rPr>
          <w:rFonts w:ascii="Calibri" w:hAnsi="Calibri" w:cs="Arial"/>
          <w:color w:val="00968E"/>
          <w:sz w:val="36"/>
          <w:lang w:eastAsia="en-GB"/>
        </w:rPr>
      </w:pPr>
      <w:r>
        <w:br w:type="page"/>
      </w:r>
    </w:p>
    <w:p w14:paraId="16C62EA2" w14:textId="77777777" w:rsidR="00B7177E" w:rsidRDefault="00B7177E" w:rsidP="00B7177E">
      <w:pPr>
        <w:pStyle w:val="Heading1"/>
      </w:pPr>
      <w:r>
        <w:lastRenderedPageBreak/>
        <w:t xml:space="preserve">Methodology </w:t>
      </w:r>
    </w:p>
    <w:p w14:paraId="4BF7B8B8" w14:textId="77777777" w:rsidR="00B7177E" w:rsidRDefault="00B7177E" w:rsidP="00B7177E">
      <w:pPr>
        <w:pStyle w:val="Body"/>
      </w:pPr>
      <w:r>
        <w:t>RSSB require the supplier to deliver the tasks described in this section.</w:t>
      </w:r>
    </w:p>
    <w:p w14:paraId="797649B3" w14:textId="77777777" w:rsidR="00B7177E" w:rsidRDefault="00B7177E" w:rsidP="00B7177E">
      <w:pPr>
        <w:pStyle w:val="Body"/>
      </w:pPr>
    </w:p>
    <w:p w14:paraId="49F65695" w14:textId="77777777" w:rsidR="00B7177E" w:rsidRDefault="00B7177E" w:rsidP="00B7177E">
      <w:pPr>
        <w:pStyle w:val="Heading2"/>
        <w:numPr>
          <w:ilvl w:val="1"/>
          <w:numId w:val="57"/>
        </w:numPr>
      </w:pPr>
      <w:r>
        <w:t>Support stakeholders in reaching agreement</w:t>
      </w:r>
    </w:p>
    <w:p w14:paraId="0A646407" w14:textId="77777777" w:rsidR="00B7177E" w:rsidRDefault="00B7177E" w:rsidP="00B7177E">
      <w:pPr>
        <w:pStyle w:val="Body"/>
      </w:pPr>
      <w:r>
        <w:t>The Supplier must work with the commercial and technical representatives of the key stakeholders to help them establish the business case and set up the commercial agreement for the data transfer. This will include the following tasks:</w:t>
      </w:r>
    </w:p>
    <w:p w14:paraId="485E2879" w14:textId="77777777" w:rsidR="00B7177E" w:rsidRPr="007C100D" w:rsidRDefault="00B7177E" w:rsidP="00B7177E">
      <w:pPr>
        <w:pStyle w:val="Bullet1"/>
        <w:ind w:left="227" w:hanging="227"/>
      </w:pPr>
      <w:r w:rsidRPr="007C100D">
        <w:t>Refine the initial business case set up in the T1010-04 tool during Stage 1 of the work so that it uses estimates of costs and benefits agreed by Network Rail and the Supplier.</w:t>
      </w:r>
    </w:p>
    <w:p w14:paraId="5F43922E" w14:textId="77777777" w:rsidR="00B7177E" w:rsidRDefault="00B7177E" w:rsidP="00B7177E">
      <w:pPr>
        <w:pStyle w:val="Bullet1"/>
        <w:ind w:left="227" w:hanging="227"/>
      </w:pPr>
      <w:r>
        <w:t>Liaise with the commercial representatives of the key stakeholders to establish the commercial principles and charges to form part of the agreement between them. This will include a basis for charging, a suggested identification of IP in the data, an outline Service Level Agreement, and level of warranty. The output of this work is suggested text for the relevant schedules of the template contract from T1010-02.</w:t>
      </w:r>
    </w:p>
    <w:p w14:paraId="3E4BE1F3" w14:textId="77777777" w:rsidR="00B7177E" w:rsidRDefault="00B7177E" w:rsidP="00B7177E">
      <w:pPr>
        <w:pStyle w:val="Bullet1"/>
        <w:ind w:left="227" w:hanging="227"/>
      </w:pPr>
      <w:r>
        <w:t>Liaise with the technical representatives of the key stakeholders to establish the data items to be shared, the methods of sharing and the technical responsibilities for ensuring the transfers take place. The output of this work is suggested text for the Data schedule of the template contract from T1010-02.</w:t>
      </w:r>
    </w:p>
    <w:p w14:paraId="00280F0F" w14:textId="77777777" w:rsidR="00B7177E" w:rsidRDefault="00B7177E" w:rsidP="00B7177E">
      <w:pPr>
        <w:pStyle w:val="Bullet1"/>
        <w:ind w:left="227" w:hanging="227"/>
      </w:pPr>
      <w:r>
        <w:t>Identify gaps and weaknesses in the T1010 toolkit from the above tasks and feed these into the documentation changes described below (see 4.5 below).</w:t>
      </w:r>
    </w:p>
    <w:p w14:paraId="1BD65585" w14:textId="77777777" w:rsidR="00B7177E" w:rsidRDefault="00B7177E" w:rsidP="00B7177E">
      <w:pPr>
        <w:pStyle w:val="Bullet1"/>
        <w:numPr>
          <w:ilvl w:val="0"/>
          <w:numId w:val="0"/>
        </w:numPr>
      </w:pPr>
    </w:p>
    <w:p w14:paraId="089B8319" w14:textId="77777777" w:rsidR="00B7177E" w:rsidRDefault="00B7177E" w:rsidP="00B7177E">
      <w:pPr>
        <w:pStyle w:val="Heading2"/>
        <w:numPr>
          <w:ilvl w:val="1"/>
          <w:numId w:val="57"/>
        </w:numPr>
      </w:pPr>
      <w:r>
        <w:t>Confirm user goals and requirements</w:t>
      </w:r>
    </w:p>
    <w:p w14:paraId="51010549" w14:textId="77777777" w:rsidR="00B7177E" w:rsidRDefault="00B7177E" w:rsidP="00B7177E">
      <w:pPr>
        <w:pStyle w:val="Body"/>
      </w:pPr>
      <w:r>
        <w:t>The Supplier must liaise with Network Rail Western Route’s track maintenance function to establish the minimal useful deliverable set of requirements for the prototype data broker. These should demonstrate that the UTGM-sourced data can have some value in reducing the cost to Network Rail Western and other stakeholders caused by track faults or train maintenance activities. The requirements should encompass:</w:t>
      </w:r>
    </w:p>
    <w:p w14:paraId="2F34ABFE" w14:textId="77777777" w:rsidR="00B7177E" w:rsidRDefault="00B7177E" w:rsidP="00B7177E">
      <w:pPr>
        <w:pStyle w:val="Bullet1"/>
        <w:ind w:left="227" w:hanging="227"/>
      </w:pPr>
      <w:r>
        <w:t>A web-based user interface enabling users to browse, examine and download the captured data. This should be as simple as possible but demonstrate the capability to be extended and enhanced to provide additional functionality.</w:t>
      </w:r>
    </w:p>
    <w:p w14:paraId="12B70D63" w14:textId="77777777" w:rsidR="00B7177E" w:rsidRDefault="00B7177E" w:rsidP="00B7177E">
      <w:pPr>
        <w:pStyle w:val="Bullet1"/>
        <w:ind w:left="227" w:hanging="227"/>
      </w:pPr>
      <w:r>
        <w:t>A data interface to a software system (such as LADS). As a demonstrator, the requirement will merely be to show that interfacing data in this way is possible and that the data so transferred can be displayed alongside other similar data in a visualisation, analysis, maintenance planning or fault management tool.</w:t>
      </w:r>
    </w:p>
    <w:p w14:paraId="138947D7" w14:textId="77777777" w:rsidR="00B7177E" w:rsidRPr="005A18F7" w:rsidRDefault="00B7177E" w:rsidP="00B7177E">
      <w:pPr>
        <w:pStyle w:val="Body"/>
      </w:pPr>
    </w:p>
    <w:p w14:paraId="1495B16A" w14:textId="77777777" w:rsidR="00B7177E" w:rsidRDefault="00B7177E" w:rsidP="00B7177E">
      <w:pPr>
        <w:pStyle w:val="Heading2"/>
        <w:numPr>
          <w:ilvl w:val="1"/>
          <w:numId w:val="57"/>
        </w:numPr>
      </w:pPr>
      <w:r>
        <w:t>Liaise with other data sharing initiatives</w:t>
      </w:r>
    </w:p>
    <w:p w14:paraId="4DC3ECB9" w14:textId="77777777" w:rsidR="00B7177E" w:rsidRDefault="00B7177E" w:rsidP="00B7177E">
      <w:pPr>
        <w:pStyle w:val="Body"/>
      </w:pPr>
      <w:r>
        <w:lastRenderedPageBreak/>
        <w:t>The Supplier must ensure that the work done in this exercise is compatible with and supports the goals of other data sharing initiatives being carried out in the industry. Specifically, it needs to be aware of:</w:t>
      </w:r>
    </w:p>
    <w:p w14:paraId="705D5E67" w14:textId="77777777" w:rsidR="00B7177E" w:rsidRDefault="00B7177E" w:rsidP="00B7177E">
      <w:pPr>
        <w:pStyle w:val="Bullet1"/>
        <w:ind w:left="227" w:hanging="227"/>
      </w:pPr>
      <w:r>
        <w:t>Work under way by the Network Rail ORBIS programme to standardise on a system architecture, ontology and data model for asset-related information</w:t>
      </w:r>
    </w:p>
    <w:p w14:paraId="48FB9685" w14:textId="77777777" w:rsidR="00B7177E" w:rsidRDefault="00B7177E" w:rsidP="00B7177E">
      <w:pPr>
        <w:pStyle w:val="Bullet1"/>
        <w:ind w:left="227" w:hanging="227"/>
      </w:pPr>
      <w:r>
        <w:t>The initiative being carried out by Network Rail London North Western route on the processing and storage of data about overhead line equipment gathered by unattended monitoring on some Virgin Trains Class 390 units using a “Tactical Data Hub”</w:t>
      </w:r>
    </w:p>
    <w:p w14:paraId="76CA44F4" w14:textId="77777777" w:rsidR="00B7177E" w:rsidRDefault="00B7177E" w:rsidP="00B7177E">
      <w:pPr>
        <w:pStyle w:val="Bullet1"/>
        <w:ind w:left="227" w:hanging="227"/>
      </w:pPr>
      <w:r>
        <w:t>The European In2Smart project, part of the Shift2Rail programme, in which Network Rail are a participant</w:t>
      </w:r>
    </w:p>
    <w:p w14:paraId="48C44046" w14:textId="77777777" w:rsidR="00B7177E" w:rsidRDefault="00B7177E" w:rsidP="00B7177E">
      <w:pPr>
        <w:pStyle w:val="Bullet1"/>
        <w:numPr>
          <w:ilvl w:val="0"/>
          <w:numId w:val="0"/>
        </w:numPr>
      </w:pPr>
    </w:p>
    <w:p w14:paraId="2BE28C2E" w14:textId="77777777" w:rsidR="00B7177E" w:rsidRDefault="00B7177E" w:rsidP="00B7177E">
      <w:pPr>
        <w:pStyle w:val="Heading2"/>
        <w:numPr>
          <w:ilvl w:val="1"/>
          <w:numId w:val="57"/>
        </w:numPr>
      </w:pPr>
      <w:r>
        <w:t>Set up prototype data broker</w:t>
      </w:r>
    </w:p>
    <w:p w14:paraId="2D2896E1" w14:textId="77777777" w:rsidR="00B7177E" w:rsidRDefault="00B7177E" w:rsidP="00B7177E">
      <w:pPr>
        <w:pStyle w:val="Body"/>
      </w:pPr>
      <w:r>
        <w:t>The Supplier must set up a prototype data broker service to demonstrate the ability to mediate the transfer of the required data using the principles established in T1010-01. The prototype must provide at a minimum the following functionality:</w:t>
      </w:r>
    </w:p>
    <w:p w14:paraId="09310B3C" w14:textId="77777777" w:rsidR="00B7177E" w:rsidRDefault="00B7177E" w:rsidP="00B7177E">
      <w:pPr>
        <w:pStyle w:val="Bullet1"/>
        <w:ind w:left="227" w:hanging="227"/>
      </w:pPr>
      <w:r>
        <w:t>It must accept or fetch the data files produced by the Crossrail UTGM equipment, as landed by Crossrail’s data provider Bombardier Transportation. The process of accepting data must be one consistent with T1010-01 adapter principles and must use a standard file transfer protocol such as secure ftp. The data fetching process must be automatic as files are made available.</w:t>
      </w:r>
    </w:p>
    <w:p w14:paraId="3988B9F0" w14:textId="77777777" w:rsidR="00B7177E" w:rsidRDefault="00B7177E" w:rsidP="00B7177E">
      <w:pPr>
        <w:pStyle w:val="Bullet1"/>
        <w:ind w:left="227" w:hanging="227"/>
      </w:pPr>
      <w:r>
        <w:t>It must carry out any format changes and mappings to cast the data provided into a standard format that would be consistent with similar data provided by other suppliers of similar data – i.e. it must use an inbound data adapter. The data adapter must be built in such a way that it represents an example of best practice that could be used by future data adapters to map other data sources to the same standard data format.</w:t>
      </w:r>
    </w:p>
    <w:p w14:paraId="4D520E6B" w14:textId="77777777" w:rsidR="00B7177E" w:rsidRDefault="00B7177E" w:rsidP="00B7177E">
      <w:pPr>
        <w:pStyle w:val="Bullet1"/>
        <w:ind w:left="227" w:hanging="227"/>
      </w:pPr>
      <w:r>
        <w:t>It must filter the captured data by location so that NR Western can only gain access to data about their own infrastructure, not that of Crossrail or other NR routes that the Crossrail trains operate over. The filtering mechanism used must be configurable so that, for example, it could be changed to make only data for NR Anglia Route available to users from that Route.</w:t>
      </w:r>
    </w:p>
    <w:p w14:paraId="5FFFFDBB" w14:textId="77777777" w:rsidR="00B7177E" w:rsidRDefault="00B7177E" w:rsidP="00B7177E">
      <w:pPr>
        <w:pStyle w:val="Bullet1"/>
        <w:ind w:left="227" w:hanging="227"/>
      </w:pPr>
      <w:r>
        <w:t>It must make the captured data available to NR Western users by means of a web user interface which will permit them to identify data available by date and railway location and download data on request in a standard .CSV based format corresponding to T1010-01 principles.</w:t>
      </w:r>
    </w:p>
    <w:p w14:paraId="7AB5C71F" w14:textId="77777777" w:rsidR="00B7177E" w:rsidRDefault="00B7177E" w:rsidP="00B7177E">
      <w:pPr>
        <w:pStyle w:val="Bullet1"/>
        <w:ind w:left="227" w:hanging="227"/>
      </w:pPr>
      <w:r>
        <w:t>It must make the captured data available to NR Western by means of a REST-style web service which will permit an application at NR Western to query data by date and railway location and receive a response in JSON format. The web service should use an addressing scheme for the service which corresponds to the API principles set out in T1010-01 and which could extend to other geographical areas if required in future.</w:t>
      </w:r>
    </w:p>
    <w:p w14:paraId="2AA4E873" w14:textId="77777777" w:rsidR="00B7177E" w:rsidRDefault="00B7177E" w:rsidP="00B7177E">
      <w:pPr>
        <w:pStyle w:val="Bullet1"/>
        <w:ind w:left="227" w:hanging="227"/>
      </w:pPr>
      <w:r>
        <w:lastRenderedPageBreak/>
        <w:t>It must store the captured data for a definable length of time (initially no more than 1 month) to demonstrate the ability to query historic data. After that time, data may be deleted.</w:t>
      </w:r>
    </w:p>
    <w:p w14:paraId="137644BE" w14:textId="77777777" w:rsidR="00B7177E" w:rsidRDefault="00B7177E" w:rsidP="00B7177E">
      <w:pPr>
        <w:pStyle w:val="Body"/>
      </w:pPr>
      <w:r>
        <w:t>In addition to these requirements, the prototype data broker should be set up in such a way that it could potentially be re-used and developed. Possible areas are:</w:t>
      </w:r>
    </w:p>
    <w:p w14:paraId="3B37F302" w14:textId="77777777" w:rsidR="00B7177E" w:rsidRDefault="00B7177E" w:rsidP="00B7177E">
      <w:pPr>
        <w:pStyle w:val="Bullet1"/>
        <w:ind w:left="227" w:hanging="227"/>
      </w:pPr>
      <w:r>
        <w:t>Development for use as the “production” system for the current project. This means it will need the ability to scale to keep and return the captured data for a period of time to be determined by the users and with query performance meeting an agreed SLA; it will need full security and access control; it will need backup, disaster recovery and other data resilience features to be added; it will need full logging and compliance measurement; it will need a charging mechanism to be established for the use, throughput and storage of data and provision of services</w:t>
      </w:r>
    </w:p>
    <w:p w14:paraId="6C72603A" w14:textId="77777777" w:rsidR="00B7177E" w:rsidRDefault="00B7177E" w:rsidP="00B7177E">
      <w:pPr>
        <w:pStyle w:val="Bullet1"/>
        <w:ind w:left="227" w:hanging="227"/>
      </w:pPr>
      <w:r>
        <w:t>Extension to include other types of data gathered by Class 345 trains, such as OLE-related or track noise data</w:t>
      </w:r>
    </w:p>
    <w:p w14:paraId="7AE27C5D" w14:textId="77777777" w:rsidR="00B7177E" w:rsidRDefault="00B7177E" w:rsidP="00B7177E">
      <w:pPr>
        <w:pStyle w:val="Bullet1"/>
        <w:ind w:left="227" w:hanging="227"/>
      </w:pPr>
      <w:r>
        <w:t>Extension to enable other NR routes to gain access to the Class 345 captured data. NR Anglia route is one such</w:t>
      </w:r>
    </w:p>
    <w:p w14:paraId="5DCA002F" w14:textId="77777777" w:rsidR="00B7177E" w:rsidRDefault="00B7177E" w:rsidP="00B7177E">
      <w:pPr>
        <w:pStyle w:val="Bullet1"/>
        <w:ind w:left="227" w:hanging="227"/>
      </w:pPr>
      <w:r>
        <w:t>Extension to support other similar data sources such as the UTGM equipment to be mounted on Class 800 IEP trains on the Western route</w:t>
      </w:r>
    </w:p>
    <w:p w14:paraId="2975E36B" w14:textId="77777777" w:rsidR="00B7177E" w:rsidRDefault="00B7177E" w:rsidP="00B7177E">
      <w:pPr>
        <w:pStyle w:val="Bullet1"/>
        <w:ind w:left="227" w:hanging="227"/>
      </w:pPr>
      <w:r>
        <w:t>Development to add other demonstration web services such as location mapping, data manipulation such as smoothing, averaging and time-sequencing</w:t>
      </w:r>
    </w:p>
    <w:p w14:paraId="2AA23945" w14:textId="77777777" w:rsidR="00B7177E" w:rsidRDefault="00B7177E" w:rsidP="00B7177E">
      <w:pPr>
        <w:pStyle w:val="Bullet1"/>
        <w:numPr>
          <w:ilvl w:val="0"/>
          <w:numId w:val="0"/>
        </w:numPr>
      </w:pPr>
    </w:p>
    <w:p w14:paraId="2C7BC4CA" w14:textId="77777777" w:rsidR="00B7177E" w:rsidRDefault="00B7177E" w:rsidP="00B7177E">
      <w:pPr>
        <w:pStyle w:val="Heading2"/>
        <w:numPr>
          <w:ilvl w:val="1"/>
          <w:numId w:val="57"/>
        </w:numPr>
      </w:pPr>
      <w:bookmarkStart w:id="11" w:name="_Ref482792363"/>
      <w:r>
        <w:t>Set up documentation and guidance</w:t>
      </w:r>
      <w:bookmarkEnd w:id="11"/>
    </w:p>
    <w:p w14:paraId="2339401E" w14:textId="77777777" w:rsidR="00B7177E" w:rsidRDefault="00B7177E" w:rsidP="00B7177E">
      <w:pPr>
        <w:pStyle w:val="Body"/>
      </w:pPr>
      <w:r>
        <w:t>The Supplier must populate the user guidance template attached based on experience gained from the use of the toolkit in the above tasks. In particular, guidance should be given on:</w:t>
      </w:r>
    </w:p>
    <w:p w14:paraId="665D845B" w14:textId="77777777" w:rsidR="00B7177E" w:rsidRDefault="00B7177E" w:rsidP="00B7177E">
      <w:pPr>
        <w:pStyle w:val="Bullet1"/>
        <w:ind w:left="227" w:hanging="227"/>
      </w:pPr>
      <w:r>
        <w:t>How to source and validate the unit costs and potential savings to be made in whole life asset cost</w:t>
      </w:r>
    </w:p>
    <w:p w14:paraId="2CAB7F83" w14:textId="77777777" w:rsidR="00B7177E" w:rsidRDefault="00B7177E" w:rsidP="00B7177E">
      <w:pPr>
        <w:pStyle w:val="Bullet1"/>
        <w:ind w:left="227" w:hanging="227"/>
      </w:pPr>
      <w:r>
        <w:t>How to source the costs of performance impacts such as train delays and cancellations</w:t>
      </w:r>
    </w:p>
    <w:p w14:paraId="4A478002" w14:textId="77777777" w:rsidR="00B7177E" w:rsidRDefault="00B7177E" w:rsidP="00B7177E">
      <w:pPr>
        <w:pStyle w:val="Bullet1"/>
        <w:ind w:left="227" w:hanging="227"/>
      </w:pPr>
      <w:r>
        <w:t>How to estimate the types and volumes of IT inputs required to achieve different levels of RCM data integration and the costs associated with these.</w:t>
      </w:r>
    </w:p>
    <w:p w14:paraId="3406A824" w14:textId="77777777" w:rsidR="00B7177E" w:rsidRDefault="00B7177E" w:rsidP="00B7177E">
      <w:pPr>
        <w:pStyle w:val="Bullet1"/>
        <w:ind w:left="227" w:hanging="227"/>
      </w:pPr>
      <w:r>
        <w:t>How to turn the resulting party-specific costs and benefits into a template benefit sharing arrangement or charging basis.</w:t>
      </w:r>
    </w:p>
    <w:p w14:paraId="7E6D37A1" w14:textId="77777777" w:rsidR="00B7177E" w:rsidRDefault="00B7177E" w:rsidP="00B7177E">
      <w:pPr>
        <w:pStyle w:val="Bullet1"/>
        <w:ind w:left="227" w:hanging="227"/>
      </w:pPr>
      <w:r>
        <w:t>How to construct the contract schedules based on specific circumstances.</w:t>
      </w:r>
    </w:p>
    <w:p w14:paraId="3EFC116D" w14:textId="77777777" w:rsidR="00B7177E" w:rsidRDefault="00B7177E" w:rsidP="00B7177E">
      <w:pPr>
        <w:pStyle w:val="Bullet1"/>
        <w:ind w:left="227" w:hanging="227"/>
      </w:pPr>
      <w:r>
        <w:t xml:space="preserve">How to handle intellectual property concerns.  </w:t>
      </w:r>
    </w:p>
    <w:p w14:paraId="673558D7" w14:textId="77777777" w:rsidR="00B7177E" w:rsidRDefault="00B7177E" w:rsidP="00B7177E">
      <w:pPr>
        <w:pStyle w:val="Body"/>
      </w:pPr>
      <w:r>
        <w:t>The Supplier must provide documentation for the data interfaces and adapters used in the prototype using industry-standard methods to support future users of the data broker. The documentation should comprise at a minimum the following:</w:t>
      </w:r>
    </w:p>
    <w:p w14:paraId="049E0C92" w14:textId="77777777" w:rsidR="00B7177E" w:rsidRDefault="00B7177E" w:rsidP="00B7177E">
      <w:pPr>
        <w:pStyle w:val="Bullet1"/>
        <w:ind w:left="227" w:hanging="227"/>
      </w:pPr>
      <w:r>
        <w:t>A documentation wiki describing data structures and best practice on how to build technical interfaces</w:t>
      </w:r>
    </w:p>
    <w:p w14:paraId="3E54F60F" w14:textId="77777777" w:rsidR="00B7177E" w:rsidRDefault="00B7177E" w:rsidP="00B7177E">
      <w:pPr>
        <w:pStyle w:val="Bullet1"/>
        <w:ind w:left="227" w:hanging="227"/>
      </w:pPr>
      <w:r>
        <w:lastRenderedPageBreak/>
        <w:t>A code repository with source code for the data adapters used, to act as templates for future adapter builders</w:t>
      </w:r>
    </w:p>
    <w:p w14:paraId="5C70800E" w14:textId="77777777" w:rsidR="00B7177E" w:rsidRDefault="00B7177E" w:rsidP="00B7177E">
      <w:pPr>
        <w:pStyle w:val="Bullet1"/>
        <w:ind w:left="227" w:hanging="227"/>
      </w:pPr>
      <w:r>
        <w:t>An API specification for the REST web service.</w:t>
      </w:r>
    </w:p>
    <w:p w14:paraId="62ED746C" w14:textId="77777777" w:rsidR="00B7177E" w:rsidRDefault="00B7177E" w:rsidP="00B7177E">
      <w:pPr>
        <w:pStyle w:val="Bullet1"/>
        <w:numPr>
          <w:ilvl w:val="0"/>
          <w:numId w:val="0"/>
        </w:numPr>
      </w:pPr>
    </w:p>
    <w:p w14:paraId="4A983D2F" w14:textId="77777777" w:rsidR="00B7177E" w:rsidRDefault="00B7177E" w:rsidP="00B7177E">
      <w:pPr>
        <w:pStyle w:val="Heading2"/>
        <w:numPr>
          <w:ilvl w:val="1"/>
          <w:numId w:val="57"/>
        </w:numPr>
      </w:pPr>
      <w:r>
        <w:t>Advise on “production” data broker</w:t>
      </w:r>
    </w:p>
    <w:p w14:paraId="4D7007C5" w14:textId="77777777" w:rsidR="00B7177E" w:rsidRDefault="00B7177E" w:rsidP="00B7177E">
      <w:pPr>
        <w:pStyle w:val="Body"/>
      </w:pPr>
      <w:r>
        <w:t>The Supplier must assist the stakeholders to set up the technical contract schedules for a production version of the data broker, which they will then procure separately. The key schedules are the Specification (Schedule 2 of the template contract) and the Service Level Agreement (Schedule 6).</w:t>
      </w:r>
    </w:p>
    <w:p w14:paraId="5DE6E648" w14:textId="77777777" w:rsidR="00B7177E" w:rsidRDefault="00B7177E" w:rsidP="00B7177E">
      <w:pPr>
        <w:pStyle w:val="Body"/>
      </w:pPr>
    </w:p>
    <w:p w14:paraId="7E1D5090" w14:textId="77777777" w:rsidR="00B7177E" w:rsidRDefault="00B7177E" w:rsidP="00B7177E">
      <w:pPr>
        <w:pStyle w:val="Heading2"/>
        <w:numPr>
          <w:ilvl w:val="1"/>
          <w:numId w:val="57"/>
        </w:numPr>
      </w:pPr>
      <w:r>
        <w:t>Demonstrate to Industry Body</w:t>
      </w:r>
    </w:p>
    <w:p w14:paraId="45A8A08B" w14:textId="77777777" w:rsidR="00B7177E" w:rsidRPr="00694CD3" w:rsidRDefault="00B7177E" w:rsidP="00B7177E">
      <w:pPr>
        <w:pStyle w:val="Body"/>
      </w:pPr>
      <w:r>
        <w:t>The Supplier must prepare and present a demonstration of the developed data broker solution to an industry conference. The demonstration should show how the broker-based approach simplifies data interchange and supports the addition of new data sources and novel uses of the data. It should also show how the toolkit documentation and online repository support technicians who wish to connect to the broker.</w:t>
      </w:r>
    </w:p>
    <w:p w14:paraId="7123D4A0" w14:textId="77777777" w:rsidR="00B7177E" w:rsidRPr="00A53EA0" w:rsidRDefault="00B7177E" w:rsidP="00B7177E">
      <w:pPr>
        <w:rPr>
          <w:rFonts w:ascii="Calibri" w:hAnsi="Calibri" w:cs="Arial"/>
          <w:lang w:eastAsia="en-GB"/>
        </w:rPr>
      </w:pPr>
    </w:p>
    <w:p w14:paraId="06A1000E" w14:textId="77777777" w:rsidR="00B7177E" w:rsidRDefault="00B7177E" w:rsidP="00B7177E">
      <w:pPr>
        <w:rPr>
          <w:rFonts w:ascii="Calibri" w:hAnsi="Calibri" w:cs="Arial"/>
          <w:color w:val="00968E"/>
          <w:sz w:val="36"/>
          <w:lang w:eastAsia="en-GB"/>
        </w:rPr>
      </w:pPr>
      <w:r>
        <w:br w:type="page"/>
      </w:r>
    </w:p>
    <w:p w14:paraId="698BCB5C" w14:textId="77777777" w:rsidR="00B7177E" w:rsidRPr="006440C8" w:rsidRDefault="00B7177E" w:rsidP="00B7177E">
      <w:pPr>
        <w:pStyle w:val="Heading1"/>
        <w:numPr>
          <w:ilvl w:val="0"/>
          <w:numId w:val="57"/>
        </w:numPr>
        <w:ind w:left="0"/>
      </w:pPr>
      <w:r>
        <w:lastRenderedPageBreak/>
        <w:t>Deliverables</w:t>
      </w:r>
    </w:p>
    <w:tbl>
      <w:tblPr>
        <w:tblStyle w:val="TableGrid"/>
        <w:tblpPr w:leftFromText="180" w:rightFromText="180" w:vertAnchor="text" w:horzAnchor="margin" w:tblpY="46"/>
        <w:tblOverlap w:val="never"/>
        <w:tblW w:w="8364" w:type="dxa"/>
        <w:tblLayout w:type="fixed"/>
        <w:tblLook w:val="04A0" w:firstRow="1" w:lastRow="0" w:firstColumn="1" w:lastColumn="0" w:noHBand="0" w:noVBand="1"/>
      </w:tblPr>
      <w:tblGrid>
        <w:gridCol w:w="2552"/>
        <w:gridCol w:w="2151"/>
        <w:gridCol w:w="3661"/>
      </w:tblGrid>
      <w:tr w:rsidR="00B7177E" w14:paraId="7AB6CA5A" w14:textId="77777777" w:rsidTr="005C6A5B">
        <w:tc>
          <w:tcPr>
            <w:tcW w:w="2552" w:type="dxa"/>
            <w:shd w:val="clear" w:color="auto" w:fill="auto"/>
          </w:tcPr>
          <w:p w14:paraId="3305840E" w14:textId="77777777" w:rsidR="00B7177E" w:rsidRPr="005E3F59" w:rsidRDefault="00B7177E" w:rsidP="005C6A5B">
            <w:pPr>
              <w:pStyle w:val="TableHead"/>
            </w:pPr>
            <w:r w:rsidRPr="005E3F59">
              <w:t>Deliverable name</w:t>
            </w:r>
          </w:p>
        </w:tc>
        <w:tc>
          <w:tcPr>
            <w:tcW w:w="2151" w:type="dxa"/>
            <w:shd w:val="clear" w:color="auto" w:fill="auto"/>
          </w:tcPr>
          <w:p w14:paraId="75A7DBAF" w14:textId="77777777" w:rsidR="00B7177E" w:rsidRPr="005E3F59" w:rsidRDefault="00B7177E" w:rsidP="005C6A5B">
            <w:pPr>
              <w:pStyle w:val="TableHead"/>
            </w:pPr>
            <w:r w:rsidRPr="005E3F59">
              <w:t>Type</w:t>
            </w:r>
          </w:p>
        </w:tc>
        <w:tc>
          <w:tcPr>
            <w:tcW w:w="3661" w:type="dxa"/>
            <w:shd w:val="clear" w:color="auto" w:fill="auto"/>
          </w:tcPr>
          <w:p w14:paraId="43A3B72B" w14:textId="77777777" w:rsidR="00B7177E" w:rsidRPr="005E3F59" w:rsidRDefault="00B7177E" w:rsidP="005C6A5B">
            <w:pPr>
              <w:pStyle w:val="TableHead"/>
            </w:pPr>
            <w:r w:rsidRPr="005E3F59">
              <w:t>Description</w:t>
            </w:r>
          </w:p>
        </w:tc>
      </w:tr>
      <w:tr w:rsidR="00B7177E" w14:paraId="285E6201" w14:textId="77777777" w:rsidTr="005C6A5B">
        <w:tc>
          <w:tcPr>
            <w:tcW w:w="2552" w:type="dxa"/>
          </w:tcPr>
          <w:p w14:paraId="517DE7D0" w14:textId="77777777" w:rsidR="00B7177E" w:rsidRDefault="00B7177E" w:rsidP="005C6A5B">
            <w:pPr>
              <w:pStyle w:val="TableBodyLeft"/>
            </w:pPr>
            <w:r>
              <w:t>Prototype Data Broker</w:t>
            </w:r>
          </w:p>
        </w:tc>
        <w:tc>
          <w:tcPr>
            <w:tcW w:w="2151" w:type="dxa"/>
          </w:tcPr>
          <w:p w14:paraId="6632FFFC" w14:textId="77777777" w:rsidR="00B7177E" w:rsidRDefault="00B7177E" w:rsidP="005C6A5B">
            <w:pPr>
              <w:pStyle w:val="TableBodyLeft"/>
            </w:pPr>
            <w:r>
              <w:t>Prototype</w:t>
            </w:r>
          </w:p>
        </w:tc>
        <w:tc>
          <w:tcPr>
            <w:tcW w:w="3661" w:type="dxa"/>
          </w:tcPr>
          <w:p w14:paraId="4D935631" w14:textId="77777777" w:rsidR="00B7177E" w:rsidRDefault="00B7177E" w:rsidP="005C6A5B">
            <w:pPr>
              <w:pStyle w:val="TableBodyLeft"/>
            </w:pPr>
            <w:r>
              <w:t>The supplier provides all non-IP protected code to support future development of production systems.</w:t>
            </w:r>
          </w:p>
        </w:tc>
      </w:tr>
      <w:tr w:rsidR="00B7177E" w14:paraId="047F526F" w14:textId="77777777" w:rsidTr="005C6A5B">
        <w:tc>
          <w:tcPr>
            <w:tcW w:w="2552" w:type="dxa"/>
          </w:tcPr>
          <w:p w14:paraId="47E28FCA" w14:textId="77777777" w:rsidR="00B7177E" w:rsidRDefault="00B7177E" w:rsidP="005C6A5B">
            <w:pPr>
              <w:pStyle w:val="TableBodyLeft"/>
            </w:pPr>
            <w:r>
              <w:t>Demonstration of a functioning prototype data broker service</w:t>
            </w:r>
          </w:p>
        </w:tc>
        <w:tc>
          <w:tcPr>
            <w:tcW w:w="2151" w:type="dxa"/>
          </w:tcPr>
          <w:p w14:paraId="59B3008A" w14:textId="77777777" w:rsidR="00B7177E" w:rsidRDefault="00B7177E" w:rsidP="005C6A5B">
            <w:pPr>
              <w:pStyle w:val="TableBodyLeft"/>
            </w:pPr>
            <w:r>
              <w:t>Presentation (of prototype)</w:t>
            </w:r>
          </w:p>
        </w:tc>
        <w:tc>
          <w:tcPr>
            <w:tcW w:w="3661" w:type="dxa"/>
          </w:tcPr>
          <w:p w14:paraId="432884E6" w14:textId="77777777" w:rsidR="00B7177E" w:rsidRDefault="00B7177E" w:rsidP="005C6A5B">
            <w:pPr>
              <w:pStyle w:val="TableBodyLeft"/>
              <w:rPr>
                <w:rFonts w:asciiTheme="minorHAnsi" w:hAnsiTheme="minorHAnsi"/>
              </w:rPr>
            </w:pPr>
            <w:r>
              <w:t>Demonstrate the ability to mediate the transfer of UTGM data between Crossrail and NR in accordance with the principles established in T1010.  The presentation explains how the broker-based approach simplifies data interchange and supports the addition of new data sources and novel uses of the data. It also shows how the updated T1010 toolkit documentation and online repository support technicians who wish to connect to the broker.</w:t>
            </w:r>
          </w:p>
        </w:tc>
      </w:tr>
      <w:tr w:rsidR="00B7177E" w14:paraId="5999FB5C" w14:textId="77777777" w:rsidTr="005C6A5B">
        <w:tc>
          <w:tcPr>
            <w:tcW w:w="2552" w:type="dxa"/>
          </w:tcPr>
          <w:p w14:paraId="238A2EDD" w14:textId="77777777" w:rsidR="00B7177E" w:rsidRDefault="00B7177E" w:rsidP="005C6A5B">
            <w:pPr>
              <w:pStyle w:val="TableBodyLeft"/>
            </w:pPr>
            <w:r>
              <w:t>Case study report</w:t>
            </w:r>
          </w:p>
        </w:tc>
        <w:tc>
          <w:tcPr>
            <w:tcW w:w="2151" w:type="dxa"/>
          </w:tcPr>
          <w:p w14:paraId="07349327" w14:textId="77777777" w:rsidR="00B7177E" w:rsidRDefault="00B7177E" w:rsidP="005C6A5B">
            <w:pPr>
              <w:pStyle w:val="TableBodyLeft"/>
            </w:pPr>
            <w:r>
              <w:t>Report</w:t>
            </w:r>
          </w:p>
        </w:tc>
        <w:tc>
          <w:tcPr>
            <w:tcW w:w="3661" w:type="dxa"/>
          </w:tcPr>
          <w:p w14:paraId="06FE01DC" w14:textId="77777777" w:rsidR="00B7177E" w:rsidRDefault="00B7177E" w:rsidP="005C6A5B">
            <w:pPr>
              <w:pStyle w:val="TableBodyLeft"/>
              <w:rPr>
                <w:rFonts w:asciiTheme="minorHAnsi" w:hAnsiTheme="minorHAnsi"/>
              </w:rPr>
            </w:pPr>
            <w:r>
              <w:rPr>
                <w:rFonts w:asciiTheme="minorHAnsi" w:hAnsiTheme="minorHAnsi"/>
              </w:rPr>
              <w:t xml:space="preserve">This case study report </w:t>
            </w:r>
            <w:r w:rsidRPr="001266B6">
              <w:rPr>
                <w:rFonts w:asciiTheme="minorHAnsi" w:hAnsiTheme="minorHAnsi"/>
              </w:rPr>
              <w:t>describes the</w:t>
            </w:r>
            <w:r w:rsidRPr="00CF3DC0">
              <w:rPr>
                <w:rFonts w:asciiTheme="minorHAnsi" w:hAnsiTheme="minorHAnsi"/>
              </w:rPr>
              <w:t xml:space="preserve"> background to the </w:t>
            </w:r>
            <w:r>
              <w:rPr>
                <w:rFonts w:asciiTheme="minorHAnsi" w:hAnsiTheme="minorHAnsi"/>
              </w:rPr>
              <w:t>implementation project, the success of the T1010 data-sharing approach, and the benefits generated.</w:t>
            </w:r>
          </w:p>
        </w:tc>
      </w:tr>
      <w:tr w:rsidR="00B7177E" w14:paraId="0EE3E8C6" w14:textId="77777777" w:rsidTr="005C6A5B">
        <w:tc>
          <w:tcPr>
            <w:tcW w:w="2552" w:type="dxa"/>
          </w:tcPr>
          <w:p w14:paraId="034CD93C" w14:textId="77777777" w:rsidR="00B7177E" w:rsidRDefault="00B7177E" w:rsidP="005C6A5B">
            <w:pPr>
              <w:pStyle w:val="TableBodyLeft"/>
            </w:pPr>
            <w:r>
              <w:t>Updated T1010 toolkit</w:t>
            </w:r>
          </w:p>
        </w:tc>
        <w:tc>
          <w:tcPr>
            <w:tcW w:w="2151" w:type="dxa"/>
          </w:tcPr>
          <w:p w14:paraId="363679FC" w14:textId="77777777" w:rsidR="00B7177E" w:rsidRDefault="00B7177E" w:rsidP="005C6A5B">
            <w:pPr>
              <w:pStyle w:val="TableBodyLeft"/>
            </w:pPr>
            <w:r>
              <w:t>Documentation</w:t>
            </w:r>
          </w:p>
        </w:tc>
        <w:tc>
          <w:tcPr>
            <w:tcW w:w="3661" w:type="dxa"/>
          </w:tcPr>
          <w:p w14:paraId="62F29250" w14:textId="77777777" w:rsidR="00B7177E" w:rsidRPr="009E6941" w:rsidRDefault="00B7177E" w:rsidP="005C6A5B">
            <w:pPr>
              <w:pStyle w:val="TableBodyLeft"/>
              <w:rPr>
                <w:rFonts w:asciiTheme="minorHAnsi" w:hAnsiTheme="minorHAnsi"/>
              </w:rPr>
            </w:pPr>
            <w:r>
              <w:rPr>
                <w:rFonts w:asciiTheme="minorHAnsi" w:hAnsiTheme="minorHAnsi"/>
              </w:rPr>
              <w:t>This documentation is an update to the original T1010 toolkit – it incorporates any technical and operational learning from the supported implementation project, and supersedes the old toolkit.</w:t>
            </w:r>
          </w:p>
        </w:tc>
      </w:tr>
      <w:tr w:rsidR="00B7177E" w14:paraId="3570400A" w14:textId="77777777" w:rsidTr="005C6A5B">
        <w:tc>
          <w:tcPr>
            <w:tcW w:w="2552" w:type="dxa"/>
          </w:tcPr>
          <w:p w14:paraId="5865A202" w14:textId="77777777" w:rsidR="00B7177E" w:rsidRDefault="00B7177E" w:rsidP="005C6A5B">
            <w:pPr>
              <w:pStyle w:val="TableBodyLeft"/>
            </w:pPr>
            <w:r>
              <w:t>T1010 toolkit user guide</w:t>
            </w:r>
          </w:p>
        </w:tc>
        <w:tc>
          <w:tcPr>
            <w:tcW w:w="2151" w:type="dxa"/>
          </w:tcPr>
          <w:p w14:paraId="4E051BC4" w14:textId="77777777" w:rsidR="00B7177E" w:rsidRDefault="00B7177E" w:rsidP="005C6A5B">
            <w:pPr>
              <w:pStyle w:val="TableBodyLeft"/>
            </w:pPr>
            <w:r>
              <w:t>Guidance</w:t>
            </w:r>
          </w:p>
        </w:tc>
        <w:tc>
          <w:tcPr>
            <w:tcW w:w="3661" w:type="dxa"/>
          </w:tcPr>
          <w:p w14:paraId="3506FD67" w14:textId="77777777" w:rsidR="00B7177E" w:rsidRDefault="00B7177E" w:rsidP="005C6A5B">
            <w:pPr>
              <w:pStyle w:val="TableBodyLeft"/>
              <w:rPr>
                <w:rFonts w:asciiTheme="minorHAnsi" w:hAnsiTheme="minorHAnsi"/>
              </w:rPr>
            </w:pPr>
            <w:r>
              <w:rPr>
                <w:rFonts w:asciiTheme="minorHAnsi" w:hAnsiTheme="minorHAnsi"/>
              </w:rPr>
              <w:t>This guidance provides practical information for railway parties on the application of the updated T1010 toolkit based on the successful implementation of data-sharing between Crossrail and NR Western.</w:t>
            </w:r>
          </w:p>
          <w:p w14:paraId="68343208" w14:textId="77777777" w:rsidR="00B7177E" w:rsidRDefault="00B7177E" w:rsidP="005C6A5B">
            <w:pPr>
              <w:pStyle w:val="TableBodyLeft"/>
              <w:rPr>
                <w:rFonts w:asciiTheme="minorHAnsi" w:hAnsiTheme="minorHAnsi"/>
              </w:rPr>
            </w:pPr>
            <w:r>
              <w:rPr>
                <w:rFonts w:asciiTheme="minorHAnsi" w:hAnsiTheme="minorHAnsi"/>
              </w:rPr>
              <w:t>This document will include guidance for future parties on how to setup a data broker to share data in accordance with updated T1010 protocols.</w:t>
            </w:r>
          </w:p>
        </w:tc>
      </w:tr>
    </w:tbl>
    <w:p w14:paraId="2E557F06" w14:textId="77777777" w:rsidR="00B7177E" w:rsidRDefault="00B7177E" w:rsidP="00B7177E">
      <w:pPr>
        <w:pStyle w:val="Heading1"/>
        <w:numPr>
          <w:ilvl w:val="0"/>
          <w:numId w:val="0"/>
        </w:numPr>
      </w:pPr>
    </w:p>
    <w:p w14:paraId="20F6D648" w14:textId="77777777" w:rsidR="00B7177E" w:rsidRDefault="00B7177E" w:rsidP="00B7177E">
      <w:pPr>
        <w:pStyle w:val="Heading1"/>
        <w:numPr>
          <w:ilvl w:val="0"/>
          <w:numId w:val="57"/>
        </w:numPr>
        <w:ind w:left="0"/>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B7177E" w14:paraId="538BA40D" w14:textId="77777777" w:rsidTr="005C6A5B">
        <w:tc>
          <w:tcPr>
            <w:tcW w:w="1816" w:type="dxa"/>
            <w:vAlign w:val="center"/>
          </w:tcPr>
          <w:p w14:paraId="38875E79" w14:textId="77777777" w:rsidR="00B7177E" w:rsidRPr="00325F01" w:rsidRDefault="00B7177E" w:rsidP="005C6A5B">
            <w:pPr>
              <w:pStyle w:val="TableBodyLeft"/>
            </w:pPr>
          </w:p>
        </w:tc>
        <w:tc>
          <w:tcPr>
            <w:tcW w:w="3849" w:type="dxa"/>
            <w:vAlign w:val="center"/>
          </w:tcPr>
          <w:p w14:paraId="3C402B63" w14:textId="77777777" w:rsidR="00B7177E" w:rsidRPr="00325F01" w:rsidRDefault="00B7177E" w:rsidP="005C6A5B">
            <w:pPr>
              <w:pStyle w:val="TableBodyLeft"/>
            </w:pPr>
            <w:r w:rsidRPr="00325F01">
              <w:rPr>
                <w:b/>
                <w:bCs/>
                <w:kern w:val="28"/>
              </w:rPr>
              <w:t>General role in project</w:t>
            </w:r>
          </w:p>
        </w:tc>
        <w:tc>
          <w:tcPr>
            <w:tcW w:w="2694" w:type="dxa"/>
            <w:vAlign w:val="center"/>
          </w:tcPr>
          <w:p w14:paraId="04CD503B" w14:textId="77777777" w:rsidR="00B7177E" w:rsidRPr="00325F01" w:rsidRDefault="00B7177E" w:rsidP="005C6A5B">
            <w:pPr>
              <w:pStyle w:val="TableBodyLeft"/>
            </w:pPr>
            <w:r w:rsidRPr="00325F01">
              <w:rPr>
                <w:b/>
                <w:bCs/>
                <w:kern w:val="28"/>
              </w:rPr>
              <w:t>Specific role in acceptance of deliverables</w:t>
            </w:r>
          </w:p>
        </w:tc>
      </w:tr>
      <w:tr w:rsidR="00B7177E" w14:paraId="2F775D4C" w14:textId="77777777" w:rsidTr="005C6A5B">
        <w:tc>
          <w:tcPr>
            <w:tcW w:w="1816" w:type="dxa"/>
            <w:vAlign w:val="center"/>
          </w:tcPr>
          <w:p w14:paraId="2F215E8A" w14:textId="77777777" w:rsidR="00B7177E" w:rsidRPr="00420F8C" w:rsidRDefault="00B7177E" w:rsidP="005C6A5B">
            <w:pPr>
              <w:pStyle w:val="TableBodyLeft"/>
            </w:pPr>
            <w:r>
              <w:rPr>
                <w:color w:val="000000" w:themeColor="dark1"/>
                <w:kern w:val="28"/>
              </w:rPr>
              <w:t>Industry and RSSB sponsor</w:t>
            </w:r>
          </w:p>
        </w:tc>
        <w:tc>
          <w:tcPr>
            <w:tcW w:w="3849" w:type="dxa"/>
            <w:vAlign w:val="center"/>
          </w:tcPr>
          <w:p w14:paraId="2E34A97A" w14:textId="77777777" w:rsidR="00B7177E" w:rsidRPr="00420F8C" w:rsidRDefault="00B7177E" w:rsidP="005C6A5B">
            <w:pPr>
              <w:pStyle w:val="TableBodyLeft"/>
            </w:pPr>
            <w:r>
              <w:rPr>
                <w:color w:val="000000" w:themeColor="dark1"/>
                <w:kern w:val="28"/>
              </w:rPr>
              <w:t>The I</w:t>
            </w:r>
            <w:r w:rsidRPr="00420F8C">
              <w:rPr>
                <w:color w:val="000000" w:themeColor="dark1"/>
                <w:kern w:val="28"/>
              </w:rPr>
              <w:t xml:space="preserve">ndustry </w:t>
            </w:r>
            <w:r>
              <w:rPr>
                <w:color w:val="000000" w:themeColor="dark1"/>
                <w:kern w:val="28"/>
              </w:rPr>
              <w:t>and RSSB sponsors act as</w:t>
            </w:r>
            <w:r w:rsidRPr="00420F8C">
              <w:rPr>
                <w:color w:val="000000" w:themeColor="dark1"/>
                <w:kern w:val="28"/>
              </w:rPr>
              <w:t xml:space="preserve"> figurehead</w:t>
            </w:r>
            <w:r>
              <w:rPr>
                <w:color w:val="000000" w:themeColor="dark1"/>
                <w:kern w:val="28"/>
              </w:rPr>
              <w:t>s</w:t>
            </w:r>
            <w:r w:rsidRPr="00420F8C">
              <w:rPr>
                <w:color w:val="000000" w:themeColor="dark1"/>
                <w:kern w:val="28"/>
              </w:rPr>
              <w:t xml:space="preserve"> for the research, championing its importance and its outputs. </w:t>
            </w:r>
          </w:p>
          <w:p w14:paraId="355682E4" w14:textId="77777777" w:rsidR="00B7177E" w:rsidRPr="00420F8C" w:rsidRDefault="00B7177E" w:rsidP="005C6A5B">
            <w:pPr>
              <w:pStyle w:val="TableBodyLeft"/>
            </w:pPr>
            <w:r>
              <w:rPr>
                <w:color w:val="000000" w:themeColor="dark1"/>
                <w:kern w:val="28"/>
              </w:rPr>
              <w:t>Their key role is to provide steer</w:t>
            </w:r>
            <w:r w:rsidRPr="00420F8C">
              <w:rPr>
                <w:color w:val="000000" w:themeColor="dark1"/>
                <w:kern w:val="28"/>
              </w:rPr>
              <w:t xml:space="preserve"> </w:t>
            </w:r>
            <w:r>
              <w:rPr>
                <w:color w:val="000000" w:themeColor="dark1"/>
                <w:kern w:val="28"/>
              </w:rPr>
              <w:t xml:space="preserve">to </w:t>
            </w:r>
            <w:r w:rsidRPr="00420F8C">
              <w:rPr>
                <w:color w:val="000000" w:themeColor="dark1"/>
                <w:kern w:val="28"/>
              </w:rPr>
              <w:t xml:space="preserve">the research as it progresses and exert pressure on </w:t>
            </w:r>
            <w:r>
              <w:rPr>
                <w:color w:val="000000" w:themeColor="dark1"/>
                <w:kern w:val="28"/>
              </w:rPr>
              <w:t>the industry to make use of</w:t>
            </w:r>
            <w:r w:rsidRPr="00420F8C">
              <w:rPr>
                <w:color w:val="000000" w:themeColor="dark1"/>
                <w:kern w:val="28"/>
              </w:rPr>
              <w:t xml:space="preserve"> its findings.</w:t>
            </w:r>
          </w:p>
        </w:tc>
        <w:tc>
          <w:tcPr>
            <w:tcW w:w="2694" w:type="dxa"/>
          </w:tcPr>
          <w:p w14:paraId="52E828F0" w14:textId="77777777" w:rsidR="00B7177E" w:rsidRPr="00325F01" w:rsidRDefault="00B7177E" w:rsidP="005C6A5B">
            <w:pPr>
              <w:pStyle w:val="TableBodyLeft"/>
              <w:rPr>
                <w:color w:val="000000" w:themeColor="dark1"/>
                <w:kern w:val="28"/>
              </w:rPr>
            </w:pPr>
            <w:r w:rsidRPr="00325F01">
              <w:rPr>
                <w:color w:val="000000" w:themeColor="dark1"/>
                <w:kern w:val="28"/>
              </w:rPr>
              <w:t xml:space="preserve">Formally accepts deliverables </w:t>
            </w:r>
          </w:p>
        </w:tc>
      </w:tr>
      <w:tr w:rsidR="00B7177E" w14:paraId="2BC5C272" w14:textId="77777777" w:rsidTr="005C6A5B">
        <w:tc>
          <w:tcPr>
            <w:tcW w:w="1816" w:type="dxa"/>
            <w:vAlign w:val="center"/>
          </w:tcPr>
          <w:p w14:paraId="11430BD9" w14:textId="77777777" w:rsidR="00B7177E" w:rsidRPr="00420F8C" w:rsidRDefault="00B7177E" w:rsidP="005C6A5B">
            <w:pPr>
              <w:pStyle w:val="TableBodyLeft"/>
            </w:pPr>
            <w:r w:rsidRPr="00420F8C">
              <w:rPr>
                <w:color w:val="000000" w:themeColor="dark1"/>
                <w:kern w:val="28"/>
              </w:rPr>
              <w:t>Project supporters</w:t>
            </w:r>
          </w:p>
        </w:tc>
        <w:tc>
          <w:tcPr>
            <w:tcW w:w="3849" w:type="dxa"/>
            <w:vAlign w:val="center"/>
          </w:tcPr>
          <w:p w14:paraId="542A3223" w14:textId="77777777" w:rsidR="00B7177E" w:rsidRPr="00420F8C" w:rsidRDefault="00B7177E" w:rsidP="005C6A5B">
            <w:pPr>
              <w:pStyle w:val="TableBodyLeft"/>
            </w:pPr>
            <w:r w:rsidRPr="00420F8C">
              <w:rPr>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71D24C4B" w14:textId="77777777" w:rsidR="00B7177E" w:rsidRPr="00325F01" w:rsidRDefault="00B7177E" w:rsidP="005C6A5B">
            <w:pPr>
              <w:pStyle w:val="TableBodyLeft"/>
              <w:rPr>
                <w:color w:val="000000" w:themeColor="dark1"/>
                <w:kern w:val="28"/>
              </w:rPr>
            </w:pPr>
            <w:r w:rsidRPr="00325F01">
              <w:rPr>
                <w:color w:val="000000" w:themeColor="dark1"/>
                <w:kern w:val="28"/>
              </w:rPr>
              <w:t xml:space="preserve">Formally accepts deliverables </w:t>
            </w:r>
          </w:p>
        </w:tc>
      </w:tr>
      <w:tr w:rsidR="00B7177E" w14:paraId="5BBE9345" w14:textId="77777777" w:rsidTr="005C6A5B">
        <w:tc>
          <w:tcPr>
            <w:tcW w:w="1816" w:type="dxa"/>
            <w:vAlign w:val="center"/>
          </w:tcPr>
          <w:p w14:paraId="5CC16A27" w14:textId="77777777" w:rsidR="00B7177E" w:rsidRPr="00420F8C" w:rsidRDefault="00B7177E" w:rsidP="005C6A5B">
            <w:pPr>
              <w:pStyle w:val="TableBodyLeft"/>
            </w:pPr>
            <w:r w:rsidRPr="00420F8C">
              <w:rPr>
                <w:color w:val="000000" w:themeColor="dark1"/>
                <w:kern w:val="28"/>
              </w:rPr>
              <w:t>Project steering group</w:t>
            </w:r>
          </w:p>
        </w:tc>
        <w:tc>
          <w:tcPr>
            <w:tcW w:w="3849" w:type="dxa"/>
            <w:vAlign w:val="center"/>
          </w:tcPr>
          <w:p w14:paraId="031232BD" w14:textId="77777777" w:rsidR="00B7177E" w:rsidRPr="00420F8C" w:rsidRDefault="00B7177E" w:rsidP="005C6A5B">
            <w:pPr>
              <w:pStyle w:val="TableBodyLeft"/>
            </w:pPr>
            <w:r w:rsidRPr="00420F8C">
              <w:rPr>
                <w:color w:val="000000" w:themeColor="dark1"/>
                <w:kern w:val="28"/>
              </w:rPr>
              <w:t xml:space="preserve">The project steering group ensures the project delivers to industry needs. </w:t>
            </w:r>
          </w:p>
          <w:p w14:paraId="6C312498" w14:textId="77777777" w:rsidR="00B7177E" w:rsidRPr="00420F8C" w:rsidRDefault="00B7177E" w:rsidP="005C6A5B">
            <w:pPr>
              <w:pStyle w:val="TableBodyLeft"/>
            </w:pPr>
            <w:r w:rsidRPr="00420F8C">
              <w:rPr>
                <w:color w:val="000000" w:themeColor="dark1"/>
                <w:kern w:val="28"/>
              </w:rPr>
              <w:t>As such, it helps formulate specifications, assesses tenders, reviews draft and final outputs and other relevant tasks.</w:t>
            </w:r>
          </w:p>
        </w:tc>
        <w:tc>
          <w:tcPr>
            <w:tcW w:w="2694" w:type="dxa"/>
          </w:tcPr>
          <w:p w14:paraId="3455D44E" w14:textId="77777777" w:rsidR="00B7177E" w:rsidRPr="00420F8C" w:rsidRDefault="00B7177E" w:rsidP="005C6A5B">
            <w:pPr>
              <w:pStyle w:val="TableBodyLeft"/>
            </w:pPr>
            <w:r w:rsidRPr="00420F8C">
              <w:rPr>
                <w:color w:val="000000" w:themeColor="dark1"/>
                <w:kern w:val="28"/>
              </w:rPr>
              <w:t xml:space="preserve">Formally accepts deliverables </w:t>
            </w:r>
          </w:p>
        </w:tc>
      </w:tr>
      <w:tr w:rsidR="00B7177E" w14:paraId="07EE664E" w14:textId="77777777" w:rsidTr="005C6A5B">
        <w:tc>
          <w:tcPr>
            <w:tcW w:w="1816" w:type="dxa"/>
            <w:vAlign w:val="center"/>
          </w:tcPr>
          <w:p w14:paraId="39249D3A" w14:textId="77777777" w:rsidR="00B7177E" w:rsidRPr="006B076F" w:rsidRDefault="00B7177E" w:rsidP="005C6A5B">
            <w:pPr>
              <w:pStyle w:val="TableBodyLeft"/>
              <w:rPr>
                <w:color w:val="000000" w:themeColor="dark1"/>
                <w:kern w:val="28"/>
              </w:rPr>
            </w:pPr>
            <w:r w:rsidRPr="006B076F">
              <w:rPr>
                <w:color w:val="000000" w:themeColor="dark1"/>
                <w:kern w:val="28"/>
              </w:rPr>
              <w:t>Delivery manager</w:t>
            </w:r>
          </w:p>
        </w:tc>
        <w:tc>
          <w:tcPr>
            <w:tcW w:w="3849" w:type="dxa"/>
            <w:vAlign w:val="center"/>
          </w:tcPr>
          <w:p w14:paraId="4CB087C5" w14:textId="77777777" w:rsidR="00B7177E" w:rsidRPr="006B076F" w:rsidRDefault="00B7177E" w:rsidP="005C6A5B">
            <w:pPr>
              <w:pStyle w:val="TableBodyLeft"/>
              <w:rPr>
                <w:color w:val="000000" w:themeColor="dark1"/>
                <w:kern w:val="28"/>
                <w:lang w:eastAsia="en-US"/>
              </w:rPr>
            </w:pPr>
            <w:r w:rsidRPr="006B076F">
              <w:rPr>
                <w:color w:val="000000" w:themeColor="dark1"/>
                <w:kern w:val="28"/>
                <w:lang w:eastAsia="en-US"/>
              </w:rPr>
              <w:t xml:space="preserve">The delivery manager is responsible for the detailed project management including project schedules, cost reporting and other relevant project management tasks. </w:t>
            </w:r>
          </w:p>
          <w:p w14:paraId="2B557845" w14:textId="77777777" w:rsidR="00B7177E" w:rsidRPr="006B076F" w:rsidRDefault="00B7177E" w:rsidP="005C6A5B">
            <w:pPr>
              <w:pStyle w:val="TableBodyLeft"/>
              <w:rPr>
                <w:color w:val="000000" w:themeColor="dark1"/>
                <w:kern w:val="28"/>
              </w:rPr>
            </w:pPr>
            <w:r w:rsidRPr="006B076F">
              <w:rPr>
                <w:color w:val="000000" w:themeColor="dark1"/>
                <w:kern w:val="28"/>
              </w:rPr>
              <w:t>The delivery manager leads the project in organising meetings, etc and ensures timely and effective delivery towards project objectives.</w:t>
            </w:r>
          </w:p>
        </w:tc>
        <w:tc>
          <w:tcPr>
            <w:tcW w:w="2694" w:type="dxa"/>
          </w:tcPr>
          <w:p w14:paraId="08F3B188" w14:textId="77777777" w:rsidR="00B7177E" w:rsidRPr="006B076F" w:rsidRDefault="00B7177E" w:rsidP="005C6A5B">
            <w:pPr>
              <w:pStyle w:val="TableBodyLeft"/>
              <w:rPr>
                <w:color w:val="000000" w:themeColor="dark1"/>
                <w:kern w:val="28"/>
              </w:rPr>
            </w:pPr>
            <w:r w:rsidRPr="006B076F">
              <w:rPr>
                <w:color w:val="000000" w:themeColor="dark1"/>
                <w:kern w:val="28"/>
              </w:rPr>
              <w:t xml:space="preserve">Facilitates technical review and acceptance processes, </w:t>
            </w:r>
            <w:r>
              <w:rPr>
                <w:color w:val="000000" w:themeColor="dark1"/>
                <w:kern w:val="28"/>
              </w:rPr>
              <w:t xml:space="preserve">identifies and monitors </w:t>
            </w:r>
            <w:r w:rsidRPr="006B076F">
              <w:rPr>
                <w:color w:val="000000" w:themeColor="dark1"/>
                <w:kern w:val="28"/>
              </w:rPr>
              <w:t xml:space="preserve">corrective actions where </w:t>
            </w:r>
            <w:r>
              <w:rPr>
                <w:color w:val="000000" w:themeColor="dark1"/>
                <w:kern w:val="28"/>
              </w:rPr>
              <w:t>needed, including facilitating decision making</w:t>
            </w:r>
          </w:p>
        </w:tc>
      </w:tr>
      <w:tr w:rsidR="00B7177E" w14:paraId="5E1BF6B6" w14:textId="77777777" w:rsidTr="005C6A5B">
        <w:tc>
          <w:tcPr>
            <w:tcW w:w="1816" w:type="dxa"/>
            <w:vAlign w:val="center"/>
          </w:tcPr>
          <w:p w14:paraId="5FD78524" w14:textId="77777777" w:rsidR="00B7177E" w:rsidRPr="007715AE" w:rsidRDefault="00B7177E" w:rsidP="005C6A5B">
            <w:pPr>
              <w:pStyle w:val="TableBodyLeft"/>
            </w:pPr>
            <w:r w:rsidRPr="007715AE">
              <w:rPr>
                <w:color w:val="000000" w:themeColor="dark1"/>
                <w:kern w:val="28"/>
              </w:rPr>
              <w:t>Technical expert</w:t>
            </w:r>
          </w:p>
        </w:tc>
        <w:tc>
          <w:tcPr>
            <w:tcW w:w="3849" w:type="dxa"/>
            <w:vAlign w:val="center"/>
          </w:tcPr>
          <w:p w14:paraId="6A1BA8DE" w14:textId="77777777" w:rsidR="00B7177E" w:rsidRPr="007715AE" w:rsidRDefault="00B7177E" w:rsidP="005C6A5B">
            <w:pPr>
              <w:pStyle w:val="TableBodyLeft"/>
            </w:pPr>
            <w:r w:rsidRPr="007715AE">
              <w:rPr>
                <w:color w:val="000000" w:themeColor="dark1"/>
                <w:kern w:val="28"/>
              </w:rPr>
              <w:t xml:space="preserve">Throughout the project, the technical expert ensures that technical aspects are reflected accurately. </w:t>
            </w:r>
          </w:p>
          <w:p w14:paraId="422A30FA" w14:textId="77777777" w:rsidR="00B7177E" w:rsidRPr="007715AE" w:rsidRDefault="00B7177E" w:rsidP="005C6A5B">
            <w:pPr>
              <w:pStyle w:val="TableBodyLeft"/>
            </w:pPr>
            <w:r w:rsidRPr="007715AE">
              <w:rPr>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67A5C8F9" w14:textId="77777777" w:rsidR="00B7177E" w:rsidRPr="007715AE" w:rsidRDefault="00B7177E" w:rsidP="005C6A5B">
            <w:pPr>
              <w:pStyle w:val="TableBodyLeft"/>
            </w:pPr>
            <w:r w:rsidRPr="007715AE">
              <w:rPr>
                <w:color w:val="000000" w:themeColor="dark1"/>
                <w:kern w:val="28"/>
              </w:rPr>
              <w:t xml:space="preserve">Reviews </w:t>
            </w:r>
            <w:r>
              <w:rPr>
                <w:color w:val="000000" w:themeColor="dark1"/>
                <w:kern w:val="28"/>
              </w:rPr>
              <w:t xml:space="preserve">emerging </w:t>
            </w:r>
            <w:r w:rsidRPr="007715AE">
              <w:rPr>
                <w:color w:val="000000" w:themeColor="dark1"/>
                <w:kern w:val="28"/>
              </w:rPr>
              <w:t>out</w:t>
            </w:r>
            <w:r>
              <w:rPr>
                <w:color w:val="000000" w:themeColor="dark1"/>
                <w:kern w:val="28"/>
              </w:rPr>
              <w:t>puts from technical perspective</w:t>
            </w:r>
          </w:p>
        </w:tc>
      </w:tr>
    </w:tbl>
    <w:p w14:paraId="71D4806D" w14:textId="77777777" w:rsidR="00B7177E" w:rsidRDefault="00B7177E" w:rsidP="00B7177E">
      <w:pPr>
        <w:rPr>
          <w:rFonts w:ascii="Calibri" w:hAnsi="Calibri" w:cs="Arial"/>
          <w:color w:val="00968E"/>
          <w:sz w:val="36"/>
          <w:lang w:eastAsia="en-GB"/>
        </w:rPr>
      </w:pPr>
    </w:p>
    <w:p w14:paraId="004FCD6A" w14:textId="77777777" w:rsidR="00B7177E" w:rsidRDefault="00B7177E" w:rsidP="00B7177E">
      <w:pPr>
        <w:pStyle w:val="Heading1"/>
        <w:numPr>
          <w:ilvl w:val="0"/>
          <w:numId w:val="57"/>
        </w:numPr>
        <w:ind w:left="0"/>
      </w:pPr>
      <w:r>
        <w:t>Budget, timescales, and dependencies</w:t>
      </w:r>
    </w:p>
    <w:p w14:paraId="1087F9B5" w14:textId="77777777" w:rsidR="00B7177E" w:rsidRDefault="00B7177E" w:rsidP="00B7177E">
      <w:pPr>
        <w:pStyle w:val="Body"/>
      </w:pPr>
      <w:r>
        <w:lastRenderedPageBreak/>
        <w:t>The budget for this work is up to £60,000. Any bid above this value will need to provide detailed explanation as to why the supplier doesn’t feel that the budget is adequate and in such case, we strongly encourage suppliers to provide costed options for RSSB to consider.</w:t>
      </w:r>
    </w:p>
    <w:p w14:paraId="4B834FF3" w14:textId="77777777" w:rsidR="00B7177E" w:rsidRDefault="00B7177E" w:rsidP="00B7177E">
      <w:pPr>
        <w:pStyle w:val="Body"/>
      </w:pPr>
      <w:r>
        <w:t>RSSB expect the work to start in October 2017 and complete by May 2018.</w:t>
      </w:r>
    </w:p>
    <w:p w14:paraId="079EF228" w14:textId="77777777" w:rsidR="00B7177E" w:rsidRDefault="00B7177E" w:rsidP="00B7177E">
      <w:pPr>
        <w:pStyle w:val="Body"/>
      </w:pPr>
      <w:r>
        <w:t>The projects stakeholders wish to have the data transfer process in place in time for the start of timetabled operation of the Class 345 trains on Western Route infrastructure, presently scheduled for May 2018.</w:t>
      </w:r>
    </w:p>
    <w:p w14:paraId="77BC9C27" w14:textId="77777777" w:rsidR="00B7177E" w:rsidRDefault="00B7177E" w:rsidP="00B7177E">
      <w:pPr>
        <w:pStyle w:val="Body"/>
      </w:pPr>
      <w:r>
        <w:t>A key dependency for the technical aspects of the project is the date when the UTGM equipment has passed its Factory Acceptance Test. At this point the data formats will be frozen and therefore work can start on the inbound interfaces to the data broker. This is currently expected to occur not later than 18 April 2018.</w:t>
      </w:r>
    </w:p>
    <w:p w14:paraId="19BF8A24" w14:textId="77777777" w:rsidR="00B7177E" w:rsidRDefault="00B7177E" w:rsidP="00B7177E">
      <w:pPr>
        <w:pStyle w:val="Body"/>
      </w:pPr>
      <w:r>
        <w:t xml:space="preserve">We anticipate the programme to be similar to that shown in </w:t>
      </w:r>
      <w:r>
        <w:fldChar w:fldCharType="begin"/>
      </w:r>
      <w:r>
        <w:instrText xml:space="preserve"> REF _Ref482740675 \h  \* MERGEFORMAT </w:instrText>
      </w:r>
      <w:r>
        <w:fldChar w:fldCharType="separate"/>
      </w:r>
      <w:r>
        <w:t xml:space="preserve">Figure </w:t>
      </w:r>
      <w:r>
        <w:rPr>
          <w:noProof/>
        </w:rPr>
        <w:t>1</w:t>
      </w:r>
      <w:r>
        <w:fldChar w:fldCharType="end"/>
      </w:r>
      <w:r>
        <w:t xml:space="preserve"> (overleaf). Suppliers must indicate in their response whether they are able to meet the proposed timetable.</w:t>
      </w:r>
    </w:p>
    <w:p w14:paraId="64235839" w14:textId="77777777" w:rsidR="00B7177E" w:rsidRPr="00325F01" w:rsidRDefault="00B7177E" w:rsidP="00B7177E">
      <w:pPr>
        <w:rPr>
          <w:rFonts w:ascii="Calibri" w:hAnsi="Calibri" w:cs="Arial"/>
          <w:lang w:eastAsia="en-GB"/>
        </w:rPr>
      </w:pPr>
    </w:p>
    <w:p w14:paraId="3AFC780C" w14:textId="77777777" w:rsidR="00B7177E" w:rsidRDefault="00B7177E" w:rsidP="00B7177E">
      <w:pPr>
        <w:pStyle w:val="Heading1"/>
        <w:numPr>
          <w:ilvl w:val="0"/>
          <w:numId w:val="57"/>
        </w:numPr>
        <w:ind w:left="0"/>
      </w:pPr>
      <w:r>
        <w:t>Critical success factors and risk management</w:t>
      </w:r>
    </w:p>
    <w:p w14:paraId="02962913" w14:textId="77777777" w:rsidR="00B7177E" w:rsidRDefault="00B7177E" w:rsidP="00B7177E">
      <w:pPr>
        <w:pStyle w:val="Body"/>
      </w:pPr>
      <w:r>
        <w:t>The following define what RSSB consider the key project outcomes:</w:t>
      </w:r>
    </w:p>
    <w:p w14:paraId="55B260AB" w14:textId="77777777" w:rsidR="00B7177E" w:rsidRDefault="00B7177E" w:rsidP="00B7177E">
      <w:pPr>
        <w:pStyle w:val="Bullet1"/>
        <w:ind w:left="227" w:hanging="227"/>
      </w:pPr>
      <w:r>
        <w:t>Development of a prototype data broker</w:t>
      </w:r>
    </w:p>
    <w:p w14:paraId="373364C1" w14:textId="77777777" w:rsidR="00B7177E" w:rsidRDefault="00B7177E" w:rsidP="00B7177E">
      <w:pPr>
        <w:pStyle w:val="Bullet1"/>
        <w:ind w:left="227" w:hanging="227"/>
      </w:pPr>
      <w:r>
        <w:t>Demonstration of the prototype data broker in service</w:t>
      </w:r>
    </w:p>
    <w:p w14:paraId="49AD086B" w14:textId="77777777" w:rsidR="00B7177E" w:rsidRDefault="00B7177E" w:rsidP="00B7177E">
      <w:pPr>
        <w:pStyle w:val="Bullet1"/>
        <w:ind w:left="227" w:hanging="227"/>
      </w:pPr>
      <w:r>
        <w:t>Crossrail and NR Western successfully institute the sharing of UGTM data</w:t>
      </w:r>
    </w:p>
    <w:p w14:paraId="0E28D594" w14:textId="77777777" w:rsidR="00B7177E" w:rsidRDefault="00B7177E" w:rsidP="00B7177E">
      <w:pPr>
        <w:pStyle w:val="Bullet1"/>
        <w:ind w:left="227" w:hanging="227"/>
      </w:pPr>
      <w:r>
        <w:t>Identified amendments to the original T1010 toolkit</w:t>
      </w:r>
    </w:p>
    <w:p w14:paraId="4F964709" w14:textId="77777777" w:rsidR="00B7177E" w:rsidRDefault="00B7177E" w:rsidP="00B7177E">
      <w:pPr>
        <w:pStyle w:val="Bullet1"/>
        <w:ind w:left="227" w:hanging="227"/>
      </w:pPr>
      <w:r>
        <w:t>Guidance that makes the updated T1010 toolkit more accessible to future users</w:t>
      </w:r>
    </w:p>
    <w:p w14:paraId="53300DEB" w14:textId="77777777" w:rsidR="00B7177E" w:rsidRDefault="00B7177E" w:rsidP="00B7177E">
      <w:pPr>
        <w:pStyle w:val="Bullet1"/>
        <w:numPr>
          <w:ilvl w:val="0"/>
          <w:numId w:val="0"/>
        </w:numPr>
      </w:pPr>
    </w:p>
    <w:p w14:paraId="7592CE8E" w14:textId="77777777" w:rsidR="00B7177E" w:rsidRDefault="00B7177E" w:rsidP="00B7177E">
      <w:pPr>
        <w:pStyle w:val="Body"/>
      </w:pPr>
      <w:r>
        <w:t xml:space="preserve">The project risks identify potential threats to the supplier’s successful delivery of the project. RSSB expects the supplier to </w:t>
      </w:r>
      <w:r>
        <w:rPr>
          <w:rFonts w:asciiTheme="minorHAnsi" w:hAnsiTheme="minorHAnsi"/>
        </w:rPr>
        <w:t>identify</w:t>
      </w:r>
      <w:r w:rsidRPr="00A073A1">
        <w:rPr>
          <w:rFonts w:asciiTheme="minorHAnsi" w:hAnsiTheme="minorHAnsi"/>
        </w:rPr>
        <w:t xml:space="preserve"> </w:t>
      </w:r>
      <w:r>
        <w:rPr>
          <w:rFonts w:asciiTheme="minorHAnsi" w:hAnsiTheme="minorHAnsi"/>
        </w:rPr>
        <w:t xml:space="preserve">risks, propose </w:t>
      </w:r>
      <w:r w:rsidRPr="00A073A1">
        <w:rPr>
          <w:rFonts w:asciiTheme="minorHAnsi" w:hAnsiTheme="minorHAnsi"/>
        </w:rPr>
        <w:t>effective</w:t>
      </w:r>
      <w:r>
        <w:rPr>
          <w:rFonts w:asciiTheme="minorHAnsi" w:hAnsiTheme="minorHAnsi"/>
        </w:rPr>
        <w:t xml:space="preserve"> management and mitigation</w:t>
      </w:r>
      <w:r>
        <w:t xml:space="preserve"> measures, and regularly review these risks as the project progresses. RSSB have identified the following initial risks:</w:t>
      </w:r>
    </w:p>
    <w:p w14:paraId="1C0B03CA" w14:textId="77777777" w:rsidR="00B7177E" w:rsidRDefault="00B7177E" w:rsidP="00B7177E">
      <w:pPr>
        <w:pStyle w:val="Bullet1"/>
        <w:ind w:left="227" w:hanging="227"/>
      </w:pPr>
      <w:r>
        <w:t>Engagement and cooperation from the relevant Crossrail and NR Western personnel</w:t>
      </w:r>
    </w:p>
    <w:p w14:paraId="6D9D2CEE" w14:textId="77777777" w:rsidR="00B7177E" w:rsidRDefault="00B7177E" w:rsidP="00B7177E">
      <w:pPr>
        <w:pStyle w:val="Bullet1"/>
        <w:ind w:left="227" w:hanging="227"/>
      </w:pPr>
      <w:r>
        <w:t>The required effort is greater than anticipated, jeopardising timely delivery</w:t>
      </w:r>
    </w:p>
    <w:p w14:paraId="41D18A6A" w14:textId="200C68D3" w:rsidR="00B7177E" w:rsidRDefault="00B7177E" w:rsidP="00B7177E">
      <w:pPr>
        <w:pStyle w:val="Bullet1"/>
        <w:ind w:left="227" w:hanging="227"/>
      </w:pPr>
      <w:r>
        <w:t>The research is unable to identify any opportunities to improve the T1010 toolkit</w:t>
      </w:r>
    </w:p>
    <w:p w14:paraId="0919EA80" w14:textId="4439A9A0" w:rsidR="00210091" w:rsidRDefault="00B7177E" w:rsidP="00B7177E">
      <w:pPr>
        <w:pStyle w:val="Bullet1"/>
        <w:ind w:left="227" w:hanging="227"/>
      </w:pPr>
      <w:r>
        <w:t>The project learning is not sufficiently general as to support an update to the T1010 toolkit or guidance to future users</w:t>
      </w:r>
      <w:r w:rsidR="00210091">
        <w:t xml:space="preserve"> </w:t>
      </w:r>
    </w:p>
    <w:p w14:paraId="4F58B9E8" w14:textId="77777777" w:rsidR="00C577A6" w:rsidRPr="00E52B87" w:rsidRDefault="00C577A6" w:rsidP="00E52B87">
      <w:pPr>
        <w:pStyle w:val="NoSpacing"/>
        <w:rPr>
          <w:rFonts w:asciiTheme="minorHAnsi" w:hAnsiTheme="minorHAnsi" w:cs="Arial"/>
        </w:rPr>
        <w:sectPr w:rsidR="00C577A6" w:rsidRPr="00E52B87" w:rsidSect="0024761A">
          <w:headerReference w:type="even" r:id="rId19"/>
          <w:headerReference w:type="default" r:id="rId20"/>
          <w:footerReference w:type="even" r:id="rId21"/>
          <w:footerReference w:type="default" r:id="rId22"/>
          <w:headerReference w:type="first" r:id="rId23"/>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2"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830114">
        <w:rPr>
          <w:rFonts w:asciiTheme="minorHAnsi" w:hAnsiTheme="minorHAnsi" w:cs="Arial"/>
          <w:b/>
          <w:bCs/>
          <w:sz w:val="22"/>
          <w:szCs w:val="22"/>
        </w:rPr>
      </w:r>
      <w:r w:rsidR="00830114">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830114"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4"/>
      <w:footerReference w:type="even" r:id="rId25"/>
      <w:footerReference w:type="default" r:id="rId26"/>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40499" w14:textId="77777777" w:rsidR="008B6BB9" w:rsidRDefault="008B6BB9" w:rsidP="0003785D">
      <w:r>
        <w:separator/>
      </w:r>
    </w:p>
  </w:endnote>
  <w:endnote w:type="continuationSeparator" w:id="0">
    <w:p w14:paraId="6BE6F9BC" w14:textId="77777777" w:rsidR="008B6BB9" w:rsidRDefault="008B6BB9"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00045FA7" w:rsidR="00830114" w:rsidRDefault="00830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4DF2">
      <w:rPr>
        <w:rStyle w:val="PageNumber"/>
        <w:noProof/>
      </w:rPr>
      <w:t>12</w:t>
    </w:r>
    <w:r>
      <w:rPr>
        <w:rStyle w:val="PageNumber"/>
      </w:rPr>
      <w:fldChar w:fldCharType="end"/>
    </w:r>
  </w:p>
  <w:p w14:paraId="2A2B9D60" w14:textId="77777777" w:rsidR="00830114" w:rsidRDefault="00830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10AF84B3" w:rsidR="00830114" w:rsidRPr="00F735CB" w:rsidRDefault="00830114"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F4DF2">
      <w:rPr>
        <w:caps/>
        <w:noProof/>
        <w:color w:val="5B9BD5" w:themeColor="accent1"/>
      </w:rPr>
      <w:t>11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830114" w:rsidRDefault="0083011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830114" w:rsidRDefault="008301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9149" w14:textId="68E1AEF1" w:rsidR="00830114" w:rsidRDefault="00830114" w:rsidP="00674166">
    <w:pPr>
      <w:pStyle w:val="FooterLeft"/>
    </w:pPr>
    <w:r>
      <w:fldChar w:fldCharType="begin"/>
    </w:r>
    <w:r>
      <w:instrText xml:space="preserve"> PAGE   \* MERGEFORMAT </w:instrText>
    </w:r>
    <w:r>
      <w:fldChar w:fldCharType="separate"/>
    </w:r>
    <w:r w:rsidR="00F64D0D">
      <w:rPr>
        <w:noProof/>
      </w:rPr>
      <w:t>20</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Pr>
        <w:noProof/>
      </w:rPr>
      <w:t>21-Aug-17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479" w14:textId="7B020B82" w:rsidR="00830114" w:rsidRDefault="00830114" w:rsidP="00674166">
    <w:pPr>
      <w:pStyle w:val="FooterRight"/>
    </w:pPr>
    <w:r>
      <w:fldChar w:fldCharType="begin"/>
    </w:r>
    <w:r>
      <w:instrText xml:space="preserve"> PAGE   \* MERGEFORMAT </w:instrText>
    </w:r>
    <w:r>
      <w:fldChar w:fldCharType="separate"/>
    </w:r>
    <w:r w:rsidR="009F4DF2">
      <w:rPr>
        <w:noProof/>
      </w:rPr>
      <w:t>21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03AA9D0F" w:rsidR="00830114" w:rsidRDefault="00830114" w:rsidP="00674166">
    <w:pPr>
      <w:pStyle w:val="FooterLeft"/>
    </w:pPr>
    <w:r>
      <w:fldChar w:fldCharType="begin"/>
    </w:r>
    <w:r>
      <w:instrText xml:space="preserve"> PAGE   \* MERGEFORMAT </w:instrText>
    </w:r>
    <w:r>
      <w:fldChar w:fldCharType="separate"/>
    </w:r>
    <w:r w:rsidR="00B7177E">
      <w:rPr>
        <w:noProof/>
      </w:rPr>
      <w:t>36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7EA772FF" w:rsidR="00830114" w:rsidRDefault="00830114" w:rsidP="00674166">
    <w:pPr>
      <w:pStyle w:val="FooterRight"/>
    </w:pPr>
    <w:r>
      <w:fldChar w:fldCharType="begin"/>
    </w:r>
    <w:r>
      <w:instrText xml:space="preserve"> PAGE   \* MERGEFORMAT </w:instrText>
    </w:r>
    <w:r>
      <w:fldChar w:fldCharType="separate"/>
    </w:r>
    <w:r w:rsidR="00F64D0D">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8CBCE" w14:textId="77777777" w:rsidR="008B6BB9" w:rsidRDefault="008B6BB9" w:rsidP="0003785D">
      <w:r>
        <w:separator/>
      </w:r>
    </w:p>
  </w:footnote>
  <w:footnote w:type="continuationSeparator" w:id="0">
    <w:p w14:paraId="6150C9ED" w14:textId="77777777" w:rsidR="008B6BB9" w:rsidRDefault="008B6BB9" w:rsidP="0003785D">
      <w:r>
        <w:continuationSeparator/>
      </w:r>
    </w:p>
  </w:footnote>
  <w:footnote w:id="1">
    <w:p w14:paraId="383B7734" w14:textId="77777777" w:rsidR="00830114" w:rsidRPr="00B13B50" w:rsidRDefault="00830114"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830114" w:rsidRDefault="00830114">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830114" w:rsidRDefault="00830114"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830114" w:rsidRDefault="00830114"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96C7" w14:textId="77777777" w:rsidR="00830114" w:rsidRDefault="00830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344D" w14:textId="77777777" w:rsidR="00830114" w:rsidRPr="0003785D" w:rsidRDefault="00830114" w:rsidP="0003785D">
    <w:pPr>
      <w:pStyle w:val="Image"/>
    </w:pPr>
    <w:r>
      <w:rPr>
        <w:noProof/>
        <w:lang w:eastAsia="en-GB"/>
      </w:rPr>
      <w:drawing>
        <wp:inline distT="0" distB="0" distL="0" distR="0" wp14:anchorId="40B1F8DA" wp14:editId="06A49865">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51E" w14:textId="77777777" w:rsidR="00830114" w:rsidRDefault="008301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830114" w:rsidRPr="0003785D" w:rsidRDefault="00830114"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180421"/>
    <w:multiLevelType w:val="hybridMultilevel"/>
    <w:tmpl w:val="307A0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F44AB"/>
    <w:multiLevelType w:val="hybridMultilevel"/>
    <w:tmpl w:val="217AA590"/>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3578D4"/>
    <w:multiLevelType w:val="hybridMultilevel"/>
    <w:tmpl w:val="3F36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06D67"/>
    <w:multiLevelType w:val="hybridMultilevel"/>
    <w:tmpl w:val="89A8936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86C5E"/>
    <w:multiLevelType w:val="hybridMultilevel"/>
    <w:tmpl w:val="612A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C171A4"/>
    <w:multiLevelType w:val="hybridMultilevel"/>
    <w:tmpl w:val="056C6BFC"/>
    <w:lvl w:ilvl="0" w:tplc="E454E6B0">
      <w:start w:val="1"/>
      <w:numFmt w:val="bullet"/>
      <w:lvlText w:val="•"/>
      <w:lvlJc w:val="left"/>
      <w:pPr>
        <w:ind w:left="720" w:hanging="360"/>
      </w:pPr>
      <w:rPr>
        <w:rFonts w:ascii="Calibri" w:hAnsi="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1" w15:restartNumberingAfterBreak="0">
    <w:nsid w:val="443E367A"/>
    <w:multiLevelType w:val="hybridMultilevel"/>
    <w:tmpl w:val="E4BECAFA"/>
    <w:lvl w:ilvl="0" w:tplc="A094F7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45E531C6"/>
    <w:multiLevelType w:val="hybridMultilevel"/>
    <w:tmpl w:val="2FAE8EF4"/>
    <w:lvl w:ilvl="0" w:tplc="62CCCB6A">
      <w:start w:val="1"/>
      <w:numFmt w:val="decimal"/>
      <w:lvlText w:val="1.%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5F1282"/>
    <w:multiLevelType w:val="hybridMultilevel"/>
    <w:tmpl w:val="6B8C5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81F5442"/>
    <w:multiLevelType w:val="hybridMultilevel"/>
    <w:tmpl w:val="719044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8"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3" w15:restartNumberingAfterBreak="0">
    <w:nsid w:val="7CF21D93"/>
    <w:multiLevelType w:val="multilevel"/>
    <w:tmpl w:val="A970CE26"/>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2"/>
  </w:num>
  <w:num w:numId="3">
    <w:abstractNumId w:val="15"/>
  </w:num>
  <w:num w:numId="4">
    <w:abstractNumId w:val="29"/>
  </w:num>
  <w:num w:numId="5">
    <w:abstractNumId w:val="46"/>
  </w:num>
  <w:num w:numId="6">
    <w:abstractNumId w:val="0"/>
  </w:num>
  <w:num w:numId="7">
    <w:abstractNumId w:val="50"/>
  </w:num>
  <w:num w:numId="8">
    <w:abstractNumId w:val="45"/>
  </w:num>
  <w:num w:numId="9">
    <w:abstractNumId w:val="1"/>
  </w:num>
  <w:num w:numId="10">
    <w:abstractNumId w:val="30"/>
  </w:num>
  <w:num w:numId="11">
    <w:abstractNumId w:val="52"/>
  </w:num>
  <w:num w:numId="12">
    <w:abstractNumId w:val="3"/>
  </w:num>
  <w:num w:numId="13">
    <w:abstractNumId w:val="51"/>
  </w:num>
  <w:num w:numId="14">
    <w:abstractNumId w:val="38"/>
  </w:num>
  <w:num w:numId="15">
    <w:abstractNumId w:val="35"/>
  </w:num>
  <w:num w:numId="16">
    <w:abstractNumId w:val="6"/>
  </w:num>
  <w:num w:numId="17">
    <w:abstractNumId w:val="8"/>
  </w:num>
  <w:num w:numId="18">
    <w:abstractNumId w:val="44"/>
  </w:num>
  <w:num w:numId="19">
    <w:abstractNumId w:val="11"/>
  </w:num>
  <w:num w:numId="20">
    <w:abstractNumId w:val="24"/>
  </w:num>
  <w:num w:numId="21">
    <w:abstractNumId w:val="27"/>
  </w:num>
  <w:num w:numId="22">
    <w:abstractNumId w:val="36"/>
  </w:num>
  <w:num w:numId="23">
    <w:abstractNumId w:val="4"/>
  </w:num>
  <w:num w:numId="24">
    <w:abstractNumId w:val="54"/>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49"/>
  </w:num>
  <w:num w:numId="34">
    <w:abstractNumId w:val="5"/>
  </w:num>
  <w:num w:numId="35">
    <w:abstractNumId w:val="42"/>
  </w:num>
  <w:num w:numId="36">
    <w:abstractNumId w:val="19"/>
  </w:num>
  <w:num w:numId="37">
    <w:abstractNumId w:val="9"/>
  </w:num>
  <w:num w:numId="38">
    <w:abstractNumId w:val="48"/>
  </w:num>
  <w:num w:numId="39">
    <w:abstractNumId w:val="17"/>
  </w:num>
  <w:num w:numId="40">
    <w:abstractNumId w:val="47"/>
  </w:num>
  <w:num w:numId="41">
    <w:abstractNumId w:val="26"/>
  </w:num>
  <w:num w:numId="42">
    <w:abstractNumId w:val="20"/>
  </w:num>
  <w:num w:numId="43">
    <w:abstractNumId w:val="7"/>
  </w:num>
  <w:num w:numId="44">
    <w:abstractNumId w:val="37"/>
  </w:num>
  <w:num w:numId="45">
    <w:abstractNumId w:val="31"/>
  </w:num>
  <w:num w:numId="46">
    <w:abstractNumId w:val="18"/>
  </w:num>
  <w:num w:numId="47">
    <w:abstractNumId w:val="28"/>
  </w:num>
  <w:num w:numId="48">
    <w:abstractNumId w:val="39"/>
  </w:num>
  <w:num w:numId="49">
    <w:abstractNumId w:val="23"/>
  </w:num>
  <w:num w:numId="50">
    <w:abstractNumId w:val="12"/>
  </w:num>
  <w:num w:numId="51">
    <w:abstractNumId w:val="21"/>
  </w:num>
  <w:num w:numId="52">
    <w:abstractNumId w:val="13"/>
  </w:num>
  <w:num w:numId="53">
    <w:abstractNumId w:val="10"/>
  </w:num>
  <w:num w:numId="54">
    <w:abstractNumId w:val="32"/>
  </w:num>
  <w:num w:numId="55">
    <w:abstractNumId w:val="25"/>
  </w:num>
  <w:num w:numId="56">
    <w:abstractNumId w:val="33"/>
  </w:num>
  <w:num w:numId="57">
    <w:abstractNumId w:val="5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658BC"/>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34CC"/>
    <w:rsid w:val="00823AFA"/>
    <w:rsid w:val="00830114"/>
    <w:rsid w:val="00833C7A"/>
    <w:rsid w:val="00846110"/>
    <w:rsid w:val="00856404"/>
    <w:rsid w:val="00896506"/>
    <w:rsid w:val="008A1B60"/>
    <w:rsid w:val="008A76C3"/>
    <w:rsid w:val="008B6BB9"/>
    <w:rsid w:val="008C0F62"/>
    <w:rsid w:val="008D63D1"/>
    <w:rsid w:val="008F04B0"/>
    <w:rsid w:val="00902E89"/>
    <w:rsid w:val="00916E86"/>
    <w:rsid w:val="00923B5C"/>
    <w:rsid w:val="00936D92"/>
    <w:rsid w:val="009437FF"/>
    <w:rsid w:val="0095074C"/>
    <w:rsid w:val="0095659E"/>
    <w:rsid w:val="00971DFA"/>
    <w:rsid w:val="00973C45"/>
    <w:rsid w:val="00986D30"/>
    <w:rsid w:val="009A43CE"/>
    <w:rsid w:val="009E1F97"/>
    <w:rsid w:val="009E24D2"/>
    <w:rsid w:val="009E3560"/>
    <w:rsid w:val="009F4DF2"/>
    <w:rsid w:val="00A12089"/>
    <w:rsid w:val="00A13EC8"/>
    <w:rsid w:val="00A24D23"/>
    <w:rsid w:val="00A41D4A"/>
    <w:rsid w:val="00A550EF"/>
    <w:rsid w:val="00A65E0A"/>
    <w:rsid w:val="00A675E0"/>
    <w:rsid w:val="00A85B19"/>
    <w:rsid w:val="00A92A2B"/>
    <w:rsid w:val="00B24A32"/>
    <w:rsid w:val="00B34E30"/>
    <w:rsid w:val="00B7177E"/>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64D0D"/>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811358146">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3249C0-6AA0-4B8D-8791-A02D210B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37</Pages>
  <Words>8261</Words>
  <Characters>47091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2017-08-21T10:07:00Z</dcterms:created>
  <dcterms:modified xsi:type="dcterms:W3CDTF">2017-08-21T10:07:00Z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