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F24" w:rsidRPr="0035009E" w:rsidRDefault="0035009E">
      <w:pPr>
        <w:spacing w:after="642" w:line="259" w:lineRule="auto"/>
        <w:ind w:left="38" w:firstLine="0"/>
        <w:jc w:val="center"/>
        <w:rPr>
          <w:highlight w:val="black"/>
        </w:rPr>
      </w:pPr>
      <w:bookmarkStart w:id="0" w:name="_GoBack"/>
      <w:bookmarkEnd w:id="0"/>
      <w:r>
        <w:rPr>
          <w:noProof/>
          <w:sz w:val="36"/>
          <w:highlight w:val="black"/>
        </w:rPr>
        <w:t>'''''''''' ''''''''''''' ''''''' '''''''''''''''''''''''' '''''''''''''''' ''''' '''''''''''''''''''''</w:t>
      </w:r>
    </w:p>
    <w:p w:rsidR="00C17F24" w:rsidRDefault="003C13F8">
      <w:pPr>
        <w:spacing w:after="361" w:line="259" w:lineRule="auto"/>
        <w:ind w:left="0" w:right="86" w:firstLine="0"/>
        <w:jc w:val="center"/>
      </w:pPr>
      <w:r>
        <w:rPr>
          <w:sz w:val="38"/>
        </w:rPr>
        <w:t>Agreement to Standardised Contracting Terms</w:t>
      </w:r>
    </w:p>
    <w:p w:rsidR="00843072" w:rsidRDefault="00843072" w:rsidP="00843072">
      <w:pPr>
        <w:keepNext/>
        <w:keepLines/>
        <w:widowControl w:val="0"/>
        <w:autoSpaceDE w:val="0"/>
        <w:autoSpaceDN w:val="0"/>
        <w:adjustRightInd w:val="0"/>
        <w:spacing w:after="0" w:line="276" w:lineRule="auto"/>
        <w:ind w:left="120" w:right="114"/>
        <w:rPr>
          <w:rFonts w:ascii="Arial" w:eastAsia="Times New Roman" w:hAnsi="Arial" w:cs="Arial"/>
          <w:color w:val="auto"/>
          <w:szCs w:val="24"/>
        </w:rPr>
      </w:pPr>
      <w:bookmarkStart w:id="1" w:name="_Toc501022446_3_1"/>
      <w:r>
        <w:rPr>
          <w:rFonts w:ascii="Arial" w:hAnsi="Arial" w:cs="Arial"/>
          <w:b/>
          <w:bCs/>
        </w:rPr>
        <w:t>SC1A</w:t>
      </w:r>
      <w:bookmarkEnd w:id="1"/>
    </w:p>
    <w:p w:rsidR="00843072" w:rsidRDefault="00843072" w:rsidP="00843072">
      <w:pPr>
        <w:widowControl w:val="0"/>
        <w:autoSpaceDE w:val="0"/>
        <w:autoSpaceDN w:val="0"/>
        <w:adjustRightInd w:val="0"/>
        <w:spacing w:after="60" w:line="240" w:lineRule="auto"/>
        <w:ind w:left="120"/>
        <w:rPr>
          <w:rFonts w:ascii="Arial" w:hAnsi="Arial" w:cs="Arial"/>
          <w:szCs w:val="24"/>
        </w:rPr>
      </w:pP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1    Definitions - In the Contract:</w:t>
      </w:r>
    </w:p>
    <w:p w:rsidR="00843072" w:rsidRDefault="00843072" w:rsidP="00843072">
      <w:pPr>
        <w:widowControl w:val="0"/>
        <w:autoSpaceDE w:val="0"/>
        <w:autoSpaceDN w:val="0"/>
        <w:adjustRightInd w:val="0"/>
        <w:spacing w:after="60" w:line="240" w:lineRule="auto"/>
        <w:ind w:left="120"/>
        <w:rPr>
          <w:rFonts w:ascii="Arial" w:hAnsi="Arial" w:cs="Arial"/>
          <w:szCs w:val="24"/>
        </w:rPr>
      </w:pP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 xml:space="preserve">The Authority   </w:t>
      </w:r>
      <w:r>
        <w:rPr>
          <w:rFonts w:ascii="Arial" w:hAnsi="Arial" w:cs="Arial"/>
        </w:rPr>
        <w:t>means the Secretary of State for Defence of the United Kingdom of Great Britain and Northern Ireland, (referred to in this document as "the Authority"), acting as part of the Crown;</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 xml:space="preserve">Business Day   </w:t>
      </w:r>
      <w:r>
        <w:rPr>
          <w:rFonts w:ascii="Arial" w:hAnsi="Arial" w:cs="Arial"/>
        </w:rPr>
        <w:t>means 09:00 to 17:00 Monday to Friday, excluding public and statutory holidays;</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Contract</w:t>
      </w:r>
      <w:r>
        <w:rPr>
          <w:rFonts w:ascii="Arial" w:hAnsi="Arial" w:cs="Arial"/>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 xml:space="preserve">Contractor   </w:t>
      </w:r>
      <w:r>
        <w:rPr>
          <w:rFonts w:ascii="Arial" w:hAnsi="Arial" w:cs="Arial"/>
        </w:rPr>
        <w:t>means the person, firm or company specified as such in the purchase order;</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 xml:space="preserve">Contractor Commercially Sensitive </w:t>
      </w:r>
      <w:proofErr w:type="gramStart"/>
      <w:r>
        <w:rPr>
          <w:rFonts w:ascii="Arial" w:hAnsi="Arial" w:cs="Arial"/>
          <w:b/>
          <w:bCs/>
        </w:rPr>
        <w:t xml:space="preserve">Information  </w:t>
      </w:r>
      <w:r>
        <w:rPr>
          <w:rFonts w:ascii="Arial" w:hAnsi="Arial" w:cs="Arial"/>
        </w:rPr>
        <w:t>means</w:t>
      </w:r>
      <w:proofErr w:type="gramEnd"/>
      <w:r>
        <w:rPr>
          <w:rFonts w:ascii="Arial" w:hAnsi="Arial" w:cs="Arial"/>
        </w:rPr>
        <w:t xml:space="preserve"> the information listed as such in the purchase order, which is information notified by the Contractor to the Authority, which is acknowledged by the Authority as being commercially sensitive;</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Contractor Deliverables</w:t>
      </w:r>
      <w:r>
        <w:rPr>
          <w:rFonts w:ascii="Arial" w:hAnsi="Arial" w:cs="Arial"/>
        </w:rPr>
        <w:t xml:space="preserve">   means the goods and / or services including packaging (and supplied in accordance with any QA requirements if specified) which the Contractor is required to provide under the Contract in accordance with the schedule to the purchase order; </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Effective Date of Contract</w:t>
      </w:r>
      <w:r>
        <w:rPr>
          <w:rFonts w:ascii="Arial" w:hAnsi="Arial" w:cs="Arial"/>
        </w:rPr>
        <w:t xml:space="preserve">   means the date stated on the purchase order or, if there is no such date stated, the date upon which both Parties have signed the purchase order;</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Firm Price</w:t>
      </w:r>
      <w:r>
        <w:rPr>
          <w:rFonts w:ascii="Arial" w:hAnsi="Arial" w:cs="Arial"/>
        </w:rPr>
        <w:t xml:space="preserve">   means a price excluding Value Added Tax (VAT) which is not subject to variation;</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Hazardous Contractor Deliverable</w:t>
      </w:r>
      <w:r>
        <w:rPr>
          <w:rFonts w:ascii="Arial" w:hAnsi="Arial" w:cs="Arial"/>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843072" w:rsidRDefault="00843072" w:rsidP="00843072">
      <w:pPr>
        <w:widowControl w:val="0"/>
        <w:autoSpaceDE w:val="0"/>
        <w:autoSpaceDN w:val="0"/>
        <w:adjustRightInd w:val="0"/>
        <w:spacing w:after="60" w:line="240" w:lineRule="auto"/>
        <w:ind w:left="120"/>
        <w:rPr>
          <w:rFonts w:ascii="Arial" w:hAnsi="Arial" w:cs="Arial"/>
          <w:szCs w:val="24"/>
        </w:rPr>
      </w:pPr>
      <w:proofErr w:type="gramStart"/>
      <w:r>
        <w:rPr>
          <w:rFonts w:ascii="Arial" w:hAnsi="Arial" w:cs="Arial"/>
          <w:b/>
          <w:bCs/>
        </w:rPr>
        <w:t xml:space="preserve">Legislation  </w:t>
      </w:r>
      <w:r>
        <w:rPr>
          <w:rFonts w:ascii="Arial" w:hAnsi="Arial" w:cs="Arial"/>
        </w:rPr>
        <w:t>means</w:t>
      </w:r>
      <w:proofErr w:type="gramEnd"/>
      <w:r>
        <w:rPr>
          <w:rFonts w:ascii="Arial" w:hAnsi="Arial" w:cs="Arial"/>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 xml:space="preserve">Notices </w:t>
      </w:r>
      <w:r>
        <w:rPr>
          <w:rFonts w:ascii="Arial" w:hAnsi="Arial" w:cs="Arial"/>
        </w:rPr>
        <w:t xml:space="preserve">  means all notices, orders, or other forms of communication required to be given in writing under or in connection with the Contract;</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Parties</w:t>
      </w:r>
      <w:r>
        <w:rPr>
          <w:rFonts w:ascii="Arial" w:hAnsi="Arial" w:cs="Arial"/>
        </w:rPr>
        <w:t xml:space="preserve">   means the Contractor and the Authority, and Party shall be construed </w:t>
      </w:r>
      <w:r>
        <w:rPr>
          <w:rFonts w:ascii="Arial" w:hAnsi="Arial" w:cs="Arial"/>
        </w:rPr>
        <w:lastRenderedPageBreak/>
        <w:t>accordingly;</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Transparency Information</w:t>
      </w:r>
      <w:r>
        <w:rPr>
          <w:rFonts w:ascii="Arial" w:hAnsi="Arial" w:cs="Arial"/>
        </w:rPr>
        <w:t xml:space="preserve">   means the content of this Contract in its entirety, including from time to time agreed changes to the Contract, and details of any payments made by the Authority to the Contractor under the Contract.</w:t>
      </w:r>
    </w:p>
    <w:p w:rsidR="00843072" w:rsidRDefault="00843072" w:rsidP="00843072">
      <w:pPr>
        <w:widowControl w:val="0"/>
        <w:autoSpaceDE w:val="0"/>
        <w:autoSpaceDN w:val="0"/>
        <w:adjustRightInd w:val="0"/>
        <w:spacing w:after="0" w:line="240" w:lineRule="auto"/>
        <w:ind w:left="120"/>
        <w:rPr>
          <w:rFonts w:ascii="Arial" w:hAnsi="Arial" w:cs="Arial"/>
          <w:sz w:val="22"/>
        </w:rPr>
      </w:pPr>
    </w:p>
    <w:p w:rsidR="00843072" w:rsidRDefault="00843072" w:rsidP="00843072">
      <w:pPr>
        <w:widowControl w:val="0"/>
        <w:autoSpaceDE w:val="0"/>
        <w:autoSpaceDN w:val="0"/>
        <w:adjustRightInd w:val="0"/>
        <w:spacing w:after="60" w:line="240" w:lineRule="auto"/>
        <w:ind w:left="120"/>
        <w:rPr>
          <w:rFonts w:ascii="Arial" w:hAnsi="Arial" w:cs="Arial"/>
        </w:rPr>
      </w:pPr>
    </w:p>
    <w:p w:rsidR="00843072" w:rsidRDefault="00843072" w:rsidP="00843072">
      <w:pPr>
        <w:widowControl w:val="0"/>
        <w:autoSpaceDE w:val="0"/>
        <w:autoSpaceDN w:val="0"/>
        <w:adjustRightInd w:val="0"/>
        <w:spacing w:after="60" w:line="240" w:lineRule="auto"/>
        <w:ind w:left="120"/>
        <w:rPr>
          <w:rFonts w:ascii="Arial" w:hAnsi="Arial" w:cs="Arial"/>
          <w:color w:val="auto"/>
          <w:szCs w:val="24"/>
        </w:rPr>
      </w:pPr>
      <w:r>
        <w:rPr>
          <w:rFonts w:ascii="Arial" w:hAnsi="Arial" w:cs="Arial"/>
          <w:b/>
          <w:bCs/>
        </w:rPr>
        <w:t>2   General</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a.   The Contractor shall comply with all applicable Legislation, whether specifically referenced in this Contract or not.</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 xml:space="preserve">b.   Any variation to the Contract shall have no effect unless expressly agreed in writing and signed by both Parties. </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c.   If there is any inconsistency between these terms and conditions and the purchase order or the documents expressly referred to therein, the conflict shall be resolved according to the following descending order of priority:</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(1)   the terms and conditions;</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(2)   the purchase order; and</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(3)   the documents expressly referred to in the purchase order.</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d.   Neither Party shall be entitled to assign the Contract (or any part thereof) without the prior written consent of the other Party.</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e.   Failure or delay by either Party in enforcing or partially enforcing any provision of the Contract shall not be construed as a waiver of its rights under the Contract.</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f.   The Parties to the Contract do not intend that any term of the Contract shall be enforceable by virtue of the Contracts (Rights of Third Parties) Act 1999 by any person that is not a Party to it.</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00843072" w:rsidRDefault="00843072" w:rsidP="00843072">
      <w:pPr>
        <w:widowControl w:val="0"/>
        <w:autoSpaceDE w:val="0"/>
        <w:autoSpaceDN w:val="0"/>
        <w:adjustRightInd w:val="0"/>
        <w:spacing w:after="0" w:line="240" w:lineRule="auto"/>
        <w:ind w:left="120"/>
        <w:rPr>
          <w:rFonts w:ascii="Arial" w:hAnsi="Arial" w:cs="Arial"/>
          <w:sz w:val="22"/>
        </w:rPr>
      </w:pPr>
    </w:p>
    <w:p w:rsidR="00843072" w:rsidRDefault="00843072" w:rsidP="00843072">
      <w:pPr>
        <w:widowControl w:val="0"/>
        <w:autoSpaceDE w:val="0"/>
        <w:autoSpaceDN w:val="0"/>
        <w:adjustRightInd w:val="0"/>
        <w:spacing w:after="60" w:line="240" w:lineRule="auto"/>
        <w:ind w:left="120"/>
        <w:rPr>
          <w:rFonts w:ascii="Arial" w:hAnsi="Arial" w:cs="Arial"/>
        </w:rPr>
      </w:pPr>
    </w:p>
    <w:p w:rsidR="00843072" w:rsidRDefault="00843072" w:rsidP="00843072">
      <w:pPr>
        <w:widowControl w:val="0"/>
        <w:autoSpaceDE w:val="0"/>
        <w:autoSpaceDN w:val="0"/>
        <w:adjustRightInd w:val="0"/>
        <w:spacing w:after="60" w:line="240" w:lineRule="auto"/>
        <w:ind w:left="120"/>
        <w:rPr>
          <w:rFonts w:ascii="Arial" w:hAnsi="Arial" w:cs="Arial"/>
          <w:color w:val="auto"/>
          <w:szCs w:val="24"/>
        </w:rPr>
      </w:pPr>
      <w:r>
        <w:rPr>
          <w:rFonts w:ascii="Arial" w:hAnsi="Arial" w:cs="Arial"/>
          <w:b/>
          <w:bCs/>
        </w:rPr>
        <w:t>3    Application of Conditions</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a.   The purchase order, these terms and conditions and the specification govern the Contract to the entire exclusion of all other terms and conditions. No other terms or conditions are implied.</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b.   The Contract constitutes the entire agreement and understanding and supersedes any previous agreement between the Parties relating to the subject matter of the Contract.</w:t>
      </w:r>
    </w:p>
    <w:p w:rsidR="00843072" w:rsidRDefault="00843072" w:rsidP="00843072">
      <w:pPr>
        <w:widowControl w:val="0"/>
        <w:autoSpaceDE w:val="0"/>
        <w:autoSpaceDN w:val="0"/>
        <w:adjustRightInd w:val="0"/>
        <w:spacing w:after="0" w:line="240" w:lineRule="auto"/>
        <w:ind w:left="120"/>
        <w:rPr>
          <w:rFonts w:ascii="Arial" w:hAnsi="Arial" w:cs="Arial"/>
          <w:sz w:val="22"/>
        </w:rPr>
      </w:pPr>
    </w:p>
    <w:p w:rsidR="00843072" w:rsidRDefault="00843072" w:rsidP="00843072">
      <w:pPr>
        <w:widowControl w:val="0"/>
        <w:autoSpaceDE w:val="0"/>
        <w:autoSpaceDN w:val="0"/>
        <w:adjustRightInd w:val="0"/>
        <w:spacing w:after="60" w:line="240" w:lineRule="auto"/>
        <w:ind w:left="120"/>
        <w:rPr>
          <w:rFonts w:ascii="Arial" w:hAnsi="Arial" w:cs="Arial"/>
        </w:rPr>
      </w:pPr>
    </w:p>
    <w:p w:rsidR="00843072" w:rsidRDefault="00843072" w:rsidP="00843072">
      <w:pPr>
        <w:widowControl w:val="0"/>
        <w:autoSpaceDE w:val="0"/>
        <w:autoSpaceDN w:val="0"/>
        <w:adjustRightInd w:val="0"/>
        <w:spacing w:after="60" w:line="240" w:lineRule="auto"/>
        <w:ind w:left="120"/>
        <w:rPr>
          <w:rFonts w:ascii="Arial" w:hAnsi="Arial" w:cs="Arial"/>
          <w:color w:val="auto"/>
          <w:szCs w:val="24"/>
        </w:rPr>
      </w:pPr>
      <w:r>
        <w:rPr>
          <w:rFonts w:ascii="Arial" w:hAnsi="Arial" w:cs="Arial"/>
          <w:b/>
          <w:bCs/>
        </w:rPr>
        <w:t>4   Disclosure of Information</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Disclosure of information under the Contract shall be managed in accordance with DEFCON 531 (SC1).</w:t>
      </w:r>
    </w:p>
    <w:p w:rsidR="00843072" w:rsidRDefault="00843072" w:rsidP="00843072">
      <w:pPr>
        <w:widowControl w:val="0"/>
        <w:autoSpaceDE w:val="0"/>
        <w:autoSpaceDN w:val="0"/>
        <w:adjustRightInd w:val="0"/>
        <w:spacing w:after="0" w:line="240" w:lineRule="auto"/>
        <w:ind w:left="120"/>
        <w:rPr>
          <w:rFonts w:ascii="Arial" w:hAnsi="Arial" w:cs="Arial"/>
          <w:sz w:val="22"/>
        </w:rPr>
      </w:pPr>
    </w:p>
    <w:p w:rsidR="00843072" w:rsidRDefault="00843072" w:rsidP="00843072">
      <w:pPr>
        <w:widowControl w:val="0"/>
        <w:autoSpaceDE w:val="0"/>
        <w:autoSpaceDN w:val="0"/>
        <w:adjustRightInd w:val="0"/>
        <w:spacing w:after="60" w:line="240" w:lineRule="auto"/>
        <w:ind w:left="120"/>
        <w:rPr>
          <w:rFonts w:ascii="Arial" w:hAnsi="Arial" w:cs="Arial"/>
        </w:rPr>
      </w:pPr>
    </w:p>
    <w:p w:rsidR="00843072" w:rsidRDefault="00843072" w:rsidP="00843072">
      <w:pPr>
        <w:widowControl w:val="0"/>
        <w:autoSpaceDE w:val="0"/>
        <w:autoSpaceDN w:val="0"/>
        <w:adjustRightInd w:val="0"/>
        <w:spacing w:after="60" w:line="240" w:lineRule="auto"/>
        <w:ind w:left="120"/>
        <w:rPr>
          <w:rFonts w:ascii="Arial" w:hAnsi="Arial" w:cs="Arial"/>
          <w:color w:val="auto"/>
          <w:szCs w:val="24"/>
        </w:rPr>
      </w:pPr>
      <w:r>
        <w:rPr>
          <w:rFonts w:ascii="Arial" w:hAnsi="Arial" w:cs="Arial"/>
          <w:b/>
          <w:bCs/>
        </w:rPr>
        <w:t>5   Transparency</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d.  For the avoidance of doubt, nothing in this Clause 5 shall affect the Contractor’s rights at law.</w:t>
      </w:r>
    </w:p>
    <w:p w:rsidR="00843072" w:rsidRDefault="00843072" w:rsidP="00843072">
      <w:pPr>
        <w:widowControl w:val="0"/>
        <w:autoSpaceDE w:val="0"/>
        <w:autoSpaceDN w:val="0"/>
        <w:adjustRightInd w:val="0"/>
        <w:spacing w:after="0" w:line="240" w:lineRule="auto"/>
        <w:ind w:left="120"/>
        <w:rPr>
          <w:rFonts w:ascii="Arial" w:hAnsi="Arial" w:cs="Arial"/>
          <w:sz w:val="22"/>
        </w:rPr>
      </w:pPr>
    </w:p>
    <w:p w:rsidR="00843072" w:rsidRDefault="00843072" w:rsidP="00843072">
      <w:pPr>
        <w:widowControl w:val="0"/>
        <w:autoSpaceDE w:val="0"/>
        <w:autoSpaceDN w:val="0"/>
        <w:adjustRightInd w:val="0"/>
        <w:spacing w:after="60" w:line="240" w:lineRule="auto"/>
        <w:ind w:left="120"/>
        <w:rPr>
          <w:rFonts w:ascii="Arial" w:hAnsi="Arial" w:cs="Arial"/>
          <w:color w:val="auto"/>
          <w:szCs w:val="24"/>
        </w:rPr>
      </w:pPr>
      <w:r>
        <w:rPr>
          <w:rFonts w:ascii="Arial" w:hAnsi="Arial" w:cs="Arial"/>
          <w:b/>
          <w:bCs/>
        </w:rPr>
        <w:t>6   Notices</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a.   A Notice served under the Contract shall be:</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(1)   in writing in the English Language;</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(2)   authenticated by signature or such other method as may be agreed between the Parties;</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(3)   sent for the attention of the other Party’s representative, and to the address set out in the purchase order;</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(4)   marked with the number of the Contract; and</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(5)   delivered by hand, prepaid post (or airmail), facsimile transmission or, if agreed in the purchase order, by electronic mail.</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b.   Notices shall be deemed to have been received:</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(1)   if delivered by hand, on the day of delivery if it is a Business Day in the place of receipt, and otherwise on the first Business Day in the place of receipt following the day of delivery;</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(2)   if sent by prepaid post, on the fourth Business Day (or the tenth Business Day in the case of airmail) after the day of posting;</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 xml:space="preserve">(3)   if sent by facsimile or electronic means: </w:t>
      </w:r>
    </w:p>
    <w:p w:rsidR="00843072" w:rsidRDefault="00843072" w:rsidP="00843072">
      <w:pPr>
        <w:widowControl w:val="0"/>
        <w:autoSpaceDE w:val="0"/>
        <w:autoSpaceDN w:val="0"/>
        <w:adjustRightInd w:val="0"/>
        <w:spacing w:after="60" w:line="240" w:lineRule="auto"/>
        <w:ind w:left="1254"/>
        <w:rPr>
          <w:rFonts w:ascii="Arial" w:hAnsi="Arial" w:cs="Arial"/>
          <w:szCs w:val="24"/>
        </w:rPr>
      </w:pPr>
      <w:r>
        <w:rPr>
          <w:rFonts w:ascii="Arial" w:hAnsi="Arial" w:cs="Arial"/>
        </w:rPr>
        <w:t>(a)   if transmitted between 09:00 and 17:00 hours on a Business Day (recipient’s time) on completion of receipt by the sender of verification of the transmission from the receiving instrument; or</w:t>
      </w:r>
    </w:p>
    <w:p w:rsidR="00843072" w:rsidRDefault="00843072" w:rsidP="00843072">
      <w:pPr>
        <w:widowControl w:val="0"/>
        <w:autoSpaceDE w:val="0"/>
        <w:autoSpaceDN w:val="0"/>
        <w:adjustRightInd w:val="0"/>
        <w:spacing w:after="60" w:line="240" w:lineRule="auto"/>
        <w:ind w:left="1254"/>
        <w:rPr>
          <w:rFonts w:ascii="Arial" w:hAnsi="Arial" w:cs="Arial"/>
          <w:szCs w:val="24"/>
        </w:rPr>
      </w:pPr>
      <w:r>
        <w:rPr>
          <w:rFonts w:ascii="Arial" w:hAnsi="Arial" w:cs="Arial"/>
        </w:rPr>
        <w:t>(b)   if transmitted at any other time, at 09:00 on the first Business Day (recipient’s time) following the completion of receipt by the sender of verification of transmission from the receiving instrument.</w:t>
      </w:r>
    </w:p>
    <w:p w:rsidR="00843072" w:rsidRDefault="00843072" w:rsidP="00843072">
      <w:pPr>
        <w:widowControl w:val="0"/>
        <w:autoSpaceDE w:val="0"/>
        <w:autoSpaceDN w:val="0"/>
        <w:adjustRightInd w:val="0"/>
        <w:spacing w:after="60" w:line="240" w:lineRule="auto"/>
        <w:ind w:left="120"/>
        <w:rPr>
          <w:rFonts w:ascii="Arial" w:hAnsi="Arial" w:cs="Arial"/>
          <w:szCs w:val="24"/>
        </w:rPr>
      </w:pP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lastRenderedPageBreak/>
        <w:t>7   Intellectual Property</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rPr>
        <w:t>to dispose</w:t>
      </w:r>
      <w:proofErr w:type="gramEnd"/>
      <w:r>
        <w:rPr>
          <w:rFonts w:ascii="Arial" w:hAnsi="Arial" w:cs="Arial"/>
        </w:rPr>
        <w:t xml:space="preserve"> of the claim and will not make any statement which might be prejudicial to the settlement or defence of the claim</w:t>
      </w:r>
    </w:p>
    <w:p w:rsidR="00843072" w:rsidRDefault="00843072" w:rsidP="00843072">
      <w:pPr>
        <w:widowControl w:val="0"/>
        <w:autoSpaceDE w:val="0"/>
        <w:autoSpaceDN w:val="0"/>
        <w:adjustRightInd w:val="0"/>
        <w:spacing w:after="60" w:line="240" w:lineRule="auto"/>
        <w:ind w:left="120"/>
        <w:rPr>
          <w:rFonts w:ascii="Arial" w:hAnsi="Arial" w:cs="Arial"/>
          <w:szCs w:val="24"/>
        </w:rPr>
      </w:pP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8   Supply of Contractor Deliverables and Quality Assurance</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a.   This Contract comes into effect on the Effective Date of Contract.</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b.   The Contractor shall supply the Contractor Deliverables to the Authority at the Firm Price stated in the Schedule to the purchase order.</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c.   The Contractor shall ensure that the Contractor Deliverables:</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(1)   correspond with the specification;</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(3)   comply with any applicable Quality Assurance Requirements specified in the purchase order.</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rPr>
        <w:t>with regard to</w:t>
      </w:r>
      <w:proofErr w:type="gramEnd"/>
      <w:r>
        <w:rPr>
          <w:rFonts w:ascii="Arial" w:hAnsi="Arial" w:cs="Arial"/>
        </w:rPr>
        <w:t xml:space="preserve"> any relevant defence or security matter arising in the application for any such licence.</w:t>
      </w:r>
    </w:p>
    <w:p w:rsidR="00843072" w:rsidRDefault="00843072" w:rsidP="00843072">
      <w:pPr>
        <w:widowControl w:val="0"/>
        <w:autoSpaceDE w:val="0"/>
        <w:autoSpaceDN w:val="0"/>
        <w:adjustRightInd w:val="0"/>
        <w:spacing w:after="0" w:line="240" w:lineRule="auto"/>
        <w:ind w:left="120"/>
        <w:rPr>
          <w:rFonts w:ascii="Arial" w:hAnsi="Arial" w:cs="Arial"/>
          <w:sz w:val="22"/>
        </w:rPr>
      </w:pPr>
    </w:p>
    <w:p w:rsidR="00843072" w:rsidRDefault="00843072" w:rsidP="00843072">
      <w:pPr>
        <w:widowControl w:val="0"/>
        <w:autoSpaceDE w:val="0"/>
        <w:autoSpaceDN w:val="0"/>
        <w:adjustRightInd w:val="0"/>
        <w:spacing w:after="60" w:line="240" w:lineRule="auto"/>
        <w:ind w:left="120"/>
        <w:rPr>
          <w:rFonts w:ascii="Arial" w:hAnsi="Arial" w:cs="Arial"/>
        </w:rPr>
      </w:pPr>
    </w:p>
    <w:p w:rsidR="00843072" w:rsidRDefault="00843072" w:rsidP="00843072">
      <w:pPr>
        <w:widowControl w:val="0"/>
        <w:autoSpaceDE w:val="0"/>
        <w:autoSpaceDN w:val="0"/>
        <w:adjustRightInd w:val="0"/>
        <w:spacing w:after="60" w:line="240" w:lineRule="auto"/>
        <w:ind w:left="120"/>
        <w:rPr>
          <w:rFonts w:ascii="Arial" w:hAnsi="Arial" w:cs="Arial"/>
          <w:color w:val="auto"/>
          <w:szCs w:val="24"/>
        </w:rPr>
      </w:pPr>
      <w:r>
        <w:rPr>
          <w:rFonts w:ascii="Arial" w:hAnsi="Arial" w:cs="Arial"/>
          <w:b/>
          <w:bCs/>
        </w:rPr>
        <w:t>9   Supply of Hazardous Contractor Deliverables</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(1)   the Technical Instructions for the Safe Transport of Dangerous Goods by Air (ICAO), IATA Dangerous Goods Regulations;</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(2)   the International Maritime Dangerous Goods (IMDG) Code;</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(3)   the Regulations Concerning the International Carriage of Dangerous Goods by Rail (RID); and</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(4)   the European Agreement Concerning the International Carriage of Dangerous Goods by Road (ADR).</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 xml:space="preserve">b.    Certification markings, incorporating the UN logo, the package code and other </w:t>
      </w:r>
      <w:r>
        <w:rPr>
          <w:rFonts w:ascii="Arial" w:hAnsi="Arial" w:cs="Arial"/>
        </w:rPr>
        <w:lastRenderedPageBreak/>
        <w:t>prescribed information indicating that the package corresponds to the successfully designed type shall be marked on the packaging in accordance with the relevant regulation.</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 xml:space="preserve">(1)   confirmation as to </w:t>
      </w:r>
      <w:proofErr w:type="gramStart"/>
      <w:r>
        <w:rPr>
          <w:rFonts w:ascii="Arial" w:hAnsi="Arial" w:cs="Arial"/>
        </w:rPr>
        <w:t>whether or not</w:t>
      </w:r>
      <w:proofErr w:type="gramEnd"/>
      <w:r>
        <w:rPr>
          <w:rFonts w:ascii="Arial" w:hAnsi="Arial" w:cs="Arial"/>
        </w:rPr>
        <w:t xml:space="preserve"> to the best of its knowledge any of the Contractor Deliverables are Hazardous Contractor Deliverables; and</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(2)   for each Hazardous Contractor Deliverable, a Safety Data Sheet containing the data set out at Clause 9.d, which shall be updated by the Contractor during the period of the Contract if it becomes aware of any new relevant data.</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d.   Safety Data Sheets if required under Clause 9.c shall be provided in accordance with the REACH Regulations (EC) No 1907/2006 and any additional information required by the Health and Safety at Work etc. Act 1974 and shall contain:</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(2)   where the Hazardous Contractor Deliverable is, contains or embodies a radioactive substance as defined in the Ionising Radiation Regulations SI 1999/3232, details of the activity, substance and form (including any isotope); and</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(3)   where the Hazardous Contractor Deliverable has magnetic properties, details of the magnetic flux density at a defined distance, for the condition in which it is packed.</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e.   The Contractor shall retain its own copies of the Safety Data Sheets provided to the Authority in accordance with Clause 9.d for 4 years after the end of the Contract and shall make them available to the Authority’s representatives on request.</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f.   Nothing in this Clause 9 reduces or limits any statutory or legal obligation of the Authority or the Contractor.</w:t>
      </w:r>
    </w:p>
    <w:p w:rsidR="00843072" w:rsidRDefault="00843072" w:rsidP="00843072">
      <w:pPr>
        <w:widowControl w:val="0"/>
        <w:autoSpaceDE w:val="0"/>
        <w:autoSpaceDN w:val="0"/>
        <w:adjustRightInd w:val="0"/>
        <w:spacing w:after="0" w:line="240" w:lineRule="auto"/>
        <w:ind w:left="120"/>
        <w:rPr>
          <w:rFonts w:ascii="Arial" w:hAnsi="Arial" w:cs="Arial"/>
          <w:sz w:val="22"/>
        </w:rPr>
      </w:pPr>
    </w:p>
    <w:p w:rsidR="00843072" w:rsidRDefault="00843072" w:rsidP="00843072">
      <w:pPr>
        <w:widowControl w:val="0"/>
        <w:autoSpaceDE w:val="0"/>
        <w:autoSpaceDN w:val="0"/>
        <w:adjustRightInd w:val="0"/>
        <w:spacing w:after="60" w:line="240" w:lineRule="auto"/>
        <w:ind w:left="120"/>
        <w:rPr>
          <w:rFonts w:ascii="Arial" w:hAnsi="Arial" w:cs="Arial"/>
          <w:color w:val="auto"/>
          <w:szCs w:val="24"/>
        </w:rPr>
      </w:pPr>
      <w:r>
        <w:rPr>
          <w:rFonts w:ascii="Arial" w:hAnsi="Arial" w:cs="Arial"/>
          <w:b/>
          <w:bCs/>
        </w:rPr>
        <w:t>10   Delivery / Collection</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a.   The purchase order shall specify whether the Contractor Deliverables are to be delivered to the consignee by the Contractor or collected from the consignor by the Authority.</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 xml:space="preserve">b.   Title and risk in the Contractor Deliverables shall pass from the Contractor to the Authority on delivery or on collection in accordance with Clause 10.a.    </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c.   The Authority shall be deemed to have accepted the Contractor Deliverables thirty (30) days after title and risk has passed to the Authority unless it has rejected the Contractor Deliverables within the same period.</w:t>
      </w:r>
    </w:p>
    <w:p w:rsidR="00843072" w:rsidRDefault="00843072" w:rsidP="00843072">
      <w:pPr>
        <w:widowControl w:val="0"/>
        <w:autoSpaceDE w:val="0"/>
        <w:autoSpaceDN w:val="0"/>
        <w:adjustRightInd w:val="0"/>
        <w:spacing w:after="60" w:line="240" w:lineRule="auto"/>
        <w:ind w:left="120"/>
        <w:rPr>
          <w:rFonts w:ascii="Arial" w:hAnsi="Arial" w:cs="Arial"/>
          <w:szCs w:val="24"/>
        </w:rPr>
      </w:pP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11   Marking of Contractor Deliverables</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 xml:space="preserve">a.        Each Contractor Deliverable shall be marked in accordance with the requirements specified in the purchase order. or if no such requirement is specified, the Contractor shall mark each Contractor Deliverable clearly and indelibly in </w:t>
      </w:r>
      <w:r>
        <w:rPr>
          <w:rFonts w:ascii="Arial" w:hAnsi="Arial" w:cs="Arial"/>
        </w:rPr>
        <w:lastRenderedPageBreak/>
        <w:t>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b.   Any marking method used shall not have a detrimental effect on the strength, serviceability or corrosion resistance of the Contractor Deliverables.</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c.   The marking shall include any serial numbers allocated to the Contractor Deliverable.</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 xml:space="preserve">d.        Where because of its size or nature it is not possible to mark a Contractor Deliverable with the </w:t>
      </w:r>
      <w:proofErr w:type="gramStart"/>
      <w:r>
        <w:rPr>
          <w:rFonts w:ascii="Arial" w:hAnsi="Arial" w:cs="Arial"/>
        </w:rPr>
        <w:t>required particulars, the</w:t>
      </w:r>
      <w:proofErr w:type="gramEnd"/>
      <w:r>
        <w:rPr>
          <w:rFonts w:ascii="Arial" w:hAnsi="Arial" w:cs="Arial"/>
        </w:rPr>
        <w:t xml:space="preserve"> required information should be included on the package or carton in which the Contractor Deliverable is packed, in accordance with condition 12 (Packaging and Labelling (excluding Contractor Deliverables containing Ammunition or Explosives)).</w:t>
      </w:r>
    </w:p>
    <w:p w:rsidR="00843072" w:rsidRDefault="00843072" w:rsidP="00843072">
      <w:pPr>
        <w:widowControl w:val="0"/>
        <w:autoSpaceDE w:val="0"/>
        <w:autoSpaceDN w:val="0"/>
        <w:adjustRightInd w:val="0"/>
        <w:spacing w:after="0" w:line="240" w:lineRule="auto"/>
        <w:ind w:left="120"/>
        <w:rPr>
          <w:rFonts w:ascii="Arial" w:hAnsi="Arial" w:cs="Arial"/>
          <w:sz w:val="22"/>
        </w:rPr>
      </w:pPr>
    </w:p>
    <w:p w:rsidR="00843072" w:rsidRDefault="00843072" w:rsidP="00843072">
      <w:pPr>
        <w:widowControl w:val="0"/>
        <w:autoSpaceDE w:val="0"/>
        <w:autoSpaceDN w:val="0"/>
        <w:adjustRightInd w:val="0"/>
        <w:spacing w:after="60" w:line="240" w:lineRule="auto"/>
        <w:ind w:left="120"/>
        <w:rPr>
          <w:rFonts w:ascii="Arial" w:hAnsi="Arial" w:cs="Arial"/>
        </w:rPr>
      </w:pPr>
    </w:p>
    <w:p w:rsidR="00843072" w:rsidRDefault="00843072" w:rsidP="00843072">
      <w:pPr>
        <w:widowControl w:val="0"/>
        <w:autoSpaceDE w:val="0"/>
        <w:autoSpaceDN w:val="0"/>
        <w:adjustRightInd w:val="0"/>
        <w:spacing w:after="60" w:line="240" w:lineRule="auto"/>
        <w:ind w:left="120"/>
        <w:rPr>
          <w:rFonts w:ascii="Arial" w:hAnsi="Arial" w:cs="Arial"/>
          <w:color w:val="auto"/>
          <w:szCs w:val="24"/>
        </w:rPr>
      </w:pPr>
      <w:r>
        <w:rPr>
          <w:rFonts w:ascii="Arial" w:hAnsi="Arial" w:cs="Arial"/>
          <w:b/>
          <w:bCs/>
        </w:rPr>
        <w:t>12   Packaging and Labelling of Contractor Deliverables (Excluding Contractor Deliverables Containing Ammunition or Explosives)</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The Contractor shall pack or have packed the Contractor Deliverables in accordance with any requirements specified in the purchase order and Def Stan 81-041 (Part 1 and Part 6).</w:t>
      </w:r>
    </w:p>
    <w:p w:rsidR="00843072" w:rsidRDefault="00843072" w:rsidP="00843072">
      <w:pPr>
        <w:widowControl w:val="0"/>
        <w:autoSpaceDE w:val="0"/>
        <w:autoSpaceDN w:val="0"/>
        <w:adjustRightInd w:val="0"/>
        <w:spacing w:after="60" w:line="240" w:lineRule="auto"/>
        <w:ind w:left="120"/>
        <w:rPr>
          <w:rFonts w:ascii="Arial" w:hAnsi="Arial" w:cs="Arial"/>
          <w:szCs w:val="24"/>
        </w:rPr>
      </w:pP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13   Progress Monitoring, Meetings and Reports</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The Contractor shall attend progress meetings and deliver reports at the frequency or times (if any) specified in the purchase order and shall ensure that its Contractor’s representatives are suitably qualified to attend such meetings.</w:t>
      </w:r>
    </w:p>
    <w:p w:rsidR="00843072" w:rsidRDefault="00843072" w:rsidP="00843072">
      <w:pPr>
        <w:widowControl w:val="0"/>
        <w:autoSpaceDE w:val="0"/>
        <w:autoSpaceDN w:val="0"/>
        <w:adjustRightInd w:val="0"/>
        <w:spacing w:after="60" w:line="240" w:lineRule="auto"/>
        <w:ind w:left="120"/>
        <w:rPr>
          <w:rFonts w:ascii="Arial" w:hAnsi="Arial" w:cs="Arial"/>
          <w:szCs w:val="24"/>
        </w:rPr>
      </w:pPr>
    </w:p>
    <w:p w:rsidR="00843072" w:rsidRDefault="00843072" w:rsidP="00843072">
      <w:pPr>
        <w:widowControl w:val="0"/>
        <w:autoSpaceDE w:val="0"/>
        <w:autoSpaceDN w:val="0"/>
        <w:adjustRightInd w:val="0"/>
        <w:spacing w:after="60" w:line="240" w:lineRule="auto"/>
        <w:ind w:left="120"/>
        <w:rPr>
          <w:rFonts w:ascii="Arial" w:hAnsi="Arial" w:cs="Arial"/>
          <w:szCs w:val="24"/>
        </w:rPr>
      </w:pPr>
      <w:proofErr w:type="gramStart"/>
      <w:r>
        <w:rPr>
          <w:rFonts w:ascii="Arial" w:hAnsi="Arial" w:cs="Arial"/>
          <w:b/>
          <w:bCs/>
        </w:rPr>
        <w:t>14  Payment</w:t>
      </w:r>
      <w:proofErr w:type="gramEnd"/>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b.  Where the Contractor submits an invoice to the Authority in accordance with clause 14a, the Authority will consider and verify that invoice in a timely fashion.</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c.  The Authority shall pay the Contractor any sums due under such an invoice no later than a period of 30 days from the date on which the Authority has determined that the invoice is valid and undisputed.</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d.  Where the Authority fails to comply with clause 14b and there is undue delay in considering and verifying the invoice, the invoice shall be regarded as valid and undisputed for the purpose of clause 14c after a reasonable time has passed.</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e.  The approval for payment of a valid and undisputed invoice by the Authority shall not be construed as acceptance by the Authority of the performance of the Contractor’s obligations nor as a waiver of its rights and remedies under this Contract.</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843072" w:rsidRDefault="00843072" w:rsidP="00843072">
      <w:pPr>
        <w:widowControl w:val="0"/>
        <w:autoSpaceDE w:val="0"/>
        <w:autoSpaceDN w:val="0"/>
        <w:adjustRightInd w:val="0"/>
        <w:spacing w:after="60" w:line="240" w:lineRule="auto"/>
        <w:ind w:left="120"/>
        <w:rPr>
          <w:rFonts w:ascii="Arial" w:hAnsi="Arial" w:cs="Arial"/>
          <w:szCs w:val="24"/>
        </w:rPr>
      </w:pP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15   Dispute Resolution</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 xml:space="preserve">b.  </w:t>
      </w:r>
      <w:proofErr w:type="gramStart"/>
      <w:r>
        <w:rPr>
          <w:rFonts w:ascii="Arial" w:hAnsi="Arial" w:cs="Arial"/>
        </w:rPr>
        <w:t>In the event that</w:t>
      </w:r>
      <w:proofErr w:type="gramEnd"/>
      <w:r>
        <w:rPr>
          <w:rFonts w:ascii="Arial" w:hAnsi="Arial" w:cs="Arial"/>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843072" w:rsidRDefault="00843072" w:rsidP="00843072">
      <w:pPr>
        <w:widowControl w:val="0"/>
        <w:autoSpaceDE w:val="0"/>
        <w:autoSpaceDN w:val="0"/>
        <w:adjustRightInd w:val="0"/>
        <w:spacing w:after="60" w:line="240" w:lineRule="auto"/>
        <w:ind w:left="120"/>
        <w:rPr>
          <w:rFonts w:ascii="Arial" w:hAnsi="Arial" w:cs="Arial"/>
          <w:szCs w:val="24"/>
        </w:rPr>
      </w:pP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16   Termination for Corrupt Gifts</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 xml:space="preserve">The Authority may terminate the Contract with immediate effect, without compensation, by giving written notice to the Contractor at any time after any of the following events: </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a.   where the Authority becomes aware that the Contractor, its employees, agents or any sub-contractor (or anyone acting on its behalf or any of its or their employees):</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(1)   has offered, promised or given to any Crown servant any gift or financial or other advantage of any kind as an inducement or reward;</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(2)   commits or has committed any prohibited act or any offence under the Bribery Act 2010 with or without the knowledge or authority of the Contractor in relation to this Contract or any other contract with the Crown;</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b.   In exercising its rights or remedies to terminate the Contract under Clause 16.a. the Authority shall:</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(1)   act in a reasonable and proportionate manner having regard to such matters as the gravity of, and the identity of the person committing the prohibited act;</w:t>
      </w:r>
    </w:p>
    <w:p w:rsidR="00843072" w:rsidRDefault="00843072" w:rsidP="00843072">
      <w:pPr>
        <w:widowControl w:val="0"/>
        <w:autoSpaceDE w:val="0"/>
        <w:autoSpaceDN w:val="0"/>
        <w:adjustRightInd w:val="0"/>
        <w:spacing w:after="60" w:line="240" w:lineRule="auto"/>
        <w:ind w:left="687"/>
        <w:rPr>
          <w:rFonts w:ascii="Arial" w:hAnsi="Arial" w:cs="Arial"/>
          <w:szCs w:val="24"/>
        </w:rPr>
      </w:pPr>
      <w:r>
        <w:rPr>
          <w:rFonts w:ascii="Arial" w:hAnsi="Arial" w:cs="Arial"/>
        </w:rPr>
        <w:t>(2)   give due consideration, where appropriate, to action other than termination of the Contract, including (without being limited to):</w:t>
      </w:r>
    </w:p>
    <w:p w:rsidR="00843072" w:rsidRDefault="00843072" w:rsidP="00843072">
      <w:pPr>
        <w:widowControl w:val="0"/>
        <w:autoSpaceDE w:val="0"/>
        <w:autoSpaceDN w:val="0"/>
        <w:adjustRightInd w:val="0"/>
        <w:spacing w:after="60" w:line="240" w:lineRule="auto"/>
        <w:ind w:left="1254"/>
        <w:rPr>
          <w:rFonts w:ascii="Arial" w:hAnsi="Arial" w:cs="Arial"/>
          <w:szCs w:val="24"/>
        </w:rPr>
      </w:pPr>
      <w:r>
        <w:rPr>
          <w:rFonts w:ascii="Arial" w:hAnsi="Arial" w:cs="Arial"/>
        </w:rPr>
        <w:t>(a)   requiring the Contractor to procure the termination of a subcontract where the prohibited act is that of a Subcontractor or anyone acting on its or their behalf;</w:t>
      </w:r>
    </w:p>
    <w:p w:rsidR="00843072" w:rsidRDefault="00843072" w:rsidP="00843072">
      <w:pPr>
        <w:widowControl w:val="0"/>
        <w:autoSpaceDE w:val="0"/>
        <w:autoSpaceDN w:val="0"/>
        <w:adjustRightInd w:val="0"/>
        <w:spacing w:after="60" w:line="240" w:lineRule="auto"/>
        <w:ind w:left="1254"/>
        <w:rPr>
          <w:rFonts w:ascii="Arial" w:hAnsi="Arial" w:cs="Arial"/>
          <w:szCs w:val="24"/>
        </w:rPr>
      </w:pPr>
      <w:r>
        <w:rPr>
          <w:rFonts w:ascii="Arial" w:hAnsi="Arial" w:cs="Arial"/>
        </w:rPr>
        <w:t>(b)   requiring the Contractor to procure the dismissal of an employee (whether its own or that of a Subcontractor or anyone acting on its behalf) where the prohibited act is that of such employee.</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843072" w:rsidRDefault="00843072" w:rsidP="00843072">
      <w:pPr>
        <w:widowControl w:val="0"/>
        <w:autoSpaceDE w:val="0"/>
        <w:autoSpaceDN w:val="0"/>
        <w:adjustRightInd w:val="0"/>
        <w:spacing w:after="60" w:line="240" w:lineRule="auto"/>
        <w:ind w:left="120"/>
        <w:rPr>
          <w:rFonts w:ascii="Arial" w:hAnsi="Arial" w:cs="Arial"/>
          <w:szCs w:val="24"/>
        </w:rPr>
      </w:pP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17   Material Breach</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lastRenderedPageBreak/>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843072" w:rsidRDefault="00843072" w:rsidP="00843072">
      <w:pPr>
        <w:widowControl w:val="0"/>
        <w:autoSpaceDE w:val="0"/>
        <w:autoSpaceDN w:val="0"/>
        <w:adjustRightInd w:val="0"/>
        <w:spacing w:after="60" w:line="240" w:lineRule="auto"/>
        <w:ind w:left="120"/>
        <w:rPr>
          <w:rFonts w:ascii="Arial" w:hAnsi="Arial" w:cs="Arial"/>
          <w:szCs w:val="24"/>
        </w:rPr>
      </w:pP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18   Insolvency</w:t>
      </w: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rPr>
        <w:t>The Authority shall have the right to terminate the contract if the Contractor is declared bankrupt or goes into liquidation or administration. This is without prejudice to any other rights or remedies under this Contract.</w:t>
      </w:r>
    </w:p>
    <w:p w:rsidR="00843072" w:rsidRDefault="00843072" w:rsidP="00843072">
      <w:pPr>
        <w:widowControl w:val="0"/>
        <w:autoSpaceDE w:val="0"/>
        <w:autoSpaceDN w:val="0"/>
        <w:adjustRightInd w:val="0"/>
        <w:spacing w:after="60" w:line="240" w:lineRule="auto"/>
        <w:ind w:left="120"/>
        <w:rPr>
          <w:rFonts w:ascii="Arial" w:hAnsi="Arial" w:cs="Arial"/>
          <w:szCs w:val="24"/>
        </w:rPr>
      </w:pPr>
    </w:p>
    <w:p w:rsidR="00843072" w:rsidRDefault="00843072" w:rsidP="00843072">
      <w:pPr>
        <w:widowControl w:val="0"/>
        <w:autoSpaceDE w:val="0"/>
        <w:autoSpaceDN w:val="0"/>
        <w:adjustRightInd w:val="0"/>
        <w:spacing w:after="60" w:line="240" w:lineRule="auto"/>
        <w:ind w:left="120"/>
        <w:rPr>
          <w:rFonts w:ascii="Arial" w:hAnsi="Arial" w:cs="Arial"/>
          <w:szCs w:val="24"/>
        </w:rPr>
      </w:pPr>
      <w:r>
        <w:rPr>
          <w:rFonts w:ascii="Arial" w:hAnsi="Arial" w:cs="Arial"/>
          <w:b/>
          <w:bCs/>
        </w:rPr>
        <w:t>19</w:t>
      </w:r>
      <w:r>
        <w:rPr>
          <w:rFonts w:ascii="Arial" w:hAnsi="Arial" w:cs="Arial"/>
        </w:rPr>
        <w:t>        </w:t>
      </w:r>
      <w:r>
        <w:rPr>
          <w:rFonts w:ascii="Arial" w:hAnsi="Arial" w:cs="Arial"/>
          <w:b/>
          <w:bCs/>
        </w:rPr>
        <w:t>Limitation of Contractor’s Liability</w:t>
      </w:r>
    </w:p>
    <w:p w:rsidR="00843072" w:rsidRDefault="00843072" w:rsidP="00843072">
      <w:pPr>
        <w:widowControl w:val="0"/>
        <w:tabs>
          <w:tab w:val="left" w:pos="120"/>
        </w:tabs>
        <w:autoSpaceDE w:val="0"/>
        <w:autoSpaceDN w:val="0"/>
        <w:adjustRightInd w:val="0"/>
        <w:spacing w:after="0" w:line="240" w:lineRule="auto"/>
        <w:ind w:left="120"/>
        <w:rPr>
          <w:rFonts w:ascii="Arial" w:hAnsi="Arial" w:cs="Arial"/>
          <w:szCs w:val="24"/>
        </w:rPr>
      </w:pPr>
      <w:r>
        <w:rPr>
          <w:rFonts w:ascii="Arial" w:hAnsi="Arial" w:cs="Arial"/>
        </w:rPr>
        <w:t>a.</w:t>
      </w:r>
      <w:r>
        <w:rPr>
          <w:rFonts w:ascii="Arial" w:hAnsi="Arial" w:cs="Arial"/>
          <w:szCs w:val="24"/>
        </w:rPr>
        <w:tab/>
      </w:r>
      <w:r>
        <w:rPr>
          <w:rFonts w:ascii="Arial" w:hAnsi="Arial" w:cs="Arial"/>
          <w:sz w:val="20"/>
          <w:szCs w:val="20"/>
        </w:rPr>
        <w:t>Subject to Clause 19.b the Contractor's liability to the Authority in connection with this Contract shall be limited to £5m (five million pounds).</w:t>
      </w:r>
    </w:p>
    <w:p w:rsidR="00843072" w:rsidRDefault="00843072" w:rsidP="00843072">
      <w:pPr>
        <w:widowControl w:val="0"/>
        <w:tabs>
          <w:tab w:val="left" w:pos="120"/>
        </w:tabs>
        <w:autoSpaceDE w:val="0"/>
        <w:autoSpaceDN w:val="0"/>
        <w:adjustRightInd w:val="0"/>
        <w:spacing w:after="0" w:line="240" w:lineRule="auto"/>
        <w:ind w:left="120"/>
        <w:rPr>
          <w:rFonts w:ascii="Arial" w:hAnsi="Arial" w:cs="Arial"/>
          <w:szCs w:val="24"/>
        </w:rPr>
      </w:pPr>
      <w:r>
        <w:rPr>
          <w:rFonts w:ascii="Arial" w:hAnsi="Arial" w:cs="Arial"/>
        </w:rPr>
        <w:t>b.</w:t>
      </w:r>
      <w:r>
        <w:rPr>
          <w:rFonts w:ascii="Arial" w:hAnsi="Arial" w:cs="Arial"/>
          <w:szCs w:val="24"/>
        </w:rPr>
        <w:tab/>
      </w:r>
      <w:r>
        <w:rPr>
          <w:rFonts w:ascii="Arial" w:hAnsi="Arial" w:cs="Arial"/>
          <w:sz w:val="20"/>
          <w:szCs w:val="20"/>
        </w:rPr>
        <w:t>Nothing in this Contract shall operate to limit or exclude the Contractor's liability:</w:t>
      </w:r>
    </w:p>
    <w:p w:rsidR="00843072" w:rsidRDefault="00843072" w:rsidP="00843072">
      <w:pPr>
        <w:widowControl w:val="0"/>
        <w:tabs>
          <w:tab w:val="left" w:pos="120"/>
        </w:tabs>
        <w:autoSpaceDE w:val="0"/>
        <w:autoSpaceDN w:val="0"/>
        <w:adjustRightInd w:val="0"/>
        <w:spacing w:after="0" w:line="240" w:lineRule="auto"/>
        <w:ind w:left="120" w:firstLine="927"/>
        <w:rPr>
          <w:rFonts w:ascii="Arial" w:hAnsi="Arial" w:cs="Arial"/>
          <w:szCs w:val="24"/>
        </w:rPr>
      </w:pPr>
      <w:r>
        <w:rPr>
          <w:rFonts w:ascii="Arial" w:hAnsi="Arial" w:cs="Arial"/>
        </w:rPr>
        <w:t>(1)</w:t>
      </w:r>
      <w:r>
        <w:rPr>
          <w:rFonts w:ascii="Arial" w:hAnsi="Arial" w:cs="Arial"/>
          <w:szCs w:val="24"/>
        </w:rPr>
        <w:tab/>
      </w:r>
      <w:r>
        <w:rPr>
          <w:rFonts w:ascii="Arial" w:hAnsi="Arial" w:cs="Arial"/>
          <w:sz w:val="20"/>
          <w:szCs w:val="20"/>
        </w:rPr>
        <w:t>for:</w:t>
      </w:r>
    </w:p>
    <w:p w:rsidR="00843072" w:rsidRDefault="00843072" w:rsidP="00843072">
      <w:pPr>
        <w:widowControl w:val="0"/>
        <w:tabs>
          <w:tab w:val="left" w:pos="120"/>
        </w:tabs>
        <w:autoSpaceDE w:val="0"/>
        <w:autoSpaceDN w:val="0"/>
        <w:adjustRightInd w:val="0"/>
        <w:spacing w:after="0" w:line="240" w:lineRule="auto"/>
        <w:ind w:left="120" w:firstLine="720"/>
        <w:rPr>
          <w:rFonts w:ascii="Arial" w:hAnsi="Arial" w:cs="Arial"/>
          <w:szCs w:val="24"/>
        </w:rPr>
      </w:pPr>
      <w:r>
        <w:rPr>
          <w:rFonts w:ascii="Arial" w:hAnsi="Arial" w:cs="Arial"/>
        </w:rPr>
        <w:t>a.</w:t>
      </w:r>
      <w:r>
        <w:rPr>
          <w:rFonts w:ascii="Arial" w:hAnsi="Arial" w:cs="Arial"/>
          <w:szCs w:val="24"/>
        </w:rPr>
        <w:tab/>
      </w:r>
      <w:r>
        <w:rPr>
          <w:rFonts w:ascii="Arial" w:hAnsi="Arial" w:cs="Arial"/>
          <w:sz w:val="20"/>
          <w:szCs w:val="20"/>
        </w:rPr>
        <w:t>any liquidated damages (to the extent expressly provided for under this Contract);</w:t>
      </w:r>
    </w:p>
    <w:p w:rsidR="00843072" w:rsidRDefault="00843072" w:rsidP="00843072">
      <w:pPr>
        <w:widowControl w:val="0"/>
        <w:tabs>
          <w:tab w:val="left" w:pos="120"/>
        </w:tabs>
        <w:autoSpaceDE w:val="0"/>
        <w:autoSpaceDN w:val="0"/>
        <w:adjustRightInd w:val="0"/>
        <w:spacing w:after="0" w:line="240" w:lineRule="auto"/>
        <w:ind w:left="120" w:firstLine="720"/>
        <w:rPr>
          <w:rFonts w:ascii="Arial" w:hAnsi="Arial" w:cs="Arial"/>
          <w:szCs w:val="24"/>
        </w:rPr>
      </w:pPr>
      <w:r>
        <w:rPr>
          <w:rFonts w:ascii="Arial" w:hAnsi="Arial" w:cs="Arial"/>
        </w:rPr>
        <w:t>b.</w:t>
      </w:r>
      <w:r>
        <w:rPr>
          <w:rFonts w:ascii="Arial" w:hAnsi="Arial" w:cs="Arial"/>
          <w:szCs w:val="24"/>
        </w:rPr>
        <w:tab/>
      </w:r>
      <w:r>
        <w:rPr>
          <w:rFonts w:ascii="Arial" w:hAnsi="Arial" w:cs="Arial"/>
          <w:sz w:val="20"/>
          <w:szCs w:val="2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843072" w:rsidRDefault="00843072" w:rsidP="00843072">
      <w:pPr>
        <w:widowControl w:val="0"/>
        <w:tabs>
          <w:tab w:val="left" w:pos="120"/>
        </w:tabs>
        <w:autoSpaceDE w:val="0"/>
        <w:autoSpaceDN w:val="0"/>
        <w:adjustRightInd w:val="0"/>
        <w:spacing w:after="0" w:line="240" w:lineRule="auto"/>
        <w:ind w:left="120" w:firstLine="720"/>
        <w:rPr>
          <w:rFonts w:ascii="Arial" w:hAnsi="Arial" w:cs="Arial"/>
          <w:szCs w:val="24"/>
        </w:rPr>
      </w:pPr>
      <w:r>
        <w:rPr>
          <w:rFonts w:ascii="Arial" w:hAnsi="Arial" w:cs="Arial"/>
        </w:rPr>
        <w:t>c.</w:t>
      </w:r>
      <w:r>
        <w:rPr>
          <w:rFonts w:ascii="Arial" w:hAnsi="Arial" w:cs="Arial"/>
          <w:szCs w:val="24"/>
        </w:rPr>
        <w:tab/>
      </w:r>
      <w:r>
        <w:rPr>
          <w:rFonts w:ascii="Arial" w:hAnsi="Arial" w:cs="Arial"/>
          <w:sz w:val="20"/>
          <w:szCs w:val="20"/>
        </w:rPr>
        <w:t>any interest payable in relation to the late payment of any sum due and payable by the Contractor to the Authority under this Contract;</w:t>
      </w:r>
    </w:p>
    <w:p w:rsidR="00843072" w:rsidRDefault="00843072" w:rsidP="00843072">
      <w:pPr>
        <w:widowControl w:val="0"/>
        <w:tabs>
          <w:tab w:val="left" w:pos="120"/>
        </w:tabs>
        <w:autoSpaceDE w:val="0"/>
        <w:autoSpaceDN w:val="0"/>
        <w:adjustRightInd w:val="0"/>
        <w:spacing w:after="0" w:line="240" w:lineRule="auto"/>
        <w:ind w:left="120" w:firstLine="720"/>
        <w:rPr>
          <w:rFonts w:ascii="Arial" w:hAnsi="Arial" w:cs="Arial"/>
          <w:szCs w:val="24"/>
        </w:rPr>
      </w:pPr>
      <w:r>
        <w:rPr>
          <w:rFonts w:ascii="Arial" w:hAnsi="Arial" w:cs="Arial"/>
        </w:rPr>
        <w:t>d.</w:t>
      </w:r>
      <w:r>
        <w:rPr>
          <w:rFonts w:ascii="Arial" w:hAnsi="Arial" w:cs="Arial"/>
          <w:szCs w:val="24"/>
        </w:rPr>
        <w:tab/>
      </w:r>
      <w:r>
        <w:rPr>
          <w:rFonts w:ascii="Arial" w:hAnsi="Arial" w:cs="Arial"/>
          <w:sz w:val="20"/>
          <w:szCs w:val="20"/>
        </w:rPr>
        <w:t>any amount payable by the Contractor to the Authority in relation to TUPE or pensions to the extent expressly provided for under this Contract;</w:t>
      </w:r>
    </w:p>
    <w:p w:rsidR="00843072" w:rsidRDefault="00843072" w:rsidP="00843072">
      <w:pPr>
        <w:widowControl w:val="0"/>
        <w:tabs>
          <w:tab w:val="left" w:pos="120"/>
        </w:tabs>
        <w:autoSpaceDE w:val="0"/>
        <w:autoSpaceDN w:val="0"/>
        <w:adjustRightInd w:val="0"/>
        <w:spacing w:after="0" w:line="240" w:lineRule="auto"/>
        <w:ind w:left="120" w:firstLine="927"/>
        <w:rPr>
          <w:rFonts w:ascii="Arial" w:hAnsi="Arial" w:cs="Arial"/>
          <w:szCs w:val="24"/>
        </w:rPr>
      </w:pPr>
      <w:r>
        <w:rPr>
          <w:rFonts w:ascii="Arial" w:hAnsi="Arial" w:cs="Arial"/>
        </w:rPr>
        <w:t>(2)</w:t>
      </w:r>
      <w:r>
        <w:rPr>
          <w:rFonts w:ascii="Arial" w:hAnsi="Arial" w:cs="Arial"/>
          <w:szCs w:val="24"/>
        </w:rPr>
        <w:tab/>
      </w:r>
      <w:r>
        <w:rPr>
          <w:rFonts w:ascii="Arial" w:hAnsi="Arial" w:cs="Arial"/>
          <w:sz w:val="20"/>
          <w:szCs w:val="20"/>
        </w:rPr>
        <w:t>under Condition 7 of the Contract (Intellectual Property), and DEFCONs 91 or 638 (SC1) where specified in the contract;</w:t>
      </w:r>
    </w:p>
    <w:p w:rsidR="00843072" w:rsidRDefault="00843072" w:rsidP="00843072">
      <w:pPr>
        <w:widowControl w:val="0"/>
        <w:tabs>
          <w:tab w:val="left" w:pos="120"/>
        </w:tabs>
        <w:autoSpaceDE w:val="0"/>
        <w:autoSpaceDN w:val="0"/>
        <w:adjustRightInd w:val="0"/>
        <w:spacing w:after="0" w:line="240" w:lineRule="auto"/>
        <w:ind w:left="120" w:firstLine="927"/>
        <w:rPr>
          <w:rFonts w:ascii="Arial" w:hAnsi="Arial" w:cs="Arial"/>
          <w:szCs w:val="24"/>
        </w:rPr>
      </w:pPr>
      <w:r>
        <w:rPr>
          <w:rFonts w:ascii="Arial" w:hAnsi="Arial" w:cs="Arial"/>
        </w:rPr>
        <w:t>(3)</w:t>
      </w:r>
      <w:r>
        <w:rPr>
          <w:rFonts w:ascii="Arial" w:hAnsi="Arial" w:cs="Arial"/>
          <w:szCs w:val="24"/>
        </w:rPr>
        <w:tab/>
      </w:r>
      <w:r>
        <w:rPr>
          <w:rFonts w:ascii="Arial" w:hAnsi="Arial" w:cs="Arial"/>
          <w:sz w:val="20"/>
          <w:szCs w:val="20"/>
        </w:rPr>
        <w:t>for death or personal injury caused by the Contractor’s negligence or the negligence of any of its personnel, agents, consultants or sub-contractors;</w:t>
      </w:r>
    </w:p>
    <w:p w:rsidR="00843072" w:rsidRDefault="00843072" w:rsidP="00843072">
      <w:pPr>
        <w:widowControl w:val="0"/>
        <w:tabs>
          <w:tab w:val="left" w:pos="120"/>
        </w:tabs>
        <w:autoSpaceDE w:val="0"/>
        <w:autoSpaceDN w:val="0"/>
        <w:adjustRightInd w:val="0"/>
        <w:spacing w:after="0" w:line="240" w:lineRule="auto"/>
        <w:ind w:left="120" w:firstLine="927"/>
        <w:rPr>
          <w:rFonts w:ascii="Arial" w:hAnsi="Arial" w:cs="Arial"/>
          <w:szCs w:val="24"/>
        </w:rPr>
      </w:pPr>
      <w:r>
        <w:rPr>
          <w:rFonts w:ascii="Arial" w:hAnsi="Arial" w:cs="Arial"/>
        </w:rPr>
        <w:t>(4)</w:t>
      </w:r>
      <w:r>
        <w:rPr>
          <w:rFonts w:ascii="Arial" w:hAnsi="Arial" w:cs="Arial"/>
          <w:szCs w:val="24"/>
        </w:rPr>
        <w:tab/>
      </w:r>
      <w:r>
        <w:rPr>
          <w:rFonts w:ascii="Arial" w:hAnsi="Arial" w:cs="Arial"/>
          <w:sz w:val="20"/>
          <w:szCs w:val="20"/>
        </w:rPr>
        <w:t>for fraud, fraudulent misrepresentation, wilful misconduct or negligence;</w:t>
      </w:r>
    </w:p>
    <w:p w:rsidR="00843072" w:rsidRDefault="00843072" w:rsidP="00843072">
      <w:pPr>
        <w:widowControl w:val="0"/>
        <w:tabs>
          <w:tab w:val="left" w:pos="120"/>
        </w:tabs>
        <w:autoSpaceDE w:val="0"/>
        <w:autoSpaceDN w:val="0"/>
        <w:adjustRightInd w:val="0"/>
        <w:spacing w:after="0" w:line="240" w:lineRule="auto"/>
        <w:ind w:left="120" w:firstLine="927"/>
        <w:rPr>
          <w:rFonts w:ascii="Arial" w:hAnsi="Arial" w:cs="Arial"/>
          <w:szCs w:val="24"/>
        </w:rPr>
      </w:pPr>
      <w:r>
        <w:rPr>
          <w:rFonts w:ascii="Arial" w:hAnsi="Arial" w:cs="Arial"/>
        </w:rPr>
        <w:t>(5)</w:t>
      </w:r>
      <w:r>
        <w:rPr>
          <w:rFonts w:ascii="Arial" w:hAnsi="Arial" w:cs="Arial"/>
          <w:szCs w:val="24"/>
        </w:rPr>
        <w:tab/>
      </w:r>
      <w:r>
        <w:rPr>
          <w:rFonts w:ascii="Arial" w:hAnsi="Arial" w:cs="Arial"/>
          <w:sz w:val="20"/>
          <w:szCs w:val="20"/>
        </w:rPr>
        <w:t xml:space="preserve">in relation to the termination of this Contract </w:t>
      </w:r>
      <w:proofErr w:type="gramStart"/>
      <w:r>
        <w:rPr>
          <w:rFonts w:ascii="Arial" w:hAnsi="Arial" w:cs="Arial"/>
          <w:sz w:val="20"/>
          <w:szCs w:val="20"/>
        </w:rPr>
        <w:t>on the basis of</w:t>
      </w:r>
      <w:proofErr w:type="gramEnd"/>
      <w:r>
        <w:rPr>
          <w:rFonts w:ascii="Arial" w:hAnsi="Arial" w:cs="Arial"/>
          <w:sz w:val="20"/>
          <w:szCs w:val="20"/>
        </w:rPr>
        <w:t xml:space="preserve"> abandonment by the Contractor;</w:t>
      </w:r>
    </w:p>
    <w:p w:rsidR="00843072" w:rsidRDefault="00843072" w:rsidP="00843072">
      <w:pPr>
        <w:widowControl w:val="0"/>
        <w:tabs>
          <w:tab w:val="left" w:pos="120"/>
        </w:tabs>
        <w:autoSpaceDE w:val="0"/>
        <w:autoSpaceDN w:val="0"/>
        <w:adjustRightInd w:val="0"/>
        <w:spacing w:after="0" w:line="240" w:lineRule="auto"/>
        <w:ind w:left="120" w:firstLine="927"/>
        <w:rPr>
          <w:rFonts w:ascii="Arial" w:hAnsi="Arial" w:cs="Arial"/>
          <w:szCs w:val="24"/>
        </w:rPr>
      </w:pPr>
      <w:r>
        <w:rPr>
          <w:rFonts w:ascii="Arial" w:hAnsi="Arial" w:cs="Arial"/>
        </w:rPr>
        <w:t>(6)</w:t>
      </w:r>
      <w:r>
        <w:rPr>
          <w:rFonts w:ascii="Arial" w:hAnsi="Arial" w:cs="Arial"/>
          <w:szCs w:val="24"/>
        </w:rPr>
        <w:tab/>
      </w:r>
      <w:r>
        <w:rPr>
          <w:rFonts w:ascii="Arial" w:hAnsi="Arial" w:cs="Arial"/>
          <w:sz w:val="20"/>
          <w:szCs w:val="20"/>
        </w:rPr>
        <w:t>for breach of the terms implied by Section 2 of the Supply of Goods and Services Act 1982; or</w:t>
      </w:r>
    </w:p>
    <w:p w:rsidR="00843072" w:rsidRDefault="00843072" w:rsidP="00843072">
      <w:pPr>
        <w:widowControl w:val="0"/>
        <w:tabs>
          <w:tab w:val="left" w:pos="120"/>
        </w:tabs>
        <w:autoSpaceDE w:val="0"/>
        <w:autoSpaceDN w:val="0"/>
        <w:adjustRightInd w:val="0"/>
        <w:spacing w:after="0" w:line="240" w:lineRule="auto"/>
        <w:ind w:left="120" w:firstLine="927"/>
        <w:rPr>
          <w:rFonts w:ascii="Arial" w:hAnsi="Arial" w:cs="Arial"/>
          <w:szCs w:val="24"/>
        </w:rPr>
      </w:pPr>
      <w:r>
        <w:rPr>
          <w:rFonts w:ascii="Arial" w:hAnsi="Arial" w:cs="Arial"/>
        </w:rPr>
        <w:t>(7)</w:t>
      </w:r>
      <w:r>
        <w:rPr>
          <w:rFonts w:ascii="Arial" w:hAnsi="Arial" w:cs="Arial"/>
          <w:szCs w:val="24"/>
        </w:rPr>
        <w:tab/>
      </w:r>
      <w:r>
        <w:rPr>
          <w:rFonts w:ascii="Arial" w:hAnsi="Arial" w:cs="Arial"/>
          <w:sz w:val="20"/>
          <w:szCs w:val="20"/>
        </w:rPr>
        <w:t>for any other liability which cannot be limited or excluded under general (including statute and common) law.</w:t>
      </w:r>
    </w:p>
    <w:p w:rsidR="00843072" w:rsidRDefault="00843072" w:rsidP="00843072">
      <w:pPr>
        <w:widowControl w:val="0"/>
        <w:tabs>
          <w:tab w:val="left" w:pos="120"/>
        </w:tabs>
        <w:autoSpaceDE w:val="0"/>
        <w:autoSpaceDN w:val="0"/>
        <w:adjustRightInd w:val="0"/>
        <w:spacing w:after="0" w:line="240" w:lineRule="auto"/>
        <w:ind w:left="120"/>
        <w:rPr>
          <w:rFonts w:ascii="Arial" w:hAnsi="Arial" w:cs="Arial"/>
          <w:szCs w:val="24"/>
        </w:rPr>
      </w:pPr>
      <w:r>
        <w:rPr>
          <w:rFonts w:ascii="Arial" w:hAnsi="Arial" w:cs="Arial"/>
        </w:rPr>
        <w:t>c.</w:t>
      </w:r>
      <w:r>
        <w:rPr>
          <w:rFonts w:ascii="Arial" w:hAnsi="Arial" w:cs="Arial"/>
          <w:szCs w:val="24"/>
        </w:rPr>
        <w:tab/>
      </w:r>
      <w:r>
        <w:rPr>
          <w:rFonts w:ascii="Arial" w:hAnsi="Arial" w:cs="Arial"/>
          <w:sz w:val="20"/>
          <w:szCs w:val="20"/>
        </w:rPr>
        <w:t>The rights of the Authority under this Contract are in addition to, and not exclusive of, any rights or remedies provided by general (including statute and common) law.</w:t>
      </w:r>
    </w:p>
    <w:p w:rsidR="00843072" w:rsidRDefault="00843072" w:rsidP="00843072">
      <w:pPr>
        <w:widowControl w:val="0"/>
        <w:autoSpaceDE w:val="0"/>
        <w:autoSpaceDN w:val="0"/>
        <w:adjustRightInd w:val="0"/>
        <w:spacing w:after="60" w:line="240" w:lineRule="auto"/>
        <w:ind w:left="120"/>
        <w:rPr>
          <w:rFonts w:ascii="Arial" w:hAnsi="Arial" w:cs="Arial"/>
          <w:szCs w:val="24"/>
        </w:rPr>
      </w:pPr>
    </w:p>
    <w:p w:rsidR="00EF1235" w:rsidRDefault="00EF1235" w:rsidP="00EF1235">
      <w:pPr>
        <w:keepNext/>
        <w:keepLines/>
        <w:widowControl w:val="0"/>
        <w:autoSpaceDE w:val="0"/>
        <w:autoSpaceDN w:val="0"/>
        <w:adjustRightInd w:val="0"/>
        <w:spacing w:before="480" w:after="0" w:line="276" w:lineRule="auto"/>
        <w:ind w:left="120" w:right="114"/>
        <w:rPr>
          <w:rFonts w:ascii="Arial" w:eastAsia="Times New Roman" w:hAnsi="Arial" w:cs="Arial"/>
          <w:color w:val="auto"/>
          <w:szCs w:val="24"/>
        </w:rPr>
      </w:pPr>
      <w:bookmarkStart w:id="2" w:name="_Toc501022445_4"/>
      <w:r>
        <w:rPr>
          <w:rFonts w:ascii="Arial" w:hAnsi="Arial" w:cs="Arial"/>
          <w:b/>
          <w:bCs/>
          <w:sz w:val="28"/>
          <w:szCs w:val="28"/>
        </w:rPr>
        <w:t>20 Project specific DEFCONs and DEFCON SC variants that apply to this Contract:</w:t>
      </w:r>
      <w:bookmarkEnd w:id="2"/>
    </w:p>
    <w:p w:rsidR="00EF1235" w:rsidRDefault="00EF1235" w:rsidP="00EF1235">
      <w:pPr>
        <w:widowControl w:val="0"/>
        <w:autoSpaceDE w:val="0"/>
        <w:autoSpaceDN w:val="0"/>
        <w:adjustRightInd w:val="0"/>
        <w:spacing w:after="200" w:line="276" w:lineRule="auto"/>
        <w:ind w:left="120" w:right="114"/>
        <w:rPr>
          <w:rFonts w:ascii="Arial" w:hAnsi="Arial" w:cs="Arial"/>
          <w:szCs w:val="24"/>
        </w:rPr>
      </w:pPr>
      <w:r>
        <w:rPr>
          <w:rFonts w:ascii="Arial" w:hAnsi="Arial" w:cs="Arial"/>
        </w:rPr>
        <w:t xml:space="preserve"> </w:t>
      </w:r>
    </w:p>
    <w:p w:rsidR="00EF1235" w:rsidRDefault="00EF1235" w:rsidP="00EF1235">
      <w:pPr>
        <w:keepNext/>
        <w:keepLines/>
        <w:widowControl w:val="0"/>
        <w:autoSpaceDE w:val="0"/>
        <w:autoSpaceDN w:val="0"/>
        <w:adjustRightInd w:val="0"/>
        <w:spacing w:after="0" w:line="276" w:lineRule="auto"/>
        <w:ind w:left="120" w:right="114"/>
        <w:rPr>
          <w:rFonts w:ascii="Arial" w:hAnsi="Arial" w:cs="Arial"/>
          <w:szCs w:val="24"/>
        </w:rPr>
      </w:pPr>
      <w:bookmarkStart w:id="3" w:name="_Toc501022446_4_1"/>
      <w:r>
        <w:rPr>
          <w:rFonts w:ascii="Arial" w:hAnsi="Arial" w:cs="Arial"/>
          <w:b/>
          <w:bCs/>
        </w:rPr>
        <w:t>DEFCON 502 (SC1)</w:t>
      </w:r>
      <w:bookmarkEnd w:id="3"/>
    </w:p>
    <w:p w:rsidR="00EF1235" w:rsidRDefault="00EF1235" w:rsidP="00EF1235">
      <w:pPr>
        <w:widowControl w:val="0"/>
        <w:autoSpaceDE w:val="0"/>
        <w:autoSpaceDN w:val="0"/>
        <w:adjustRightInd w:val="0"/>
        <w:spacing w:after="60" w:line="240" w:lineRule="auto"/>
        <w:ind w:left="120"/>
        <w:rPr>
          <w:rFonts w:ascii="Arial" w:hAnsi="Arial" w:cs="Arial"/>
          <w:szCs w:val="24"/>
        </w:rPr>
      </w:pPr>
      <w:r>
        <w:rPr>
          <w:rFonts w:ascii="Arial" w:hAnsi="Arial" w:cs="Arial"/>
        </w:rPr>
        <w:t>DEFCON 502 (SC1) (Edn. 12/16) - Specifications Changes</w:t>
      </w:r>
    </w:p>
    <w:p w:rsidR="00EF1235" w:rsidRDefault="00EF1235" w:rsidP="00EF1235">
      <w:pPr>
        <w:widowControl w:val="0"/>
        <w:autoSpaceDE w:val="0"/>
        <w:autoSpaceDN w:val="0"/>
        <w:adjustRightInd w:val="0"/>
        <w:spacing w:after="200" w:line="276" w:lineRule="auto"/>
        <w:ind w:left="120" w:right="114"/>
        <w:rPr>
          <w:rFonts w:ascii="Arial" w:hAnsi="Arial" w:cs="Arial"/>
          <w:szCs w:val="24"/>
        </w:rPr>
      </w:pPr>
    </w:p>
    <w:p w:rsidR="00EF1235" w:rsidRDefault="00EF1235" w:rsidP="00EF1235">
      <w:pPr>
        <w:widowControl w:val="0"/>
        <w:autoSpaceDE w:val="0"/>
        <w:autoSpaceDN w:val="0"/>
        <w:adjustRightInd w:val="0"/>
        <w:spacing w:after="200" w:line="276" w:lineRule="auto"/>
        <w:ind w:left="120" w:right="114"/>
        <w:rPr>
          <w:rFonts w:ascii="Arial" w:hAnsi="Arial" w:cs="Arial"/>
          <w:szCs w:val="24"/>
        </w:rPr>
      </w:pPr>
      <w:r>
        <w:rPr>
          <w:rFonts w:ascii="Arial" w:hAnsi="Arial" w:cs="Arial"/>
        </w:rPr>
        <w:t xml:space="preserve"> </w:t>
      </w:r>
    </w:p>
    <w:p w:rsidR="00EF1235" w:rsidRDefault="00EF1235" w:rsidP="00EF1235">
      <w:pPr>
        <w:keepNext/>
        <w:keepLines/>
        <w:widowControl w:val="0"/>
        <w:autoSpaceDE w:val="0"/>
        <w:autoSpaceDN w:val="0"/>
        <w:adjustRightInd w:val="0"/>
        <w:spacing w:after="0" w:line="276" w:lineRule="auto"/>
        <w:ind w:left="120" w:right="114"/>
        <w:rPr>
          <w:rFonts w:ascii="Arial" w:hAnsi="Arial" w:cs="Arial"/>
          <w:szCs w:val="24"/>
        </w:rPr>
      </w:pPr>
      <w:bookmarkStart w:id="4" w:name="_Toc501022446_4_2"/>
      <w:r>
        <w:rPr>
          <w:rFonts w:ascii="Arial" w:hAnsi="Arial" w:cs="Arial"/>
          <w:b/>
          <w:bCs/>
        </w:rPr>
        <w:lastRenderedPageBreak/>
        <w:t>DEFCON 503 (SC1)</w:t>
      </w:r>
      <w:bookmarkEnd w:id="4"/>
    </w:p>
    <w:p w:rsidR="00EF1235" w:rsidRDefault="00EF1235" w:rsidP="00EF1235">
      <w:pPr>
        <w:widowControl w:val="0"/>
        <w:autoSpaceDE w:val="0"/>
        <w:autoSpaceDN w:val="0"/>
        <w:adjustRightInd w:val="0"/>
        <w:spacing w:after="60" w:line="240" w:lineRule="auto"/>
        <w:ind w:left="120"/>
        <w:rPr>
          <w:rFonts w:ascii="Arial" w:hAnsi="Arial" w:cs="Arial"/>
          <w:szCs w:val="24"/>
        </w:rPr>
      </w:pPr>
      <w:r>
        <w:rPr>
          <w:rFonts w:ascii="Arial" w:hAnsi="Arial" w:cs="Arial"/>
        </w:rPr>
        <w:t xml:space="preserve">DEFCON 503 (SC1) (Edn. 12/16) - Formal Amendments </w:t>
      </w:r>
      <w:proofErr w:type="gramStart"/>
      <w:r>
        <w:rPr>
          <w:rFonts w:ascii="Arial" w:hAnsi="Arial" w:cs="Arial"/>
        </w:rPr>
        <w:t>To</w:t>
      </w:r>
      <w:proofErr w:type="gramEnd"/>
      <w:r>
        <w:rPr>
          <w:rFonts w:ascii="Arial" w:hAnsi="Arial" w:cs="Arial"/>
        </w:rPr>
        <w:t xml:space="preserve"> Contract</w:t>
      </w:r>
    </w:p>
    <w:p w:rsidR="00EF1235" w:rsidRDefault="00EF1235" w:rsidP="00EF1235">
      <w:pPr>
        <w:widowControl w:val="0"/>
        <w:autoSpaceDE w:val="0"/>
        <w:autoSpaceDN w:val="0"/>
        <w:adjustRightInd w:val="0"/>
        <w:spacing w:after="200" w:line="276" w:lineRule="auto"/>
        <w:ind w:left="120" w:right="114"/>
        <w:rPr>
          <w:rFonts w:ascii="Arial" w:hAnsi="Arial" w:cs="Arial"/>
          <w:szCs w:val="24"/>
        </w:rPr>
      </w:pPr>
    </w:p>
    <w:p w:rsidR="00EF1235" w:rsidRDefault="00EF1235" w:rsidP="00EF1235">
      <w:pPr>
        <w:widowControl w:val="0"/>
        <w:autoSpaceDE w:val="0"/>
        <w:autoSpaceDN w:val="0"/>
        <w:adjustRightInd w:val="0"/>
        <w:spacing w:after="200" w:line="276" w:lineRule="auto"/>
        <w:ind w:left="120" w:right="114"/>
        <w:rPr>
          <w:rFonts w:ascii="Arial" w:hAnsi="Arial" w:cs="Arial"/>
          <w:szCs w:val="24"/>
        </w:rPr>
      </w:pPr>
      <w:r>
        <w:rPr>
          <w:rFonts w:ascii="Arial" w:hAnsi="Arial" w:cs="Arial"/>
        </w:rPr>
        <w:t xml:space="preserve"> </w:t>
      </w:r>
    </w:p>
    <w:p w:rsidR="00EF1235" w:rsidRDefault="00EF1235" w:rsidP="00EF1235">
      <w:pPr>
        <w:keepNext/>
        <w:keepLines/>
        <w:widowControl w:val="0"/>
        <w:autoSpaceDE w:val="0"/>
        <w:autoSpaceDN w:val="0"/>
        <w:adjustRightInd w:val="0"/>
        <w:spacing w:after="0" w:line="276" w:lineRule="auto"/>
        <w:ind w:left="120" w:right="114"/>
        <w:rPr>
          <w:rFonts w:ascii="Arial" w:hAnsi="Arial" w:cs="Arial"/>
          <w:szCs w:val="24"/>
        </w:rPr>
      </w:pPr>
      <w:bookmarkStart w:id="5" w:name="_Toc501022446_4_3"/>
      <w:r>
        <w:rPr>
          <w:rFonts w:ascii="Arial" w:hAnsi="Arial" w:cs="Arial"/>
          <w:b/>
          <w:bCs/>
        </w:rPr>
        <w:t>DEFCON 531 (SC1)</w:t>
      </w:r>
      <w:bookmarkEnd w:id="5"/>
    </w:p>
    <w:p w:rsidR="00EF1235" w:rsidRDefault="00EF1235" w:rsidP="00EF1235">
      <w:pPr>
        <w:widowControl w:val="0"/>
        <w:autoSpaceDE w:val="0"/>
        <w:autoSpaceDN w:val="0"/>
        <w:adjustRightInd w:val="0"/>
        <w:spacing w:after="60" w:line="240" w:lineRule="auto"/>
        <w:ind w:left="120"/>
        <w:rPr>
          <w:rFonts w:ascii="Arial" w:hAnsi="Arial" w:cs="Arial"/>
          <w:szCs w:val="24"/>
        </w:rPr>
      </w:pPr>
      <w:r>
        <w:rPr>
          <w:rFonts w:ascii="Arial" w:hAnsi="Arial" w:cs="Arial"/>
        </w:rPr>
        <w:t>DEFCON 531 (SC1) (Edn. 06/17) - Disclosure of Information</w:t>
      </w:r>
    </w:p>
    <w:p w:rsidR="00EF1235" w:rsidRDefault="00EF1235" w:rsidP="00EF1235">
      <w:pPr>
        <w:widowControl w:val="0"/>
        <w:autoSpaceDE w:val="0"/>
        <w:autoSpaceDN w:val="0"/>
        <w:adjustRightInd w:val="0"/>
        <w:spacing w:after="200" w:line="276" w:lineRule="auto"/>
        <w:ind w:left="120" w:right="114"/>
        <w:rPr>
          <w:rFonts w:ascii="Arial" w:hAnsi="Arial" w:cs="Arial"/>
          <w:szCs w:val="24"/>
        </w:rPr>
      </w:pPr>
    </w:p>
    <w:p w:rsidR="00EF1235" w:rsidRDefault="00EF1235" w:rsidP="00EF1235">
      <w:pPr>
        <w:widowControl w:val="0"/>
        <w:autoSpaceDE w:val="0"/>
        <w:autoSpaceDN w:val="0"/>
        <w:adjustRightInd w:val="0"/>
        <w:spacing w:after="200" w:line="276" w:lineRule="auto"/>
        <w:ind w:left="120" w:right="114"/>
        <w:rPr>
          <w:rFonts w:ascii="Arial" w:hAnsi="Arial" w:cs="Arial"/>
          <w:szCs w:val="24"/>
        </w:rPr>
      </w:pPr>
      <w:r>
        <w:rPr>
          <w:rFonts w:ascii="Arial" w:hAnsi="Arial" w:cs="Arial"/>
        </w:rPr>
        <w:t xml:space="preserve"> </w:t>
      </w:r>
    </w:p>
    <w:p w:rsidR="00EF1235" w:rsidRDefault="00EF1235" w:rsidP="00EF1235">
      <w:pPr>
        <w:keepNext/>
        <w:keepLines/>
        <w:widowControl w:val="0"/>
        <w:autoSpaceDE w:val="0"/>
        <w:autoSpaceDN w:val="0"/>
        <w:adjustRightInd w:val="0"/>
        <w:spacing w:after="0" w:line="276" w:lineRule="auto"/>
        <w:ind w:left="120" w:right="114"/>
        <w:rPr>
          <w:rFonts w:ascii="Arial" w:hAnsi="Arial" w:cs="Arial"/>
          <w:szCs w:val="24"/>
        </w:rPr>
      </w:pPr>
      <w:bookmarkStart w:id="6" w:name="_Toc501022446_4_4"/>
      <w:r>
        <w:rPr>
          <w:rFonts w:ascii="Arial" w:hAnsi="Arial" w:cs="Arial"/>
          <w:b/>
          <w:bCs/>
        </w:rPr>
        <w:t>DEFCON 534</w:t>
      </w:r>
      <w:bookmarkEnd w:id="6"/>
    </w:p>
    <w:p w:rsidR="00EF1235" w:rsidRDefault="00EF1235" w:rsidP="00EF1235">
      <w:pPr>
        <w:widowControl w:val="0"/>
        <w:autoSpaceDE w:val="0"/>
        <w:autoSpaceDN w:val="0"/>
        <w:adjustRightInd w:val="0"/>
        <w:spacing w:after="60" w:line="240" w:lineRule="auto"/>
        <w:ind w:left="120"/>
        <w:rPr>
          <w:rFonts w:ascii="Arial" w:hAnsi="Arial" w:cs="Arial"/>
          <w:szCs w:val="24"/>
        </w:rPr>
      </w:pPr>
      <w:r>
        <w:rPr>
          <w:rFonts w:ascii="Arial" w:hAnsi="Arial" w:cs="Arial"/>
        </w:rPr>
        <w:t>DEFCON 534 (Edn. 06/17) - Subcontracting and Prompt Payment</w:t>
      </w:r>
    </w:p>
    <w:p w:rsidR="00EF1235" w:rsidRDefault="00EF1235" w:rsidP="00EF1235">
      <w:pPr>
        <w:widowControl w:val="0"/>
        <w:autoSpaceDE w:val="0"/>
        <w:autoSpaceDN w:val="0"/>
        <w:adjustRightInd w:val="0"/>
        <w:spacing w:after="200" w:line="276" w:lineRule="auto"/>
        <w:ind w:left="120" w:right="114"/>
        <w:rPr>
          <w:rFonts w:ascii="Arial" w:hAnsi="Arial" w:cs="Arial"/>
          <w:szCs w:val="24"/>
        </w:rPr>
      </w:pPr>
    </w:p>
    <w:p w:rsidR="00EF1235" w:rsidRDefault="00EF1235" w:rsidP="00EF1235">
      <w:pPr>
        <w:widowControl w:val="0"/>
        <w:autoSpaceDE w:val="0"/>
        <w:autoSpaceDN w:val="0"/>
        <w:adjustRightInd w:val="0"/>
        <w:spacing w:after="200" w:line="276" w:lineRule="auto"/>
        <w:ind w:left="120" w:right="114"/>
        <w:rPr>
          <w:rFonts w:ascii="Arial" w:hAnsi="Arial" w:cs="Arial"/>
          <w:szCs w:val="24"/>
        </w:rPr>
      </w:pPr>
      <w:r>
        <w:rPr>
          <w:rFonts w:ascii="Arial" w:hAnsi="Arial" w:cs="Arial"/>
        </w:rPr>
        <w:t xml:space="preserve"> </w:t>
      </w:r>
    </w:p>
    <w:p w:rsidR="00EF1235" w:rsidRDefault="00EF1235" w:rsidP="00EF1235">
      <w:pPr>
        <w:keepNext/>
        <w:keepLines/>
        <w:widowControl w:val="0"/>
        <w:autoSpaceDE w:val="0"/>
        <w:autoSpaceDN w:val="0"/>
        <w:adjustRightInd w:val="0"/>
        <w:spacing w:after="0" w:line="276" w:lineRule="auto"/>
        <w:ind w:left="120" w:right="114"/>
        <w:rPr>
          <w:rFonts w:ascii="Arial" w:hAnsi="Arial" w:cs="Arial"/>
          <w:szCs w:val="24"/>
        </w:rPr>
      </w:pPr>
      <w:bookmarkStart w:id="7" w:name="_Toc501022446_4_5"/>
      <w:r>
        <w:rPr>
          <w:rFonts w:ascii="Arial" w:hAnsi="Arial" w:cs="Arial"/>
          <w:b/>
          <w:bCs/>
        </w:rPr>
        <w:t>DEFCON 537</w:t>
      </w:r>
      <w:bookmarkEnd w:id="7"/>
    </w:p>
    <w:p w:rsidR="00EF1235" w:rsidRDefault="00EF1235" w:rsidP="00EF1235">
      <w:pPr>
        <w:widowControl w:val="0"/>
        <w:autoSpaceDE w:val="0"/>
        <w:autoSpaceDN w:val="0"/>
        <w:adjustRightInd w:val="0"/>
        <w:spacing w:after="60" w:line="240" w:lineRule="auto"/>
        <w:ind w:left="120"/>
        <w:rPr>
          <w:rFonts w:ascii="Arial" w:hAnsi="Arial" w:cs="Arial"/>
          <w:szCs w:val="24"/>
        </w:rPr>
      </w:pPr>
      <w:r>
        <w:rPr>
          <w:rFonts w:ascii="Arial" w:hAnsi="Arial" w:cs="Arial"/>
        </w:rPr>
        <w:t>DEFCON 537 (Edn. 06/02) - Rights of Third Parties</w:t>
      </w:r>
    </w:p>
    <w:p w:rsidR="00EF1235" w:rsidRDefault="00EF1235" w:rsidP="00EF1235">
      <w:pPr>
        <w:widowControl w:val="0"/>
        <w:autoSpaceDE w:val="0"/>
        <w:autoSpaceDN w:val="0"/>
        <w:adjustRightInd w:val="0"/>
        <w:spacing w:after="200" w:line="276" w:lineRule="auto"/>
        <w:ind w:left="120" w:right="114"/>
        <w:rPr>
          <w:rFonts w:ascii="Arial" w:hAnsi="Arial" w:cs="Arial"/>
          <w:szCs w:val="24"/>
        </w:rPr>
      </w:pPr>
    </w:p>
    <w:p w:rsidR="00EF1235" w:rsidRDefault="00EF1235" w:rsidP="00EF1235">
      <w:pPr>
        <w:widowControl w:val="0"/>
        <w:autoSpaceDE w:val="0"/>
        <w:autoSpaceDN w:val="0"/>
        <w:adjustRightInd w:val="0"/>
        <w:spacing w:after="200" w:line="276" w:lineRule="auto"/>
        <w:ind w:left="120" w:right="114"/>
        <w:rPr>
          <w:rFonts w:ascii="Arial" w:hAnsi="Arial" w:cs="Arial"/>
          <w:szCs w:val="24"/>
        </w:rPr>
      </w:pPr>
      <w:r>
        <w:rPr>
          <w:rFonts w:ascii="Arial" w:hAnsi="Arial" w:cs="Arial"/>
        </w:rPr>
        <w:t xml:space="preserve"> </w:t>
      </w:r>
    </w:p>
    <w:p w:rsidR="00EF1235" w:rsidRDefault="00EF1235" w:rsidP="00EF1235">
      <w:pPr>
        <w:keepNext/>
        <w:keepLines/>
        <w:widowControl w:val="0"/>
        <w:autoSpaceDE w:val="0"/>
        <w:autoSpaceDN w:val="0"/>
        <w:adjustRightInd w:val="0"/>
        <w:spacing w:after="0" w:line="276" w:lineRule="auto"/>
        <w:ind w:left="120" w:right="114"/>
        <w:rPr>
          <w:rFonts w:ascii="Arial" w:hAnsi="Arial" w:cs="Arial"/>
          <w:szCs w:val="24"/>
        </w:rPr>
      </w:pPr>
      <w:bookmarkStart w:id="8" w:name="_Toc501022446_4_6"/>
      <w:r>
        <w:rPr>
          <w:rFonts w:ascii="Arial" w:hAnsi="Arial" w:cs="Arial"/>
          <w:b/>
          <w:bCs/>
        </w:rPr>
        <w:t>DEFCON 538</w:t>
      </w:r>
      <w:bookmarkEnd w:id="8"/>
    </w:p>
    <w:p w:rsidR="00EF1235" w:rsidRDefault="00EF1235" w:rsidP="00EF1235">
      <w:pPr>
        <w:widowControl w:val="0"/>
        <w:autoSpaceDE w:val="0"/>
        <w:autoSpaceDN w:val="0"/>
        <w:adjustRightInd w:val="0"/>
        <w:spacing w:after="60" w:line="240" w:lineRule="auto"/>
        <w:ind w:left="120"/>
        <w:rPr>
          <w:rFonts w:ascii="Arial" w:hAnsi="Arial" w:cs="Arial"/>
          <w:szCs w:val="24"/>
        </w:rPr>
      </w:pPr>
      <w:r>
        <w:rPr>
          <w:rFonts w:ascii="Arial" w:hAnsi="Arial" w:cs="Arial"/>
        </w:rPr>
        <w:t>DEFCON 538 (Edn. 06/02) - Severability</w:t>
      </w:r>
    </w:p>
    <w:p w:rsidR="00EF1235" w:rsidRDefault="00EF1235" w:rsidP="00EF1235">
      <w:pPr>
        <w:widowControl w:val="0"/>
        <w:autoSpaceDE w:val="0"/>
        <w:autoSpaceDN w:val="0"/>
        <w:adjustRightInd w:val="0"/>
        <w:spacing w:after="200" w:line="276" w:lineRule="auto"/>
        <w:ind w:left="120" w:right="114"/>
        <w:rPr>
          <w:rFonts w:ascii="Arial" w:hAnsi="Arial" w:cs="Arial"/>
          <w:szCs w:val="24"/>
        </w:rPr>
      </w:pPr>
    </w:p>
    <w:p w:rsidR="00EF1235" w:rsidRDefault="00EF1235" w:rsidP="00EF1235">
      <w:pPr>
        <w:widowControl w:val="0"/>
        <w:autoSpaceDE w:val="0"/>
        <w:autoSpaceDN w:val="0"/>
        <w:adjustRightInd w:val="0"/>
        <w:spacing w:after="200" w:line="276" w:lineRule="auto"/>
        <w:ind w:left="120" w:right="114"/>
        <w:rPr>
          <w:rFonts w:ascii="Arial" w:hAnsi="Arial" w:cs="Arial"/>
          <w:szCs w:val="24"/>
        </w:rPr>
      </w:pPr>
      <w:r>
        <w:rPr>
          <w:rFonts w:ascii="Arial" w:hAnsi="Arial" w:cs="Arial"/>
        </w:rPr>
        <w:t xml:space="preserve"> </w:t>
      </w:r>
    </w:p>
    <w:p w:rsidR="00EF1235" w:rsidRDefault="00EF1235" w:rsidP="00EF1235">
      <w:pPr>
        <w:keepNext/>
        <w:keepLines/>
        <w:widowControl w:val="0"/>
        <w:autoSpaceDE w:val="0"/>
        <w:autoSpaceDN w:val="0"/>
        <w:adjustRightInd w:val="0"/>
        <w:spacing w:after="0" w:line="276" w:lineRule="auto"/>
        <w:ind w:left="120" w:right="114"/>
        <w:rPr>
          <w:rFonts w:ascii="Arial" w:hAnsi="Arial" w:cs="Arial"/>
          <w:szCs w:val="24"/>
        </w:rPr>
      </w:pPr>
      <w:bookmarkStart w:id="9" w:name="_Toc501022446_4_7"/>
      <w:r>
        <w:rPr>
          <w:rFonts w:ascii="Arial" w:hAnsi="Arial" w:cs="Arial"/>
          <w:b/>
          <w:bCs/>
        </w:rPr>
        <w:t>DEFCON 566</w:t>
      </w:r>
      <w:bookmarkEnd w:id="9"/>
    </w:p>
    <w:p w:rsidR="00EF1235" w:rsidRDefault="00EF1235" w:rsidP="00EF1235">
      <w:pPr>
        <w:widowControl w:val="0"/>
        <w:autoSpaceDE w:val="0"/>
        <w:autoSpaceDN w:val="0"/>
        <w:adjustRightInd w:val="0"/>
        <w:spacing w:after="60" w:line="240" w:lineRule="auto"/>
        <w:ind w:left="120"/>
        <w:rPr>
          <w:rFonts w:ascii="Arial" w:hAnsi="Arial" w:cs="Arial"/>
          <w:szCs w:val="24"/>
        </w:rPr>
      </w:pPr>
      <w:r>
        <w:rPr>
          <w:rFonts w:ascii="Arial" w:hAnsi="Arial" w:cs="Arial"/>
        </w:rPr>
        <w:t>DEFCON 566 (Edn. 12/18) - Change of Control of Contractor</w:t>
      </w:r>
    </w:p>
    <w:p w:rsidR="00EF1235" w:rsidRDefault="00EF1235" w:rsidP="00EF1235">
      <w:pPr>
        <w:widowControl w:val="0"/>
        <w:autoSpaceDE w:val="0"/>
        <w:autoSpaceDN w:val="0"/>
        <w:adjustRightInd w:val="0"/>
        <w:spacing w:after="200" w:line="276" w:lineRule="auto"/>
        <w:ind w:left="120" w:right="114"/>
        <w:rPr>
          <w:rFonts w:ascii="Arial" w:hAnsi="Arial" w:cs="Arial"/>
          <w:szCs w:val="24"/>
        </w:rPr>
      </w:pPr>
    </w:p>
    <w:p w:rsidR="00EF1235" w:rsidRDefault="00EF1235" w:rsidP="00EF1235">
      <w:pPr>
        <w:widowControl w:val="0"/>
        <w:autoSpaceDE w:val="0"/>
        <w:autoSpaceDN w:val="0"/>
        <w:adjustRightInd w:val="0"/>
        <w:spacing w:after="200" w:line="276" w:lineRule="auto"/>
        <w:ind w:left="120" w:right="114"/>
        <w:rPr>
          <w:rFonts w:ascii="Arial" w:hAnsi="Arial" w:cs="Arial"/>
          <w:szCs w:val="24"/>
        </w:rPr>
      </w:pPr>
      <w:r>
        <w:rPr>
          <w:rFonts w:ascii="Arial" w:hAnsi="Arial" w:cs="Arial"/>
        </w:rPr>
        <w:t xml:space="preserve"> </w:t>
      </w:r>
    </w:p>
    <w:p w:rsidR="00EF1235" w:rsidRDefault="00EF1235" w:rsidP="00EF1235">
      <w:pPr>
        <w:keepNext/>
        <w:keepLines/>
        <w:widowControl w:val="0"/>
        <w:autoSpaceDE w:val="0"/>
        <w:autoSpaceDN w:val="0"/>
        <w:adjustRightInd w:val="0"/>
        <w:spacing w:after="0" w:line="276" w:lineRule="auto"/>
        <w:ind w:left="120" w:right="114"/>
        <w:rPr>
          <w:rFonts w:ascii="Arial" w:hAnsi="Arial" w:cs="Arial"/>
          <w:szCs w:val="24"/>
        </w:rPr>
      </w:pPr>
      <w:bookmarkStart w:id="10" w:name="_Toc501022446_4_8"/>
      <w:r>
        <w:rPr>
          <w:rFonts w:ascii="Arial" w:hAnsi="Arial" w:cs="Arial"/>
          <w:b/>
          <w:bCs/>
        </w:rPr>
        <w:t>DEFCON 532B</w:t>
      </w:r>
      <w:bookmarkEnd w:id="10"/>
    </w:p>
    <w:p w:rsidR="00EF1235" w:rsidRDefault="00EF1235" w:rsidP="00EF1235">
      <w:pPr>
        <w:widowControl w:val="0"/>
        <w:autoSpaceDE w:val="0"/>
        <w:autoSpaceDN w:val="0"/>
        <w:adjustRightInd w:val="0"/>
        <w:spacing w:after="60" w:line="240" w:lineRule="auto"/>
        <w:ind w:left="120"/>
        <w:rPr>
          <w:rFonts w:ascii="Arial" w:hAnsi="Arial" w:cs="Arial"/>
          <w:szCs w:val="24"/>
        </w:rPr>
      </w:pPr>
      <w:r>
        <w:rPr>
          <w:rFonts w:ascii="Arial" w:hAnsi="Arial" w:cs="Arial"/>
        </w:rPr>
        <w:t xml:space="preserve">DEFCON 532B (Edn. 05/18) - Protection </w:t>
      </w:r>
      <w:proofErr w:type="gramStart"/>
      <w:r>
        <w:rPr>
          <w:rFonts w:ascii="Arial" w:hAnsi="Arial" w:cs="Arial"/>
        </w:rPr>
        <w:t>Of</w:t>
      </w:r>
      <w:proofErr w:type="gramEnd"/>
      <w:r>
        <w:rPr>
          <w:rFonts w:ascii="Arial" w:hAnsi="Arial" w:cs="Arial"/>
        </w:rPr>
        <w:t xml:space="preserve"> Personal Data (Where Personal Data is being processed on behalf of the Authority)</w:t>
      </w:r>
    </w:p>
    <w:p w:rsidR="00EF1235" w:rsidRDefault="00EF1235" w:rsidP="00EF1235">
      <w:pPr>
        <w:widowControl w:val="0"/>
        <w:autoSpaceDE w:val="0"/>
        <w:autoSpaceDN w:val="0"/>
        <w:adjustRightInd w:val="0"/>
        <w:spacing w:after="200" w:line="276" w:lineRule="auto"/>
        <w:ind w:left="120" w:right="114"/>
        <w:rPr>
          <w:rFonts w:ascii="Arial" w:hAnsi="Arial" w:cs="Arial"/>
          <w:szCs w:val="24"/>
        </w:rPr>
      </w:pPr>
    </w:p>
    <w:p w:rsidR="00EF1235" w:rsidRDefault="00EF1235" w:rsidP="00EF1235">
      <w:pPr>
        <w:widowControl w:val="0"/>
        <w:autoSpaceDE w:val="0"/>
        <w:autoSpaceDN w:val="0"/>
        <w:adjustRightInd w:val="0"/>
        <w:spacing w:after="200" w:line="276" w:lineRule="auto"/>
        <w:ind w:left="120" w:right="114"/>
        <w:rPr>
          <w:rFonts w:ascii="Arial" w:hAnsi="Arial" w:cs="Arial"/>
          <w:szCs w:val="24"/>
        </w:rPr>
      </w:pPr>
      <w:r>
        <w:rPr>
          <w:rFonts w:ascii="Arial" w:hAnsi="Arial" w:cs="Arial"/>
        </w:rPr>
        <w:t xml:space="preserve"> </w:t>
      </w:r>
    </w:p>
    <w:p w:rsidR="00EF1235" w:rsidRDefault="00EF1235" w:rsidP="00EF1235">
      <w:pPr>
        <w:keepNext/>
        <w:keepLines/>
        <w:widowControl w:val="0"/>
        <w:autoSpaceDE w:val="0"/>
        <w:autoSpaceDN w:val="0"/>
        <w:adjustRightInd w:val="0"/>
        <w:spacing w:after="0" w:line="276" w:lineRule="auto"/>
        <w:ind w:left="120" w:right="114"/>
        <w:rPr>
          <w:rFonts w:ascii="Arial" w:hAnsi="Arial" w:cs="Arial"/>
          <w:szCs w:val="24"/>
        </w:rPr>
      </w:pPr>
      <w:bookmarkStart w:id="11" w:name="_Toc501022446_4_9"/>
      <w:r>
        <w:rPr>
          <w:rFonts w:ascii="Arial" w:hAnsi="Arial" w:cs="Arial"/>
          <w:b/>
          <w:bCs/>
        </w:rPr>
        <w:t>DEFFORM 532</w:t>
      </w:r>
      <w:bookmarkEnd w:id="11"/>
    </w:p>
    <w:tbl>
      <w:tblPr>
        <w:tblW w:w="9029" w:type="dxa"/>
        <w:tblInd w:w="120" w:type="dxa"/>
        <w:tblLayout w:type="fixed"/>
        <w:tblCellMar>
          <w:left w:w="0" w:type="dxa"/>
          <w:right w:w="0" w:type="dxa"/>
        </w:tblCellMar>
        <w:tblLook w:val="04A0" w:firstRow="1" w:lastRow="0" w:firstColumn="1" w:lastColumn="0" w:noHBand="0" w:noVBand="1"/>
      </w:tblPr>
      <w:tblGrid>
        <w:gridCol w:w="6001"/>
        <w:gridCol w:w="3028"/>
      </w:tblGrid>
      <w:tr w:rsidR="00EF1235" w:rsidTr="00EF1235">
        <w:tc>
          <w:tcPr>
            <w:tcW w:w="6001" w:type="dxa"/>
            <w:shd w:val="clear" w:color="auto" w:fill="FFFFFF"/>
            <w:hideMark/>
          </w:tcPr>
          <w:p w:rsidR="00EF1235" w:rsidRDefault="00EF1235">
            <w:pPr>
              <w:widowControl w:val="0"/>
              <w:autoSpaceDE w:val="0"/>
              <w:autoSpaceDN w:val="0"/>
              <w:adjustRightInd w:val="0"/>
              <w:spacing w:after="60" w:line="240" w:lineRule="auto"/>
              <w:ind w:left="108"/>
              <w:rPr>
                <w:rFonts w:ascii="Arial" w:hAnsi="Arial" w:cs="Arial"/>
                <w:szCs w:val="24"/>
              </w:rPr>
            </w:pPr>
            <w:r>
              <w:rPr>
                <w:rFonts w:ascii="Arial" w:hAnsi="Arial" w:cs="Arial"/>
                <w:b/>
                <w:bCs/>
              </w:rPr>
              <w:t>Personal Data Particulars</w:t>
            </w:r>
          </w:p>
        </w:tc>
        <w:tc>
          <w:tcPr>
            <w:tcW w:w="3028" w:type="dxa"/>
            <w:shd w:val="clear" w:color="auto" w:fill="FFFFFF"/>
            <w:hideMark/>
          </w:tcPr>
          <w:p w:rsidR="00EF1235" w:rsidRDefault="00EF1235">
            <w:pPr>
              <w:widowControl w:val="0"/>
              <w:autoSpaceDE w:val="0"/>
              <w:autoSpaceDN w:val="0"/>
              <w:adjustRightInd w:val="0"/>
              <w:spacing w:after="60" w:line="240" w:lineRule="auto"/>
              <w:ind w:left="1339"/>
              <w:rPr>
                <w:rFonts w:ascii="Arial" w:hAnsi="Arial" w:cs="Arial"/>
                <w:b/>
                <w:bCs/>
                <w:sz w:val="22"/>
              </w:rPr>
            </w:pPr>
            <w:r>
              <w:rPr>
                <w:rFonts w:ascii="Arial" w:hAnsi="Arial" w:cs="Arial"/>
                <w:b/>
                <w:bCs/>
              </w:rPr>
              <w:t>DEFFORM 532</w:t>
            </w:r>
          </w:p>
          <w:p w:rsidR="00EF1235" w:rsidRDefault="00EF1235">
            <w:pPr>
              <w:widowControl w:val="0"/>
              <w:autoSpaceDE w:val="0"/>
              <w:autoSpaceDN w:val="0"/>
              <w:adjustRightInd w:val="0"/>
              <w:spacing w:after="60" w:line="240" w:lineRule="auto"/>
              <w:ind w:left="1339"/>
              <w:rPr>
                <w:rFonts w:ascii="Arial" w:hAnsi="Arial" w:cs="Arial"/>
                <w:color w:val="auto"/>
                <w:szCs w:val="24"/>
              </w:rPr>
            </w:pPr>
            <w:r>
              <w:rPr>
                <w:rFonts w:ascii="Arial" w:hAnsi="Arial" w:cs="Arial"/>
              </w:rPr>
              <w:t>Edn 10/19</w:t>
            </w:r>
          </w:p>
        </w:tc>
      </w:tr>
    </w:tbl>
    <w:p w:rsidR="00EF1235" w:rsidRDefault="00EF1235" w:rsidP="00EF1235">
      <w:pPr>
        <w:pStyle w:val="Heading1"/>
      </w:pPr>
      <w:r>
        <w:lastRenderedPageBreak/>
        <w:t>PULSE POWER AND MEASUREMENT LTD -TENDER JES100134</w:t>
      </w:r>
    </w:p>
    <w:p w:rsidR="00EF1235" w:rsidRDefault="00EF1235" w:rsidP="00EF1235">
      <w:pPr>
        <w:spacing w:after="0" w:line="265" w:lineRule="auto"/>
        <w:ind w:left="120" w:hanging="10"/>
      </w:pPr>
      <w:r>
        <w:t xml:space="preserve">This Form forms part of the Contract and must be completed and attached to each Contract </w:t>
      </w:r>
      <w:r>
        <w:rPr>
          <w:noProof/>
        </w:rPr>
        <w:drawing>
          <wp:inline distT="0" distB="0" distL="0" distR="0" wp14:anchorId="4E4090CF" wp14:editId="1E003CE7">
            <wp:extent cx="3048" cy="3049"/>
            <wp:effectExtent l="0" t="0" r="0" b="0"/>
            <wp:docPr id="2225" name="Picture 2225"/>
            <wp:cNvGraphicFramePr/>
            <a:graphic xmlns:a="http://schemas.openxmlformats.org/drawingml/2006/main">
              <a:graphicData uri="http://schemas.openxmlformats.org/drawingml/2006/picture">
                <pic:pic xmlns:pic="http://schemas.openxmlformats.org/drawingml/2006/picture">
                  <pic:nvPicPr>
                    <pic:cNvPr id="2225" name="Picture 2225"/>
                    <pic:cNvPicPr/>
                  </pic:nvPicPr>
                  <pic:blipFill>
                    <a:blip r:embed="rId7"/>
                    <a:stretch>
                      <a:fillRect/>
                    </a:stretch>
                  </pic:blipFill>
                  <pic:spPr>
                    <a:xfrm>
                      <a:off x="0" y="0"/>
                      <a:ext cx="3048" cy="3049"/>
                    </a:xfrm>
                    <a:prstGeom prst="rect">
                      <a:avLst/>
                    </a:prstGeom>
                  </pic:spPr>
                </pic:pic>
              </a:graphicData>
            </a:graphic>
          </wp:inline>
        </w:drawing>
      </w:r>
      <w:r>
        <w:t>containing DEFCON 532B.</w:t>
      </w:r>
    </w:p>
    <w:tbl>
      <w:tblPr>
        <w:tblStyle w:val="TableGrid"/>
        <w:tblW w:w="9902" w:type="dxa"/>
        <w:tblInd w:w="134" w:type="dxa"/>
        <w:tblCellMar>
          <w:top w:w="28" w:type="dxa"/>
          <w:left w:w="16" w:type="dxa"/>
          <w:right w:w="82" w:type="dxa"/>
        </w:tblCellMar>
        <w:tblLook w:val="04A0" w:firstRow="1" w:lastRow="0" w:firstColumn="1" w:lastColumn="0" w:noHBand="0" w:noVBand="1"/>
      </w:tblPr>
      <w:tblGrid>
        <w:gridCol w:w="4999"/>
        <w:gridCol w:w="4903"/>
      </w:tblGrid>
      <w:tr w:rsidR="00EF1235" w:rsidTr="008A174B">
        <w:trPr>
          <w:trHeight w:val="1416"/>
        </w:trPr>
        <w:tc>
          <w:tcPr>
            <w:tcW w:w="5000"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0"/>
              <w:ind w:left="109"/>
            </w:pPr>
            <w:r>
              <w:rPr>
                <w:sz w:val="26"/>
              </w:rPr>
              <w:t>Data Controller</w:t>
            </w:r>
          </w:p>
        </w:tc>
        <w:tc>
          <w:tcPr>
            <w:tcW w:w="4903"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38" w:line="216" w:lineRule="auto"/>
              <w:ind w:left="111" w:hanging="10"/>
            </w:pPr>
            <w:r>
              <w:t>The Data Controller is the Secretary of State for Defence (the Authority).</w:t>
            </w:r>
          </w:p>
          <w:p w:rsidR="00EF1235" w:rsidRDefault="00EF1235" w:rsidP="008A174B">
            <w:pPr>
              <w:spacing w:after="0"/>
              <w:ind w:left="101"/>
            </w:pPr>
            <w:r>
              <w:rPr>
                <w:sz w:val="26"/>
              </w:rPr>
              <w:t>The Personal Data will be provided by:</w:t>
            </w:r>
          </w:p>
          <w:p w:rsidR="00EF1235" w:rsidRPr="0035009E" w:rsidRDefault="0035009E" w:rsidP="008A174B">
            <w:pPr>
              <w:spacing w:after="0"/>
              <w:ind w:left="106"/>
              <w:rPr>
                <w:highlight w:val="black"/>
              </w:rPr>
            </w:pPr>
            <w:r>
              <w:rPr>
                <w:noProof/>
                <w:sz w:val="26"/>
                <w:highlight w:val="black"/>
              </w:rPr>
              <w:t xml:space="preserve">''''''' '''''''''''' ''''''''' </w:t>
            </w:r>
            <w:r>
              <w:rPr>
                <w:noProof/>
                <w:sz w:val="26"/>
              </w:rPr>
              <w:drawing>
                <wp:inline distT="0" distB="0" distL="0" distR="0">
                  <wp:extent cx="813435" cy="118745"/>
                  <wp:effectExtent l="0" t="0" r="5715"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stretch>
                            <a:fillRect/>
                          </a:stretch>
                        </pic:blipFill>
                        <pic:spPr>
                          <a:xfrm>
                            <a:off x="0" y="0"/>
                            <a:ext cx="813435" cy="118745"/>
                          </a:xfrm>
                          <a:prstGeom prst="rect">
                            <a:avLst/>
                          </a:prstGeom>
                        </pic:spPr>
                      </pic:pic>
                    </a:graphicData>
                  </a:graphic>
                </wp:inline>
              </w:drawing>
            </w:r>
            <w:r>
              <w:rPr>
                <w:noProof/>
                <w:sz w:val="26"/>
                <w:highlight w:val="black"/>
              </w:rPr>
              <w:t>'''''''''''' ''''''''''''''</w:t>
            </w:r>
          </w:p>
          <w:p w:rsidR="00EF1235" w:rsidRPr="0035009E" w:rsidRDefault="0035009E" w:rsidP="008A174B">
            <w:pPr>
              <w:spacing w:after="0"/>
              <w:ind w:left="110"/>
              <w:rPr>
                <w:highlight w:val="black"/>
              </w:rPr>
            </w:pPr>
            <w:r>
              <w:rPr>
                <w:noProof/>
                <w:highlight w:val="black"/>
              </w:rPr>
              <w:t>'''''''''''''''''''''''''' '''''''</w:t>
            </w:r>
          </w:p>
        </w:tc>
      </w:tr>
      <w:tr w:rsidR="00EF1235" w:rsidTr="008A174B">
        <w:trPr>
          <w:trHeight w:val="1628"/>
        </w:trPr>
        <w:tc>
          <w:tcPr>
            <w:tcW w:w="5000"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0"/>
              <w:ind w:left="113"/>
            </w:pPr>
            <w:r>
              <w:rPr>
                <w:sz w:val="28"/>
              </w:rPr>
              <w:t>Data Processor</w:t>
            </w:r>
          </w:p>
        </w:tc>
        <w:tc>
          <w:tcPr>
            <w:tcW w:w="4903"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0"/>
              <w:ind w:left="101"/>
            </w:pPr>
            <w:r>
              <w:rPr>
                <w:sz w:val="26"/>
              </w:rPr>
              <w:t>The Data Processor is the Contractor.</w:t>
            </w:r>
          </w:p>
          <w:p w:rsidR="00EF1235" w:rsidRDefault="00EF1235" w:rsidP="008A174B">
            <w:pPr>
              <w:spacing w:after="0"/>
              <w:ind w:left="101"/>
            </w:pPr>
            <w:r>
              <w:rPr>
                <w:sz w:val="26"/>
              </w:rPr>
              <w:t>The Personal Data will be processed at:</w:t>
            </w:r>
          </w:p>
          <w:p w:rsidR="00EF1235" w:rsidRPr="0035009E" w:rsidRDefault="00EF1235" w:rsidP="008A174B">
            <w:pPr>
              <w:spacing w:after="0"/>
              <w:ind w:left="110"/>
            </w:pPr>
            <w:r w:rsidRPr="00C8222A">
              <w:rPr>
                <w:sz w:val="20"/>
              </w:rPr>
              <w:t xml:space="preserve">PULSE POWER AND MEASUREMENT LTD </w:t>
            </w:r>
            <w:r w:rsidR="0035009E">
              <w:rPr>
                <w:noProof/>
                <w:sz w:val="20"/>
                <w:highlight w:val="black"/>
              </w:rPr>
              <w:t>' '''''</w:t>
            </w:r>
          </w:p>
          <w:p w:rsidR="00EF1235" w:rsidRPr="0035009E" w:rsidRDefault="0035009E" w:rsidP="008A174B">
            <w:pPr>
              <w:spacing w:after="0"/>
              <w:ind w:left="120"/>
              <w:rPr>
                <w:highlight w:val="black"/>
              </w:rPr>
            </w:pPr>
            <w:r>
              <w:rPr>
                <w:noProof/>
                <w:sz w:val="20"/>
                <w:highlight w:val="black"/>
              </w:rPr>
              <w:t>'''''''''''''''''''''''''' '''''''''''''''''''' '''''''''''''''''</w:t>
            </w:r>
          </w:p>
          <w:p w:rsidR="00EF1235" w:rsidRPr="0035009E" w:rsidRDefault="0035009E" w:rsidP="008A174B">
            <w:pPr>
              <w:spacing w:after="0"/>
              <w:ind w:left="120" w:hanging="10"/>
              <w:rPr>
                <w:highlight w:val="black"/>
              </w:rPr>
            </w:pPr>
            <w:r>
              <w:rPr>
                <w:noProof/>
                <w:highlight w:val="black"/>
              </w:rPr>
              <w:t>'''''''''''' ''''''' ''''''''''''''''''' ''''''''''''''''''' '' '''''''''''''''''''' ''''''' ''''''' ''</w:t>
            </w:r>
          </w:p>
        </w:tc>
      </w:tr>
      <w:tr w:rsidR="00EF1235" w:rsidTr="008A174B">
        <w:trPr>
          <w:trHeight w:val="1148"/>
        </w:trPr>
        <w:tc>
          <w:tcPr>
            <w:tcW w:w="5000"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0"/>
              <w:ind w:left="118"/>
            </w:pPr>
            <w:r>
              <w:rPr>
                <w:sz w:val="28"/>
              </w:rPr>
              <w:t>Data Subjects</w:t>
            </w:r>
          </w:p>
        </w:tc>
        <w:tc>
          <w:tcPr>
            <w:tcW w:w="4903"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0"/>
              <w:ind w:firstLine="106"/>
            </w:pPr>
            <w:r>
              <w:t xml:space="preserve">The Personal Data to be processed under the Contract concern the following Data Subjects or categories of Data Subjects: [please specify] </w:t>
            </w:r>
            <w:r w:rsidR="0035009E">
              <w:rPr>
                <w:noProof/>
                <w:highlight w:val="black"/>
              </w:rPr>
              <w:t>''''''''''''''''''''''' '''''''''''''' ''''' '''''' ''''' ''''''''''''' ''''''''''''''''''''''</w:t>
            </w:r>
          </w:p>
        </w:tc>
      </w:tr>
      <w:tr w:rsidR="00EF1235" w:rsidTr="008A174B">
        <w:trPr>
          <w:trHeight w:val="1404"/>
        </w:trPr>
        <w:tc>
          <w:tcPr>
            <w:tcW w:w="5000"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0"/>
              <w:ind w:left="118"/>
            </w:pPr>
            <w:r>
              <w:rPr>
                <w:sz w:val="26"/>
              </w:rPr>
              <w:t>Categories of Data</w:t>
            </w:r>
          </w:p>
        </w:tc>
        <w:tc>
          <w:tcPr>
            <w:tcW w:w="4903"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26" w:line="221" w:lineRule="auto"/>
              <w:ind w:left="115" w:right="288" w:hanging="5"/>
            </w:pPr>
            <w:r>
              <w:t>The Personal Data to be processed under the Contract concern the following categories of data: [please specify]</w:t>
            </w:r>
          </w:p>
          <w:p w:rsidR="00EF1235" w:rsidRDefault="00EF1235" w:rsidP="008A174B">
            <w:pPr>
              <w:spacing w:after="0"/>
              <w:ind w:left="120" w:firstLine="5"/>
            </w:pPr>
            <w:r>
              <w:rPr>
                <w:sz w:val="26"/>
              </w:rPr>
              <w:t>Storage of names addresses telephone number and e mail addresses.</w:t>
            </w:r>
          </w:p>
        </w:tc>
      </w:tr>
      <w:tr w:rsidR="00EF1235" w:rsidTr="008A174B">
        <w:trPr>
          <w:trHeight w:val="1151"/>
        </w:trPr>
        <w:tc>
          <w:tcPr>
            <w:tcW w:w="5000"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0"/>
              <w:ind w:left="118"/>
            </w:pPr>
            <w:r>
              <w:rPr>
                <w:sz w:val="26"/>
              </w:rPr>
              <w:t>Special Categories of data (if appropriate)</w:t>
            </w:r>
          </w:p>
        </w:tc>
        <w:tc>
          <w:tcPr>
            <w:tcW w:w="4903"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38" w:line="216" w:lineRule="auto"/>
              <w:ind w:left="120" w:right="278" w:hanging="10"/>
            </w:pPr>
            <w:r>
              <w:t>The Personal Data to be processed under the Contract concern the following Special Categories of data:</w:t>
            </w:r>
          </w:p>
          <w:p w:rsidR="00EF1235" w:rsidRDefault="00EF1235" w:rsidP="008A174B">
            <w:pPr>
              <w:spacing w:after="0"/>
              <w:ind w:left="125"/>
            </w:pPr>
            <w:r>
              <w:t>Not applicable</w:t>
            </w:r>
          </w:p>
        </w:tc>
      </w:tr>
      <w:tr w:rsidR="00EF1235" w:rsidTr="008A174B">
        <w:trPr>
          <w:trHeight w:val="1404"/>
        </w:trPr>
        <w:tc>
          <w:tcPr>
            <w:tcW w:w="5000"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0"/>
              <w:ind w:left="123"/>
            </w:pPr>
            <w:r>
              <w:rPr>
                <w:sz w:val="28"/>
              </w:rPr>
              <w:t>Subject matter of the processing</w:t>
            </w:r>
          </w:p>
        </w:tc>
        <w:tc>
          <w:tcPr>
            <w:tcW w:w="4903"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31" w:line="216" w:lineRule="auto"/>
              <w:ind w:left="115"/>
            </w:pPr>
            <w:r>
              <w:t>The processing activities to be performed under the contract are as follows: [please specify]</w:t>
            </w:r>
          </w:p>
          <w:p w:rsidR="00EF1235" w:rsidRDefault="00EF1235" w:rsidP="008A174B">
            <w:pPr>
              <w:spacing w:after="0"/>
              <w:ind w:left="115" w:right="302" w:firstLine="19"/>
            </w:pPr>
            <w:r>
              <w:t>Capture of contact details and information for tracking of sales opportunities and order processing</w:t>
            </w:r>
          </w:p>
        </w:tc>
      </w:tr>
      <w:tr w:rsidR="00EF1235" w:rsidTr="008A174B">
        <w:trPr>
          <w:trHeight w:val="840"/>
        </w:trPr>
        <w:tc>
          <w:tcPr>
            <w:tcW w:w="5000"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0"/>
              <w:ind w:left="137"/>
            </w:pPr>
            <w:r>
              <w:rPr>
                <w:sz w:val="28"/>
              </w:rPr>
              <w:t>Nature and the purposes of the Processing</w:t>
            </w:r>
          </w:p>
        </w:tc>
        <w:tc>
          <w:tcPr>
            <w:tcW w:w="4903"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0"/>
              <w:ind w:left="130" w:right="269" w:hanging="5"/>
            </w:pPr>
            <w:r>
              <w:t>The Personal Data to be processed under the Contract will be processed as follows: [please specify] Capture of contact details</w:t>
            </w:r>
          </w:p>
        </w:tc>
      </w:tr>
    </w:tbl>
    <w:p w:rsidR="00EF1235" w:rsidRDefault="00EF1235" w:rsidP="00EF1235">
      <w:pPr>
        <w:spacing w:after="0"/>
        <w:ind w:right="14"/>
        <w:jc w:val="right"/>
      </w:pPr>
      <w:r>
        <w:rPr>
          <w:sz w:val="34"/>
        </w:rPr>
        <w:t>1</w:t>
      </w:r>
    </w:p>
    <w:p w:rsidR="00EF1235" w:rsidRDefault="00EF1235" w:rsidP="00EF1235">
      <w:pPr>
        <w:spacing w:after="360" w:line="265" w:lineRule="auto"/>
        <w:ind w:left="111" w:right="5" w:hanging="10"/>
        <w:jc w:val="center"/>
      </w:pPr>
      <w:r>
        <w:t>OFFICIAL SENSITIVE</w:t>
      </w:r>
    </w:p>
    <w:tbl>
      <w:tblPr>
        <w:tblStyle w:val="TableGrid"/>
        <w:tblW w:w="9912" w:type="dxa"/>
        <w:tblInd w:w="110" w:type="dxa"/>
        <w:tblCellMar>
          <w:top w:w="32" w:type="dxa"/>
          <w:left w:w="125" w:type="dxa"/>
          <w:right w:w="96" w:type="dxa"/>
        </w:tblCellMar>
        <w:tblLook w:val="04A0" w:firstRow="1" w:lastRow="0" w:firstColumn="1" w:lastColumn="0" w:noHBand="0" w:noVBand="1"/>
      </w:tblPr>
      <w:tblGrid>
        <w:gridCol w:w="5004"/>
        <w:gridCol w:w="4908"/>
      </w:tblGrid>
      <w:tr w:rsidR="00EF1235" w:rsidTr="008A174B">
        <w:trPr>
          <w:trHeight w:val="845"/>
        </w:trPr>
        <w:tc>
          <w:tcPr>
            <w:tcW w:w="5004" w:type="dxa"/>
            <w:tcBorders>
              <w:top w:val="single" w:sz="2" w:space="0" w:color="000000"/>
              <w:left w:val="single" w:sz="2" w:space="0" w:color="000000"/>
              <w:bottom w:val="single" w:sz="2" w:space="0" w:color="000000"/>
              <w:right w:val="single" w:sz="2" w:space="0" w:color="000000"/>
            </w:tcBorders>
          </w:tcPr>
          <w:p w:rsidR="00EF1235" w:rsidRDefault="00EF1235" w:rsidP="008A174B"/>
        </w:tc>
        <w:tc>
          <w:tcPr>
            <w:tcW w:w="4908"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0"/>
              <w:ind w:left="12" w:right="230" w:hanging="5"/>
            </w:pPr>
            <w:r>
              <w:t xml:space="preserve">recording and organisation of data for sales opportunity </w:t>
            </w:r>
            <w:proofErr w:type="gramStart"/>
            <w:r>
              <w:t>tracking ,project</w:t>
            </w:r>
            <w:proofErr w:type="gramEnd"/>
            <w:r>
              <w:t xml:space="preserve"> management and order processing</w:t>
            </w:r>
          </w:p>
        </w:tc>
      </w:tr>
      <w:tr w:rsidR="00EF1235" w:rsidTr="008A174B">
        <w:trPr>
          <w:trHeight w:val="4329"/>
        </w:trPr>
        <w:tc>
          <w:tcPr>
            <w:tcW w:w="5004"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0"/>
            </w:pPr>
            <w:r>
              <w:rPr>
                <w:sz w:val="26"/>
              </w:rPr>
              <w:lastRenderedPageBreak/>
              <w:t>Technical and organisational measures</w:t>
            </w:r>
          </w:p>
        </w:tc>
        <w:tc>
          <w:tcPr>
            <w:tcW w:w="4908"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346" w:line="216" w:lineRule="auto"/>
              <w:ind w:left="2" w:right="274"/>
            </w:pPr>
            <w:r>
              <w:t>The following technical and organisational measures to safeguard the Personal Data are required for the performance of this Contract: [please specify]</w:t>
            </w:r>
          </w:p>
          <w:p w:rsidR="00EF1235" w:rsidRDefault="00EF1235" w:rsidP="008A174B">
            <w:pPr>
              <w:spacing w:after="0"/>
              <w:ind w:left="12"/>
            </w:pPr>
            <w:r>
              <w:rPr>
                <w:sz w:val="26"/>
              </w:rPr>
              <w:t>Personal Data:</w:t>
            </w:r>
          </w:p>
          <w:p w:rsidR="00EF1235" w:rsidRDefault="00EF1235" w:rsidP="008A174B">
            <w:pPr>
              <w:spacing w:after="376" w:line="216" w:lineRule="auto"/>
              <w:ind w:left="7" w:right="408" w:firstLine="19"/>
            </w:pPr>
            <w:r>
              <w:t>To ensure that we treat personal information lawfully and correctly, we fully endorse and adhere to the principles of the General Data Protection Regulation (GDPR).</w:t>
            </w:r>
          </w:p>
          <w:p w:rsidR="00EF1235" w:rsidRDefault="00EF1235" w:rsidP="008A174B">
            <w:pPr>
              <w:spacing w:after="0"/>
              <w:ind w:left="12"/>
            </w:pPr>
            <w:r>
              <w:t xml:space="preserve">Pulse Power and Measurement limited are </w:t>
            </w:r>
            <w:r w:rsidR="0035009E">
              <w:rPr>
                <w:noProof/>
                <w:highlight w:val="black"/>
              </w:rPr>
              <w:t>''''''''' ''''''''''''''''''' ''''''' '''''''''''' ''''''''''''''''''' ''''''''' '''''''''''''''' '''''''''''''''''''''' '''''''''''''''''''</w:t>
            </w:r>
          </w:p>
        </w:tc>
      </w:tr>
      <w:tr w:rsidR="00EF1235" w:rsidTr="008A174B">
        <w:trPr>
          <w:trHeight w:val="1653"/>
        </w:trPr>
        <w:tc>
          <w:tcPr>
            <w:tcW w:w="5004"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0"/>
              <w:ind w:left="14"/>
            </w:pPr>
            <w:r>
              <w:rPr>
                <w:sz w:val="28"/>
              </w:rPr>
              <w:t>Instructions for disposal of Personal Data</w:t>
            </w:r>
          </w:p>
        </w:tc>
        <w:tc>
          <w:tcPr>
            <w:tcW w:w="4908"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33" w:line="216" w:lineRule="auto"/>
              <w:ind w:left="7" w:right="163"/>
            </w:pPr>
            <w:r>
              <w:t>The disposal instructions for the Personal Data to be processed under the Contract are as follows (where Disposal Instructions are available at the commencement of Contract): [please specify]</w:t>
            </w:r>
          </w:p>
          <w:p w:rsidR="00EF1235" w:rsidRDefault="00EF1235" w:rsidP="008A174B">
            <w:pPr>
              <w:spacing w:after="0"/>
              <w:ind w:left="17"/>
            </w:pPr>
            <w:r>
              <w:t>In line with the GDPR guidelines best practices</w:t>
            </w:r>
          </w:p>
        </w:tc>
      </w:tr>
      <w:tr w:rsidR="00EF1235" w:rsidTr="008A174B">
        <w:trPr>
          <w:trHeight w:val="1095"/>
        </w:trPr>
        <w:tc>
          <w:tcPr>
            <w:tcW w:w="5004"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0"/>
              <w:ind w:left="24"/>
            </w:pPr>
            <w:r>
              <w:rPr>
                <w:sz w:val="28"/>
              </w:rPr>
              <w:t>Date from which Personal Data is to be processed</w:t>
            </w:r>
          </w:p>
        </w:tc>
        <w:tc>
          <w:tcPr>
            <w:tcW w:w="4908" w:type="dxa"/>
            <w:tcBorders>
              <w:top w:val="single" w:sz="2" w:space="0" w:color="000000"/>
              <w:left w:val="single" w:sz="2" w:space="0" w:color="000000"/>
              <w:bottom w:val="single" w:sz="2" w:space="0" w:color="000000"/>
              <w:right w:val="single" w:sz="2" w:space="0" w:color="000000"/>
            </w:tcBorders>
          </w:tcPr>
          <w:p w:rsidR="00EF1235" w:rsidRDefault="00EF1235" w:rsidP="008A174B">
            <w:pPr>
              <w:spacing w:after="0" w:line="216" w:lineRule="auto"/>
              <w:ind w:left="7" w:right="192"/>
            </w:pPr>
            <w:r>
              <w:t>Where the date from which the Personal Data will be processed is different from the Contract commencement date this should be specified</w:t>
            </w:r>
          </w:p>
          <w:p w:rsidR="00EF1235" w:rsidRDefault="00EF1235" w:rsidP="008A174B">
            <w:pPr>
              <w:spacing w:after="0"/>
              <w:ind w:left="22"/>
            </w:pPr>
            <w:r>
              <w:rPr>
                <w:noProof/>
              </w:rPr>
              <w:drawing>
                <wp:inline distT="0" distB="0" distL="0" distR="0" wp14:anchorId="3051EC4F" wp14:editId="51E35F21">
                  <wp:extent cx="579120" cy="106710"/>
                  <wp:effectExtent l="0" t="0" r="0" b="0"/>
                  <wp:docPr id="4255" name="Picture 4255"/>
                  <wp:cNvGraphicFramePr/>
                  <a:graphic xmlns:a="http://schemas.openxmlformats.org/drawingml/2006/main">
                    <a:graphicData uri="http://schemas.openxmlformats.org/drawingml/2006/picture">
                      <pic:pic xmlns:pic="http://schemas.openxmlformats.org/drawingml/2006/picture">
                        <pic:nvPicPr>
                          <pic:cNvPr id="4255" name="Picture 4255"/>
                          <pic:cNvPicPr/>
                        </pic:nvPicPr>
                        <pic:blipFill>
                          <a:blip r:embed="rId9"/>
                          <a:stretch>
                            <a:fillRect/>
                          </a:stretch>
                        </pic:blipFill>
                        <pic:spPr>
                          <a:xfrm>
                            <a:off x="0" y="0"/>
                            <a:ext cx="579120" cy="106710"/>
                          </a:xfrm>
                          <a:prstGeom prst="rect">
                            <a:avLst/>
                          </a:prstGeom>
                        </pic:spPr>
                      </pic:pic>
                    </a:graphicData>
                  </a:graphic>
                </wp:inline>
              </w:drawing>
            </w:r>
          </w:p>
        </w:tc>
      </w:tr>
    </w:tbl>
    <w:p w:rsidR="00EF1235" w:rsidRDefault="00EF1235" w:rsidP="00EF1235">
      <w:pPr>
        <w:spacing w:after="678" w:line="265" w:lineRule="auto"/>
        <w:ind w:left="120" w:hanging="10"/>
      </w:pPr>
      <w:r>
        <w:t>The capitalised terms used in this form shall have the same meanings as in the General Data Protection Regulations.</w:t>
      </w:r>
    </w:p>
    <w:p w:rsidR="00EF1235" w:rsidRDefault="00EF1235" w:rsidP="00EF1235">
      <w:pPr>
        <w:spacing w:after="365"/>
      </w:pPr>
      <w:r>
        <w:t>Authorised Signature:</w:t>
      </w:r>
      <w:r w:rsidR="0035009E">
        <w:rPr>
          <w:noProof/>
        </w:rPr>
        <w:drawing>
          <wp:inline distT="0" distB="0" distL="0" distR="0">
            <wp:extent cx="1191260" cy="475615"/>
            <wp:effectExtent l="0" t="0" r="8890" b="63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91260" cy="475615"/>
                    </a:xfrm>
                    <a:prstGeom prst="rect">
                      <a:avLst/>
                    </a:prstGeom>
                  </pic:spPr>
                </pic:pic>
              </a:graphicData>
            </a:graphic>
          </wp:inline>
        </w:drawing>
      </w:r>
    </w:p>
    <w:p w:rsidR="00EF1235" w:rsidRDefault="00EF1235" w:rsidP="00EF1235">
      <w:pPr>
        <w:spacing w:after="482" w:line="265" w:lineRule="auto"/>
        <w:ind w:left="29" w:hanging="10"/>
      </w:pPr>
      <w:r>
        <w:t xml:space="preserve">Name: </w:t>
      </w:r>
      <w:r w:rsidR="0035009E">
        <w:rPr>
          <w:noProof/>
          <w:highlight w:val="black"/>
        </w:rPr>
        <w:t>''''''''''''''' '''''''''''</w:t>
      </w:r>
    </w:p>
    <w:p w:rsidR="00EF1235" w:rsidRDefault="00EF1235" w:rsidP="00EF1235">
      <w:pPr>
        <w:spacing w:after="521" w:line="265" w:lineRule="auto"/>
        <w:ind w:left="24" w:hanging="10"/>
      </w:pPr>
      <w:r>
        <w:t xml:space="preserve">Job Title: </w:t>
      </w:r>
      <w:r w:rsidR="0035009E">
        <w:rPr>
          <w:noProof/>
          <w:highlight w:val="black"/>
        </w:rPr>
        <w:t>'''''''''''''''''''' ''''''''''''''''''''' ''''''''''''''' '''''''''''''' ''''''''' '''''''''''''''''''''''''''''' ''''''''''''''''</w:t>
      </w:r>
    </w:p>
    <w:p w:rsidR="00C17F24" w:rsidRDefault="00EF1235" w:rsidP="00EF1235">
      <w:pPr>
        <w:spacing w:after="1794"/>
        <w:ind w:left="29"/>
      </w:pPr>
      <w:r>
        <w:rPr>
          <w:sz w:val="20"/>
        </w:rPr>
        <w:t>Date: 28/2/20</w:t>
      </w:r>
    </w:p>
    <w:sectPr w:rsidR="00C17F24">
      <w:headerReference w:type="even" r:id="rId10"/>
      <w:headerReference w:type="default" r:id="rId11"/>
      <w:footerReference w:type="even" r:id="rId12"/>
      <w:footerReference w:type="default" r:id="rId13"/>
      <w:headerReference w:type="first" r:id="rId14"/>
      <w:footerReference w:type="first" r:id="rId15"/>
      <w:pgSz w:w="11904" w:h="16834"/>
      <w:pgMar w:top="1563" w:right="1416" w:bottom="1437" w:left="1358" w:header="648"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37D" w:rsidRDefault="007C737D">
      <w:pPr>
        <w:spacing w:after="0" w:line="240" w:lineRule="auto"/>
      </w:pPr>
      <w:r>
        <w:separator/>
      </w:r>
    </w:p>
  </w:endnote>
  <w:endnote w:type="continuationSeparator" w:id="0">
    <w:p w:rsidR="007C737D" w:rsidRDefault="007C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F24" w:rsidRPr="0035009E" w:rsidRDefault="00C17F24" w:rsidP="00350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F24" w:rsidRPr="0035009E" w:rsidRDefault="00C17F24" w:rsidP="003500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F24" w:rsidRPr="0035009E" w:rsidRDefault="00C17F24" w:rsidP="00350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37D" w:rsidRDefault="007C737D">
      <w:pPr>
        <w:spacing w:after="0" w:line="240" w:lineRule="auto"/>
      </w:pPr>
      <w:r>
        <w:separator/>
      </w:r>
    </w:p>
  </w:footnote>
  <w:footnote w:type="continuationSeparator" w:id="0">
    <w:p w:rsidR="007C737D" w:rsidRDefault="007C7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F24" w:rsidRPr="0035009E" w:rsidRDefault="00C17F24" w:rsidP="00350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F24" w:rsidRPr="0035009E" w:rsidRDefault="00C17F24" w:rsidP="00350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F24" w:rsidRPr="0035009E" w:rsidRDefault="00C17F24" w:rsidP="00350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E2C42"/>
    <w:multiLevelType w:val="hybridMultilevel"/>
    <w:tmpl w:val="30489FD8"/>
    <w:lvl w:ilvl="0" w:tplc="96CCB1D6">
      <w:start w:val="1"/>
      <w:numFmt w:val="lowerLetter"/>
      <w:lvlText w:val="%1."/>
      <w:lvlJc w:val="left"/>
      <w:pPr>
        <w:ind w:left="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E900BA0">
      <w:start w:val="1"/>
      <w:numFmt w:val="decimal"/>
      <w:lvlText w:val="(%2)"/>
      <w:lvlJc w:val="left"/>
      <w:pPr>
        <w:ind w:left="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314ADD2">
      <w:start w:val="1"/>
      <w:numFmt w:val="lowerRoman"/>
      <w:lvlText w:val="%3"/>
      <w:lvlJc w:val="left"/>
      <w:pPr>
        <w:ind w:left="16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902855C">
      <w:start w:val="1"/>
      <w:numFmt w:val="decimal"/>
      <w:lvlText w:val="%4"/>
      <w:lvlJc w:val="left"/>
      <w:pPr>
        <w:ind w:left="23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C3CE44E">
      <w:start w:val="1"/>
      <w:numFmt w:val="lowerLetter"/>
      <w:lvlText w:val="%5"/>
      <w:lvlJc w:val="left"/>
      <w:pPr>
        <w:ind w:left="31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50AE3BC">
      <w:start w:val="1"/>
      <w:numFmt w:val="lowerRoman"/>
      <w:lvlText w:val="%6"/>
      <w:lvlJc w:val="left"/>
      <w:pPr>
        <w:ind w:left="38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2701526">
      <w:start w:val="1"/>
      <w:numFmt w:val="decimal"/>
      <w:lvlText w:val="%7"/>
      <w:lvlJc w:val="left"/>
      <w:pPr>
        <w:ind w:left="45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B4CD86">
      <w:start w:val="1"/>
      <w:numFmt w:val="lowerLetter"/>
      <w:lvlText w:val="%8"/>
      <w:lvlJc w:val="left"/>
      <w:pPr>
        <w:ind w:left="52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A32D94E">
      <w:start w:val="1"/>
      <w:numFmt w:val="lowerRoman"/>
      <w:lvlText w:val="%9"/>
      <w:lvlJc w:val="left"/>
      <w:pPr>
        <w:ind w:left="59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9C61A90"/>
    <w:multiLevelType w:val="hybridMultilevel"/>
    <w:tmpl w:val="80A6C2D8"/>
    <w:lvl w:ilvl="0" w:tplc="8196CC0C">
      <w:start w:val="1"/>
      <w:numFmt w:val="lowerLetter"/>
      <w:lvlText w:val="%1."/>
      <w:lvlJc w:val="left"/>
      <w:pPr>
        <w:ind w:left="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9A0BA22">
      <w:start w:val="1"/>
      <w:numFmt w:val="lowerLetter"/>
      <w:lvlText w:val="%2"/>
      <w:lvlJc w:val="left"/>
      <w:pPr>
        <w:ind w:left="11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9FA801A">
      <w:start w:val="1"/>
      <w:numFmt w:val="lowerRoman"/>
      <w:lvlText w:val="%3"/>
      <w:lvlJc w:val="left"/>
      <w:pPr>
        <w:ind w:left="18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21E1D3C">
      <w:start w:val="1"/>
      <w:numFmt w:val="decimal"/>
      <w:lvlText w:val="%4"/>
      <w:lvlJc w:val="left"/>
      <w:pPr>
        <w:ind w:left="25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7F21060">
      <w:start w:val="1"/>
      <w:numFmt w:val="lowerLetter"/>
      <w:lvlText w:val="%5"/>
      <w:lvlJc w:val="left"/>
      <w:pPr>
        <w:ind w:left="32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16E0008">
      <w:start w:val="1"/>
      <w:numFmt w:val="lowerRoman"/>
      <w:lvlText w:val="%6"/>
      <w:lvlJc w:val="left"/>
      <w:pPr>
        <w:ind w:left="39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28CF2E2">
      <w:start w:val="1"/>
      <w:numFmt w:val="decimal"/>
      <w:lvlText w:val="%7"/>
      <w:lvlJc w:val="left"/>
      <w:pPr>
        <w:ind w:left="47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D083786">
      <w:start w:val="1"/>
      <w:numFmt w:val="lowerLetter"/>
      <w:lvlText w:val="%8"/>
      <w:lvlJc w:val="left"/>
      <w:pPr>
        <w:ind w:left="54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DE6C38C">
      <w:start w:val="1"/>
      <w:numFmt w:val="lowerRoman"/>
      <w:lvlText w:val="%9"/>
      <w:lvlJc w:val="left"/>
      <w:pPr>
        <w:ind w:left="61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22A7AFA"/>
    <w:multiLevelType w:val="hybridMultilevel"/>
    <w:tmpl w:val="1C8A34D2"/>
    <w:lvl w:ilvl="0" w:tplc="DC3442A0">
      <w:start w:val="1"/>
      <w:numFmt w:val="lowerLetter"/>
      <w:lvlText w:val="%1."/>
      <w:lvlJc w:val="left"/>
      <w:pPr>
        <w:ind w:left="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F3462A8">
      <w:start w:val="1"/>
      <w:numFmt w:val="lowerLetter"/>
      <w:lvlText w:val="%2"/>
      <w:lvlJc w:val="left"/>
      <w:pPr>
        <w:ind w:left="10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AAA068A">
      <w:start w:val="1"/>
      <w:numFmt w:val="lowerRoman"/>
      <w:lvlText w:val="%3"/>
      <w:lvlJc w:val="left"/>
      <w:pPr>
        <w:ind w:left="18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C1CD0F0">
      <w:start w:val="1"/>
      <w:numFmt w:val="decimal"/>
      <w:lvlText w:val="%4"/>
      <w:lvlJc w:val="left"/>
      <w:pPr>
        <w:ind w:left="25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4180262">
      <w:start w:val="1"/>
      <w:numFmt w:val="lowerLetter"/>
      <w:lvlText w:val="%5"/>
      <w:lvlJc w:val="left"/>
      <w:pPr>
        <w:ind w:left="32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1FA1D2A">
      <w:start w:val="1"/>
      <w:numFmt w:val="lowerRoman"/>
      <w:lvlText w:val="%6"/>
      <w:lvlJc w:val="left"/>
      <w:pPr>
        <w:ind w:left="39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4549C18">
      <w:start w:val="1"/>
      <w:numFmt w:val="decimal"/>
      <w:lvlText w:val="%7"/>
      <w:lvlJc w:val="left"/>
      <w:pPr>
        <w:ind w:left="46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648DBAE">
      <w:start w:val="1"/>
      <w:numFmt w:val="lowerLetter"/>
      <w:lvlText w:val="%8"/>
      <w:lvlJc w:val="left"/>
      <w:pPr>
        <w:ind w:left="54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F924888">
      <w:start w:val="1"/>
      <w:numFmt w:val="lowerRoman"/>
      <w:lvlText w:val="%9"/>
      <w:lvlJc w:val="left"/>
      <w:pPr>
        <w:ind w:left="61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17B2AFA"/>
    <w:multiLevelType w:val="hybridMultilevel"/>
    <w:tmpl w:val="D0B2E37E"/>
    <w:lvl w:ilvl="0" w:tplc="F634E286">
      <w:start w:val="1"/>
      <w:numFmt w:val="lowerLetter"/>
      <w:lvlText w:val="%1."/>
      <w:lvlJc w:val="left"/>
      <w:pPr>
        <w:ind w:left="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5DC1146">
      <w:start w:val="1"/>
      <w:numFmt w:val="decimal"/>
      <w:lvlText w:val="(%2)"/>
      <w:lvlJc w:val="left"/>
      <w:pPr>
        <w:ind w:left="5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A584C9E">
      <w:start w:val="1"/>
      <w:numFmt w:val="lowerLetter"/>
      <w:lvlText w:val="(%3)"/>
      <w:lvlJc w:val="left"/>
      <w:pPr>
        <w:ind w:left="1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2D04B00">
      <w:start w:val="1"/>
      <w:numFmt w:val="decimal"/>
      <w:lvlText w:val="%4"/>
      <w:lvlJc w:val="left"/>
      <w:pPr>
        <w:ind w:left="22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CC8E1B2">
      <w:start w:val="1"/>
      <w:numFmt w:val="lowerLetter"/>
      <w:lvlText w:val="%5"/>
      <w:lvlJc w:val="left"/>
      <w:pPr>
        <w:ind w:left="29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C681498">
      <w:start w:val="1"/>
      <w:numFmt w:val="lowerRoman"/>
      <w:lvlText w:val="%6"/>
      <w:lvlJc w:val="left"/>
      <w:pPr>
        <w:ind w:left="36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5F0CCA0">
      <w:start w:val="1"/>
      <w:numFmt w:val="decimal"/>
      <w:lvlText w:val="%7"/>
      <w:lvlJc w:val="left"/>
      <w:pPr>
        <w:ind w:left="43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3CC1B56">
      <w:start w:val="1"/>
      <w:numFmt w:val="lowerLetter"/>
      <w:lvlText w:val="%8"/>
      <w:lvlJc w:val="left"/>
      <w:pPr>
        <w:ind w:left="51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2387472">
      <w:start w:val="1"/>
      <w:numFmt w:val="lowerRoman"/>
      <w:lvlText w:val="%9"/>
      <w:lvlJc w:val="left"/>
      <w:pPr>
        <w:ind w:left="58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AA12154"/>
    <w:multiLevelType w:val="hybridMultilevel"/>
    <w:tmpl w:val="A0FAFE36"/>
    <w:lvl w:ilvl="0" w:tplc="F0988140">
      <w:start w:val="12"/>
      <w:numFmt w:val="decimal"/>
      <w:lvlText w:val="%1"/>
      <w:lvlJc w:val="left"/>
      <w:pPr>
        <w:ind w:left="4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E2CA2C2">
      <w:start w:val="1"/>
      <w:numFmt w:val="lowerLetter"/>
      <w:lvlText w:val="%2"/>
      <w:lvlJc w:val="left"/>
      <w:pPr>
        <w:ind w:left="10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E9A5FF8">
      <w:start w:val="1"/>
      <w:numFmt w:val="lowerRoman"/>
      <w:lvlText w:val="%3"/>
      <w:lvlJc w:val="left"/>
      <w:pPr>
        <w:ind w:left="1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1CE306A">
      <w:start w:val="1"/>
      <w:numFmt w:val="decimal"/>
      <w:lvlText w:val="%4"/>
      <w:lvlJc w:val="left"/>
      <w:pPr>
        <w:ind w:left="25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9369AEC">
      <w:start w:val="1"/>
      <w:numFmt w:val="lowerLetter"/>
      <w:lvlText w:val="%5"/>
      <w:lvlJc w:val="left"/>
      <w:pPr>
        <w:ind w:left="3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45CB37A">
      <w:start w:val="1"/>
      <w:numFmt w:val="lowerRoman"/>
      <w:lvlText w:val="%6"/>
      <w:lvlJc w:val="left"/>
      <w:pPr>
        <w:ind w:left="39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9566152">
      <w:start w:val="1"/>
      <w:numFmt w:val="decimal"/>
      <w:lvlText w:val="%7"/>
      <w:lvlJc w:val="left"/>
      <w:pPr>
        <w:ind w:left="46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54657AC">
      <w:start w:val="1"/>
      <w:numFmt w:val="lowerLetter"/>
      <w:lvlText w:val="%8"/>
      <w:lvlJc w:val="left"/>
      <w:pPr>
        <w:ind w:left="54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942A49C">
      <w:start w:val="1"/>
      <w:numFmt w:val="lowerRoman"/>
      <w:lvlText w:val="%9"/>
      <w:lvlJc w:val="left"/>
      <w:pPr>
        <w:ind w:left="61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CC13340"/>
    <w:multiLevelType w:val="hybridMultilevel"/>
    <w:tmpl w:val="DC82FB88"/>
    <w:lvl w:ilvl="0" w:tplc="3B965398">
      <w:start w:val="1"/>
      <w:numFmt w:val="decimal"/>
      <w:lvlText w:val="(%1)"/>
      <w:lvlJc w:val="left"/>
      <w:pPr>
        <w:ind w:left="4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B7A86A4">
      <w:start w:val="1"/>
      <w:numFmt w:val="lowerLetter"/>
      <w:lvlText w:val="%2"/>
      <w:lvlJc w:val="left"/>
      <w:pPr>
        <w:ind w:left="12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D02D3A4">
      <w:start w:val="1"/>
      <w:numFmt w:val="lowerRoman"/>
      <w:lvlText w:val="%3"/>
      <w:lvlJc w:val="left"/>
      <w:pPr>
        <w:ind w:left="20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BF61C16">
      <w:start w:val="1"/>
      <w:numFmt w:val="decimal"/>
      <w:lvlText w:val="%4"/>
      <w:lvlJc w:val="left"/>
      <w:pPr>
        <w:ind w:left="27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B924014">
      <w:start w:val="1"/>
      <w:numFmt w:val="lowerLetter"/>
      <w:lvlText w:val="%5"/>
      <w:lvlJc w:val="left"/>
      <w:pPr>
        <w:ind w:left="3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F82D78A">
      <w:start w:val="1"/>
      <w:numFmt w:val="lowerRoman"/>
      <w:lvlText w:val="%6"/>
      <w:lvlJc w:val="left"/>
      <w:pPr>
        <w:ind w:left="4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AEAFC26">
      <w:start w:val="1"/>
      <w:numFmt w:val="decimal"/>
      <w:lvlText w:val="%7"/>
      <w:lvlJc w:val="left"/>
      <w:pPr>
        <w:ind w:left="48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C6035DC">
      <w:start w:val="1"/>
      <w:numFmt w:val="lowerLetter"/>
      <w:lvlText w:val="%8"/>
      <w:lvlJc w:val="left"/>
      <w:pPr>
        <w:ind w:left="56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248111C">
      <w:start w:val="1"/>
      <w:numFmt w:val="lowerRoman"/>
      <w:lvlText w:val="%9"/>
      <w:lvlJc w:val="left"/>
      <w:pPr>
        <w:ind w:left="63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82B022B"/>
    <w:multiLevelType w:val="hybridMultilevel"/>
    <w:tmpl w:val="A936256E"/>
    <w:lvl w:ilvl="0" w:tplc="4BE06602">
      <w:start w:val="1"/>
      <w:numFmt w:val="lowerLetter"/>
      <w:lvlText w:val="%1."/>
      <w:lvlJc w:val="left"/>
      <w:pPr>
        <w:ind w:left="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97A862C">
      <w:start w:val="1"/>
      <w:numFmt w:val="lowerLetter"/>
      <w:lvlText w:val="%2"/>
      <w:lvlJc w:val="left"/>
      <w:pPr>
        <w:ind w:left="10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DA01F9C">
      <w:start w:val="1"/>
      <w:numFmt w:val="lowerRoman"/>
      <w:lvlText w:val="%3"/>
      <w:lvlJc w:val="left"/>
      <w:pPr>
        <w:ind w:left="18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C020E16">
      <w:start w:val="1"/>
      <w:numFmt w:val="decimal"/>
      <w:lvlText w:val="%4"/>
      <w:lvlJc w:val="left"/>
      <w:pPr>
        <w:ind w:left="25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3964264">
      <w:start w:val="1"/>
      <w:numFmt w:val="lowerLetter"/>
      <w:lvlText w:val="%5"/>
      <w:lvlJc w:val="left"/>
      <w:pPr>
        <w:ind w:left="32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334F948">
      <w:start w:val="1"/>
      <w:numFmt w:val="lowerRoman"/>
      <w:lvlText w:val="%6"/>
      <w:lvlJc w:val="left"/>
      <w:pPr>
        <w:ind w:left="39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55E1FB0">
      <w:start w:val="1"/>
      <w:numFmt w:val="decimal"/>
      <w:lvlText w:val="%7"/>
      <w:lvlJc w:val="left"/>
      <w:pPr>
        <w:ind w:left="46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38A12C8">
      <w:start w:val="1"/>
      <w:numFmt w:val="lowerLetter"/>
      <w:lvlText w:val="%8"/>
      <w:lvlJc w:val="left"/>
      <w:pPr>
        <w:ind w:left="54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BE8AACE">
      <w:start w:val="1"/>
      <w:numFmt w:val="lowerRoman"/>
      <w:lvlText w:val="%9"/>
      <w:lvlJc w:val="left"/>
      <w:pPr>
        <w:ind w:left="61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BDC28BC"/>
    <w:multiLevelType w:val="hybridMultilevel"/>
    <w:tmpl w:val="BF20AE1E"/>
    <w:lvl w:ilvl="0" w:tplc="66262CF4">
      <w:start w:val="1"/>
      <w:numFmt w:val="lowerLetter"/>
      <w:lvlText w:val="%1."/>
      <w:lvlJc w:val="left"/>
      <w:pPr>
        <w:ind w:left="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9E45232">
      <w:start w:val="1"/>
      <w:numFmt w:val="lowerLetter"/>
      <w:lvlText w:val="%2"/>
      <w:lvlJc w:val="left"/>
      <w:pPr>
        <w:ind w:left="1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2C85694">
      <w:start w:val="1"/>
      <w:numFmt w:val="lowerRoman"/>
      <w:lvlText w:val="%3"/>
      <w:lvlJc w:val="left"/>
      <w:pPr>
        <w:ind w:left="1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976D5B0">
      <w:start w:val="1"/>
      <w:numFmt w:val="decimal"/>
      <w:lvlText w:val="%4"/>
      <w:lvlJc w:val="left"/>
      <w:pPr>
        <w:ind w:left="2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4A6C250">
      <w:start w:val="1"/>
      <w:numFmt w:val="lowerLetter"/>
      <w:lvlText w:val="%5"/>
      <w:lvlJc w:val="left"/>
      <w:pPr>
        <w:ind w:left="3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D90459C">
      <w:start w:val="1"/>
      <w:numFmt w:val="lowerRoman"/>
      <w:lvlText w:val="%6"/>
      <w:lvlJc w:val="left"/>
      <w:pPr>
        <w:ind w:left="3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2AA82">
      <w:start w:val="1"/>
      <w:numFmt w:val="decimal"/>
      <w:lvlText w:val="%7"/>
      <w:lvlJc w:val="left"/>
      <w:pPr>
        <w:ind w:left="47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DD0FF78">
      <w:start w:val="1"/>
      <w:numFmt w:val="lowerLetter"/>
      <w:lvlText w:val="%8"/>
      <w:lvlJc w:val="left"/>
      <w:pPr>
        <w:ind w:left="54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BE0FE2A">
      <w:start w:val="1"/>
      <w:numFmt w:val="lowerRoman"/>
      <w:lvlText w:val="%9"/>
      <w:lvlJc w:val="left"/>
      <w:pPr>
        <w:ind w:left="61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B0B34DE"/>
    <w:multiLevelType w:val="hybridMultilevel"/>
    <w:tmpl w:val="AB0C7042"/>
    <w:lvl w:ilvl="0" w:tplc="33745722">
      <w:start w:val="1"/>
      <w:numFmt w:val="lowerLetter"/>
      <w:lvlText w:val="%1."/>
      <w:lvlJc w:val="left"/>
      <w:pPr>
        <w:ind w:left="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0321BDA">
      <w:start w:val="1"/>
      <w:numFmt w:val="lowerLetter"/>
      <w:lvlText w:val="%2"/>
      <w:lvlJc w:val="left"/>
      <w:pPr>
        <w:ind w:left="11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98C28F0">
      <w:start w:val="1"/>
      <w:numFmt w:val="lowerRoman"/>
      <w:lvlText w:val="%3"/>
      <w:lvlJc w:val="left"/>
      <w:pPr>
        <w:ind w:left="18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DB4319E">
      <w:start w:val="1"/>
      <w:numFmt w:val="decimal"/>
      <w:lvlText w:val="%4"/>
      <w:lvlJc w:val="left"/>
      <w:pPr>
        <w:ind w:left="25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3EAF9E6">
      <w:start w:val="1"/>
      <w:numFmt w:val="lowerLetter"/>
      <w:lvlText w:val="%5"/>
      <w:lvlJc w:val="left"/>
      <w:pPr>
        <w:ind w:left="32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842D9E6">
      <w:start w:val="1"/>
      <w:numFmt w:val="lowerRoman"/>
      <w:lvlText w:val="%6"/>
      <w:lvlJc w:val="left"/>
      <w:pPr>
        <w:ind w:left="39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AFACB14">
      <w:start w:val="1"/>
      <w:numFmt w:val="decimal"/>
      <w:lvlText w:val="%7"/>
      <w:lvlJc w:val="left"/>
      <w:pPr>
        <w:ind w:left="47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53E5D7A">
      <w:start w:val="1"/>
      <w:numFmt w:val="lowerLetter"/>
      <w:lvlText w:val="%8"/>
      <w:lvlJc w:val="left"/>
      <w:pPr>
        <w:ind w:left="54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9A411B0">
      <w:start w:val="1"/>
      <w:numFmt w:val="lowerRoman"/>
      <w:lvlText w:val="%9"/>
      <w:lvlJc w:val="left"/>
      <w:pPr>
        <w:ind w:left="61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6165AA8"/>
    <w:multiLevelType w:val="hybridMultilevel"/>
    <w:tmpl w:val="366E69DE"/>
    <w:lvl w:ilvl="0" w:tplc="00CCFF38">
      <w:start w:val="1"/>
      <w:numFmt w:val="lowerLetter"/>
      <w:lvlText w:val="%1."/>
      <w:lvlJc w:val="left"/>
      <w:pPr>
        <w:ind w:left="3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200F614">
      <w:start w:val="1"/>
      <w:numFmt w:val="decimal"/>
      <w:lvlText w:val="(%2)"/>
      <w:lvlJc w:val="left"/>
      <w:pPr>
        <w:ind w:left="5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0747FE0">
      <w:start w:val="1"/>
      <w:numFmt w:val="lowerLetter"/>
      <w:lvlText w:val="(%3)"/>
      <w:lvlJc w:val="left"/>
      <w:pPr>
        <w:ind w:left="11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A94F2FE">
      <w:start w:val="1"/>
      <w:numFmt w:val="decimal"/>
      <w:lvlText w:val="%4"/>
      <w:lvlJc w:val="left"/>
      <w:pPr>
        <w:ind w:left="22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7044634">
      <w:start w:val="1"/>
      <w:numFmt w:val="lowerLetter"/>
      <w:lvlText w:val="%5"/>
      <w:lvlJc w:val="left"/>
      <w:pPr>
        <w:ind w:left="29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AB093E8">
      <w:start w:val="1"/>
      <w:numFmt w:val="lowerRoman"/>
      <w:lvlText w:val="%6"/>
      <w:lvlJc w:val="left"/>
      <w:pPr>
        <w:ind w:left="36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91EF2E2">
      <w:start w:val="1"/>
      <w:numFmt w:val="decimal"/>
      <w:lvlText w:val="%7"/>
      <w:lvlJc w:val="left"/>
      <w:pPr>
        <w:ind w:left="43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CC6BFE4">
      <w:start w:val="1"/>
      <w:numFmt w:val="lowerLetter"/>
      <w:lvlText w:val="%8"/>
      <w:lvlJc w:val="left"/>
      <w:pPr>
        <w:ind w:left="51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10C8D4A">
      <w:start w:val="1"/>
      <w:numFmt w:val="lowerRoman"/>
      <w:lvlText w:val="%9"/>
      <w:lvlJc w:val="left"/>
      <w:pPr>
        <w:ind w:left="58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EF05BA6"/>
    <w:multiLevelType w:val="hybridMultilevel"/>
    <w:tmpl w:val="979E0332"/>
    <w:lvl w:ilvl="0" w:tplc="07DE3B46">
      <w:start w:val="1"/>
      <w:numFmt w:val="lowerLetter"/>
      <w:lvlText w:val="%1."/>
      <w:lvlJc w:val="left"/>
      <w:pPr>
        <w:ind w:left="6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7EC0D96">
      <w:start w:val="1"/>
      <w:numFmt w:val="lowerLetter"/>
      <w:lvlText w:val="%2."/>
      <w:lvlJc w:val="left"/>
      <w:pPr>
        <w:ind w:left="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5634D4">
      <w:start w:val="2"/>
      <w:numFmt w:val="decimal"/>
      <w:lvlText w:val="(%3)"/>
      <w:lvlJc w:val="left"/>
      <w:pPr>
        <w:ind w:left="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80040FA">
      <w:start w:val="1"/>
      <w:numFmt w:val="decimal"/>
      <w:lvlText w:val="%4"/>
      <w:lvlJc w:val="left"/>
      <w:pPr>
        <w:ind w:left="20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BBC7948">
      <w:start w:val="1"/>
      <w:numFmt w:val="lowerLetter"/>
      <w:lvlText w:val="%5"/>
      <w:lvlJc w:val="left"/>
      <w:pPr>
        <w:ind w:left="27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B904712">
      <w:start w:val="1"/>
      <w:numFmt w:val="lowerRoman"/>
      <w:lvlText w:val="%6"/>
      <w:lvlJc w:val="left"/>
      <w:pPr>
        <w:ind w:left="34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92AC58A">
      <w:start w:val="1"/>
      <w:numFmt w:val="decimal"/>
      <w:lvlText w:val="%7"/>
      <w:lvlJc w:val="left"/>
      <w:pPr>
        <w:ind w:left="41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E122FDE">
      <w:start w:val="1"/>
      <w:numFmt w:val="lowerLetter"/>
      <w:lvlText w:val="%8"/>
      <w:lvlJc w:val="left"/>
      <w:pPr>
        <w:ind w:left="49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600F5D0">
      <w:start w:val="1"/>
      <w:numFmt w:val="lowerRoman"/>
      <w:lvlText w:val="%9"/>
      <w:lvlJc w:val="left"/>
      <w:pPr>
        <w:ind w:left="56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675A23A6"/>
    <w:multiLevelType w:val="hybridMultilevel"/>
    <w:tmpl w:val="9BA20AC4"/>
    <w:lvl w:ilvl="0" w:tplc="63A06978">
      <w:start w:val="4"/>
      <w:numFmt w:val="lowerLetter"/>
      <w:lvlText w:val="%1."/>
      <w:lvlJc w:val="left"/>
      <w:pPr>
        <w:ind w:left="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764C6A6">
      <w:start w:val="1"/>
      <w:numFmt w:val="lowerLetter"/>
      <w:lvlText w:val="%2"/>
      <w:lvlJc w:val="left"/>
      <w:pPr>
        <w:ind w:left="10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C8C0FF8">
      <w:start w:val="1"/>
      <w:numFmt w:val="lowerRoman"/>
      <w:lvlText w:val="%3"/>
      <w:lvlJc w:val="left"/>
      <w:pPr>
        <w:ind w:left="1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44632CE">
      <w:start w:val="1"/>
      <w:numFmt w:val="decimal"/>
      <w:lvlText w:val="%4"/>
      <w:lvlJc w:val="left"/>
      <w:pPr>
        <w:ind w:left="25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AE644E8">
      <w:start w:val="1"/>
      <w:numFmt w:val="lowerLetter"/>
      <w:lvlText w:val="%5"/>
      <w:lvlJc w:val="left"/>
      <w:pPr>
        <w:ind w:left="3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B8A7566">
      <w:start w:val="1"/>
      <w:numFmt w:val="lowerRoman"/>
      <w:lvlText w:val="%6"/>
      <w:lvlJc w:val="left"/>
      <w:pPr>
        <w:ind w:left="39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E1E1400">
      <w:start w:val="1"/>
      <w:numFmt w:val="decimal"/>
      <w:lvlText w:val="%7"/>
      <w:lvlJc w:val="left"/>
      <w:pPr>
        <w:ind w:left="46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FF423F2">
      <w:start w:val="1"/>
      <w:numFmt w:val="lowerLetter"/>
      <w:lvlText w:val="%8"/>
      <w:lvlJc w:val="left"/>
      <w:pPr>
        <w:ind w:left="54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35C050E">
      <w:start w:val="1"/>
      <w:numFmt w:val="lowerRoman"/>
      <w:lvlText w:val="%9"/>
      <w:lvlJc w:val="left"/>
      <w:pPr>
        <w:ind w:left="61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80B3287"/>
    <w:multiLevelType w:val="hybridMultilevel"/>
    <w:tmpl w:val="572C942E"/>
    <w:lvl w:ilvl="0" w:tplc="41828BE2">
      <w:start w:val="1"/>
      <w:numFmt w:val="lowerLetter"/>
      <w:lvlText w:val="%1."/>
      <w:lvlJc w:val="left"/>
      <w:pPr>
        <w:ind w:left="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B164386">
      <w:start w:val="1"/>
      <w:numFmt w:val="lowerLetter"/>
      <w:lvlText w:val="%2"/>
      <w:lvlJc w:val="left"/>
      <w:pPr>
        <w:ind w:left="10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8C6861A">
      <w:start w:val="1"/>
      <w:numFmt w:val="lowerRoman"/>
      <w:lvlText w:val="%3"/>
      <w:lvlJc w:val="left"/>
      <w:pPr>
        <w:ind w:left="18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CEEC17C">
      <w:start w:val="1"/>
      <w:numFmt w:val="decimal"/>
      <w:lvlText w:val="%4"/>
      <w:lvlJc w:val="left"/>
      <w:pPr>
        <w:ind w:left="25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4E09E0E">
      <w:start w:val="1"/>
      <w:numFmt w:val="lowerLetter"/>
      <w:lvlText w:val="%5"/>
      <w:lvlJc w:val="left"/>
      <w:pPr>
        <w:ind w:left="32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B18BE6A">
      <w:start w:val="1"/>
      <w:numFmt w:val="lowerRoman"/>
      <w:lvlText w:val="%6"/>
      <w:lvlJc w:val="left"/>
      <w:pPr>
        <w:ind w:left="39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B12FAAC">
      <w:start w:val="1"/>
      <w:numFmt w:val="decimal"/>
      <w:lvlText w:val="%7"/>
      <w:lvlJc w:val="left"/>
      <w:pPr>
        <w:ind w:left="46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03E87BC">
      <w:start w:val="1"/>
      <w:numFmt w:val="lowerLetter"/>
      <w:lvlText w:val="%8"/>
      <w:lvlJc w:val="left"/>
      <w:pPr>
        <w:ind w:left="54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8FAFD08">
      <w:start w:val="1"/>
      <w:numFmt w:val="lowerRoman"/>
      <w:lvlText w:val="%9"/>
      <w:lvlJc w:val="left"/>
      <w:pPr>
        <w:ind w:left="61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ACA1BC3"/>
    <w:multiLevelType w:val="hybridMultilevel"/>
    <w:tmpl w:val="56CC4184"/>
    <w:lvl w:ilvl="0" w:tplc="D942669A">
      <w:start w:val="4"/>
      <w:numFmt w:val="decimal"/>
      <w:lvlText w:val="%1"/>
      <w:lvlJc w:val="left"/>
      <w:pPr>
        <w:ind w:left="3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88C7FEE">
      <w:start w:val="1"/>
      <w:numFmt w:val="lowerLetter"/>
      <w:lvlText w:val="%2"/>
      <w:lvlJc w:val="left"/>
      <w:pPr>
        <w:ind w:left="10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BF0550C">
      <w:start w:val="1"/>
      <w:numFmt w:val="lowerRoman"/>
      <w:lvlText w:val="%3"/>
      <w:lvlJc w:val="left"/>
      <w:pPr>
        <w:ind w:left="1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45A2AE8">
      <w:start w:val="1"/>
      <w:numFmt w:val="decimal"/>
      <w:lvlText w:val="%4"/>
      <w:lvlJc w:val="left"/>
      <w:pPr>
        <w:ind w:left="25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8E21E6E">
      <w:start w:val="1"/>
      <w:numFmt w:val="lowerLetter"/>
      <w:lvlText w:val="%5"/>
      <w:lvlJc w:val="left"/>
      <w:pPr>
        <w:ind w:left="32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6E8BCB8">
      <w:start w:val="1"/>
      <w:numFmt w:val="lowerRoman"/>
      <w:lvlText w:val="%6"/>
      <w:lvlJc w:val="left"/>
      <w:pPr>
        <w:ind w:left="39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9A264EE">
      <w:start w:val="1"/>
      <w:numFmt w:val="decimal"/>
      <w:lvlText w:val="%7"/>
      <w:lvlJc w:val="left"/>
      <w:pPr>
        <w:ind w:left="46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992229E">
      <w:start w:val="1"/>
      <w:numFmt w:val="lowerLetter"/>
      <w:lvlText w:val="%8"/>
      <w:lvlJc w:val="left"/>
      <w:pPr>
        <w:ind w:left="54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B402604">
      <w:start w:val="1"/>
      <w:numFmt w:val="lowerRoman"/>
      <w:lvlText w:val="%9"/>
      <w:lvlJc w:val="left"/>
      <w:pPr>
        <w:ind w:left="61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72C40B91"/>
    <w:multiLevelType w:val="hybridMultilevel"/>
    <w:tmpl w:val="E9FACE28"/>
    <w:lvl w:ilvl="0" w:tplc="49C0D0B6">
      <w:start w:val="1"/>
      <w:numFmt w:val="lowerLetter"/>
      <w:lvlText w:val="%1."/>
      <w:lvlJc w:val="left"/>
      <w:pPr>
        <w:ind w:left="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8F2B61C">
      <w:start w:val="1"/>
      <w:numFmt w:val="lowerLetter"/>
      <w:lvlText w:val="%2"/>
      <w:lvlJc w:val="left"/>
      <w:pPr>
        <w:ind w:left="1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C60C196">
      <w:start w:val="1"/>
      <w:numFmt w:val="lowerRoman"/>
      <w:lvlText w:val="%3"/>
      <w:lvlJc w:val="left"/>
      <w:pPr>
        <w:ind w:left="1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4CE4E80">
      <w:start w:val="1"/>
      <w:numFmt w:val="decimal"/>
      <w:lvlText w:val="%4"/>
      <w:lvlJc w:val="left"/>
      <w:pPr>
        <w:ind w:left="2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5F26E1C">
      <w:start w:val="1"/>
      <w:numFmt w:val="lowerLetter"/>
      <w:lvlText w:val="%5"/>
      <w:lvlJc w:val="left"/>
      <w:pPr>
        <w:ind w:left="3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A58EDC0">
      <w:start w:val="1"/>
      <w:numFmt w:val="lowerRoman"/>
      <w:lvlText w:val="%6"/>
      <w:lvlJc w:val="left"/>
      <w:pPr>
        <w:ind w:left="3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7605E4C">
      <w:start w:val="1"/>
      <w:numFmt w:val="decimal"/>
      <w:lvlText w:val="%7"/>
      <w:lvlJc w:val="left"/>
      <w:pPr>
        <w:ind w:left="4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A96D3A4">
      <w:start w:val="1"/>
      <w:numFmt w:val="lowerLetter"/>
      <w:lvlText w:val="%8"/>
      <w:lvlJc w:val="left"/>
      <w:pPr>
        <w:ind w:left="5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5780F00">
      <w:start w:val="1"/>
      <w:numFmt w:val="lowerRoman"/>
      <w:lvlText w:val="%9"/>
      <w:lvlJc w:val="left"/>
      <w:pPr>
        <w:ind w:left="6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AF1422F"/>
    <w:multiLevelType w:val="hybridMultilevel"/>
    <w:tmpl w:val="8F460838"/>
    <w:lvl w:ilvl="0" w:tplc="A6B4D016">
      <w:start w:val="1"/>
      <w:numFmt w:val="lowerLetter"/>
      <w:lvlText w:val="%1."/>
      <w:lvlJc w:val="left"/>
      <w:pPr>
        <w:ind w:left="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17A96CE">
      <w:start w:val="1"/>
      <w:numFmt w:val="decimal"/>
      <w:lvlText w:val="(%2)"/>
      <w:lvlJc w:val="left"/>
      <w:pPr>
        <w:ind w:left="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3A60852">
      <w:start w:val="1"/>
      <w:numFmt w:val="lowerRoman"/>
      <w:lvlText w:val="%3"/>
      <w:lvlJc w:val="left"/>
      <w:pPr>
        <w:ind w:left="16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BB675DA">
      <w:start w:val="1"/>
      <w:numFmt w:val="decimal"/>
      <w:lvlText w:val="%4"/>
      <w:lvlJc w:val="left"/>
      <w:pPr>
        <w:ind w:left="23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F148BE0">
      <w:start w:val="1"/>
      <w:numFmt w:val="lowerLetter"/>
      <w:lvlText w:val="%5"/>
      <w:lvlJc w:val="left"/>
      <w:pPr>
        <w:ind w:left="3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4003418">
      <w:start w:val="1"/>
      <w:numFmt w:val="lowerRoman"/>
      <w:lvlText w:val="%6"/>
      <w:lvlJc w:val="left"/>
      <w:pPr>
        <w:ind w:left="3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CCAE9F6">
      <w:start w:val="1"/>
      <w:numFmt w:val="decimal"/>
      <w:lvlText w:val="%7"/>
      <w:lvlJc w:val="left"/>
      <w:pPr>
        <w:ind w:left="4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C204D72">
      <w:start w:val="1"/>
      <w:numFmt w:val="lowerLetter"/>
      <w:lvlText w:val="%8"/>
      <w:lvlJc w:val="left"/>
      <w:pPr>
        <w:ind w:left="5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2CC8148">
      <w:start w:val="1"/>
      <w:numFmt w:val="lowerRoman"/>
      <w:lvlText w:val="%9"/>
      <w:lvlJc w:val="left"/>
      <w:pPr>
        <w:ind w:left="5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CF933A3"/>
    <w:multiLevelType w:val="hybridMultilevel"/>
    <w:tmpl w:val="73E0BA68"/>
    <w:lvl w:ilvl="0" w:tplc="9F38D03C">
      <w:start w:val="1"/>
      <w:numFmt w:val="lowerLetter"/>
      <w:lvlText w:val="%1."/>
      <w:lvlJc w:val="left"/>
      <w:pPr>
        <w:ind w:left="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63AECEA">
      <w:start w:val="1"/>
      <w:numFmt w:val="lowerLetter"/>
      <w:lvlText w:val="%2"/>
      <w:lvlJc w:val="left"/>
      <w:pPr>
        <w:ind w:left="1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4C8AF20">
      <w:start w:val="1"/>
      <w:numFmt w:val="lowerRoman"/>
      <w:lvlText w:val="%3"/>
      <w:lvlJc w:val="left"/>
      <w:pPr>
        <w:ind w:left="1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BE6BF04">
      <w:start w:val="1"/>
      <w:numFmt w:val="decimal"/>
      <w:lvlText w:val="%4"/>
      <w:lvlJc w:val="left"/>
      <w:pPr>
        <w:ind w:left="25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1DAD1CE">
      <w:start w:val="1"/>
      <w:numFmt w:val="lowerLetter"/>
      <w:lvlText w:val="%5"/>
      <w:lvlJc w:val="left"/>
      <w:pPr>
        <w:ind w:left="32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72E9AD8">
      <w:start w:val="1"/>
      <w:numFmt w:val="lowerRoman"/>
      <w:lvlText w:val="%6"/>
      <w:lvlJc w:val="left"/>
      <w:pPr>
        <w:ind w:left="39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D6401BE">
      <w:start w:val="1"/>
      <w:numFmt w:val="decimal"/>
      <w:lvlText w:val="%7"/>
      <w:lvlJc w:val="left"/>
      <w:pPr>
        <w:ind w:left="47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7880A4A">
      <w:start w:val="1"/>
      <w:numFmt w:val="lowerLetter"/>
      <w:lvlText w:val="%8"/>
      <w:lvlJc w:val="left"/>
      <w:pPr>
        <w:ind w:left="54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5523CF0">
      <w:start w:val="1"/>
      <w:numFmt w:val="lowerRoman"/>
      <w:lvlText w:val="%9"/>
      <w:lvlJc w:val="left"/>
      <w:pPr>
        <w:ind w:left="6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5"/>
  </w:num>
  <w:num w:numId="3">
    <w:abstractNumId w:val="11"/>
  </w:num>
  <w:num w:numId="4">
    <w:abstractNumId w:val="2"/>
  </w:num>
  <w:num w:numId="5">
    <w:abstractNumId w:val="13"/>
  </w:num>
  <w:num w:numId="6">
    <w:abstractNumId w:val="12"/>
  </w:num>
  <w:num w:numId="7">
    <w:abstractNumId w:val="9"/>
  </w:num>
  <w:num w:numId="8">
    <w:abstractNumId w:val="14"/>
  </w:num>
  <w:num w:numId="9">
    <w:abstractNumId w:val="15"/>
  </w:num>
  <w:num w:numId="10">
    <w:abstractNumId w:val="0"/>
  </w:num>
  <w:num w:numId="11">
    <w:abstractNumId w:val="1"/>
  </w:num>
  <w:num w:numId="12">
    <w:abstractNumId w:val="6"/>
  </w:num>
  <w:num w:numId="13">
    <w:abstractNumId w:val="4"/>
  </w:num>
  <w:num w:numId="14">
    <w:abstractNumId w:val="8"/>
  </w:num>
  <w:num w:numId="15">
    <w:abstractNumId w:val="16"/>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24"/>
    <w:rsid w:val="0035009E"/>
    <w:rsid w:val="003C13F8"/>
    <w:rsid w:val="006562FD"/>
    <w:rsid w:val="007C737D"/>
    <w:rsid w:val="00813020"/>
    <w:rsid w:val="00843072"/>
    <w:rsid w:val="008C6DDB"/>
    <w:rsid w:val="00C17F24"/>
    <w:rsid w:val="00C8222A"/>
    <w:rsid w:val="00EF1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5" w:line="219" w:lineRule="auto"/>
      <w:ind w:left="19" w:firstLine="4"/>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3"/>
      <w:ind w:left="38"/>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65"/>
      <w:ind w:left="24"/>
      <w:outlineLvl w:val="1"/>
    </w:pPr>
    <w:rPr>
      <w:rFonts w:ascii="Calibri" w:eastAsia="Calibri" w:hAnsi="Calibri" w:cs="Calibri"/>
      <w:color w:val="000000"/>
      <w:sz w:val="30"/>
    </w:rPr>
  </w:style>
  <w:style w:type="paragraph" w:styleId="Heading3">
    <w:name w:val="heading 3"/>
    <w:next w:val="Normal"/>
    <w:link w:val="Heading3Char"/>
    <w:uiPriority w:val="9"/>
    <w:unhideWhenUsed/>
    <w:qFormat/>
    <w:pPr>
      <w:keepNext/>
      <w:keepLines/>
      <w:spacing w:after="3"/>
      <w:ind w:left="38"/>
      <w:outlineLvl w:val="2"/>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30"/>
    </w:rPr>
  </w:style>
  <w:style w:type="character" w:customStyle="1" w:styleId="Heading1Char">
    <w:name w:val="Heading 1 Char"/>
    <w:link w:val="Heading1"/>
    <w:rPr>
      <w:rFonts w:ascii="Calibri" w:eastAsia="Calibri" w:hAnsi="Calibri" w:cs="Calibri"/>
      <w:color w:val="000000"/>
      <w:sz w:val="28"/>
    </w:rPr>
  </w:style>
  <w:style w:type="character" w:customStyle="1" w:styleId="Heading3Char">
    <w:name w:val="Heading 3 Char"/>
    <w:link w:val="Heading3"/>
    <w:rPr>
      <w:rFonts w:ascii="Calibri" w:eastAsia="Calibri" w:hAnsi="Calibri" w:cs="Calibri"/>
      <w:color w:val="000000"/>
      <w:sz w:val="28"/>
    </w:rPr>
  </w:style>
  <w:style w:type="paragraph" w:styleId="BalloonText">
    <w:name w:val="Balloon Text"/>
    <w:basedOn w:val="Normal"/>
    <w:link w:val="BalloonTextChar"/>
    <w:uiPriority w:val="99"/>
    <w:semiHidden/>
    <w:unhideWhenUsed/>
    <w:rsid w:val="00843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072"/>
    <w:rPr>
      <w:rFonts w:ascii="Segoe UI" w:eastAsia="Calibri" w:hAnsi="Segoe UI" w:cs="Segoe UI"/>
      <w:color w:val="000000"/>
      <w:sz w:val="18"/>
      <w:szCs w:val="18"/>
    </w:rPr>
  </w:style>
  <w:style w:type="table" w:customStyle="1" w:styleId="TableGrid">
    <w:name w:val="TableGrid"/>
    <w:rsid w:val="00EF1235"/>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35009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009E"/>
    <w:rPr>
      <w:rFonts w:ascii="Calibri" w:eastAsia="Calibri" w:hAnsi="Calibri" w:cs="Calibri"/>
      <w:color w:val="000000"/>
      <w:sz w:val="24"/>
    </w:rPr>
  </w:style>
  <w:style w:type="paragraph" w:styleId="Footer">
    <w:name w:val="footer"/>
    <w:basedOn w:val="Normal"/>
    <w:link w:val="FooterChar"/>
    <w:uiPriority w:val="99"/>
    <w:semiHidden/>
    <w:unhideWhenUsed/>
    <w:rsid w:val="0035009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5009E"/>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079166">
      <w:bodyDiv w:val="1"/>
      <w:marLeft w:val="0"/>
      <w:marRight w:val="0"/>
      <w:marTop w:val="0"/>
      <w:marBottom w:val="0"/>
      <w:divBdr>
        <w:top w:val="none" w:sz="0" w:space="0" w:color="auto"/>
        <w:left w:val="none" w:sz="0" w:space="0" w:color="auto"/>
        <w:bottom w:val="none" w:sz="0" w:space="0" w:color="auto"/>
        <w:right w:val="none" w:sz="0" w:space="0" w:color="auto"/>
      </w:divBdr>
    </w:div>
    <w:div w:id="1386022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3871</Words>
  <Characters>22070</Characters>
  <Application>Microsoft Office Word</Application>
  <DocSecurity>0</DocSecurity>
  <Lines>183</Lines>
  <Paragraphs>51</Paragraphs>
  <ScaleCrop>false</ScaleCrop>
  <Company/>
  <LinksUpToDate>false</LinksUpToDate>
  <CharactersWithSpaces>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2020-03-09T13:52:00Z</dcterms:created>
  <dcterms:modified xsi:type="dcterms:W3CDTF">2020-03-09T13:53:00Z</dcterms:modified>
</cp:coreProperties>
</file>