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rPr>
          <w:rFonts w:ascii="Arial" w:cs="Arial" w:eastAsia="Arial" w:hAnsi="Arial"/>
          <w:b w:val="1"/>
          <w:sz w:val="72"/>
          <w:szCs w:val="72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85725</wp:posOffset>
            </wp:positionV>
            <wp:extent cx="1647190" cy="1371600"/>
            <wp:effectExtent b="0" l="0" r="0" t="0"/>
            <wp:wrapSquare wrapText="bothSides" distB="0" distT="0" distL="114300" distR="114300"/>
            <wp:docPr descr="Crown Commercial Service" id="12" name="image1.png"/>
            <a:graphic>
              <a:graphicData uri="http://schemas.openxmlformats.org/drawingml/2006/picture">
                <pic:pic>
                  <pic:nvPicPr>
                    <pic:cNvPr descr="Crown Commercial Servi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before="120" w:line="240" w:lineRule="auto"/>
        <w:rPr>
          <w:rFonts w:ascii="Arial" w:cs="Arial" w:eastAsia="Arial" w:hAnsi="Arial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rPr>
          <w:rFonts w:ascii="Arial" w:cs="Arial" w:eastAsia="Arial" w:hAnsi="Arial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72"/>
          <w:szCs w:val="72"/>
          <w:rtl w:val="0"/>
        </w:rPr>
        <w:t xml:space="preserve">Framework Award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Framework Award Form creates the Framework Contract RM6299 Office Solutions. </w:t>
      </w:r>
    </w:p>
    <w:p w:rsidR="00000000" w:rsidDel="00000000" w:rsidP="00000000" w:rsidRDefault="00000000" w:rsidRPr="00000000" w14:paraId="00000006">
      <w:pPr>
        <w:spacing w:after="120" w:before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 summarises the main features of the procurement and includes CCS and the Supplier’s contact details.</w:t>
      </w:r>
    </w:p>
    <w:p w:rsidR="00000000" w:rsidDel="00000000" w:rsidP="00000000" w:rsidRDefault="00000000" w:rsidRPr="00000000" w14:paraId="00000007">
      <w:pPr>
        <w:spacing w:after="120" w:before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555"/>
        <w:gridCol w:w="2010"/>
        <w:gridCol w:w="7080"/>
        <w:tblGridChange w:id="0">
          <w:tblGrid>
            <w:gridCol w:w="555"/>
            <w:gridCol w:w="2010"/>
            <w:gridCol w:w="7080"/>
          </w:tblGrid>
        </w:tblGridChange>
      </w:tblGrid>
      <w:tr>
        <w:trPr>
          <w:cantSplit w:val="0"/>
          <w:trHeight w:val="107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CCS 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The Minister for the Cabinet Office represented by its executive agency the Crown Commercial Service (CCS). </w:t>
            </w:r>
          </w:p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Its offices are on: 9th Floor, The Capital, Old Hall Street, Liverpool L3 9PP.</w:t>
            </w:r>
          </w:p>
        </w:tc>
      </w:tr>
      <w:tr>
        <w:trPr>
          <w:cantSplit w:val="0"/>
          <w:trHeight w:val="97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[Supplier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Address: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[Supplier Address]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Registration number: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[Supplier Registration]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SID4GOV ID: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[Supplier SID4GOV ID]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Contract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framework contract between CCS and the Supplier allows the Supplier to be considered for Call-off Contracts to supply the Deliverables in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[Lot]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You cannot deliver in any other Lot under this contract.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Any references made to other Lots in this contract do not apply.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opportunity is advertised in the Contract Notice in the Find a Tender Service reference 2023/S 000-035685 (FTS Contract Notice).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Deliverables 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See Framework Schedule 1 (Specification) for further details.</w:t>
            </w:r>
          </w:p>
        </w:tc>
      </w:tr>
      <w:tr>
        <w:trPr>
          <w:cantSplit w:val="0"/>
          <w:trHeight w:val="46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Start Date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23/04/2024</w:t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Expiry Date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22/04/2027</w:t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Optional Extension Period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 Months</w:t>
            </w:r>
          </w:p>
        </w:tc>
      </w:tr>
      <w:tr>
        <w:trPr>
          <w:cantSplit w:val="0"/>
          <w:trHeight w:val="83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Order Procedure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Direct Award </w:t>
            </w:r>
          </w:p>
          <w:p w:rsidR="00000000" w:rsidDel="00000000" w:rsidP="00000000" w:rsidRDefault="00000000" w:rsidRPr="00000000" w14:paraId="00000027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Further competition </w:t>
            </w:r>
          </w:p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See Framework Schedule 7 (Call-off Award Procedure)</w:t>
            </w:r>
          </w:p>
        </w:tc>
      </w:tr>
      <w:tr>
        <w:trPr>
          <w:cantSplit w:val="0"/>
          <w:trHeight w:val="20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Incorporated Terms</w:t>
            </w:r>
          </w:p>
          <w:p w:rsidR="00000000" w:rsidDel="00000000" w:rsidP="00000000" w:rsidRDefault="00000000" w:rsidRPr="00000000" w14:paraId="0000002B">
            <w:pPr>
              <w:spacing w:after="12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(together these documents form the ‘the Framework Contract’)</w:t>
            </w:r>
          </w:p>
          <w:p w:rsidR="00000000" w:rsidDel="00000000" w:rsidP="00000000" w:rsidRDefault="00000000" w:rsidRPr="00000000" w14:paraId="0000002C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The following documents are incorporated into the Framework Contract. </w:t>
            </w:r>
          </w:p>
          <w:p w:rsidR="00000000" w:rsidDel="00000000" w:rsidP="00000000" w:rsidRDefault="00000000" w:rsidRPr="00000000" w14:paraId="0000003D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Where numbers are missing we are not using these schedules. </w:t>
            </w:r>
          </w:p>
          <w:p w:rsidR="00000000" w:rsidDel="00000000" w:rsidP="00000000" w:rsidRDefault="00000000" w:rsidRPr="00000000" w14:paraId="0000003E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If the documents conflict, the following order of precedence applies: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Framework Award Form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Any Framework Special Terms (see Section 10 ‘Framework Special Terms’ in this Framework Award Form)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1 (Definitions) RM6299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11 (Processing Data) RM6299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The following Schedules for RM6299 (in equal order of precedence):</w:t>
            </w:r>
          </w:p>
          <w:p w:rsidR="00000000" w:rsidDel="00000000" w:rsidP="00000000" w:rsidRDefault="00000000" w:rsidRPr="00000000" w14:paraId="00000044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1 (Specification) </w:t>
            </w:r>
          </w:p>
          <w:p w:rsidR="00000000" w:rsidDel="00000000" w:rsidP="00000000" w:rsidRDefault="00000000" w:rsidRPr="00000000" w14:paraId="00000045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3 (Framework Prices)</w:t>
            </w:r>
          </w:p>
          <w:p w:rsidR="00000000" w:rsidDel="00000000" w:rsidP="00000000" w:rsidRDefault="00000000" w:rsidRPr="00000000" w14:paraId="00000046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4 (Framework Management)</w:t>
            </w:r>
          </w:p>
          <w:p w:rsidR="00000000" w:rsidDel="00000000" w:rsidP="00000000" w:rsidRDefault="00000000" w:rsidRPr="00000000" w14:paraId="00000047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5 (Management Charges and Information)</w:t>
            </w:r>
          </w:p>
          <w:p w:rsidR="00000000" w:rsidDel="00000000" w:rsidP="00000000" w:rsidRDefault="00000000" w:rsidRPr="00000000" w14:paraId="00000048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6 (Order Form Template and Call-Off Schedules) including the following template Call-Off Schedules: </w:t>
            </w:r>
          </w:p>
          <w:p w:rsidR="00000000" w:rsidDel="00000000" w:rsidP="00000000" w:rsidRDefault="00000000" w:rsidRPr="00000000" w14:paraId="00000049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 1 (Transparency Reports)</w:t>
            </w:r>
          </w:p>
          <w:p w:rsidR="00000000" w:rsidDel="00000000" w:rsidP="00000000" w:rsidRDefault="00000000" w:rsidRPr="00000000" w14:paraId="0000004A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 2 (Staff Transfer)</w:t>
            </w:r>
          </w:p>
          <w:p w:rsidR="00000000" w:rsidDel="00000000" w:rsidP="00000000" w:rsidRDefault="00000000" w:rsidRPr="00000000" w14:paraId="0000004B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 3 (Continuous Improvement)</w:t>
            </w:r>
          </w:p>
          <w:p w:rsidR="00000000" w:rsidDel="00000000" w:rsidP="00000000" w:rsidRDefault="00000000" w:rsidRPr="00000000" w14:paraId="0000004C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4 (Call-Off Tender)</w:t>
            </w:r>
          </w:p>
          <w:p w:rsidR="00000000" w:rsidDel="00000000" w:rsidP="00000000" w:rsidRDefault="00000000" w:rsidRPr="00000000" w14:paraId="0000004D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5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Pricing Details)</w:t>
            </w:r>
          </w:p>
          <w:p w:rsidR="00000000" w:rsidDel="00000000" w:rsidP="00000000" w:rsidRDefault="00000000" w:rsidRPr="00000000" w14:paraId="0000004E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6 (ICT Services)]</w:t>
            </w:r>
          </w:p>
          <w:p w:rsidR="00000000" w:rsidDel="00000000" w:rsidP="00000000" w:rsidRDefault="00000000" w:rsidRPr="00000000" w14:paraId="0000004F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7 (Key Supplier Staff)</w:t>
            </w:r>
          </w:p>
          <w:p w:rsidR="00000000" w:rsidDel="00000000" w:rsidP="00000000" w:rsidRDefault="00000000" w:rsidRPr="00000000" w14:paraId="00000050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8 (Business Continuity and Disaster Recovery)</w:t>
            </w:r>
          </w:p>
          <w:p w:rsidR="00000000" w:rsidDel="00000000" w:rsidP="00000000" w:rsidRDefault="00000000" w:rsidRPr="00000000" w14:paraId="00000051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9 (Security)</w:t>
            </w:r>
          </w:p>
          <w:p w:rsidR="00000000" w:rsidDel="00000000" w:rsidP="00000000" w:rsidRDefault="00000000" w:rsidRPr="00000000" w14:paraId="00000052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10 (Exit Management)</w:t>
            </w:r>
          </w:p>
          <w:p w:rsidR="00000000" w:rsidDel="00000000" w:rsidP="00000000" w:rsidRDefault="00000000" w:rsidRPr="00000000" w14:paraId="00000053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11 (Installation Works)</w:t>
            </w:r>
          </w:p>
          <w:p w:rsidR="00000000" w:rsidDel="00000000" w:rsidP="00000000" w:rsidRDefault="00000000" w:rsidRPr="00000000" w14:paraId="00000054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12 (Clustering)</w:t>
            </w:r>
          </w:p>
          <w:p w:rsidR="00000000" w:rsidDel="00000000" w:rsidP="00000000" w:rsidRDefault="00000000" w:rsidRPr="00000000" w14:paraId="00000055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13 (Implementation Plan and Testing)</w:t>
            </w:r>
          </w:p>
          <w:p w:rsidR="00000000" w:rsidDel="00000000" w:rsidP="00000000" w:rsidRDefault="00000000" w:rsidRPr="00000000" w14:paraId="00000056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14 (Service Levels)</w:t>
            </w:r>
          </w:p>
          <w:p w:rsidR="00000000" w:rsidDel="00000000" w:rsidP="00000000" w:rsidRDefault="00000000" w:rsidRPr="00000000" w14:paraId="00000057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15 (Call-Off Contract Management)</w:t>
            </w:r>
          </w:p>
          <w:p w:rsidR="00000000" w:rsidDel="00000000" w:rsidP="00000000" w:rsidRDefault="00000000" w:rsidRPr="00000000" w14:paraId="00000058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17 (MOD Terms)              </w:t>
            </w:r>
          </w:p>
          <w:p w:rsidR="00000000" w:rsidDel="00000000" w:rsidP="00000000" w:rsidRDefault="00000000" w:rsidRPr="00000000" w14:paraId="00000059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18 (Background Checks)</w:t>
            </w:r>
          </w:p>
          <w:p w:rsidR="00000000" w:rsidDel="00000000" w:rsidP="00000000" w:rsidRDefault="00000000" w:rsidRPr="00000000" w14:paraId="0000005A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19 (Scottish Law)    </w:t>
            </w:r>
          </w:p>
          <w:p w:rsidR="00000000" w:rsidDel="00000000" w:rsidP="00000000" w:rsidRDefault="00000000" w:rsidRPr="00000000" w14:paraId="0000005B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 20 (Call-Off Specification)</w:t>
            </w:r>
          </w:p>
          <w:p w:rsidR="00000000" w:rsidDel="00000000" w:rsidP="00000000" w:rsidRDefault="00000000" w:rsidRPr="00000000" w14:paraId="0000005C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 21 (Northern Ireland Law)</w:t>
            </w:r>
          </w:p>
          <w:p w:rsidR="00000000" w:rsidDel="00000000" w:rsidP="00000000" w:rsidRDefault="00000000" w:rsidRPr="00000000" w14:paraId="0000005D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 23 (HMRC Terms) </w:t>
            </w:r>
          </w:p>
          <w:p w:rsidR="00000000" w:rsidDel="00000000" w:rsidP="00000000" w:rsidRDefault="00000000" w:rsidRPr="00000000" w14:paraId="0000005E">
            <w:pPr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 24 (Corporate Resolution Planning)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7 (Call-Off Award Procedure)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8 (Self Audit Certificate)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Framework Schedule 9 (Cyber Essentials Scheme) 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2 (Variation Form)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3 (Insurance Requirements)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4 (Commercially Sensitive Information)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6 (Key Subcontractors)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7 (Financial Difficulties)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8 (Guarantee)]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9 (Minimum Standards of Reliability)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10 (Rectification Plan)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12 (Supply Chain Visibility)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13 (Continuous Improvement)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14 (Benchmarking)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CCS Core Terms (version 3.0.11)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5 (Corporate Social Responsibility) RM6299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2 (Framework Tender) RM6299 as long as any part of the Framework Tender that offers a better commercial position for CCS or Buyers (as decided by CCS) take precedence over the documents above.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Special Terms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Prices 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Details in Framework Schedule 3 (Framework Prices)</w:t>
            </w:r>
          </w:p>
        </w:tc>
      </w:tr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Insurance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Details in Annex of Joint Schedule 3 (Insurance Requirements).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9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Cyber Essentials Certification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Cyber Essentials Scheme Basic Certificate Details in Framework Schedule 9 (Cyber Essentials Scheme)</w:t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Management Charge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The Supplier will pay, excluding VAT, 0.5% of all the Charges for the Deliverables invoiced to the Buyer under all Call-Off Contracts.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Framework Manager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83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Authorised Representative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89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Compliance Officer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90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Data Protection Officer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97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Data Protection Liability Cap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£10,000,000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Marketing Contact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A0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Key Subcontractors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Please see the embedded folder within the Framework Contract Documents folder.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57" w:right="57" w:hanging="357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CCS Authorised Representative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AA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120" w:before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305"/>
        <w:gridCol w:w="3150"/>
        <w:gridCol w:w="1350"/>
        <w:gridCol w:w="3825"/>
        <w:tblGridChange w:id="0">
          <w:tblGrid>
            <w:gridCol w:w="1305"/>
            <w:gridCol w:w="3150"/>
            <w:gridCol w:w="1350"/>
            <w:gridCol w:w="382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CCS: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142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Redacted under FOIA section 40, Personal Information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142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Redacted under FOIA section 40, Personal Information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142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Redacted under FOIA section 40, Personal Information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142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[Date]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92" w:firstLine="0"/>
        <w:rPr>
          <w:rFonts w:ascii="Arial" w:cs="Arial" w:eastAsia="Arial" w:hAnsi="Arial"/>
          <w:i w:val="1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6838" w:w="11906" w:orient="portrait"/>
          <w:pgMar w:bottom="1440" w:top="1440" w:left="1440" w:right="1440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92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type w:val="continuous"/>
      <w:pgSz w:h="16838" w:w="11906" w:orient="portrait"/>
      <w:pgMar w:bottom="1440" w:top="1440" w:left="1440" w:right="144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Project Version: v1.0</w:t>
      <w:tab/>
      <w:tab/>
      <w:tab/>
      <w:t xml:space="preserve"> </w:t>
    </w:r>
    <w:r w:rsidDel="00000000" w:rsidR="00000000" w:rsidRPr="00000000">
      <w:rPr>
        <w:rFonts w:ascii="Arial" w:cs="Arial" w:eastAsia="Arial" w:hAnsi="Arial"/>
        <w:color w:val="a6a6a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spacing w:after="0" w:line="240" w:lineRule="auto"/>
      <w:jc w:val="both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Model Version : v2.9</w:t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RM6299</w:t>
      <w:tab/>
      <w:t xml:space="preserve">                                                                                                       Model Version: v3.11</w:t>
    </w:r>
  </w:p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      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Project Version: v1.0</w:t>
      <w:tab/>
      <w:tab/>
      <w:tab/>
      <w:t xml:space="preserve"> </w:t>
    </w:r>
    <w:r w:rsidDel="00000000" w:rsidR="00000000" w:rsidRPr="00000000">
      <w:rPr>
        <w:rFonts w:ascii="Arial" w:cs="Arial" w:eastAsia="Arial" w:hAnsi="Arial"/>
        <w:color w:val="a6a6a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spacing w:after="0" w:line="240" w:lineRule="auto"/>
      <w:jc w:val="both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Model Version : v2.9</w:t>
      <w:tab/>
      <w:tab/>
      <w:tab/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RM6299</w:t>
      <w:tab/>
      <w:t xml:space="preserve">                                                                                                       Model Version: v3.11</w:t>
    </w:r>
  </w:p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      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b w:val="1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a6a6a6"/>
        <w:sz w:val="20"/>
        <w:szCs w:val="20"/>
        <w:rtl w:val="0"/>
      </w:rPr>
      <w:t xml:space="preserve">Framework Award Form</w:t>
    </w:r>
  </w:p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Crown Copyright 2018</w:t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Framework Award Form</w:t>
    </w:r>
  </w:p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12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Crown Copyright 2023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b w:val="1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a6a6a6"/>
        <w:sz w:val="20"/>
        <w:szCs w:val="20"/>
        <w:rtl w:val="0"/>
      </w:rPr>
      <w:t xml:space="preserve">Framework Award Form</w:t>
    </w:r>
  </w:p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Crown Copyright 2018</w:t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Framework Award Form</w:t>
    </w:r>
  </w:p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12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Crown Copyright 2023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44" w:hanging="357"/>
      </w:pPr>
      <w:rPr>
        <w:b w:val="1"/>
      </w:rPr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45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tabs>
        <w:tab w:val="left" w:leader="none" w:pos="-5585"/>
      </w:tabs>
      <w:spacing w:after="120" w:line="240" w:lineRule="auto"/>
      <w:ind w:left="3524" w:hanging="360"/>
      <w:jc w:val="both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tabs>
        <w:tab w:val="left" w:leader="none" w:pos="-8987"/>
        <w:tab w:val="left" w:leader="none" w:pos="-8420"/>
      </w:tabs>
      <w:spacing w:after="120" w:line="240" w:lineRule="auto"/>
      <w:ind w:left="3524" w:hanging="360"/>
      <w:jc w:val="both"/>
    </w:pPr>
    <w:rPr>
      <w:rFonts w:ascii="Arial" w:cs="Arial" w:eastAsia="Arial" w:hAnsi="Arial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lang w:eastAsia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uiPriority w:val="9"/>
    <w:semiHidden w:val="1"/>
    <w:unhideWhenUsed w:val="1"/>
    <w:qFormat w:val="1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uiPriority w:val="9"/>
    <w:semiHidden w:val="1"/>
    <w:unhideWhenUsed w:val="1"/>
    <w:qFormat w:val="1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numbering" w:styleId="WWOutlineListStyle8" w:customStyle="1">
    <w:name w:val="WW_OutlineListStyle_8"/>
    <w:basedOn w:val="NoList"/>
  </w:style>
  <w:style w:type="paragraph" w:styleId="Level1Heading" w:customStyle="1">
    <w:name w:val="Level 1 Heading"/>
    <w:basedOn w:val="BodyText"/>
    <w:next w:val="Normal"/>
    <w:pPr>
      <w:keepNext w:val="1"/>
      <w:tabs>
        <w:tab w:val="left" w:pos="-1342"/>
      </w:tabs>
      <w:suppressAutoHyphens w:val="0"/>
      <w:spacing w:after="200" w:before="360" w:line="360" w:lineRule="auto"/>
      <w:outlineLvl w:val="0"/>
    </w:pPr>
    <w:rPr>
      <w:rFonts w:ascii="Arial" w:eastAsia="Times New Roman" w:hAnsi="Arial"/>
      <w:b w:val="1"/>
      <w:szCs w:val="20"/>
    </w:rPr>
  </w:style>
  <w:style w:type="paragraph" w:styleId="GPSL1CLAUSEHEADING" w:customStyle="1">
    <w:name w:val="GPS L1 CLAUSE HEADING"/>
    <w:basedOn w:val="Normal"/>
    <w:next w:val="Normal"/>
    <w:qFormat w:val="1"/>
    <w:pPr>
      <w:tabs>
        <w:tab w:val="left" w:pos="-3864"/>
      </w:tabs>
      <w:suppressAutoHyphens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character" w:styleId="Heading5Char" w:customStyle="1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suppressAutoHyphens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odyText1" w:customStyle="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qFormat w:val="1"/>
    <w:pPr>
      <w:numPr>
        <w:numId w:val="4"/>
      </w:numPr>
      <w:suppressAutoHyphens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rPr>
      <w:rFonts w:eastAsia="STZhongsong"/>
      <w:b w:val="1"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cs="Tahoma" w:hAnsi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uiPriority w:val="99"/>
    <w:rPr>
      <w:sz w:val="22"/>
      <w:szCs w:val="22"/>
      <w:lang w:eastAsia="en-US"/>
    </w:rPr>
  </w:style>
  <w:style w:type="paragraph" w:styleId="MarginText" w:customStyle="1">
    <w:name w:val="Margin Text"/>
    <w:basedOn w:val="Normal"/>
    <w:pPr>
      <w:keepNext w:val="1"/>
      <w:suppressAutoHyphens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rPr>
      <w:rFonts w:ascii="Arial" w:eastAsia="STZhongsong" w:hAnsi="Arial"/>
      <w:sz w:val="18"/>
      <w:szCs w:val="18"/>
      <w:lang w:eastAsia="zh-CN"/>
    </w:rPr>
  </w:style>
  <w:style w:type="paragraph" w:styleId="GPSL2numberedclause" w:customStyle="1">
    <w:name w:val="GPS L2 numbered clause"/>
    <w:basedOn w:val="Normal"/>
    <w:qFormat w:val="1"/>
    <w:pPr>
      <w:tabs>
        <w:tab w:val="left" w:pos="1134"/>
      </w:tabs>
      <w:suppressAutoHyphens w:val="0"/>
      <w:spacing w:after="120" w:before="120" w:line="240" w:lineRule="auto"/>
      <w:ind w:left="1134" w:hanging="567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qFormat w:val="1"/>
    <w:pPr>
      <w:tabs>
        <w:tab w:val="clear" w:pos="1134"/>
        <w:tab w:val="left" w:pos="1985"/>
        <w:tab w:val="left" w:pos="2127"/>
      </w:tabs>
      <w:ind w:left="1985" w:hanging="851"/>
    </w:pPr>
  </w:style>
  <w:style w:type="paragraph" w:styleId="GPSL4numberedclause" w:customStyle="1">
    <w:name w:val="GPS L4 numbered clause"/>
    <w:basedOn w:val="GPSL3numberedclause"/>
    <w:qFormat w:val="1"/>
    <w:pPr>
      <w:tabs>
        <w:tab w:val="clear" w:pos="2127"/>
      </w:tabs>
      <w:ind w:left="2835" w:hanging="708"/>
    </w:pPr>
    <w:rPr>
      <w:szCs w:val="20"/>
    </w:rPr>
  </w:style>
  <w:style w:type="character" w:styleId="GPSL2numberedclauseChar1" w:customStyle="1">
    <w:name w:val="GPS L2 numbered clause Char1"/>
    <w:rPr>
      <w:rFonts w:cs="Arial" w:eastAsia="Times New Roman"/>
      <w:sz w:val="22"/>
      <w:szCs w:val="22"/>
      <w:lang w:eastAsia="zh-CN"/>
    </w:rPr>
  </w:style>
  <w:style w:type="character" w:styleId="GPSL3numberedclauseChar" w:customStyle="1">
    <w:name w:val="GPS L3 numbered clause Char"/>
    <w:rPr>
      <w:rFonts w:cs="Arial" w:eastAsia="Times New Roman"/>
      <w:sz w:val="22"/>
      <w:szCs w:val="22"/>
      <w:lang w:eastAsia="zh-CN"/>
    </w:rPr>
  </w:style>
  <w:style w:type="paragraph" w:styleId="GPSL5numberedclause" w:customStyle="1">
    <w:name w:val="GPS L5 numbered clause"/>
    <w:basedOn w:val="GPSL4numberedclause"/>
    <w:qFormat w:val="1"/>
    <w:pPr>
      <w:tabs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styleId="Style1" w:customStyle="1">
    <w:name w:val="Style1"/>
    <w:basedOn w:val="ListParagraph"/>
    <w:pPr>
      <w:tabs>
        <w:tab w:val="num" w:pos="720"/>
      </w:tabs>
      <w:ind w:hanging="720"/>
    </w:pPr>
    <w:rPr>
      <w:b w:val="1"/>
      <w:sz w:val="20"/>
    </w:rPr>
  </w:style>
  <w:style w:type="character" w:styleId="ListParagraphChar" w:customStyle="1">
    <w:name w:val="List Paragraph Char"/>
    <w:basedOn w:val="DefaultParagraphFont"/>
    <w:rPr>
      <w:sz w:val="22"/>
      <w:szCs w:val="22"/>
      <w:lang w:eastAsia="en-US"/>
    </w:rPr>
  </w:style>
  <w:style w:type="character" w:styleId="Style1Char" w:customStyle="1">
    <w:name w:val="Style1 Char"/>
    <w:basedOn w:val="ListParagraphChar"/>
    <w:rPr>
      <w:b w:val="1"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 w:val="1"/>
      <w:bCs w:val="1"/>
    </w:rPr>
  </w:style>
  <w:style w:type="character" w:styleId="CommentSubjectChar" w:customStyle="1">
    <w:name w:val="Comment Subject Char"/>
    <w:basedOn w:val="CommentTextChar"/>
    <w:rPr>
      <w:b w:val="1"/>
      <w:bCs w:val="1"/>
      <w:lang w:eastAsia="en-US"/>
    </w:rPr>
  </w:style>
  <w:style w:type="paragraph" w:styleId="Revision">
    <w:name w:val="Revision"/>
    <w:rPr>
      <w:lang w:eastAsia="en-US"/>
    </w:rPr>
  </w:style>
  <w:style w:type="paragraph" w:styleId="GPsDefinition" w:customStyle="1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cs="Arial" w:eastAsia="Times New Roman" w:hAnsi="Arial"/>
    </w:rPr>
  </w:style>
  <w:style w:type="paragraph" w:styleId="GPSDefinitionL2" w:customStyle="1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styleId="GPSDefinitionL2Char" w:customStyle="1">
    <w:name w:val="GPS Definition L2 Char"/>
    <w:rPr>
      <w:rFonts w:ascii="Arial" w:cs="Arial" w:eastAsia="Times New Roman" w:hAnsi="Arial"/>
      <w:sz w:val="22"/>
      <w:szCs w:val="22"/>
      <w:lang w:eastAsia="en-US"/>
    </w:rPr>
  </w:style>
  <w:style w:type="paragraph" w:styleId="GPSDefinitionL3" w:customStyle="1">
    <w:name w:val="GPS Definition L3"/>
    <w:basedOn w:val="GPSDefinitionL2"/>
  </w:style>
  <w:style w:type="paragraph" w:styleId="GPSDefinitionL4" w:customStyle="1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styleId="GPSDefinitionL3Char" w:customStyle="1">
    <w:name w:val="GPS Definition L3 Char"/>
    <w:rPr>
      <w:rFonts w:ascii="Arial" w:cs="Arial" w:eastAsia="Times New Roman" w:hAnsi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cs="Arial" w:eastAsia="Times New Roman" w:hAnsi="Arial"/>
      <w:sz w:val="20"/>
      <w:szCs w:val="20"/>
    </w:rPr>
  </w:style>
  <w:style w:type="character" w:styleId="FootnoteTextChar" w:customStyle="1">
    <w:name w:val="Footnote Text Char"/>
    <w:basedOn w:val="DefaultParagraphFont"/>
    <w:rPr>
      <w:rFonts w:ascii="Arial" w:cs="Arial" w:eastAsia="Times New Roman" w:hAnsi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styleId="BodyTextChar" w:customStyle="1">
    <w:name w:val="Body Text Char"/>
    <w:basedOn w:val="DefaultParagraphFont"/>
    <w:rPr>
      <w:sz w:val="22"/>
      <w:szCs w:val="22"/>
      <w:lang w:eastAsia="en-US"/>
    </w:rPr>
  </w:style>
  <w:style w:type="paragraph" w:styleId="Level2Heading" w:customStyle="1">
    <w:name w:val="Level 2 Heading"/>
    <w:basedOn w:val="BodyText"/>
    <w:next w:val="BodyText2"/>
    <w:pPr>
      <w:keepNext w:val="1"/>
      <w:tabs>
        <w:tab w:val="left" w:pos="360"/>
      </w:tabs>
      <w:suppressAutoHyphens w:val="0"/>
      <w:spacing w:after="200" w:before="360" w:line="360" w:lineRule="auto"/>
      <w:outlineLvl w:val="1"/>
    </w:pPr>
    <w:rPr>
      <w:rFonts w:ascii="Arial" w:eastAsia="Times New Roman" w:hAnsi="Arial"/>
      <w:b w:val="1"/>
      <w:sz w:val="20"/>
      <w:szCs w:val="20"/>
      <w:lang w:eastAsia="en-GB"/>
    </w:rPr>
  </w:style>
  <w:style w:type="paragraph" w:styleId="Level3Number" w:customStyle="1">
    <w:name w:val="Level 3 Number"/>
    <w:basedOn w:val="BodyText"/>
    <w:pPr>
      <w:tabs>
        <w:tab w:val="left" w:pos="360"/>
      </w:tabs>
      <w:suppressAutoHyphens w:val="0"/>
      <w:spacing w:after="200" w:before="360" w:line="360" w:lineRule="auto"/>
    </w:pPr>
    <w:rPr>
      <w:rFonts w:ascii="Arial" w:eastAsia="Times New Roman" w:hAnsi="Arial"/>
      <w:sz w:val="20"/>
      <w:szCs w:val="20"/>
    </w:rPr>
  </w:style>
  <w:style w:type="paragraph" w:styleId="Level4Number" w:customStyle="1">
    <w:name w:val="Level 4 Number"/>
    <w:basedOn w:val="BodyText"/>
    <w:pPr>
      <w:tabs>
        <w:tab w:val="left" w:pos="360"/>
      </w:tabs>
      <w:suppressAutoHyphens w:val="0"/>
      <w:spacing w:after="200" w:before="360" w:line="360" w:lineRule="auto"/>
    </w:pPr>
    <w:rPr>
      <w:rFonts w:ascii="Arial" w:eastAsia="Times New Roman" w:hAnsi="Arial"/>
      <w:sz w:val="20"/>
      <w:szCs w:val="20"/>
    </w:rPr>
  </w:style>
  <w:style w:type="paragraph" w:styleId="Level5Number" w:customStyle="1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styleId="Level6Number" w:customStyle="1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styleId="Level7Number" w:customStyle="1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styleId="Level8Number" w:customStyle="1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BodyText2Char" w:customStyle="1">
    <w:name w:val="Body Text 2 Char"/>
    <w:basedOn w:val="DefaultParagraphFont"/>
    <w:rPr>
      <w:sz w:val="22"/>
      <w:szCs w:val="22"/>
      <w:lang w:eastAsia="en-US"/>
    </w:rPr>
  </w:style>
  <w:style w:type="character" w:styleId="GPSL2NumberedBoldHeadingChar" w:customStyle="1">
    <w:name w:val="GPS L2 Numbered Bold Heading Char"/>
    <w:rPr>
      <w:rFonts w:cs="Arial" w:eastAsia="Times New Roman"/>
      <w:b w:val="1"/>
      <w:sz w:val="22"/>
      <w:szCs w:val="22"/>
      <w:lang w:eastAsia="zh-CN"/>
    </w:rPr>
  </w:style>
  <w:style w:type="paragraph" w:styleId="GPSL2Indent" w:customStyle="1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cs="Arial" w:eastAsia="Times New Roman"/>
      <w:szCs w:val="24"/>
    </w:rPr>
  </w:style>
  <w:style w:type="paragraph" w:styleId="GPSL2Numbered" w:customStyle="1">
    <w:name w:val="GPS L2 Numbered"/>
    <w:basedOn w:val="GPSL2NumberedBoldHeading"/>
    <w:qFormat w:val="1"/>
    <w:pPr>
      <w:tabs>
        <w:tab w:val="left" w:pos="709"/>
      </w:tabs>
      <w:ind w:hanging="360"/>
    </w:pPr>
    <w:rPr>
      <w:b w:val="0"/>
    </w:rPr>
  </w:style>
  <w:style w:type="character" w:styleId="GPSL2NumberedChar" w:customStyle="1">
    <w:name w:val="GPS L2 Numbered Char"/>
    <w:rPr>
      <w:rFonts w:cs="Arial" w:eastAsia="Times New Roman"/>
      <w:sz w:val="22"/>
      <w:szCs w:val="22"/>
      <w:lang w:eastAsia="zh-CN"/>
    </w:rPr>
  </w:style>
  <w:style w:type="character" w:styleId="GPSL2IndentChar" w:customStyle="1">
    <w:name w:val="GPS L2 Indent Char"/>
    <w:rPr>
      <w:rFonts w:cs="Arial" w:eastAsia="Times New Roman"/>
      <w:sz w:val="22"/>
      <w:szCs w:val="24"/>
      <w:lang w:eastAsia="en-US"/>
    </w:rPr>
  </w:style>
  <w:style w:type="character" w:styleId="GPSL4numberedclauseChar" w:customStyle="1">
    <w:name w:val="GPS L4 numbered clause Char"/>
    <w:rPr>
      <w:rFonts w:cs="Arial" w:eastAsia="Times New Roman"/>
      <w:sz w:val="22"/>
      <w:lang w:eastAsia="zh-CN"/>
    </w:rPr>
  </w:style>
  <w:style w:type="paragraph" w:styleId="GPSL3Indent" w:customStyle="1">
    <w:name w:val="GPS L3 Indent"/>
    <w:basedOn w:val="Normal"/>
    <w:pPr>
      <w:tabs>
        <w:tab w:val="left" w:pos="2127"/>
      </w:tabs>
      <w:suppressAutoHyphens w:val="0"/>
      <w:spacing w:after="120" w:before="120" w:line="240" w:lineRule="auto"/>
      <w:ind w:left="2127"/>
      <w:jc w:val="both"/>
    </w:pPr>
    <w:rPr>
      <w:rFonts w:ascii="Arial" w:cs="Arial" w:eastAsia="Times New Roman" w:hAnsi="Arial"/>
      <w:lang w:eastAsia="zh-CN" w:val="en-US"/>
    </w:rPr>
  </w:style>
  <w:style w:type="character" w:styleId="GPSL3IndentChar" w:customStyle="1">
    <w:name w:val="GPS L3 Indent Char"/>
    <w:rPr>
      <w:rFonts w:ascii="Arial" w:cs="Arial" w:eastAsia="Times New Roman" w:hAnsi="Arial"/>
      <w:sz w:val="22"/>
      <w:szCs w:val="22"/>
      <w:lang w:eastAsia="zh-CN" w:val="en-US"/>
    </w:rPr>
  </w:style>
  <w:style w:type="character" w:styleId="GPSL5numberedclauseChar" w:customStyle="1">
    <w:name w:val="GPS L5 numbered clause Char"/>
    <w:rPr>
      <w:rFonts w:cs="Arial" w:eastAsia="Times New Roman"/>
      <w:sz w:val="22"/>
      <w:lang w:eastAsia="zh-CN"/>
    </w:rPr>
  </w:style>
  <w:style w:type="paragraph" w:styleId="Body3" w:customStyle="1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styleId="GPSDefinitionTerm" w:customStyle="1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cs="Arial" w:eastAsia="Times New Roman"/>
      <w:b w:val="1"/>
    </w:rPr>
  </w:style>
  <w:style w:type="character" w:styleId="Heading7Char" w:customStyle="1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styleId="Heading8Char" w:customStyle="1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styleId="GPSL4boldheading" w:customStyle="1">
    <w:name w:val="GPS L4 bold heading"/>
    <w:basedOn w:val="GPSL3numberedclause"/>
    <w:pPr>
      <w:tabs>
        <w:tab w:val="num" w:pos="720"/>
      </w:tabs>
      <w:ind w:left="720" w:hanging="720"/>
    </w:pPr>
    <w:rPr>
      <w:b w:val="1"/>
    </w:rPr>
  </w:style>
  <w:style w:type="character" w:styleId="GPSL4boldheadingChar" w:customStyle="1">
    <w:name w:val="GPS L4 bold heading Char"/>
    <w:rPr>
      <w:rFonts w:cs="Arial" w:eastAsia="Times New Roman"/>
      <w:b w:val="1"/>
      <w:sz w:val="22"/>
      <w:szCs w:val="22"/>
      <w:lang w:eastAsia="zh-CN"/>
    </w:rPr>
  </w:style>
  <w:style w:type="numbering" w:styleId="WWOutlineListStyle7" w:customStyle="1">
    <w:name w:val="WW_OutlineListStyle_7"/>
    <w:basedOn w:val="NoList"/>
  </w:style>
  <w:style w:type="numbering" w:styleId="WWOutlineListStyle6" w:customStyle="1">
    <w:name w:val="WW_OutlineListStyle_6"/>
    <w:basedOn w:val="NoList"/>
  </w:style>
  <w:style w:type="numbering" w:styleId="WWOutlineListStyle5" w:customStyle="1">
    <w:name w:val="WW_OutlineListStyle_5"/>
    <w:basedOn w:val="NoList"/>
  </w:style>
  <w:style w:type="numbering" w:styleId="WWOutlineListStyle4" w:customStyle="1">
    <w:name w:val="WW_OutlineListStyle_4"/>
    <w:basedOn w:val="NoList"/>
  </w:style>
  <w:style w:type="numbering" w:styleId="WWOutlineListStyle3" w:customStyle="1">
    <w:name w:val="WW_OutlineListStyle_3"/>
    <w:basedOn w:val="NoList"/>
  </w:style>
  <w:style w:type="numbering" w:styleId="WWOutlineListStyle2" w:customStyle="1">
    <w:name w:val="WW_OutlineListStyle_2"/>
    <w:basedOn w:val="NoList"/>
  </w:style>
  <w:style w:type="numbering" w:styleId="WWOutlineListStyle1" w:customStyle="1">
    <w:name w:val="WW_OutlineListStyle_1"/>
    <w:basedOn w:val="NoList"/>
  </w:style>
  <w:style w:type="numbering" w:styleId="WWOutlineListStyle" w:customStyle="1">
    <w:name w:val="WW_OutlineListStyle"/>
    <w:basedOn w:val="NoList"/>
  </w:style>
  <w:style w:type="numbering" w:styleId="LFO7" w:customStyle="1">
    <w:name w:val="LFO7"/>
    <w:basedOn w:val="NoList"/>
  </w:style>
  <w:style w:type="numbering" w:styleId="LFO9" w:customStyle="1">
    <w:name w:val="LFO9"/>
    <w:basedOn w:val="NoList"/>
  </w:style>
  <w:style w:type="numbering" w:styleId="LFO10" w:customStyle="1">
    <w:name w:val="LFO10"/>
    <w:basedOn w:val="NoList"/>
  </w:style>
  <w:style w:type="numbering" w:styleId="LFO12" w:customStyle="1">
    <w:name w:val="LFO12"/>
    <w:basedOn w:val="NoList"/>
  </w:style>
  <w:style w:type="numbering" w:styleId="LFO13" w:customStyle="1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TableGrid">
    <w:name w:val="Table Grid"/>
    <w:basedOn w:val="TableNormal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stTable3-Accent51" w:customStyle="1">
    <w:name w:val="List Table 3 - Accent 51"/>
    <w:basedOn w:val="TableNormal"/>
    <w:uiPriority w:val="48"/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bacc6" w:space="0" w:sz="4" w:themeColor="accent5" w:val="single"/>
          <w:right w:color="4bacc6" w:space="0" w:sz="4" w:themeColor="accent5" w:val="single"/>
        </w:tcBorders>
      </w:tcPr>
    </w:tblStylePr>
    <w:tblStylePr w:type="band1Horz">
      <w:tblPr/>
      <w:tcPr>
        <w:tcBorders>
          <w:top w:color="4bacc6" w:space="0" w:sz="4" w:themeColor="accent5" w:val="single"/>
          <w:bottom w:color="4bacc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bacc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4bacc6" w:space="0" w:sz="4" w:themeColor="accent5" w:val="double"/>
          <w:right w:space="0" w:sz="0" w:val="nil"/>
        </w:tcBorders>
      </w:tcPr>
    </w:tblStylePr>
  </w:style>
  <w:style w:type="table" w:styleId="GridTable2-Accent51" w:customStyle="1">
    <w:name w:val="Grid Table 2 - Accent 51"/>
    <w:basedOn w:val="TableNormal"/>
    <w:uiPriority w:val="47"/>
    <w:tblPr>
      <w:tblStyleRowBandSize w:val="1"/>
      <w:tblStyleColBandSize w:val="1"/>
      <w:tblBorders>
        <w:top w:color="92cddc" w:space="0" w:sz="2" w:themeColor="accent5" w:themeTint="000099" w:val="single"/>
        <w:bottom w:color="92cddc" w:space="0" w:sz="2" w:themeColor="accent5" w:themeTint="000099" w:val="single"/>
        <w:insideH w:color="92cddc" w:space="0" w:sz="2" w:themeColor="accent5" w:themeTint="000099" w:val="single"/>
        <w:insideV w:color="92cddc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2cddc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2-Accent11" w:customStyle="1">
    <w:name w:val="Grid Table 2 - Accent 11"/>
    <w:basedOn w:val="TableNormal"/>
    <w:uiPriority w:val="47"/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4-Accent11" w:customStyle="1">
    <w:name w:val="Grid Table 4 - Accent 11"/>
    <w:basedOn w:val="TableNormal"/>
    <w:uiPriority w:val="49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6Colorful-Accent11" w:customStyle="1">
    <w:name w:val="Grid Table 6 Colorful - Accent 11"/>
    <w:basedOn w:val="TableNormal"/>
    <w:uiPriority w:val="51"/>
    <w:rPr>
      <w:color w:val="365f91" w:themeColor="accent1" w:themeShade="0000BF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Pr>
      <w:lang w:eastAsia="en-US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a0" w:customStyle="1">
    <w:basedOn w:val="TableNormal"/>
    <w:rPr>
      <w:color w:val="366091"/>
    </w:rPr>
    <w:tblPr>
      <w:tblStyleRowBandSize w:val="1"/>
      <w:tblStyleColBandSize w:val="1"/>
    </w:tblPr>
  </w:style>
  <w:style w:type="table" w:styleId="a1" w:customStyle="1">
    <w:basedOn w:val="TableNormal"/>
    <w:rPr>
      <w:color w:val="366091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2" w:customStyle="1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a3" w:customStyle="1">
    <w:basedOn w:val="TableNormal"/>
    <w:rPr>
      <w:color w:val="366091"/>
    </w:rPr>
    <w:tblPr>
      <w:tblStyleRowBandSize w:val="1"/>
      <w:tblStyleColBandSize w:val="1"/>
    </w:tblPr>
  </w:style>
  <w:style w:type="table" w:styleId="a4" w:customStyle="1">
    <w:basedOn w:val="TableNormal"/>
    <w:rPr>
      <w:color w:val="366091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5" w:customStyle="1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a6" w:customStyle="1">
    <w:basedOn w:val="TableNormal"/>
    <w:rPr>
      <w:color w:val="366091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7" w:customStyle="1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a8" w:customStyle="1">
    <w:basedOn w:val="TableNormal"/>
    <w:rPr>
      <w:color w:val="366091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366091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color w:val="366091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3" Type="http://schemas.openxmlformats.org/officeDocument/2006/relationships/header" Target="header3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footer" Target="footer3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uaIMBnxk43piSYkGMnCdXqwYQ==">CgMxLjAyCWguMWZvYjl0ZTIIaC5namRneHM4AHIhMXlGSFNxT0tFX2MxblZBTUxGVUFST1JTcXVBX1NEOTgt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2024-04-02T17:16:00Z</dcterms:created>
  <dc:creator>Andrew Thomas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