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0" w:rsidRDefault="00717FD0" w:rsidP="00616D25">
      <w:pPr>
        <w:rPr>
          <w:rFonts w:ascii="Arial" w:hAnsi="Arial" w:cs="Arial"/>
          <w:b/>
          <w:sz w:val="36"/>
          <w:szCs w:val="36"/>
        </w:rPr>
      </w:pPr>
    </w:p>
    <w:p w:rsidR="0081513E" w:rsidRPr="00616D25" w:rsidRDefault="000574E9" w:rsidP="00616D25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Call-Off Schedule 20</w:t>
      </w:r>
      <w:r w:rsidR="00616D25">
        <w:rPr>
          <w:rFonts w:ascii="Arial" w:hAnsi="Arial" w:cs="Arial"/>
          <w:b/>
          <w:sz w:val="36"/>
          <w:szCs w:val="36"/>
        </w:rPr>
        <w:t xml:space="preserve"> (</w:t>
      </w:r>
      <w:r>
        <w:rPr>
          <w:rFonts w:ascii="Arial" w:hAnsi="Arial" w:cs="Arial"/>
          <w:b/>
          <w:sz w:val="36"/>
          <w:szCs w:val="36"/>
        </w:rPr>
        <w:t xml:space="preserve">Call-Off </w:t>
      </w:r>
      <w:r w:rsidR="00562676" w:rsidRPr="00616D25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pecification</w:t>
      </w:r>
      <w:r w:rsidR="00616D25">
        <w:rPr>
          <w:rFonts w:ascii="Arial" w:hAnsi="Arial" w:cs="Arial"/>
          <w:b/>
          <w:sz w:val="36"/>
          <w:szCs w:val="36"/>
        </w:rPr>
        <w:t>)</w:t>
      </w:r>
      <w:r w:rsidR="00FA26ED" w:rsidRPr="00616D25">
        <w:rPr>
          <w:rFonts w:ascii="Arial" w:hAnsi="Arial" w:cs="Arial"/>
          <w:sz w:val="36"/>
          <w:szCs w:val="36"/>
        </w:rPr>
        <w:t xml:space="preserve"> </w:t>
      </w:r>
    </w:p>
    <w:p w:rsidR="00733EED" w:rsidRDefault="007E12FE" w:rsidP="0018271B">
      <w:pPr>
        <w:pStyle w:val="GPSL2Numbered"/>
        <w:ind w:left="0" w:firstLine="0"/>
        <w:jc w:val="left"/>
        <w:rPr>
          <w:rFonts w:ascii="Arial" w:hAnsi="Arial"/>
          <w:sz w:val="24"/>
        </w:rPr>
      </w:pPr>
      <w:bookmarkStart w:id="0" w:name="_Hlt365637504"/>
      <w:bookmarkStart w:id="1" w:name="_Hlt365637641"/>
      <w:bookmarkStart w:id="2" w:name="_Hlt365636904"/>
      <w:bookmarkStart w:id="3" w:name="_Hlt365636907"/>
      <w:bookmarkStart w:id="4" w:name="_Toc349230508"/>
      <w:bookmarkStart w:id="5" w:name="_Toc349230509"/>
      <w:bookmarkStart w:id="6" w:name="_Toc349230615"/>
      <w:bookmarkStart w:id="7" w:name="_Toc349230624"/>
      <w:bookmarkStart w:id="8" w:name="_Toc349230661"/>
      <w:bookmarkStart w:id="9" w:name="_Toc349230715"/>
      <w:bookmarkStart w:id="10" w:name="_Toc349230717"/>
      <w:bookmarkStart w:id="11" w:name="_Toc349231564"/>
      <w:bookmarkStart w:id="12" w:name="_Toc348712421"/>
      <w:bookmarkStart w:id="13" w:name="_Toc348712423"/>
      <w:bookmarkStart w:id="14" w:name="_Toc348712425"/>
      <w:bookmarkStart w:id="15" w:name="_Toc349230720"/>
      <w:bookmarkStart w:id="16" w:name="_Toc349231566"/>
      <w:bookmarkStart w:id="17" w:name="_Toc348712427"/>
      <w:bookmarkStart w:id="18" w:name="_Toc348712429"/>
      <w:bookmarkStart w:id="19" w:name="_Toc349230723"/>
      <w:bookmarkStart w:id="20" w:name="_Toc348712431"/>
      <w:bookmarkStart w:id="21" w:name="_Toc349230725"/>
      <w:bookmarkStart w:id="22" w:name="_Toc349231569"/>
      <w:bookmarkStart w:id="23" w:name="_Toc349230741"/>
      <w:bookmarkStart w:id="24" w:name="_Toc349231585"/>
      <w:bookmarkStart w:id="25" w:name="_Toc349232221"/>
      <w:bookmarkStart w:id="26" w:name="_Toc349230757"/>
      <w:bookmarkStart w:id="27" w:name="_Toc349230765"/>
      <w:bookmarkStart w:id="28" w:name="_Toc349231607"/>
      <w:bookmarkStart w:id="29" w:name="_Toc349232238"/>
      <w:bookmarkStart w:id="30" w:name="_Toc349230785"/>
      <w:bookmarkStart w:id="31" w:name="_Toc349231627"/>
      <w:bookmarkStart w:id="32" w:name="_Toc349230790"/>
      <w:bookmarkStart w:id="33" w:name="_Toc349231632"/>
      <w:bookmarkStart w:id="34" w:name="_Toc349230792"/>
      <w:bookmarkStart w:id="35" w:name="_Toc349230803"/>
      <w:bookmarkStart w:id="36" w:name="_Toc349231642"/>
      <w:bookmarkStart w:id="37" w:name="_Toc349232261"/>
      <w:bookmarkStart w:id="38" w:name="_Toc349230813"/>
      <w:bookmarkStart w:id="39" w:name="_Toc349231652"/>
      <w:bookmarkStart w:id="40" w:name="_Toc349232271"/>
      <w:bookmarkStart w:id="41" w:name="_Toc349230815"/>
      <w:bookmarkStart w:id="42" w:name="_Toc349231654"/>
      <w:bookmarkStart w:id="43" w:name="_Toc349232273"/>
      <w:bookmarkStart w:id="44" w:name="_Toc349230822"/>
      <w:bookmarkStart w:id="45" w:name="_Toc349231661"/>
      <w:bookmarkStart w:id="46" w:name="_Toc349232279"/>
      <w:bookmarkStart w:id="47" w:name="_Toc349230832"/>
      <w:bookmarkStart w:id="48" w:name="_Toc348712442"/>
      <w:bookmarkStart w:id="49" w:name="_Toc349230834"/>
      <w:bookmarkStart w:id="50" w:name="_Toc349231671"/>
      <w:bookmarkStart w:id="51" w:name="_Toc349230841"/>
      <w:bookmarkStart w:id="52" w:name="_Toc349231678"/>
      <w:bookmarkStart w:id="53" w:name="_Toc349232291"/>
      <w:bookmarkStart w:id="54" w:name="_Toc349230869"/>
      <w:bookmarkStart w:id="55" w:name="_Toc348712444"/>
      <w:bookmarkStart w:id="56" w:name="_Toc348712446"/>
      <w:bookmarkStart w:id="57" w:name="_Toc348712448"/>
      <w:bookmarkStart w:id="58" w:name="_Toc349230895"/>
      <w:bookmarkStart w:id="59" w:name="_Toc349231722"/>
      <w:bookmarkStart w:id="60" w:name="_Toc349230912"/>
      <w:bookmarkStart w:id="61" w:name="_Toc349230938"/>
      <w:bookmarkStart w:id="62" w:name="_Toc349231748"/>
      <w:bookmarkStart w:id="63" w:name="_Toc348712500"/>
      <w:bookmarkStart w:id="64" w:name="_Toc349231028"/>
      <w:bookmarkStart w:id="65" w:name="_Toc349231805"/>
      <w:bookmarkStart w:id="66" w:name="_Toc348712594"/>
      <w:bookmarkStart w:id="67" w:name="_Toc349231076"/>
      <w:bookmarkStart w:id="68" w:name="_Toc349231179"/>
      <w:bookmarkStart w:id="69" w:name="_Toc349231185"/>
      <w:bookmarkStart w:id="70" w:name="_Toc348712710"/>
      <w:bookmarkStart w:id="71" w:name="_Toc348712716"/>
      <w:bookmarkStart w:id="72" w:name="_Toc3492312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0C76ED">
        <w:rPr>
          <w:rFonts w:ascii="Arial" w:hAnsi="Arial"/>
          <w:sz w:val="24"/>
        </w:rPr>
        <w:t xml:space="preserve">This Schedule sets out the characteristics of the Deliverables that the Supplier will be required to make </w:t>
      </w:r>
      <w:r>
        <w:rPr>
          <w:rFonts w:ascii="Arial" w:hAnsi="Arial"/>
          <w:sz w:val="24"/>
        </w:rPr>
        <w:t xml:space="preserve">to the </w:t>
      </w:r>
      <w:r w:rsidRPr="000C76ED">
        <w:rPr>
          <w:rFonts w:ascii="Arial" w:hAnsi="Arial"/>
          <w:sz w:val="24"/>
        </w:rPr>
        <w:t xml:space="preserve">Buyers under this </w:t>
      </w:r>
      <w:r>
        <w:rPr>
          <w:rFonts w:ascii="Arial" w:hAnsi="Arial"/>
          <w:sz w:val="24"/>
        </w:rPr>
        <w:t>Call-Off Contract</w:t>
      </w:r>
    </w:p>
    <w:p w:rsidR="0018271B" w:rsidRDefault="0018271B" w:rsidP="0018271B">
      <w:pPr>
        <w:pStyle w:val="GPSL2Numbered"/>
        <w:ind w:left="0" w:firstLine="0"/>
        <w:jc w:val="left"/>
        <w:rPr>
          <w:rFonts w:ascii="Arial" w:hAnsi="Arial"/>
          <w:sz w:val="24"/>
          <w:highlight w:val="yellow"/>
        </w:rPr>
      </w:pPr>
    </w:p>
    <w:p w:rsidR="00733EED" w:rsidRPr="00733EED" w:rsidRDefault="00733EED" w:rsidP="00733EED">
      <w:pPr>
        <w:keepNext/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textAlignment w:val="baseline"/>
        <w:outlineLvl w:val="0"/>
        <w:rPr>
          <w:rFonts w:ascii="Arial" w:eastAsia="STZhongsong" w:hAnsi="Arial" w:cs="Arial"/>
          <w:b/>
          <w:caps/>
          <w:lang w:eastAsia="zh-CN"/>
        </w:rPr>
      </w:pPr>
      <w:bookmarkStart w:id="73" w:name="_Toc296415793"/>
      <w:bookmarkStart w:id="74" w:name="_Toc488157147"/>
      <w:r w:rsidRPr="00733EED">
        <w:rPr>
          <w:rFonts w:ascii="Arial" w:eastAsia="STZhongsong" w:hAnsi="Arial" w:cs="Arial"/>
          <w:b/>
          <w:caps/>
          <w:lang w:eastAsia="zh-CN"/>
        </w:rPr>
        <w:t>SPECIFICATION</w:t>
      </w:r>
      <w:bookmarkEnd w:id="74"/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The Authority is seeking the provision of four SAN switches with a minimum of 24 active ports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 xml:space="preserve">to replace existing Brocade Silkworm 300 Fabric Switches.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Please refer to the suggested specification below: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Part code: Q0U59B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Description: HPE SN6600B 32GB 48/24PP+24PSFP+SW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Part code: AG467A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Description: HP DOOR/DOCK Medium Logistic SVC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Part code: H1K92A3/2HZ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Description: HPE SN6600B 32GB 48_48 PP Switch support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Part code: HA113A1/5GA</w:t>
      </w: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 xml:space="preserve">Description: HPE Low End SAN_Edge Switch_HAFM Inst SVC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 xml:space="preserve">The new switches must able to support a minimum 2Gb/s connection between our primary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b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and secondary sites.</w:t>
      </w:r>
      <w:r w:rsidRPr="00733EED">
        <w:rPr>
          <w:rFonts w:ascii="Arial" w:eastAsia="STZhongsong" w:hAnsi="Arial" w:cs="Arial"/>
          <w:b/>
          <w:bCs/>
          <w:lang w:eastAsia="zh-CN"/>
        </w:rPr>
        <w:t xml:space="preserve">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b/>
          <w:bCs/>
          <w:szCs w:val="20"/>
          <w:lang w:eastAsia="zh-CN"/>
        </w:rPr>
      </w:pPr>
      <w:r w:rsidRPr="00733EED">
        <w:rPr>
          <w:rFonts w:ascii="Arial" w:eastAsia="STZhongsong" w:hAnsi="Arial"/>
          <w:b/>
          <w:bCs/>
          <w:szCs w:val="20"/>
          <w:lang w:eastAsia="zh-CN"/>
        </w:rPr>
        <w:t xml:space="preserve">The new switches should be compatible with the current Brocade Silkworm 300 Fabric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b/>
          <w:bCs/>
          <w:szCs w:val="20"/>
          <w:lang w:eastAsia="zh-CN"/>
        </w:rPr>
        <w:t>Switches specifications.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 w:rsidRPr="00733EED">
        <w:rPr>
          <w:rFonts w:ascii="Arial" w:eastAsia="STZhongsong" w:hAnsi="Arial" w:cs="Arial"/>
          <w:lang w:eastAsia="zh-CN"/>
        </w:rPr>
        <w:t xml:space="preserve">The new switches must include ISL trunking capabilities and where possible allow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 w:cs="Arial"/>
          <w:lang w:eastAsia="zh-CN"/>
        </w:rPr>
      </w:pPr>
      <w:r w:rsidRPr="00733EED">
        <w:rPr>
          <w:rFonts w:ascii="Arial" w:eastAsia="STZhongsong" w:hAnsi="Arial" w:cs="Arial"/>
          <w:lang w:eastAsia="zh-CN"/>
        </w:rPr>
        <w:t>VSAN/Virtual Fabric separation.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bookmarkStart w:id="75" w:name="_Hlk57014869"/>
      <w:bookmarkEnd w:id="73"/>
      <w:r w:rsidRPr="00733EED">
        <w:rPr>
          <w:rFonts w:ascii="Arial" w:eastAsia="STZhongsong" w:hAnsi="Arial"/>
          <w:szCs w:val="20"/>
          <w:lang w:eastAsia="zh-CN"/>
        </w:rPr>
        <w:t xml:space="preserve">The Authority is seeking a three (3) years contract for 24/7 365 support for these switches,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33EED">
        <w:rPr>
          <w:rFonts w:ascii="Arial" w:eastAsia="STZhongsong" w:hAnsi="Arial"/>
          <w:b/>
          <w:szCs w:val="20"/>
          <w:lang w:eastAsia="zh-CN"/>
        </w:rPr>
        <w:t xml:space="preserve">with the option of a break clause.  This clause is covered by clause 10.3.1 as detailed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hAnsi="Arial"/>
          <w:b/>
          <w:szCs w:val="20"/>
          <w:lang w:eastAsia="en-GB"/>
        </w:rPr>
      </w:pPr>
      <w:r w:rsidRPr="00733EED">
        <w:rPr>
          <w:rFonts w:ascii="Arial" w:eastAsia="STZhongsong" w:hAnsi="Arial"/>
          <w:b/>
          <w:szCs w:val="20"/>
          <w:lang w:eastAsia="zh-CN"/>
        </w:rPr>
        <w:t>in the Framework Core Terms 3.0.6. document, stated here for convenience:  ‘</w:t>
      </w:r>
      <w:r w:rsidRPr="00733EED">
        <w:rPr>
          <w:rFonts w:ascii="Arial" w:hAnsi="Arial"/>
          <w:b/>
          <w:szCs w:val="20"/>
          <w:lang w:eastAsia="en-GB"/>
        </w:rPr>
        <w:t xml:space="preserve">Each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hAnsi="Arial"/>
          <w:b/>
          <w:szCs w:val="20"/>
          <w:lang w:eastAsia="en-GB"/>
        </w:rPr>
      </w:pPr>
      <w:r w:rsidRPr="00733EED">
        <w:rPr>
          <w:rFonts w:ascii="Arial" w:hAnsi="Arial"/>
          <w:b/>
          <w:szCs w:val="20"/>
          <w:lang w:eastAsia="en-GB"/>
        </w:rPr>
        <w:t xml:space="preserve">Buyer has the right to terminate their Call-Off Contract at any time without reason or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hAnsi="Arial"/>
          <w:b/>
          <w:szCs w:val="20"/>
          <w:lang w:eastAsia="en-GB"/>
        </w:rPr>
      </w:pPr>
      <w:r w:rsidRPr="00733EED">
        <w:rPr>
          <w:rFonts w:ascii="Arial" w:hAnsi="Arial"/>
          <w:b/>
          <w:szCs w:val="20"/>
          <w:lang w:eastAsia="en-GB"/>
        </w:rPr>
        <w:t xml:space="preserve">liability by giving the Supplier not less than 90 days' written notice and if it’s terminated 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hAnsi="Arial"/>
          <w:b/>
          <w:szCs w:val="20"/>
          <w:lang w:eastAsia="en-GB"/>
        </w:rPr>
      </w:pPr>
      <w:r w:rsidRPr="00733EED">
        <w:rPr>
          <w:rFonts w:ascii="Arial" w:hAnsi="Arial"/>
          <w:b/>
          <w:szCs w:val="20"/>
          <w:lang w:eastAsia="en-GB"/>
        </w:rPr>
        <w:t>Clause 10.5.2 to 10.5.7 applies.’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hAnsi="Arial"/>
          <w:b/>
          <w:szCs w:val="20"/>
          <w:lang w:eastAsia="en-GB"/>
        </w:rPr>
      </w:pPr>
    </w:p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highlight w:val="green"/>
          <w:lang w:eastAsia="zh-CN"/>
        </w:rPr>
      </w:pPr>
      <w:r w:rsidRPr="00733EED">
        <w:rPr>
          <w:rFonts w:ascii="Arial" w:eastAsia="STZhongsong" w:hAnsi="Arial"/>
          <w:szCs w:val="20"/>
          <w:lang w:eastAsia="en-GB"/>
        </w:rPr>
        <w:t>Incident Resolution Service Levels are as follows: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823"/>
        <w:gridCol w:w="1981"/>
      </w:tblGrid>
      <w:tr w:rsidR="00733EED" w:rsidRPr="00733EED" w:rsidTr="00861195">
        <w:tc>
          <w:tcPr>
            <w:tcW w:w="1823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Incident severity</w:t>
            </w:r>
          </w:p>
        </w:tc>
        <w:tc>
          <w:tcPr>
            <w:tcW w:w="1981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Resolution time</w:t>
            </w:r>
          </w:p>
        </w:tc>
      </w:tr>
      <w:tr w:rsidR="00733EED" w:rsidRPr="00733EED" w:rsidTr="00861195">
        <w:tc>
          <w:tcPr>
            <w:tcW w:w="1823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Priority 1</w:t>
            </w:r>
          </w:p>
        </w:tc>
        <w:tc>
          <w:tcPr>
            <w:tcW w:w="1981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4 hours</w:t>
            </w:r>
          </w:p>
        </w:tc>
      </w:tr>
      <w:tr w:rsidR="00733EED" w:rsidRPr="00733EED" w:rsidTr="00861195">
        <w:tc>
          <w:tcPr>
            <w:tcW w:w="1823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lastRenderedPageBreak/>
              <w:t>Priority 2</w:t>
            </w:r>
          </w:p>
        </w:tc>
        <w:tc>
          <w:tcPr>
            <w:tcW w:w="1981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8 hours</w:t>
            </w:r>
          </w:p>
        </w:tc>
      </w:tr>
      <w:tr w:rsidR="00733EED" w:rsidRPr="00733EED" w:rsidTr="00861195">
        <w:tc>
          <w:tcPr>
            <w:tcW w:w="1823" w:type="dxa"/>
          </w:tcPr>
          <w:p w:rsidR="00733EED" w:rsidRPr="00733EED" w:rsidRDefault="00733EED" w:rsidP="00733EED">
            <w:p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Priority 3</w:t>
            </w:r>
          </w:p>
        </w:tc>
        <w:tc>
          <w:tcPr>
            <w:tcW w:w="1981" w:type="dxa"/>
          </w:tcPr>
          <w:p w:rsidR="00733EED" w:rsidRPr="00733EED" w:rsidRDefault="00733EED" w:rsidP="00733EED">
            <w:pPr>
              <w:numPr>
                <w:ilvl w:val="0"/>
                <w:numId w:val="84"/>
              </w:numPr>
              <w:spacing w:after="120"/>
              <w:outlineLvl w:val="1"/>
              <w:rPr>
                <w:rFonts w:ascii="Arial" w:eastAsia="STZhongsong" w:hAnsi="Arial" w:cs="Arial"/>
                <w:lang w:eastAsia="zh-CN"/>
              </w:rPr>
            </w:pPr>
            <w:r w:rsidRPr="00733EED">
              <w:rPr>
                <w:rFonts w:ascii="Arial" w:eastAsia="STZhongsong" w:hAnsi="Arial" w:cs="Arial"/>
                <w:lang w:eastAsia="zh-CN"/>
              </w:rPr>
              <w:t>days</w:t>
            </w:r>
          </w:p>
        </w:tc>
      </w:tr>
    </w:tbl>
    <w:p w:rsidR="00733EED" w:rsidRPr="00733EED" w:rsidRDefault="00733EED" w:rsidP="00733EED">
      <w:pPr>
        <w:adjustRightInd w:val="0"/>
        <w:spacing w:after="240" w:line="240" w:lineRule="auto"/>
        <w:ind w:left="720"/>
        <w:jc w:val="both"/>
        <w:outlineLvl w:val="1"/>
        <w:rPr>
          <w:rFonts w:ascii="Arial" w:eastAsia="STZhongsong" w:hAnsi="Arial"/>
          <w:szCs w:val="20"/>
          <w:lang w:eastAsia="en-GB"/>
        </w:rPr>
      </w:pPr>
    </w:p>
    <w:bookmarkEnd w:id="75"/>
    <w:p w:rsidR="00733EED" w:rsidRPr="00733EED" w:rsidRDefault="00733EED" w:rsidP="00733EED">
      <w:pPr>
        <w:spacing w:after="0" w:line="240" w:lineRule="auto"/>
        <w:ind w:left="720" w:hanging="720"/>
        <w:rPr>
          <w:rFonts w:ascii="Arial" w:eastAsia="SimSun" w:hAnsi="Arial"/>
          <w:szCs w:val="24"/>
          <w:lang w:eastAsia="zh-CN"/>
        </w:rPr>
      </w:pP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 xml:space="preserve">The Authority is seeking installation and configuration services, to be provided by SC cleared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>engineers. Preferably engineers will also have NPPV3 clearance.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/>
          <w:iCs/>
          <w:szCs w:val="20"/>
          <w:lang w:eastAsia="zh-CN"/>
        </w:rPr>
      </w:pPr>
      <w:r w:rsidRPr="00733EED">
        <w:rPr>
          <w:rFonts w:ascii="Arial" w:eastAsia="STZhongsong" w:hAnsi="Arial"/>
          <w:szCs w:val="20"/>
          <w:lang w:eastAsia="zh-CN"/>
        </w:rPr>
        <w:t xml:space="preserve">The Authority will dispose of any </w:t>
      </w:r>
      <w:r w:rsidRPr="00733EED">
        <w:rPr>
          <w:rFonts w:ascii="Arial" w:eastAsia="STZhongsong" w:hAnsi="Arial"/>
          <w:iCs/>
          <w:szCs w:val="20"/>
          <w:lang w:eastAsia="zh-CN"/>
        </w:rPr>
        <w:t xml:space="preserve">switches that cannot be fixed and need to be replaced by the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szCs w:val="20"/>
          <w:lang w:eastAsia="zh-CN"/>
        </w:rPr>
      </w:pPr>
      <w:r w:rsidRPr="00733EED">
        <w:rPr>
          <w:rFonts w:ascii="Arial" w:eastAsia="STZhongsong" w:hAnsi="Arial"/>
          <w:iCs/>
          <w:szCs w:val="20"/>
          <w:lang w:eastAsia="zh-CN"/>
        </w:rPr>
        <w:t>supplier. T</w:t>
      </w:r>
      <w:r w:rsidRPr="00733EED">
        <w:rPr>
          <w:rFonts w:ascii="Arial" w:eastAsia="STZhongsong" w:hAnsi="Arial"/>
          <w:szCs w:val="20"/>
          <w:lang w:eastAsia="zh-CN"/>
        </w:rPr>
        <w:t>hey are not to be taken away by the supplier.</w:t>
      </w:r>
    </w:p>
    <w:p w:rsid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0" w:line="240" w:lineRule="auto"/>
        <w:ind w:left="720" w:hanging="720"/>
        <w:jc w:val="both"/>
        <w:outlineLvl w:val="1"/>
        <w:rPr>
          <w:rFonts w:ascii="Arial" w:eastAsia="STZhongsong" w:hAnsi="Arial" w:cs="Arial"/>
          <w:szCs w:val="20"/>
          <w:lang w:eastAsia="zh-CN"/>
        </w:rPr>
      </w:pPr>
      <w:r w:rsidRPr="00733EED">
        <w:rPr>
          <w:rFonts w:ascii="Arial" w:eastAsia="STZhongsong" w:hAnsi="Arial" w:cs="Arial"/>
          <w:lang w:eastAsia="zh-CN"/>
        </w:rPr>
        <w:t>The Authority is seeking t</w:t>
      </w:r>
      <w:r w:rsidRPr="00733EED">
        <w:rPr>
          <w:rFonts w:ascii="Arial" w:eastAsia="STZhongsong" w:hAnsi="Arial" w:cs="Arial"/>
          <w:szCs w:val="20"/>
          <w:lang w:eastAsia="zh-CN"/>
        </w:rPr>
        <w:t xml:space="preserve">he installation of the hardware to be completed and the support to </w:t>
      </w:r>
    </w:p>
    <w:p w:rsidR="00733EED" w:rsidRPr="00733EED" w:rsidRDefault="00733EED" w:rsidP="00733EED">
      <w:pPr>
        <w:numPr>
          <w:ilvl w:val="1"/>
          <w:numId w:val="0"/>
        </w:numPr>
        <w:tabs>
          <w:tab w:val="num" w:pos="720"/>
        </w:tabs>
        <w:adjustRightInd w:val="0"/>
        <w:spacing w:after="240" w:line="240" w:lineRule="auto"/>
        <w:ind w:left="720" w:hanging="720"/>
        <w:jc w:val="both"/>
        <w:outlineLvl w:val="1"/>
        <w:rPr>
          <w:rFonts w:ascii="Arial" w:eastAsia="STZhongsong" w:hAnsi="Arial"/>
          <w:b/>
          <w:szCs w:val="20"/>
          <w:lang w:eastAsia="zh-CN"/>
        </w:rPr>
      </w:pPr>
      <w:r w:rsidRPr="00733EED">
        <w:rPr>
          <w:rFonts w:ascii="Arial" w:eastAsia="STZhongsong" w:hAnsi="Arial" w:cs="Arial"/>
          <w:szCs w:val="20"/>
          <w:lang w:eastAsia="zh-CN"/>
        </w:rPr>
        <w:t>commence by 1</w:t>
      </w:r>
      <w:r w:rsidRPr="00733EED">
        <w:rPr>
          <w:rFonts w:ascii="Arial" w:eastAsia="STZhongsong" w:hAnsi="Arial" w:cs="Arial"/>
          <w:szCs w:val="20"/>
          <w:vertAlign w:val="superscript"/>
          <w:lang w:eastAsia="zh-CN"/>
        </w:rPr>
        <w:t>st</w:t>
      </w:r>
      <w:r w:rsidRPr="00733EED">
        <w:rPr>
          <w:rFonts w:ascii="Arial" w:eastAsia="STZhongsong" w:hAnsi="Arial" w:cs="Arial"/>
          <w:szCs w:val="20"/>
          <w:lang w:eastAsia="zh-CN"/>
        </w:rPr>
        <w:t xml:space="preserve"> February 2021.  (Contract commencement date)</w:t>
      </w:r>
      <w:bookmarkStart w:id="76" w:name="_GoBack"/>
      <w:bookmarkEnd w:id="76"/>
    </w:p>
    <w:sectPr w:rsidR="00733EED" w:rsidRPr="00733E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0B" w:rsidRDefault="00B7260B">
      <w:pPr>
        <w:spacing w:after="0" w:line="240" w:lineRule="auto"/>
      </w:pPr>
      <w:r>
        <w:separator/>
      </w:r>
    </w:p>
  </w:endnote>
  <w:endnote w:type="continuationSeparator" w:id="0">
    <w:p w:rsidR="00B7260B" w:rsidRDefault="00B7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F1B" w:rsidRDefault="00FB1F1B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</w:p>
  <w:p w:rsidR="00597414" w:rsidRPr="007E12FE" w:rsidRDefault="00597414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Framework Ref: RM</w:t>
    </w:r>
    <w:r w:rsidR="00CA1946">
      <w:rPr>
        <w:rFonts w:ascii="Arial" w:hAnsi="Arial" w:cs="Arial"/>
        <w:sz w:val="20"/>
      </w:rPr>
      <w:t>6068</w:t>
    </w:r>
  </w:p>
  <w:p w:rsidR="00597414" w:rsidRPr="007E12FE" w:rsidRDefault="00433263" w:rsidP="00597414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v1.0</w:t>
    </w:r>
    <w:r>
      <w:rPr>
        <w:rFonts w:ascii="Arial" w:hAnsi="Arial" w:cs="Arial"/>
        <w:sz w:val="20"/>
      </w:rPr>
      <w:tab/>
    </w:r>
    <w:r w:rsidR="00717FD0" w:rsidRPr="007E12FE">
      <w:rPr>
        <w:rFonts w:ascii="Arial" w:hAnsi="Arial" w:cs="Arial"/>
        <w:sz w:val="20"/>
      </w:rPr>
      <w:tab/>
      <w:t xml:space="preserve"> 1</w:t>
    </w:r>
  </w:p>
  <w:p w:rsidR="0081513E" w:rsidRPr="007E12FE" w:rsidRDefault="00717FD0" w:rsidP="00597414">
    <w:pPr>
      <w:pStyle w:val="Footer"/>
      <w:rPr>
        <w:rFonts w:ascii="Arial" w:hAnsi="Arial" w:cs="Arial"/>
        <w:sz w:val="20"/>
      </w:rPr>
    </w:pPr>
    <w:r w:rsidRPr="007E12FE">
      <w:rPr>
        <w:rFonts w:ascii="Arial" w:hAnsi="Arial" w:cs="Arial"/>
        <w:sz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0B" w:rsidRDefault="00B7260B">
      <w:pPr>
        <w:spacing w:after="0" w:line="240" w:lineRule="auto"/>
      </w:pPr>
      <w:r>
        <w:separator/>
      </w:r>
    </w:p>
  </w:footnote>
  <w:footnote w:type="continuationSeparator" w:id="0">
    <w:p w:rsidR="00B7260B" w:rsidRDefault="00B7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FE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Schedule 20 (Call-Off Specification)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Call-Off Ref: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  <w:r w:rsidRPr="005C04C4">
      <w:rPr>
        <w:rFonts w:ascii="Arial" w:hAnsi="Arial" w:cs="Arial"/>
        <w:sz w:val="20"/>
        <w:szCs w:val="20"/>
      </w:rPr>
      <w:t>Crown Copyright 2018</w:t>
    </w:r>
  </w:p>
  <w:p w:rsidR="005C04C4" w:rsidRPr="005C04C4" w:rsidRDefault="005C04C4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pStyle w:val="BodyTextInden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A006FC5"/>
    <w:multiLevelType w:val="multilevel"/>
    <w:tmpl w:val="C78C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421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ECF6AD9"/>
    <w:multiLevelType w:val="multilevel"/>
    <w:tmpl w:val="8C12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2ED4AE8"/>
    <w:multiLevelType w:val="hybridMultilevel"/>
    <w:tmpl w:val="B2364FC6"/>
    <w:lvl w:ilvl="0" w:tplc="0B7862B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682CA5"/>
    <w:multiLevelType w:val="multilevel"/>
    <w:tmpl w:val="C4EE7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F66B2"/>
    <w:multiLevelType w:val="multilevel"/>
    <w:tmpl w:val="39E4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2.%3"/>
      <w:lvlJc w:val="left"/>
      <w:pPr>
        <w:tabs>
          <w:tab w:val="num" w:pos="2160"/>
        </w:tabs>
        <w:ind w:left="216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C6855CE"/>
    <w:multiLevelType w:val="multilevel"/>
    <w:tmpl w:val="0A1650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9" w15:restartNumberingAfterBreak="0">
    <w:nsid w:val="74164FE4"/>
    <w:multiLevelType w:val="multilevel"/>
    <w:tmpl w:val="27B0D2D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4AA7086"/>
    <w:multiLevelType w:val="hybridMultilevel"/>
    <w:tmpl w:val="02EA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36E4"/>
    <w:multiLevelType w:val="multilevel"/>
    <w:tmpl w:val="509838D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996"/>
        </w:tabs>
        <w:ind w:left="1996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6"/>
  </w:num>
  <w:num w:numId="45">
    <w:abstractNumId w:val="11"/>
  </w:num>
  <w:num w:numId="46">
    <w:abstractNumId w:val="11"/>
  </w:num>
  <w:num w:numId="47">
    <w:abstractNumId w:val="3"/>
  </w:num>
  <w:num w:numId="48">
    <w:abstractNumId w:val="11"/>
  </w:num>
  <w:num w:numId="49">
    <w:abstractNumId w:val="11"/>
  </w:num>
  <w:num w:numId="50">
    <w:abstractNumId w:val="11"/>
  </w:num>
  <w:num w:numId="51">
    <w:abstractNumId w:val="11"/>
  </w:num>
  <w:num w:numId="52">
    <w:abstractNumId w:val="11"/>
  </w:num>
  <w:num w:numId="53">
    <w:abstractNumId w:val="11"/>
  </w:num>
  <w:num w:numId="54">
    <w:abstractNumId w:val="11"/>
  </w:num>
  <w:num w:numId="55">
    <w:abstractNumId w:val="11"/>
  </w:num>
  <w:num w:numId="56">
    <w:abstractNumId w:val="11"/>
  </w:num>
  <w:num w:numId="57">
    <w:abstractNumId w:val="11"/>
  </w:num>
  <w:num w:numId="58">
    <w:abstractNumId w:val="11"/>
  </w:num>
  <w:num w:numId="59">
    <w:abstractNumId w:val="11"/>
  </w:num>
  <w:num w:numId="60">
    <w:abstractNumId w:val="11"/>
  </w:num>
  <w:num w:numId="61">
    <w:abstractNumId w:val="11"/>
  </w:num>
  <w:num w:numId="62">
    <w:abstractNumId w:val="11"/>
  </w:num>
  <w:num w:numId="63">
    <w:abstractNumId w:val="11"/>
  </w:num>
  <w:num w:numId="64">
    <w:abstractNumId w:val="11"/>
  </w:num>
  <w:num w:numId="65">
    <w:abstractNumId w:val="11"/>
  </w:num>
  <w:num w:numId="66">
    <w:abstractNumId w:val="11"/>
  </w:num>
  <w:num w:numId="67">
    <w:abstractNumId w:val="11"/>
  </w:num>
  <w:num w:numId="68">
    <w:abstractNumId w:val="10"/>
  </w:num>
  <w:num w:numId="69">
    <w:abstractNumId w:val="11"/>
  </w:num>
  <w:num w:numId="70">
    <w:abstractNumId w:val="1"/>
  </w:num>
  <w:num w:numId="71">
    <w:abstractNumId w:val="11"/>
  </w:num>
  <w:num w:numId="72">
    <w:abstractNumId w:val="11"/>
  </w:num>
  <w:num w:numId="73">
    <w:abstractNumId w:val="11"/>
  </w:num>
  <w:num w:numId="74">
    <w:abstractNumId w:val="11"/>
  </w:num>
  <w:num w:numId="75">
    <w:abstractNumId w:val="11"/>
  </w:num>
  <w:num w:numId="76">
    <w:abstractNumId w:val="8"/>
  </w:num>
  <w:num w:numId="77">
    <w:abstractNumId w:val="11"/>
  </w:num>
  <w:num w:numId="78">
    <w:abstractNumId w:val="11"/>
  </w:num>
  <w:num w:numId="79">
    <w:abstractNumId w:val="11"/>
  </w:num>
  <w:num w:numId="80">
    <w:abstractNumId w:val="9"/>
  </w:num>
  <w:num w:numId="81">
    <w:abstractNumId w:val="7"/>
  </w:num>
  <w:num w:numId="82">
    <w:abstractNumId w:val="5"/>
  </w:num>
  <w:num w:numId="83">
    <w:abstractNumId w:val="11"/>
  </w:num>
  <w:num w:numId="84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3E"/>
    <w:rsid w:val="000574E9"/>
    <w:rsid w:val="00123B48"/>
    <w:rsid w:val="001649BE"/>
    <w:rsid w:val="0018271B"/>
    <w:rsid w:val="002824DB"/>
    <w:rsid w:val="002E32B7"/>
    <w:rsid w:val="00336691"/>
    <w:rsid w:val="00395C1A"/>
    <w:rsid w:val="00412D4E"/>
    <w:rsid w:val="00433263"/>
    <w:rsid w:val="004B33C1"/>
    <w:rsid w:val="004C111F"/>
    <w:rsid w:val="00562676"/>
    <w:rsid w:val="00597414"/>
    <w:rsid w:val="005B4E76"/>
    <w:rsid w:val="005C04C4"/>
    <w:rsid w:val="00616D25"/>
    <w:rsid w:val="00692427"/>
    <w:rsid w:val="00717FD0"/>
    <w:rsid w:val="007335CD"/>
    <w:rsid w:val="00733EED"/>
    <w:rsid w:val="007E12FE"/>
    <w:rsid w:val="0081513E"/>
    <w:rsid w:val="00847F87"/>
    <w:rsid w:val="00880F36"/>
    <w:rsid w:val="008906FC"/>
    <w:rsid w:val="008B56C2"/>
    <w:rsid w:val="008F480A"/>
    <w:rsid w:val="009612FD"/>
    <w:rsid w:val="00A4427B"/>
    <w:rsid w:val="00A663BD"/>
    <w:rsid w:val="00B7260B"/>
    <w:rsid w:val="00BF1FD7"/>
    <w:rsid w:val="00CA1946"/>
    <w:rsid w:val="00D236B6"/>
    <w:rsid w:val="00D44FC1"/>
    <w:rsid w:val="00D95845"/>
    <w:rsid w:val="00DC54C2"/>
    <w:rsid w:val="00E63C82"/>
    <w:rsid w:val="00E86078"/>
    <w:rsid w:val="00E94174"/>
    <w:rsid w:val="00FA26ED"/>
    <w:rsid w:val="00FB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9DBC35DE-84D2-4942-918A-C1D07870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clear" w:pos="1996"/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ascii="Calibri" w:eastAsia="Times New Roman" w:hAnsi="Calibri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733EE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30A4-939C-44E4-BC97-C50A5A79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F9C0DC0D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Butler Stephen Charles (HO Commercial Directorate)</cp:lastModifiedBy>
  <cp:revision>3</cp:revision>
  <dcterms:created xsi:type="dcterms:W3CDTF">2021-01-11T12:29:00Z</dcterms:created>
  <dcterms:modified xsi:type="dcterms:W3CDTF">2021-01-11T12:31:00Z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