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142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142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Contract Notice – Authorised Customer List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This Framework Agreement RM6194 Back Office Software is for use by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Contracting Authorities in the United Kingdom that exist on 4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November 2020 and which fall into one or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more of the following categories: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1. Any of the following: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(a) Ministerial government departments;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(b) Non ministerial government departments;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(c) Executive agencies of government;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(d) Non-Departmental Public Bodies (NDPBs), including advisory NDPBs, executive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NDPBs, and tribunal NDPBs;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(e) Assembly Sponsored Public Bodies (ASPBs);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(f) Police forces;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(g) Fire and rescue services;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(h) Ambulance services;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(i) Maritime and coastguard agency services;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(j) NHS bodies;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(k) Educational bodies or establishments including state schools (nursery schools,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primary schools, middle or high schools, secondary schools, special schools),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academies, colleges, Pupil Referral Unit (PRU), further education colleges and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universities;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(l) Hospices;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(m) National Parks;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(n) Housing associations, including registered social landlords;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(o) Third sector and charities;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(p) Citizens advice bodies;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(q) Councils, including county councils, district councils, county borough councils,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community councils, London borough councils, unitary councils, metropolitan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councils, parish councils;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(r) Public corporations;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(s) Public financial bodies or institutions;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(t) Public pension funds;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(u) Central banks; and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(v) Civil service bodies, including public sector buying organisations.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2. Those listed and maintained by the Government on their website at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https://www.gov.uk/government/organisations or any replacement or updated web-link.</w:t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3. Those listed and maintained by the Office of National Statistics (ONS) at</w:t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https://www.ons.gov.uk/economy/nationalaccounts/uksectoraccounts/datasets/public</w:t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sectorclassificationguide or any replacement or updated web-link.</w:t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4. Those bodies in England, Wales or Northern Ireland which are within the scope of</w:t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definition of “Contracting Authority” in regulation 2(1) of the Public Contracts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54" w:right="0" w:hanging="454"/>
        <w:jc w:val="left"/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Regulations 2015 (PCR) and/or Schedule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54" w:right="0" w:hanging="454"/>
        <w:jc w:val="left"/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54" w:right="0" w:hanging="454"/>
        <w:jc w:val="left"/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54" w:right="0" w:hanging="454"/>
        <w:jc w:val="left"/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first"/>
      <w:footerReference r:id="rId7" w:type="default"/>
      <w:pgSz w:h="16840" w:w="11900" w:orient="portrait"/>
      <w:pgMar w:bottom="720" w:top="720" w:left="720" w:right="72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485900" cy="1234440"/>
          <wp:effectExtent b="0" l="0" r="0" t="0"/>
          <wp:docPr descr="CCS_2935_SML_AW" id="1" name="image1.png"/>
          <a:graphic>
            <a:graphicData uri="http://schemas.openxmlformats.org/drawingml/2006/picture">
              <pic:pic>
                <pic:nvPicPr>
                  <pic:cNvPr descr="CCS_2935_SML_AW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5900" cy="12344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