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E7E" w:rsidRDefault="00854E7E" w:rsidP="00854E7E">
      <w:pPr>
        <w:jc w:val="center"/>
        <w:rPr>
          <w:rFonts w:ascii="Arial" w:hAnsi="Arial" w:cs="Arial"/>
          <w:sz w:val="32"/>
        </w:rPr>
      </w:pPr>
      <w:r>
        <w:rPr>
          <w:rFonts w:ascii="Arial" w:hAnsi="Arial" w:cs="Arial"/>
          <w:sz w:val="32"/>
        </w:rPr>
        <w:t xml:space="preserve">Market Engagement – Transparency Disclosure  </w:t>
      </w:r>
    </w:p>
    <w:p w:rsidR="004C6BDB" w:rsidRPr="005041C6" w:rsidRDefault="004C6BDB" w:rsidP="004C6BDB">
      <w:pPr>
        <w:pStyle w:val="NoSpacing"/>
        <w:rPr>
          <w:b/>
        </w:rPr>
      </w:pPr>
      <w:r w:rsidRPr="00481098">
        <w:rPr>
          <w:b/>
        </w:rPr>
        <w:t xml:space="preserve">Invitation to offer for </w:t>
      </w:r>
      <w:r>
        <w:rPr>
          <w:b/>
        </w:rPr>
        <w:t xml:space="preserve">NHS National framework agreement for the supply of the home </w:t>
      </w:r>
      <w:r w:rsidR="00C04EF9" w:rsidRPr="00C04EF9">
        <w:rPr>
          <w:b/>
        </w:rPr>
        <w:t>parenteral</w:t>
      </w:r>
      <w:r>
        <w:rPr>
          <w:b/>
        </w:rPr>
        <w:t xml:space="preserve"> nutrition &amp; intravenous fluid for patients with severe intestinal failure</w:t>
      </w:r>
    </w:p>
    <w:p w:rsidR="004C6BDB" w:rsidRPr="008143E5" w:rsidRDefault="004C6BDB" w:rsidP="004C6BDB">
      <w:pPr>
        <w:pStyle w:val="NoSpacing"/>
        <w:rPr>
          <w:b/>
          <w:szCs w:val="22"/>
        </w:rPr>
      </w:pPr>
      <w:r w:rsidRPr="008143E5">
        <w:rPr>
          <w:b/>
          <w:szCs w:val="22"/>
        </w:rPr>
        <w:t>Offer reference number: CM/MSR/17</w:t>
      </w:r>
      <w:r>
        <w:rPr>
          <w:b/>
          <w:szCs w:val="22"/>
        </w:rPr>
        <w:t>/</w:t>
      </w:r>
      <w:r w:rsidRPr="008143E5">
        <w:rPr>
          <w:b/>
          <w:szCs w:val="22"/>
        </w:rPr>
        <w:t>5541</w:t>
      </w:r>
    </w:p>
    <w:p w:rsidR="004C6BDB" w:rsidRPr="008143E5" w:rsidRDefault="004C6BDB" w:rsidP="004C6BDB">
      <w:pPr>
        <w:pStyle w:val="Default"/>
        <w:rPr>
          <w:rFonts w:ascii="Arial" w:hAnsi="Arial" w:cs="Arial"/>
          <w:b/>
          <w:bCs/>
          <w:sz w:val="22"/>
          <w:szCs w:val="22"/>
        </w:rPr>
      </w:pPr>
      <w:r w:rsidRPr="008143E5">
        <w:rPr>
          <w:rFonts w:ascii="Arial" w:hAnsi="Arial" w:cs="Arial"/>
          <w:b/>
          <w:sz w:val="22"/>
          <w:szCs w:val="22"/>
        </w:rPr>
        <w:t>Period of framework agreement:</w:t>
      </w:r>
      <w:r w:rsidRPr="008143E5">
        <w:rPr>
          <w:b/>
          <w:sz w:val="22"/>
          <w:szCs w:val="22"/>
        </w:rPr>
        <w:t xml:space="preserve"> </w:t>
      </w:r>
      <w:r w:rsidRPr="008143E5">
        <w:rPr>
          <w:rFonts w:ascii="Arial" w:hAnsi="Arial" w:cs="Arial"/>
          <w:b/>
          <w:bCs/>
          <w:sz w:val="22"/>
          <w:szCs w:val="22"/>
        </w:rPr>
        <w:t>1 April 2020 to 31 March 2022</w:t>
      </w:r>
      <w:r w:rsidRPr="008143E5">
        <w:rPr>
          <w:b/>
          <w:sz w:val="22"/>
          <w:szCs w:val="22"/>
        </w:rPr>
        <w:t xml:space="preserve"> </w:t>
      </w:r>
      <w:r w:rsidRPr="008143E5">
        <w:rPr>
          <w:rFonts w:ascii="Arial" w:hAnsi="Arial" w:cs="Arial"/>
          <w:b/>
          <w:bCs/>
          <w:sz w:val="22"/>
          <w:szCs w:val="22"/>
        </w:rPr>
        <w:t>with option(s) to extend for up to a total period of 24 months</w:t>
      </w:r>
    </w:p>
    <w:p w:rsidR="00415197" w:rsidRPr="00EC6FF6" w:rsidRDefault="00415197" w:rsidP="00052142">
      <w:pPr>
        <w:pStyle w:val="Default"/>
        <w:rPr>
          <w:rFonts w:ascii="Arial" w:hAnsi="Arial" w:cs="Arial"/>
          <w:b/>
          <w:bCs/>
          <w:sz w:val="22"/>
          <w:szCs w:val="22"/>
        </w:rPr>
      </w:pPr>
      <w:bookmarkStart w:id="0" w:name="_GoBack"/>
      <w:bookmarkEnd w:id="0"/>
    </w:p>
    <w:p w:rsidR="00153D94" w:rsidRDefault="00854E7E" w:rsidP="00854E7E">
      <w:pPr>
        <w:pStyle w:val="xl30"/>
        <w:tabs>
          <w:tab w:val="left" w:pos="2175"/>
          <w:tab w:val="left" w:pos="9620"/>
        </w:tabs>
        <w:spacing w:before="0" w:beforeAutospacing="0" w:after="0" w:afterAutospacing="0"/>
        <w:rPr>
          <w:bCs w:val="0"/>
        </w:rPr>
      </w:pPr>
      <w:r w:rsidRPr="00EC6FF6">
        <w:rPr>
          <w:bCs w:val="0"/>
        </w:rPr>
        <w:t xml:space="preserve">To inform NHS England’s approach to this tender exercise </w:t>
      </w:r>
      <w:r w:rsidR="00415197" w:rsidRPr="00EC6FF6">
        <w:rPr>
          <w:bCs w:val="0"/>
        </w:rPr>
        <w:t>and gain</w:t>
      </w:r>
      <w:r w:rsidR="00440670" w:rsidRPr="00EC6FF6">
        <w:rPr>
          <w:bCs w:val="0"/>
        </w:rPr>
        <w:t xml:space="preserve"> </w:t>
      </w:r>
      <w:r w:rsidR="00415197" w:rsidRPr="00EC6FF6">
        <w:rPr>
          <w:bCs w:val="0"/>
        </w:rPr>
        <w:t>feedback</w:t>
      </w:r>
      <w:r w:rsidRPr="00EC6FF6">
        <w:rPr>
          <w:bCs w:val="0"/>
        </w:rPr>
        <w:t xml:space="preserve"> </w:t>
      </w:r>
      <w:r w:rsidR="00153D94">
        <w:rPr>
          <w:bCs w:val="0"/>
        </w:rPr>
        <w:t xml:space="preserve">from suppliers. </w:t>
      </w:r>
    </w:p>
    <w:p w:rsidR="00440670" w:rsidRPr="00EC6FF6" w:rsidRDefault="00153D94" w:rsidP="00854E7E">
      <w:pPr>
        <w:pStyle w:val="xl30"/>
        <w:tabs>
          <w:tab w:val="left" w:pos="2175"/>
          <w:tab w:val="left" w:pos="9620"/>
        </w:tabs>
        <w:spacing w:before="0" w:beforeAutospacing="0" w:after="0" w:afterAutospacing="0"/>
        <w:rPr>
          <w:bCs w:val="0"/>
        </w:rPr>
      </w:pPr>
      <w:r>
        <w:rPr>
          <w:bCs w:val="0"/>
        </w:rPr>
        <w:t>A</w:t>
      </w:r>
      <w:r w:rsidR="00415197" w:rsidRPr="00EC6FF6">
        <w:rPr>
          <w:bCs w:val="0"/>
        </w:rPr>
        <w:t xml:space="preserve">n invitation </w:t>
      </w:r>
      <w:r>
        <w:rPr>
          <w:bCs w:val="0"/>
        </w:rPr>
        <w:t xml:space="preserve">was </w:t>
      </w:r>
      <w:r w:rsidR="00415197" w:rsidRPr="00EC6FF6">
        <w:rPr>
          <w:bCs w:val="0"/>
        </w:rPr>
        <w:t>sent out via the industry trade body National Clinical Homecare Association (NCHA) on 23</w:t>
      </w:r>
      <w:r w:rsidR="00415197" w:rsidRPr="00EC6FF6">
        <w:rPr>
          <w:bCs w:val="0"/>
          <w:vertAlign w:val="superscript"/>
        </w:rPr>
        <w:t>rd</w:t>
      </w:r>
      <w:r w:rsidR="00415197" w:rsidRPr="00EC6FF6">
        <w:rPr>
          <w:bCs w:val="0"/>
        </w:rPr>
        <w:t xml:space="preserve"> January </w:t>
      </w:r>
      <w:r>
        <w:rPr>
          <w:bCs w:val="0"/>
        </w:rPr>
        <w:t>2019, t</w:t>
      </w:r>
      <w:r w:rsidR="00415197" w:rsidRPr="00EC6FF6">
        <w:rPr>
          <w:bCs w:val="0"/>
        </w:rPr>
        <w:t xml:space="preserve">he meeting was held </w:t>
      </w:r>
      <w:r w:rsidR="00854E7E" w:rsidRPr="00EC6FF6">
        <w:rPr>
          <w:bCs w:val="0"/>
        </w:rPr>
        <w:t xml:space="preserve">on </w:t>
      </w:r>
      <w:r w:rsidR="00415197" w:rsidRPr="00EC6FF6">
        <w:rPr>
          <w:bCs w:val="0"/>
        </w:rPr>
        <w:t>29</w:t>
      </w:r>
      <w:r w:rsidR="00854E7E" w:rsidRPr="00EC6FF6">
        <w:rPr>
          <w:bCs w:val="0"/>
          <w:vertAlign w:val="superscript"/>
        </w:rPr>
        <w:t>th</w:t>
      </w:r>
      <w:r w:rsidR="00440670" w:rsidRPr="00EC6FF6">
        <w:rPr>
          <w:bCs w:val="0"/>
          <w:vertAlign w:val="superscript"/>
        </w:rPr>
        <w:t xml:space="preserve"> </w:t>
      </w:r>
      <w:r w:rsidR="00415197" w:rsidRPr="00EC6FF6">
        <w:rPr>
          <w:bCs w:val="0"/>
        </w:rPr>
        <w:t>March 2019.</w:t>
      </w:r>
    </w:p>
    <w:p w:rsidR="00415197" w:rsidRPr="00EC6FF6" w:rsidRDefault="00415197" w:rsidP="00854E7E">
      <w:pPr>
        <w:pStyle w:val="xl30"/>
        <w:tabs>
          <w:tab w:val="left" w:pos="2175"/>
          <w:tab w:val="left" w:pos="9620"/>
        </w:tabs>
        <w:spacing w:before="0" w:beforeAutospacing="0" w:after="0" w:afterAutospacing="0"/>
        <w:rPr>
          <w:bCs w:val="0"/>
        </w:rPr>
      </w:pPr>
    </w:p>
    <w:p w:rsidR="00440670" w:rsidRPr="00EC6FF6" w:rsidRDefault="00415197" w:rsidP="00854E7E">
      <w:pPr>
        <w:pStyle w:val="xl30"/>
        <w:tabs>
          <w:tab w:val="left" w:pos="2175"/>
          <w:tab w:val="left" w:pos="9620"/>
        </w:tabs>
        <w:spacing w:before="0" w:beforeAutospacing="0" w:after="0" w:afterAutospacing="0"/>
        <w:rPr>
          <w:bCs w:val="0"/>
        </w:rPr>
      </w:pPr>
      <w:r w:rsidRPr="00EC6FF6">
        <w:rPr>
          <w:bCs w:val="0"/>
        </w:rPr>
        <w:t>The following</w:t>
      </w:r>
      <w:r w:rsidR="00D615E9" w:rsidRPr="00EC6FF6">
        <w:rPr>
          <w:bCs w:val="0"/>
        </w:rPr>
        <w:t xml:space="preserve"> attended this meeting:</w:t>
      </w:r>
    </w:p>
    <w:p w:rsidR="00D615E9" w:rsidRDefault="00D615E9" w:rsidP="00854E7E">
      <w:pPr>
        <w:pStyle w:val="xl30"/>
        <w:tabs>
          <w:tab w:val="left" w:pos="2175"/>
          <w:tab w:val="left" w:pos="9620"/>
        </w:tabs>
        <w:spacing w:before="0" w:beforeAutospacing="0" w:after="0" w:afterAutospacing="0"/>
        <w:rPr>
          <w:bCs w:val="0"/>
          <w:sz w:val="24"/>
        </w:rPr>
      </w:pPr>
    </w:p>
    <w:tbl>
      <w:tblPr>
        <w:tblW w:w="48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440"/>
        <w:gridCol w:w="4440"/>
      </w:tblGrid>
      <w:tr w:rsidR="00D615E9" w:rsidRPr="00D615E9" w:rsidTr="00153D94">
        <w:trPr>
          <w:trHeight w:val="113"/>
        </w:trPr>
        <w:tc>
          <w:tcPr>
            <w:tcW w:w="2500" w:type="pct"/>
            <w:shd w:val="clear" w:color="auto" w:fill="FFFFFF"/>
            <w:hideMark/>
          </w:tcPr>
          <w:p w:rsidR="00D615E9" w:rsidRPr="00D615E9" w:rsidRDefault="00415197" w:rsidP="0059639C">
            <w:pPr>
              <w:spacing w:after="0" w:line="240" w:lineRule="auto"/>
              <w:rPr>
                <w:rFonts w:ascii="Calibri" w:eastAsia="Times New Roman" w:hAnsi="Calibri" w:cs="Calibri"/>
                <w:b/>
                <w:bCs/>
                <w:sz w:val="16"/>
                <w:szCs w:val="16"/>
                <w:lang w:eastAsia="en-GB"/>
              </w:rPr>
            </w:pPr>
            <w:r>
              <w:rPr>
                <w:rFonts w:ascii="Arial" w:eastAsia="Calibri" w:hAnsi="Arial" w:cs="Arial"/>
                <w:b/>
                <w:sz w:val="20"/>
                <w:szCs w:val="20"/>
                <w:lang w:val="en-US" w:bidi="en-US"/>
              </w:rPr>
              <w:t>NHS</w:t>
            </w:r>
          </w:p>
        </w:tc>
        <w:tc>
          <w:tcPr>
            <w:tcW w:w="2500" w:type="pct"/>
            <w:shd w:val="clear" w:color="auto" w:fill="FFFFFF"/>
          </w:tcPr>
          <w:p w:rsidR="00D615E9" w:rsidRPr="00D615E9" w:rsidRDefault="0059639C" w:rsidP="00377C3D">
            <w:pPr>
              <w:spacing w:after="0" w:line="240" w:lineRule="auto"/>
              <w:rPr>
                <w:rFonts w:ascii="Arial" w:eastAsia="Times New Roman" w:hAnsi="Arial" w:cs="Arial"/>
                <w:b/>
                <w:lang w:eastAsia="en-GB"/>
              </w:rPr>
            </w:pPr>
            <w:r>
              <w:rPr>
                <w:rFonts w:ascii="Arial" w:eastAsia="Times New Roman" w:hAnsi="Arial" w:cs="Arial"/>
                <w:b/>
                <w:lang w:eastAsia="en-GB"/>
              </w:rPr>
              <w:t>Supplier</w:t>
            </w:r>
          </w:p>
        </w:tc>
      </w:tr>
      <w:tr w:rsidR="00D615E9" w:rsidRPr="00D615E9" w:rsidTr="00153D94">
        <w:trPr>
          <w:trHeight w:val="113"/>
        </w:trPr>
        <w:tc>
          <w:tcPr>
            <w:tcW w:w="2500" w:type="pct"/>
            <w:shd w:val="clear" w:color="auto" w:fill="FFFFFF"/>
          </w:tcPr>
          <w:p w:rsidR="00D615E9" w:rsidRPr="00EC6FF6" w:rsidRDefault="00415197" w:rsidP="00153D94">
            <w:pPr>
              <w:rPr>
                <w:rFonts w:ascii="Arial" w:eastAsia="Times New Roman" w:hAnsi="Arial" w:cs="Arial"/>
                <w:lang w:eastAsia="en-GB"/>
              </w:rPr>
            </w:pPr>
            <w:r w:rsidRPr="00EC6FF6">
              <w:rPr>
                <w:rFonts w:ascii="Arial" w:hAnsi="Arial" w:cs="Arial"/>
                <w:bCs/>
              </w:rPr>
              <w:t>Mia Small (MS) - HPN Chair</w:t>
            </w:r>
          </w:p>
        </w:tc>
        <w:tc>
          <w:tcPr>
            <w:tcW w:w="2500" w:type="pct"/>
            <w:shd w:val="clear" w:color="auto" w:fill="FFFFFF"/>
          </w:tcPr>
          <w:p w:rsidR="00D615E9" w:rsidRPr="00D615E9" w:rsidRDefault="00FD0C8F" w:rsidP="00377C3D">
            <w:pPr>
              <w:spacing w:after="0" w:line="240" w:lineRule="auto"/>
              <w:rPr>
                <w:rFonts w:ascii="Arial" w:eastAsia="Times New Roman" w:hAnsi="Arial" w:cs="Arial"/>
                <w:lang w:eastAsia="en-GB"/>
              </w:rPr>
            </w:pPr>
            <w:r>
              <w:rPr>
                <w:rFonts w:ascii="Arial" w:eastAsia="Times New Roman" w:hAnsi="Arial" w:cs="Arial"/>
                <w:lang w:eastAsia="en-GB"/>
              </w:rPr>
              <w:t>Alcura</w:t>
            </w:r>
          </w:p>
        </w:tc>
      </w:tr>
      <w:tr w:rsidR="00D615E9" w:rsidRPr="00D615E9" w:rsidTr="00153D94">
        <w:trPr>
          <w:trHeight w:val="113"/>
        </w:trPr>
        <w:tc>
          <w:tcPr>
            <w:tcW w:w="2500" w:type="pct"/>
            <w:shd w:val="clear" w:color="auto" w:fill="FFFFFF"/>
          </w:tcPr>
          <w:p w:rsidR="00D615E9" w:rsidRPr="00EC6FF6" w:rsidRDefault="00415197" w:rsidP="00153D94">
            <w:pPr>
              <w:rPr>
                <w:rFonts w:ascii="Arial" w:eastAsia="Times New Roman" w:hAnsi="Arial" w:cs="Arial"/>
                <w:lang w:eastAsia="en-GB"/>
              </w:rPr>
            </w:pPr>
            <w:r w:rsidRPr="00EC6FF6">
              <w:rPr>
                <w:rFonts w:ascii="Arial" w:hAnsi="Arial" w:cs="Arial"/>
                <w:bCs/>
              </w:rPr>
              <w:t>Elizabeth Payne (LP) - CMU</w:t>
            </w:r>
          </w:p>
        </w:tc>
        <w:tc>
          <w:tcPr>
            <w:tcW w:w="2500" w:type="pct"/>
            <w:shd w:val="clear" w:color="auto" w:fill="FFFFFF"/>
          </w:tcPr>
          <w:p w:rsidR="00D615E9" w:rsidRPr="00D615E9" w:rsidRDefault="00FD0C8F" w:rsidP="00377C3D">
            <w:pPr>
              <w:spacing w:after="0" w:line="240" w:lineRule="auto"/>
              <w:rPr>
                <w:rFonts w:ascii="Arial" w:eastAsia="Times New Roman" w:hAnsi="Arial" w:cs="Arial"/>
                <w:lang w:eastAsia="en-GB"/>
              </w:rPr>
            </w:pPr>
            <w:r>
              <w:rPr>
                <w:rFonts w:ascii="Arial" w:eastAsia="Times New Roman" w:hAnsi="Arial" w:cs="Arial"/>
                <w:lang w:eastAsia="en-GB"/>
              </w:rPr>
              <w:t>Baxter</w:t>
            </w:r>
          </w:p>
        </w:tc>
      </w:tr>
      <w:tr w:rsidR="00D615E9" w:rsidRPr="00D615E9" w:rsidTr="00153D94">
        <w:trPr>
          <w:trHeight w:val="113"/>
        </w:trPr>
        <w:tc>
          <w:tcPr>
            <w:tcW w:w="2500" w:type="pct"/>
            <w:shd w:val="clear" w:color="auto" w:fill="FFFFFF"/>
          </w:tcPr>
          <w:p w:rsidR="00D615E9" w:rsidRPr="00EC6FF6" w:rsidRDefault="00415197" w:rsidP="00153D94">
            <w:pPr>
              <w:rPr>
                <w:rFonts w:ascii="Arial" w:eastAsia="Times New Roman" w:hAnsi="Arial" w:cs="Arial"/>
                <w:lang w:eastAsia="en-GB"/>
              </w:rPr>
            </w:pPr>
            <w:r w:rsidRPr="00EC6FF6">
              <w:rPr>
                <w:rFonts w:ascii="Arial" w:hAnsi="Arial" w:cs="Arial"/>
                <w:bCs/>
              </w:rPr>
              <w:t>Lynne Newell (LN)– CMU</w:t>
            </w:r>
          </w:p>
        </w:tc>
        <w:tc>
          <w:tcPr>
            <w:tcW w:w="2500" w:type="pct"/>
            <w:shd w:val="clear" w:color="auto" w:fill="FFFFFF"/>
          </w:tcPr>
          <w:p w:rsidR="00D615E9" w:rsidRPr="00D615E9" w:rsidRDefault="00EC6FF6" w:rsidP="00377C3D">
            <w:pPr>
              <w:spacing w:after="0" w:line="240" w:lineRule="auto"/>
              <w:rPr>
                <w:rFonts w:ascii="Arial" w:eastAsia="Times New Roman" w:hAnsi="Arial" w:cs="Arial"/>
                <w:lang w:eastAsia="en-GB"/>
              </w:rPr>
            </w:pPr>
            <w:proofErr w:type="spellStart"/>
            <w:r>
              <w:rPr>
                <w:rFonts w:ascii="Arial" w:eastAsia="Times New Roman" w:hAnsi="Arial" w:cs="Arial"/>
                <w:lang w:eastAsia="en-GB"/>
              </w:rPr>
              <w:t>BBraun</w:t>
            </w:r>
            <w:proofErr w:type="spellEnd"/>
          </w:p>
        </w:tc>
      </w:tr>
      <w:tr w:rsidR="00D615E9" w:rsidRPr="00D615E9" w:rsidTr="00153D94">
        <w:trPr>
          <w:trHeight w:val="113"/>
        </w:trPr>
        <w:tc>
          <w:tcPr>
            <w:tcW w:w="2500" w:type="pct"/>
            <w:shd w:val="clear" w:color="auto" w:fill="FFFFFF"/>
          </w:tcPr>
          <w:p w:rsidR="00D615E9" w:rsidRPr="00EC6FF6" w:rsidRDefault="00415197" w:rsidP="00153D94">
            <w:pPr>
              <w:rPr>
                <w:rFonts w:ascii="Arial" w:eastAsia="Times New Roman" w:hAnsi="Arial" w:cs="Arial"/>
                <w:lang w:eastAsia="en-GB"/>
              </w:rPr>
            </w:pPr>
            <w:r w:rsidRPr="00EC6FF6">
              <w:rPr>
                <w:rFonts w:ascii="Arial" w:hAnsi="Arial" w:cs="Arial"/>
                <w:bCs/>
              </w:rPr>
              <w:t>Jo</w:t>
            </w:r>
            <w:r w:rsidR="00676CC4">
              <w:rPr>
                <w:rFonts w:ascii="Arial" w:hAnsi="Arial" w:cs="Arial"/>
                <w:bCs/>
              </w:rPr>
              <w:t>h</w:t>
            </w:r>
            <w:r w:rsidRPr="00EC6FF6">
              <w:rPr>
                <w:rFonts w:ascii="Arial" w:hAnsi="Arial" w:cs="Arial"/>
                <w:bCs/>
              </w:rPr>
              <w:t>anna Rodriguez (JR) – CMU</w:t>
            </w:r>
          </w:p>
        </w:tc>
        <w:tc>
          <w:tcPr>
            <w:tcW w:w="2500" w:type="pct"/>
            <w:shd w:val="clear" w:color="auto" w:fill="FFFFFF"/>
          </w:tcPr>
          <w:p w:rsidR="00D615E9" w:rsidRPr="00D615E9" w:rsidRDefault="00EC6FF6" w:rsidP="00377C3D">
            <w:pPr>
              <w:spacing w:after="0" w:line="240" w:lineRule="auto"/>
              <w:rPr>
                <w:rFonts w:ascii="Arial" w:eastAsia="Times New Roman" w:hAnsi="Arial" w:cs="Arial"/>
                <w:lang w:eastAsia="en-GB"/>
              </w:rPr>
            </w:pPr>
            <w:proofErr w:type="spellStart"/>
            <w:r>
              <w:rPr>
                <w:rFonts w:ascii="Arial" w:eastAsia="Times New Roman" w:hAnsi="Arial" w:cs="Arial"/>
                <w:lang w:eastAsia="en-GB"/>
              </w:rPr>
              <w:t>Calea</w:t>
            </w:r>
            <w:proofErr w:type="spellEnd"/>
          </w:p>
        </w:tc>
      </w:tr>
      <w:tr w:rsidR="00D615E9" w:rsidRPr="00D615E9" w:rsidTr="00153D94">
        <w:trPr>
          <w:trHeight w:val="113"/>
        </w:trPr>
        <w:tc>
          <w:tcPr>
            <w:tcW w:w="2500" w:type="pct"/>
            <w:shd w:val="clear" w:color="auto" w:fill="FFFFFF"/>
          </w:tcPr>
          <w:p w:rsidR="00D615E9" w:rsidRPr="00EC6FF6" w:rsidRDefault="00415197" w:rsidP="00153D94">
            <w:pPr>
              <w:rPr>
                <w:rFonts w:ascii="Arial" w:eastAsia="Times New Roman" w:hAnsi="Arial" w:cs="Arial"/>
                <w:lang w:eastAsia="en-GB"/>
              </w:rPr>
            </w:pPr>
            <w:r w:rsidRPr="00EC6FF6">
              <w:rPr>
                <w:rFonts w:ascii="Arial" w:hAnsi="Arial" w:cs="Arial"/>
                <w:bCs/>
              </w:rPr>
              <w:t>Lucy Baker (LB) - CMU</w:t>
            </w:r>
          </w:p>
        </w:tc>
        <w:tc>
          <w:tcPr>
            <w:tcW w:w="2500" w:type="pct"/>
            <w:shd w:val="clear" w:color="auto" w:fill="FFFFFF"/>
          </w:tcPr>
          <w:p w:rsidR="00D615E9" w:rsidRPr="00D615E9" w:rsidRDefault="00EC6FF6" w:rsidP="00377C3D">
            <w:pPr>
              <w:spacing w:after="0" w:line="240" w:lineRule="auto"/>
              <w:rPr>
                <w:rFonts w:ascii="Arial" w:eastAsia="Times New Roman" w:hAnsi="Arial" w:cs="Arial"/>
                <w:lang w:eastAsia="en-GB"/>
              </w:rPr>
            </w:pPr>
            <w:r>
              <w:rPr>
                <w:rFonts w:ascii="Arial" w:eastAsia="Times New Roman" w:hAnsi="Arial" w:cs="Arial"/>
                <w:lang w:eastAsia="en-GB"/>
              </w:rPr>
              <w:t>Delightful Care</w:t>
            </w:r>
          </w:p>
        </w:tc>
      </w:tr>
      <w:tr w:rsidR="00D615E9" w:rsidRPr="00D615E9" w:rsidTr="00153D94">
        <w:trPr>
          <w:trHeight w:val="113"/>
        </w:trPr>
        <w:tc>
          <w:tcPr>
            <w:tcW w:w="2500" w:type="pct"/>
            <w:shd w:val="clear" w:color="auto" w:fill="FFFFFF"/>
          </w:tcPr>
          <w:p w:rsidR="00D615E9" w:rsidRPr="00EC6FF6" w:rsidRDefault="00415197" w:rsidP="00153D94">
            <w:pPr>
              <w:rPr>
                <w:rFonts w:ascii="Arial" w:eastAsia="Times New Roman" w:hAnsi="Arial" w:cs="Arial"/>
                <w:lang w:eastAsia="en-GB"/>
              </w:rPr>
            </w:pPr>
            <w:r w:rsidRPr="00EC6FF6">
              <w:rPr>
                <w:rFonts w:ascii="Arial" w:hAnsi="Arial" w:cs="Arial"/>
                <w:bCs/>
              </w:rPr>
              <w:t>Jackie Eastwood (JE) – NHS</w:t>
            </w:r>
          </w:p>
        </w:tc>
        <w:tc>
          <w:tcPr>
            <w:tcW w:w="2500" w:type="pct"/>
            <w:shd w:val="clear" w:color="auto" w:fill="FFFFFF"/>
          </w:tcPr>
          <w:p w:rsidR="00D615E9" w:rsidRPr="00D615E9" w:rsidRDefault="00EC6FF6" w:rsidP="00377C3D">
            <w:pPr>
              <w:spacing w:after="0" w:line="240" w:lineRule="auto"/>
              <w:rPr>
                <w:rFonts w:ascii="Arial" w:eastAsia="Times New Roman" w:hAnsi="Arial" w:cs="Arial"/>
                <w:lang w:eastAsia="en-GB"/>
              </w:rPr>
            </w:pPr>
            <w:r>
              <w:rPr>
                <w:rFonts w:ascii="Arial" w:eastAsia="Times New Roman" w:hAnsi="Arial" w:cs="Arial"/>
                <w:lang w:eastAsia="en-GB"/>
              </w:rPr>
              <w:t>Lloyds</w:t>
            </w:r>
          </w:p>
        </w:tc>
      </w:tr>
      <w:tr w:rsidR="00D615E9" w:rsidRPr="00D615E9" w:rsidTr="00153D94">
        <w:trPr>
          <w:trHeight w:val="113"/>
        </w:trPr>
        <w:tc>
          <w:tcPr>
            <w:tcW w:w="2500" w:type="pct"/>
            <w:shd w:val="clear" w:color="auto" w:fill="FFFFFF"/>
          </w:tcPr>
          <w:p w:rsidR="00D615E9" w:rsidRPr="00EC6FF6" w:rsidRDefault="00415197" w:rsidP="00153D94">
            <w:pPr>
              <w:rPr>
                <w:rFonts w:ascii="Arial" w:eastAsia="Times New Roman" w:hAnsi="Arial" w:cs="Arial"/>
                <w:lang w:eastAsia="en-GB"/>
              </w:rPr>
            </w:pPr>
            <w:r w:rsidRPr="00EC6FF6">
              <w:rPr>
                <w:rFonts w:ascii="Arial" w:hAnsi="Arial" w:cs="Arial"/>
                <w:bCs/>
              </w:rPr>
              <w:t>Melanie Baker (MB) – NHS</w:t>
            </w:r>
          </w:p>
        </w:tc>
        <w:tc>
          <w:tcPr>
            <w:tcW w:w="2500" w:type="pct"/>
            <w:shd w:val="clear" w:color="auto" w:fill="FFFFFF"/>
          </w:tcPr>
          <w:p w:rsidR="00D615E9" w:rsidRPr="00D615E9" w:rsidRDefault="00EC6FF6" w:rsidP="00EC6FF6">
            <w:pPr>
              <w:spacing w:after="0" w:line="240" w:lineRule="auto"/>
              <w:rPr>
                <w:rFonts w:ascii="Arial" w:eastAsia="Times New Roman" w:hAnsi="Arial" w:cs="Arial"/>
                <w:lang w:eastAsia="en-GB"/>
              </w:rPr>
            </w:pPr>
            <w:r>
              <w:rPr>
                <w:rFonts w:ascii="Arial" w:eastAsia="Times New Roman" w:hAnsi="Arial" w:cs="Arial"/>
                <w:lang w:eastAsia="en-GB"/>
              </w:rPr>
              <w:t xml:space="preserve">Royal Liverpool &amp; </w:t>
            </w:r>
            <w:proofErr w:type="spellStart"/>
            <w:r>
              <w:rPr>
                <w:rFonts w:ascii="Arial" w:eastAsia="Times New Roman" w:hAnsi="Arial" w:cs="Arial"/>
                <w:lang w:eastAsia="en-GB"/>
              </w:rPr>
              <w:t>Broadgreen</w:t>
            </w:r>
            <w:proofErr w:type="spellEnd"/>
            <w:r>
              <w:rPr>
                <w:rFonts w:ascii="Arial" w:eastAsia="Times New Roman" w:hAnsi="Arial" w:cs="Arial"/>
                <w:lang w:eastAsia="en-GB"/>
              </w:rPr>
              <w:t xml:space="preserve"> </w:t>
            </w:r>
          </w:p>
        </w:tc>
      </w:tr>
      <w:tr w:rsidR="00D615E9" w:rsidRPr="00D615E9" w:rsidTr="00153D94">
        <w:trPr>
          <w:trHeight w:val="113"/>
        </w:trPr>
        <w:tc>
          <w:tcPr>
            <w:tcW w:w="2500" w:type="pct"/>
            <w:shd w:val="clear" w:color="auto" w:fill="FFFFFF"/>
          </w:tcPr>
          <w:p w:rsidR="00D615E9" w:rsidRPr="00EC6FF6" w:rsidRDefault="00415197" w:rsidP="00153D94">
            <w:pPr>
              <w:rPr>
                <w:rFonts w:ascii="Arial" w:eastAsia="Times New Roman" w:hAnsi="Arial" w:cs="Arial"/>
                <w:lang w:eastAsia="en-GB"/>
              </w:rPr>
            </w:pPr>
            <w:r w:rsidRPr="00EC6FF6">
              <w:rPr>
                <w:rFonts w:ascii="Arial" w:hAnsi="Arial" w:cs="Arial"/>
                <w:bCs/>
              </w:rPr>
              <w:t>Linda Hardy (LH) – NHS</w:t>
            </w:r>
          </w:p>
        </w:tc>
        <w:tc>
          <w:tcPr>
            <w:tcW w:w="2500" w:type="pct"/>
            <w:shd w:val="clear" w:color="auto" w:fill="FFFFFF"/>
          </w:tcPr>
          <w:p w:rsidR="00D615E9" w:rsidRPr="00D615E9" w:rsidRDefault="00D615E9" w:rsidP="00D615E9">
            <w:pPr>
              <w:spacing w:after="0" w:line="240" w:lineRule="auto"/>
              <w:rPr>
                <w:rFonts w:ascii="Arial" w:eastAsia="Times New Roman" w:hAnsi="Arial" w:cs="Arial"/>
                <w:lang w:eastAsia="en-GB"/>
              </w:rPr>
            </w:pPr>
          </w:p>
        </w:tc>
      </w:tr>
      <w:tr w:rsidR="00D615E9" w:rsidRPr="00D615E9" w:rsidTr="00153D94">
        <w:trPr>
          <w:trHeight w:val="113"/>
        </w:trPr>
        <w:tc>
          <w:tcPr>
            <w:tcW w:w="2500" w:type="pct"/>
            <w:shd w:val="clear" w:color="auto" w:fill="FFFFFF"/>
          </w:tcPr>
          <w:p w:rsidR="00D615E9" w:rsidRPr="00EC6FF6" w:rsidRDefault="00415197" w:rsidP="00153D94">
            <w:pPr>
              <w:rPr>
                <w:rFonts w:ascii="Arial" w:eastAsia="Times New Roman" w:hAnsi="Arial" w:cs="Arial"/>
                <w:lang w:eastAsia="en-GB"/>
              </w:rPr>
            </w:pPr>
            <w:r w:rsidRPr="00EC6FF6">
              <w:rPr>
                <w:rFonts w:ascii="Arial" w:hAnsi="Arial" w:cs="Arial"/>
                <w:bCs/>
              </w:rPr>
              <w:t>Venetia Simchowitz (VS) – NHS</w:t>
            </w:r>
          </w:p>
        </w:tc>
        <w:tc>
          <w:tcPr>
            <w:tcW w:w="2500" w:type="pct"/>
            <w:shd w:val="clear" w:color="auto" w:fill="FFFFFF"/>
          </w:tcPr>
          <w:p w:rsidR="00D615E9" w:rsidRPr="00D615E9" w:rsidRDefault="00D615E9" w:rsidP="00D615E9">
            <w:pPr>
              <w:spacing w:after="0" w:line="240" w:lineRule="auto"/>
              <w:rPr>
                <w:rFonts w:ascii="Arial" w:eastAsia="Times New Roman" w:hAnsi="Arial" w:cs="Arial"/>
                <w:lang w:eastAsia="en-GB"/>
              </w:rPr>
            </w:pPr>
          </w:p>
        </w:tc>
      </w:tr>
      <w:tr w:rsidR="00D615E9" w:rsidRPr="00D615E9" w:rsidTr="00153D94">
        <w:trPr>
          <w:trHeight w:val="113"/>
        </w:trPr>
        <w:tc>
          <w:tcPr>
            <w:tcW w:w="2500" w:type="pct"/>
            <w:shd w:val="clear" w:color="auto" w:fill="FFFFFF"/>
          </w:tcPr>
          <w:p w:rsidR="00D615E9" w:rsidRDefault="00415197" w:rsidP="00D615E9">
            <w:pPr>
              <w:spacing w:after="0" w:line="240" w:lineRule="auto"/>
              <w:rPr>
                <w:rFonts w:ascii="Arial" w:hAnsi="Arial" w:cs="Arial"/>
                <w:bCs/>
              </w:rPr>
            </w:pPr>
            <w:r w:rsidRPr="00EC6FF6">
              <w:rPr>
                <w:rFonts w:ascii="Arial" w:hAnsi="Arial" w:cs="Arial"/>
                <w:bCs/>
              </w:rPr>
              <w:t xml:space="preserve">Heather Weaver (HW) </w:t>
            </w:r>
            <w:r w:rsidR="00153D94">
              <w:rPr>
                <w:rFonts w:ascii="Arial" w:hAnsi="Arial" w:cs="Arial"/>
                <w:bCs/>
              </w:rPr>
              <w:t>–</w:t>
            </w:r>
            <w:r w:rsidRPr="00EC6FF6">
              <w:rPr>
                <w:rFonts w:ascii="Arial" w:hAnsi="Arial" w:cs="Arial"/>
                <w:bCs/>
              </w:rPr>
              <w:t xml:space="preserve"> NHSE</w:t>
            </w:r>
          </w:p>
          <w:p w:rsidR="00153D94" w:rsidRPr="00EC6FF6" w:rsidRDefault="00153D94" w:rsidP="00D615E9">
            <w:pPr>
              <w:spacing w:after="0" w:line="240" w:lineRule="auto"/>
              <w:rPr>
                <w:rFonts w:ascii="Arial" w:eastAsia="Times New Roman" w:hAnsi="Arial" w:cs="Arial"/>
                <w:lang w:eastAsia="en-GB"/>
              </w:rPr>
            </w:pPr>
          </w:p>
        </w:tc>
        <w:tc>
          <w:tcPr>
            <w:tcW w:w="2500" w:type="pct"/>
            <w:shd w:val="clear" w:color="auto" w:fill="FFFFFF"/>
          </w:tcPr>
          <w:p w:rsidR="00D615E9" w:rsidRPr="00D615E9" w:rsidRDefault="00D615E9" w:rsidP="00D615E9">
            <w:pPr>
              <w:spacing w:after="0" w:line="240" w:lineRule="auto"/>
              <w:rPr>
                <w:rFonts w:ascii="Arial" w:eastAsia="Times New Roman" w:hAnsi="Arial" w:cs="Arial"/>
                <w:lang w:eastAsia="en-GB"/>
              </w:rPr>
            </w:pPr>
          </w:p>
        </w:tc>
      </w:tr>
      <w:tr w:rsidR="00D615E9" w:rsidRPr="00D615E9" w:rsidTr="00153D94">
        <w:trPr>
          <w:trHeight w:val="113"/>
        </w:trPr>
        <w:tc>
          <w:tcPr>
            <w:tcW w:w="2500" w:type="pct"/>
            <w:shd w:val="clear" w:color="auto" w:fill="FFFFFF"/>
          </w:tcPr>
          <w:p w:rsidR="00D615E9" w:rsidRPr="00EC6FF6" w:rsidRDefault="00415197" w:rsidP="00153D94">
            <w:pPr>
              <w:rPr>
                <w:rFonts w:ascii="Arial" w:eastAsia="Times New Roman" w:hAnsi="Arial" w:cs="Arial"/>
                <w:lang w:eastAsia="en-GB"/>
              </w:rPr>
            </w:pPr>
            <w:r w:rsidRPr="00EC6FF6">
              <w:rPr>
                <w:rFonts w:ascii="Arial" w:hAnsi="Arial" w:cs="Arial"/>
                <w:bCs/>
              </w:rPr>
              <w:t>Jeremey Nightingale (JN) - NHS</w:t>
            </w:r>
          </w:p>
        </w:tc>
        <w:tc>
          <w:tcPr>
            <w:tcW w:w="2500" w:type="pct"/>
            <w:shd w:val="clear" w:color="auto" w:fill="FFFFFF"/>
          </w:tcPr>
          <w:p w:rsidR="00D615E9" w:rsidRPr="00D615E9" w:rsidRDefault="00D615E9" w:rsidP="00D615E9">
            <w:pPr>
              <w:spacing w:after="0" w:line="240" w:lineRule="auto"/>
              <w:rPr>
                <w:rFonts w:ascii="Arial" w:eastAsia="Times New Roman" w:hAnsi="Arial" w:cs="Arial"/>
                <w:lang w:eastAsia="en-GB"/>
              </w:rPr>
            </w:pPr>
          </w:p>
        </w:tc>
      </w:tr>
    </w:tbl>
    <w:p w:rsidR="00D615E9" w:rsidRPr="00A77304" w:rsidRDefault="00D615E9" w:rsidP="00854E7E">
      <w:pPr>
        <w:pStyle w:val="xl30"/>
        <w:tabs>
          <w:tab w:val="left" w:pos="2175"/>
          <w:tab w:val="left" w:pos="9620"/>
        </w:tabs>
        <w:spacing w:before="0" w:beforeAutospacing="0" w:after="0" w:afterAutospacing="0"/>
        <w:rPr>
          <w:bCs w:val="0"/>
          <w:sz w:val="24"/>
        </w:rPr>
      </w:pPr>
    </w:p>
    <w:p w:rsidR="00854E7E" w:rsidRPr="00A77304" w:rsidRDefault="00854E7E" w:rsidP="00854E7E">
      <w:pPr>
        <w:pStyle w:val="xl30"/>
        <w:tabs>
          <w:tab w:val="left" w:pos="2175"/>
          <w:tab w:val="left" w:pos="9620"/>
        </w:tabs>
        <w:spacing w:before="0" w:beforeAutospacing="0" w:after="0" w:afterAutospacing="0"/>
        <w:rPr>
          <w:bCs w:val="0"/>
          <w:sz w:val="24"/>
        </w:rPr>
      </w:pPr>
    </w:p>
    <w:p w:rsidR="00854E7E" w:rsidRDefault="00854E7E" w:rsidP="00854E7E">
      <w:pPr>
        <w:pStyle w:val="xl30"/>
        <w:tabs>
          <w:tab w:val="left" w:pos="2175"/>
          <w:tab w:val="left" w:pos="9620"/>
        </w:tabs>
        <w:spacing w:before="0" w:beforeAutospacing="0" w:after="0" w:afterAutospacing="0"/>
        <w:rPr>
          <w:bCs w:val="0"/>
          <w:sz w:val="24"/>
        </w:rPr>
      </w:pPr>
      <w:r w:rsidRPr="00A77304">
        <w:rPr>
          <w:bCs w:val="0"/>
          <w:sz w:val="24"/>
        </w:rPr>
        <w:t xml:space="preserve">To ensure no supplier has an undue advantage the key points and information conveyed have been summarised </w:t>
      </w:r>
      <w:r w:rsidR="00D615E9">
        <w:rPr>
          <w:bCs w:val="0"/>
          <w:sz w:val="24"/>
        </w:rPr>
        <w:t xml:space="preserve">in the meeting notes </w:t>
      </w:r>
      <w:r w:rsidRPr="00A77304">
        <w:rPr>
          <w:bCs w:val="0"/>
          <w:sz w:val="24"/>
        </w:rPr>
        <w:t>below.</w:t>
      </w:r>
    </w:p>
    <w:p w:rsidR="0059639C" w:rsidRDefault="0059639C" w:rsidP="00854E7E">
      <w:pPr>
        <w:pStyle w:val="xl30"/>
        <w:tabs>
          <w:tab w:val="left" w:pos="2175"/>
          <w:tab w:val="left" w:pos="9620"/>
        </w:tabs>
        <w:spacing w:before="0" w:beforeAutospacing="0" w:after="0" w:afterAutospacing="0"/>
        <w:rPr>
          <w:b w:val="0"/>
          <w:bCs w:val="0"/>
          <w:sz w:val="24"/>
          <w:u w:val="single"/>
        </w:rPr>
      </w:pPr>
    </w:p>
    <w:p w:rsidR="00D615E9" w:rsidRPr="00912758" w:rsidRDefault="00D615E9" w:rsidP="00912758">
      <w:pPr>
        <w:pStyle w:val="ListParagraph"/>
        <w:numPr>
          <w:ilvl w:val="0"/>
          <w:numId w:val="9"/>
        </w:numPr>
        <w:spacing w:after="0" w:line="240" w:lineRule="auto"/>
        <w:rPr>
          <w:rFonts w:ascii="Arial" w:eastAsia="Calibri" w:hAnsi="Arial" w:cs="Arial"/>
          <w:b/>
          <w:lang w:val="en-US" w:bidi="en-US"/>
        </w:rPr>
      </w:pPr>
      <w:r w:rsidRPr="00912758">
        <w:rPr>
          <w:rFonts w:ascii="Arial" w:eastAsia="Calibri" w:hAnsi="Arial" w:cs="Arial"/>
          <w:b/>
          <w:lang w:val="en-US" w:bidi="en-US"/>
        </w:rPr>
        <w:t>Overview</w:t>
      </w:r>
    </w:p>
    <w:p w:rsidR="00D615E9" w:rsidRPr="00630BFE" w:rsidRDefault="00D615E9" w:rsidP="00D615E9">
      <w:pPr>
        <w:spacing w:after="0" w:line="240" w:lineRule="auto"/>
        <w:ind w:left="720"/>
        <w:rPr>
          <w:rFonts w:ascii="Arial" w:eastAsia="Calibri" w:hAnsi="Arial" w:cs="Arial"/>
          <w:b/>
          <w:lang w:val="en-US" w:bidi="en-US"/>
        </w:rPr>
      </w:pPr>
    </w:p>
    <w:p w:rsidR="00D615E9" w:rsidRPr="00630BFE" w:rsidRDefault="00D615E9" w:rsidP="00D615E9">
      <w:pPr>
        <w:numPr>
          <w:ilvl w:val="1"/>
          <w:numId w:val="2"/>
        </w:numPr>
        <w:spacing w:after="0" w:line="240" w:lineRule="auto"/>
        <w:rPr>
          <w:rFonts w:ascii="Arial" w:eastAsia="Calibri" w:hAnsi="Arial" w:cs="Arial"/>
          <w:i/>
          <w:lang w:val="en-US" w:bidi="en-US"/>
        </w:rPr>
      </w:pPr>
      <w:r w:rsidRPr="00630BFE">
        <w:rPr>
          <w:rFonts w:ascii="Arial" w:eastAsia="Calibri" w:hAnsi="Arial" w:cs="Arial"/>
          <w:b/>
          <w:lang w:val="en-US" w:bidi="en-US"/>
        </w:rPr>
        <w:t xml:space="preserve">Structure of the Day </w:t>
      </w:r>
      <w:r w:rsidRPr="00630BFE">
        <w:rPr>
          <w:rFonts w:ascii="Arial" w:eastAsia="Calibri" w:hAnsi="Arial" w:cs="Arial"/>
          <w:b/>
          <w:lang w:val="en-US" w:bidi="en-US"/>
        </w:rPr>
        <w:br/>
      </w:r>
      <w:r w:rsidRPr="00630BFE">
        <w:rPr>
          <w:rFonts w:ascii="Arial" w:eastAsia="Calibri" w:hAnsi="Arial" w:cs="Arial"/>
          <w:lang w:val="en-US" w:bidi="en-US"/>
        </w:rPr>
        <w:t xml:space="preserve">Open forum to discuss changes and clarity to the tender </w:t>
      </w:r>
      <w:r w:rsidR="00912758" w:rsidRPr="00630BFE">
        <w:rPr>
          <w:rFonts w:ascii="Arial" w:eastAsia="Calibri" w:hAnsi="Arial" w:cs="Arial"/>
          <w:lang w:val="en-US" w:bidi="en-US"/>
        </w:rPr>
        <w:t>looking for all to contribute</w:t>
      </w:r>
      <w:r w:rsidR="00912758">
        <w:rPr>
          <w:rFonts w:ascii="Arial" w:eastAsia="Calibri" w:hAnsi="Arial" w:cs="Arial"/>
          <w:lang w:val="en-US" w:bidi="en-US"/>
        </w:rPr>
        <w:t xml:space="preserve">, </w:t>
      </w:r>
      <w:r w:rsidRPr="00630BFE">
        <w:rPr>
          <w:rFonts w:ascii="Arial" w:eastAsia="Calibri" w:hAnsi="Arial" w:cs="Arial"/>
          <w:lang w:val="en-US" w:bidi="en-US"/>
        </w:rPr>
        <w:t xml:space="preserve">followed by one to </w:t>
      </w:r>
      <w:r w:rsidR="00912758">
        <w:rPr>
          <w:rFonts w:ascii="Arial" w:eastAsia="Calibri" w:hAnsi="Arial" w:cs="Arial"/>
          <w:lang w:val="en-US" w:bidi="en-US"/>
        </w:rPr>
        <w:t>one sessions with the suppliers.</w:t>
      </w:r>
    </w:p>
    <w:p w:rsidR="00D615E9" w:rsidRPr="00630BFE" w:rsidRDefault="00D615E9" w:rsidP="00D615E9">
      <w:pPr>
        <w:numPr>
          <w:ilvl w:val="1"/>
          <w:numId w:val="2"/>
        </w:numPr>
        <w:spacing w:after="0" w:line="240" w:lineRule="auto"/>
        <w:rPr>
          <w:rFonts w:ascii="Arial" w:eastAsia="Calibri" w:hAnsi="Arial" w:cs="Arial"/>
          <w:i/>
          <w:lang w:val="en-US" w:bidi="en-US"/>
        </w:rPr>
      </w:pPr>
      <w:r w:rsidRPr="00630BFE">
        <w:rPr>
          <w:rFonts w:ascii="Arial" w:eastAsia="Calibri" w:hAnsi="Arial" w:cs="Arial"/>
          <w:b/>
          <w:lang w:val="en-US" w:bidi="en-US"/>
        </w:rPr>
        <w:t>Rules of engagement</w:t>
      </w:r>
    </w:p>
    <w:p w:rsidR="00D615E9" w:rsidRPr="00630BFE" w:rsidRDefault="00D615E9" w:rsidP="00D615E9">
      <w:pPr>
        <w:spacing w:after="0" w:line="240" w:lineRule="auto"/>
        <w:ind w:left="1440"/>
        <w:rPr>
          <w:rFonts w:ascii="Arial" w:eastAsia="Calibri" w:hAnsi="Arial" w:cs="Arial"/>
          <w:i/>
          <w:lang w:val="en-US" w:bidi="en-US"/>
        </w:rPr>
      </w:pPr>
      <w:r w:rsidRPr="00630BFE">
        <w:rPr>
          <w:rFonts w:ascii="Arial" w:eastAsia="Calibri" w:hAnsi="Arial" w:cs="Arial"/>
          <w:b/>
          <w:lang w:val="en-US" w:bidi="en-US"/>
        </w:rPr>
        <w:t xml:space="preserve"> </w:t>
      </w:r>
      <w:r w:rsidRPr="00630BFE">
        <w:rPr>
          <w:rFonts w:ascii="Arial" w:eastAsia="Calibri" w:hAnsi="Arial" w:cs="Arial"/>
          <w:lang w:val="en-US" w:bidi="en-US"/>
        </w:rPr>
        <w:t>No discussion of actual pricing or company sensitive information</w:t>
      </w:r>
    </w:p>
    <w:p w:rsidR="00D615E9" w:rsidRPr="00630BFE" w:rsidRDefault="00D615E9" w:rsidP="00D615E9">
      <w:pPr>
        <w:numPr>
          <w:ilvl w:val="1"/>
          <w:numId w:val="2"/>
        </w:numPr>
        <w:spacing w:after="0" w:line="240" w:lineRule="auto"/>
        <w:rPr>
          <w:rFonts w:ascii="Arial" w:eastAsia="Calibri" w:hAnsi="Arial" w:cs="Arial"/>
          <w:i/>
          <w:lang w:val="en-US" w:bidi="en-US"/>
        </w:rPr>
      </w:pPr>
      <w:r w:rsidRPr="00630BFE">
        <w:rPr>
          <w:rFonts w:ascii="Arial" w:eastAsia="Calibri" w:hAnsi="Arial" w:cs="Arial"/>
          <w:b/>
          <w:lang w:val="en-US" w:bidi="en-US"/>
        </w:rPr>
        <w:t xml:space="preserve">The Specification and other documents </w:t>
      </w:r>
    </w:p>
    <w:p w:rsidR="00D615E9" w:rsidRPr="00630BFE" w:rsidRDefault="00D615E9" w:rsidP="00D615E9">
      <w:pPr>
        <w:spacing w:after="0" w:line="240" w:lineRule="auto"/>
        <w:ind w:left="1440"/>
        <w:rPr>
          <w:rFonts w:ascii="Arial" w:eastAsia="Calibri" w:hAnsi="Arial" w:cs="Arial"/>
          <w:i/>
          <w:lang w:val="en-US" w:bidi="en-US"/>
        </w:rPr>
      </w:pPr>
      <w:r w:rsidRPr="00630BFE">
        <w:rPr>
          <w:rFonts w:ascii="Arial" w:eastAsia="Calibri" w:hAnsi="Arial" w:cs="Arial"/>
          <w:lang w:val="en-US" w:bidi="en-US"/>
        </w:rPr>
        <w:t>These documents</w:t>
      </w:r>
      <w:r w:rsidRPr="00630BFE">
        <w:rPr>
          <w:rFonts w:ascii="Arial" w:eastAsia="Calibri" w:hAnsi="Arial" w:cs="Arial"/>
          <w:b/>
          <w:lang w:val="en-US" w:bidi="en-US"/>
        </w:rPr>
        <w:t xml:space="preserve"> </w:t>
      </w:r>
      <w:r w:rsidRPr="00630BFE">
        <w:rPr>
          <w:rFonts w:ascii="Arial" w:eastAsia="Calibri" w:hAnsi="Arial" w:cs="Arial"/>
          <w:lang w:val="en-US" w:bidi="en-US"/>
        </w:rPr>
        <w:t>are still all draft and are subject to change</w:t>
      </w:r>
    </w:p>
    <w:p w:rsidR="00D615E9" w:rsidRPr="00630BFE" w:rsidRDefault="00D615E9" w:rsidP="00D615E9">
      <w:pPr>
        <w:numPr>
          <w:ilvl w:val="1"/>
          <w:numId w:val="2"/>
        </w:numPr>
        <w:spacing w:after="0" w:line="240" w:lineRule="auto"/>
        <w:rPr>
          <w:rFonts w:ascii="Arial" w:eastAsia="Calibri" w:hAnsi="Arial" w:cs="Arial"/>
          <w:b/>
          <w:lang w:val="en-US" w:bidi="en-US"/>
        </w:rPr>
      </w:pPr>
      <w:r w:rsidRPr="00630BFE">
        <w:rPr>
          <w:rFonts w:ascii="Arial" w:eastAsia="Calibri" w:hAnsi="Arial" w:cs="Arial"/>
          <w:b/>
          <w:lang w:val="en-US" w:bidi="en-US"/>
        </w:rPr>
        <w:lastRenderedPageBreak/>
        <w:t xml:space="preserve">Planned time-table </w:t>
      </w:r>
    </w:p>
    <w:p w:rsidR="00D615E9" w:rsidRPr="00912758" w:rsidRDefault="00D615E9" w:rsidP="00D615E9">
      <w:pPr>
        <w:spacing w:after="0" w:line="240" w:lineRule="auto"/>
        <w:ind w:left="1440"/>
        <w:rPr>
          <w:rFonts w:ascii="Arial" w:eastAsia="Calibri" w:hAnsi="Arial" w:cs="Arial"/>
          <w:b/>
          <w:lang w:val="en-US" w:bidi="en-US"/>
        </w:rPr>
      </w:pPr>
      <w:r w:rsidRPr="00912758">
        <w:rPr>
          <w:rFonts w:ascii="Arial" w:eastAsia="Calibri" w:hAnsi="Arial" w:cs="Arial"/>
          <w:lang w:val="en-US" w:bidi="en-US"/>
        </w:rPr>
        <w:t xml:space="preserve">OJEU due to be published early – mid </w:t>
      </w:r>
      <w:r w:rsidR="00912758" w:rsidRPr="00912758">
        <w:rPr>
          <w:rFonts w:ascii="Arial" w:eastAsia="Calibri" w:hAnsi="Arial" w:cs="Arial"/>
          <w:lang w:val="en-US" w:bidi="en-US"/>
        </w:rPr>
        <w:t>June 2019</w:t>
      </w:r>
      <w:r w:rsidRPr="00912758">
        <w:rPr>
          <w:rFonts w:ascii="Arial" w:eastAsia="Calibri" w:hAnsi="Arial" w:cs="Arial"/>
          <w:lang w:val="en-US" w:bidi="en-US"/>
        </w:rPr>
        <w:t xml:space="preserve"> </w:t>
      </w:r>
    </w:p>
    <w:p w:rsidR="00D615E9" w:rsidRPr="00912758" w:rsidRDefault="00D615E9" w:rsidP="00D615E9">
      <w:pPr>
        <w:spacing w:after="0" w:line="240" w:lineRule="auto"/>
        <w:ind w:left="1440"/>
        <w:rPr>
          <w:rFonts w:ascii="Arial" w:eastAsia="Calibri" w:hAnsi="Arial" w:cs="Arial"/>
          <w:lang w:val="en-US" w:bidi="en-US"/>
        </w:rPr>
      </w:pPr>
      <w:r w:rsidRPr="00912758">
        <w:rPr>
          <w:rFonts w:ascii="Arial" w:eastAsia="Calibri" w:hAnsi="Arial" w:cs="Arial"/>
          <w:lang w:val="en-US" w:bidi="en-US"/>
        </w:rPr>
        <w:t xml:space="preserve">Adjudication </w:t>
      </w:r>
      <w:r w:rsidR="00912758" w:rsidRPr="00912758">
        <w:rPr>
          <w:rFonts w:ascii="Arial" w:eastAsia="Calibri" w:hAnsi="Arial" w:cs="Arial"/>
          <w:lang w:val="en-US" w:bidi="en-US"/>
        </w:rPr>
        <w:t>10 &amp; 11</w:t>
      </w:r>
      <w:r w:rsidR="00912758" w:rsidRPr="00912758">
        <w:rPr>
          <w:rFonts w:ascii="Arial" w:eastAsia="Calibri" w:hAnsi="Arial" w:cs="Arial"/>
          <w:vertAlign w:val="superscript"/>
          <w:lang w:val="en-US" w:bidi="en-US"/>
        </w:rPr>
        <w:t>th</w:t>
      </w:r>
      <w:r w:rsidR="00912758" w:rsidRPr="00912758">
        <w:rPr>
          <w:rFonts w:ascii="Arial" w:eastAsia="Calibri" w:hAnsi="Arial" w:cs="Arial"/>
          <w:lang w:val="en-US" w:bidi="en-US"/>
        </w:rPr>
        <w:t xml:space="preserve"> September 2019</w:t>
      </w:r>
    </w:p>
    <w:p w:rsidR="00D615E9" w:rsidRPr="00912758" w:rsidRDefault="00D615E9" w:rsidP="00D615E9">
      <w:pPr>
        <w:spacing w:after="0" w:line="240" w:lineRule="auto"/>
        <w:ind w:left="1440"/>
        <w:rPr>
          <w:rFonts w:ascii="Arial" w:eastAsia="Calibri" w:hAnsi="Arial" w:cs="Arial"/>
          <w:lang w:val="en-US" w:bidi="en-US"/>
        </w:rPr>
      </w:pPr>
      <w:r w:rsidRPr="00912758">
        <w:rPr>
          <w:rFonts w:ascii="Arial" w:eastAsia="Calibri" w:hAnsi="Arial" w:cs="Arial"/>
          <w:lang w:val="en-US" w:bidi="en-US"/>
        </w:rPr>
        <w:t xml:space="preserve">Contracted Awarded </w:t>
      </w:r>
      <w:r w:rsidR="00912758">
        <w:rPr>
          <w:rFonts w:ascii="Arial" w:eastAsia="Calibri" w:hAnsi="Arial" w:cs="Arial"/>
          <w:lang w:val="en-US" w:bidi="en-US"/>
        </w:rPr>
        <w:t>October</w:t>
      </w:r>
      <w:r w:rsidRPr="00912758">
        <w:rPr>
          <w:rFonts w:ascii="Arial" w:eastAsia="Calibri" w:hAnsi="Arial" w:cs="Arial"/>
          <w:lang w:val="en-US" w:bidi="en-US"/>
        </w:rPr>
        <w:t xml:space="preserve"> 2019</w:t>
      </w:r>
    </w:p>
    <w:p w:rsidR="00D615E9" w:rsidRPr="00630BFE" w:rsidRDefault="00D615E9" w:rsidP="00D615E9">
      <w:pPr>
        <w:spacing w:after="0" w:line="240" w:lineRule="auto"/>
        <w:ind w:left="1440"/>
        <w:rPr>
          <w:rFonts w:ascii="Arial" w:eastAsia="Calibri" w:hAnsi="Arial" w:cs="Arial"/>
          <w:b/>
          <w:lang w:val="en-US" w:bidi="en-US"/>
        </w:rPr>
      </w:pPr>
      <w:r w:rsidRPr="00912758">
        <w:rPr>
          <w:rFonts w:ascii="Arial" w:eastAsia="Calibri" w:hAnsi="Arial" w:cs="Arial"/>
          <w:lang w:val="en-US" w:bidi="en-US"/>
        </w:rPr>
        <w:t>Start date 1</w:t>
      </w:r>
      <w:r w:rsidRPr="00912758">
        <w:rPr>
          <w:rFonts w:ascii="Arial" w:eastAsia="Calibri" w:hAnsi="Arial" w:cs="Arial"/>
          <w:vertAlign w:val="superscript"/>
          <w:lang w:val="en-US" w:bidi="en-US"/>
        </w:rPr>
        <w:t>st</w:t>
      </w:r>
      <w:r w:rsidRPr="00912758">
        <w:rPr>
          <w:rFonts w:ascii="Arial" w:eastAsia="Calibri" w:hAnsi="Arial" w:cs="Arial"/>
          <w:lang w:val="en-US" w:bidi="en-US"/>
        </w:rPr>
        <w:t xml:space="preserve"> </w:t>
      </w:r>
      <w:r w:rsidR="00912758">
        <w:rPr>
          <w:rFonts w:ascii="Arial" w:eastAsia="Calibri" w:hAnsi="Arial" w:cs="Arial"/>
          <w:lang w:val="en-US" w:bidi="en-US"/>
        </w:rPr>
        <w:t>April</w:t>
      </w:r>
      <w:r w:rsidR="00D526E1">
        <w:rPr>
          <w:rFonts w:ascii="Arial" w:eastAsia="Calibri" w:hAnsi="Arial" w:cs="Arial"/>
          <w:lang w:val="en-US" w:bidi="en-US"/>
        </w:rPr>
        <w:t xml:space="preserve"> 2020</w:t>
      </w:r>
    </w:p>
    <w:p w:rsidR="00D615E9" w:rsidRPr="00630BFE" w:rsidRDefault="00D615E9" w:rsidP="00D615E9">
      <w:pPr>
        <w:numPr>
          <w:ilvl w:val="1"/>
          <w:numId w:val="2"/>
        </w:numPr>
        <w:spacing w:after="0" w:line="240" w:lineRule="auto"/>
        <w:rPr>
          <w:rFonts w:ascii="Arial" w:eastAsia="Calibri" w:hAnsi="Arial" w:cs="Arial"/>
          <w:b/>
          <w:i/>
          <w:lang w:val="en-US" w:bidi="en-US"/>
        </w:rPr>
      </w:pPr>
      <w:r w:rsidRPr="00630BFE">
        <w:rPr>
          <w:rFonts w:ascii="Arial" w:eastAsia="Calibri" w:hAnsi="Arial" w:cs="Arial"/>
          <w:b/>
          <w:lang w:val="en-US" w:bidi="en-US"/>
        </w:rPr>
        <w:t>Purpose (</w:t>
      </w:r>
      <w:r w:rsidRPr="00630BFE">
        <w:rPr>
          <w:rFonts w:ascii="Arial" w:eastAsia="Calibri" w:hAnsi="Arial" w:cs="Arial"/>
          <w:lang w:val="en-US" w:bidi="en-US"/>
        </w:rPr>
        <w:t>what we want to achieve)</w:t>
      </w:r>
    </w:p>
    <w:p w:rsidR="00D615E9" w:rsidRPr="00630BFE" w:rsidRDefault="00D615E9" w:rsidP="00D615E9">
      <w:pPr>
        <w:spacing w:after="0" w:line="240" w:lineRule="auto"/>
        <w:ind w:left="1440"/>
        <w:rPr>
          <w:rFonts w:ascii="Arial" w:eastAsia="Calibri" w:hAnsi="Arial" w:cs="Arial"/>
          <w:i/>
          <w:lang w:val="en-US" w:bidi="en-US"/>
        </w:rPr>
      </w:pPr>
      <w:r w:rsidRPr="00630BFE">
        <w:rPr>
          <w:rFonts w:ascii="Arial" w:eastAsia="Calibri" w:hAnsi="Arial" w:cs="Arial"/>
          <w:lang w:val="en-US" w:bidi="en-US"/>
        </w:rPr>
        <w:t>The purpose of the meeting to give an opportunity for interested parties to learn more about the framework, and an opportunity for comments and questions, before the tender goes live.</w:t>
      </w:r>
    </w:p>
    <w:p w:rsidR="00D615E9" w:rsidRPr="00630BFE" w:rsidRDefault="00D615E9" w:rsidP="00D615E9">
      <w:pPr>
        <w:spacing w:after="0" w:line="240" w:lineRule="auto"/>
        <w:ind w:left="720"/>
        <w:rPr>
          <w:rFonts w:ascii="Arial" w:eastAsia="Calibri" w:hAnsi="Arial" w:cs="Arial"/>
          <w:b/>
          <w:lang w:val="en-US" w:bidi="en-US"/>
        </w:rPr>
      </w:pPr>
    </w:p>
    <w:p w:rsidR="00912758" w:rsidRDefault="00912758" w:rsidP="00912758">
      <w:pPr>
        <w:pStyle w:val="ListParagraph"/>
        <w:numPr>
          <w:ilvl w:val="0"/>
          <w:numId w:val="9"/>
        </w:numPr>
        <w:spacing w:after="0" w:line="240" w:lineRule="auto"/>
        <w:rPr>
          <w:rFonts w:ascii="Arial" w:eastAsia="Calibri" w:hAnsi="Arial" w:cs="Arial"/>
          <w:b/>
          <w:lang w:val="en-US" w:bidi="en-US"/>
        </w:rPr>
      </w:pPr>
      <w:r w:rsidRPr="00912758">
        <w:rPr>
          <w:rFonts w:ascii="Arial" w:eastAsia="Calibri" w:hAnsi="Arial" w:cs="Arial"/>
          <w:b/>
          <w:lang w:val="en-US" w:bidi="en-US"/>
        </w:rPr>
        <w:t>Introduction to the specification</w:t>
      </w:r>
    </w:p>
    <w:p w:rsidR="00D973E6" w:rsidRPr="00912758" w:rsidRDefault="00D973E6" w:rsidP="00D973E6">
      <w:pPr>
        <w:pStyle w:val="ListParagraph"/>
        <w:spacing w:after="0" w:line="240" w:lineRule="auto"/>
        <w:rPr>
          <w:rFonts w:ascii="Arial" w:eastAsia="Calibri" w:hAnsi="Arial" w:cs="Arial"/>
          <w:b/>
          <w:lang w:val="en-US" w:bidi="en-US"/>
        </w:rPr>
      </w:pPr>
    </w:p>
    <w:p w:rsidR="00912758" w:rsidRPr="006743BA" w:rsidRDefault="00912758" w:rsidP="00912758">
      <w:pPr>
        <w:pStyle w:val="xl30"/>
        <w:tabs>
          <w:tab w:val="left" w:pos="2175"/>
          <w:tab w:val="left" w:pos="9620"/>
        </w:tabs>
        <w:spacing w:before="0" w:beforeAutospacing="0" w:after="0" w:afterAutospacing="0"/>
        <w:rPr>
          <w:b w:val="0"/>
          <w:bCs w:val="0"/>
          <w:u w:val="single"/>
        </w:rPr>
      </w:pPr>
      <w:r w:rsidRPr="006743BA">
        <w:rPr>
          <w:rFonts w:eastAsia="Calibri"/>
          <w:u w:val="single"/>
          <w:lang w:val="en-US" w:bidi="en-US"/>
        </w:rPr>
        <w:t>Training expectations</w:t>
      </w:r>
    </w:p>
    <w:p w:rsidR="00912758" w:rsidRDefault="00912758" w:rsidP="00912758">
      <w:pPr>
        <w:pStyle w:val="xl30"/>
        <w:tabs>
          <w:tab w:val="left" w:pos="2175"/>
          <w:tab w:val="left" w:pos="9620"/>
        </w:tabs>
        <w:spacing w:before="0" w:beforeAutospacing="0" w:after="0" w:afterAutospacing="0"/>
        <w:rPr>
          <w:b w:val="0"/>
          <w:bCs w:val="0"/>
        </w:rPr>
      </w:pPr>
      <w:r>
        <w:rPr>
          <w:b w:val="0"/>
          <w:bCs w:val="0"/>
        </w:rPr>
        <w:t>MS advised training is now in more detail on the nursing report and the weekly report will be easier to pick up changes.</w:t>
      </w:r>
    </w:p>
    <w:p w:rsidR="00912758" w:rsidRDefault="00912758" w:rsidP="00912758">
      <w:pPr>
        <w:pStyle w:val="xl30"/>
        <w:tabs>
          <w:tab w:val="left" w:pos="2175"/>
          <w:tab w:val="left" w:pos="9620"/>
        </w:tabs>
        <w:spacing w:before="0" w:beforeAutospacing="0" w:after="0" w:afterAutospacing="0"/>
        <w:rPr>
          <w:b w:val="0"/>
          <w:bCs w:val="0"/>
        </w:rPr>
      </w:pPr>
    </w:p>
    <w:p w:rsidR="00912758" w:rsidRDefault="00912758" w:rsidP="00912758">
      <w:pPr>
        <w:pStyle w:val="xl30"/>
        <w:tabs>
          <w:tab w:val="left" w:pos="2175"/>
          <w:tab w:val="left" w:pos="9620"/>
        </w:tabs>
        <w:spacing w:before="0" w:beforeAutospacing="0" w:after="0" w:afterAutospacing="0"/>
        <w:rPr>
          <w:b w:val="0"/>
          <w:bCs w:val="0"/>
        </w:rPr>
      </w:pPr>
      <w:r w:rsidRPr="006743BA">
        <w:rPr>
          <w:b w:val="0"/>
          <w:bCs w:val="0"/>
        </w:rPr>
        <w:t>Question</w:t>
      </w:r>
      <w:r w:rsidRPr="00753E61">
        <w:rPr>
          <w:bCs w:val="0"/>
        </w:rPr>
        <w:t xml:space="preserve"> –</w:t>
      </w:r>
      <w:r>
        <w:rPr>
          <w:b w:val="0"/>
          <w:bCs w:val="0"/>
        </w:rPr>
        <w:t xml:space="preserve"> MS advised this is the standard and anyone requiring more training, suppliers will need to contact the trusts before the end of the training so an assessment can be made.</w:t>
      </w:r>
    </w:p>
    <w:p w:rsidR="00912758" w:rsidRDefault="00912758" w:rsidP="00912758">
      <w:pPr>
        <w:pStyle w:val="xl30"/>
        <w:tabs>
          <w:tab w:val="left" w:pos="2175"/>
          <w:tab w:val="left" w:pos="9620"/>
        </w:tabs>
        <w:spacing w:before="0" w:beforeAutospacing="0" w:after="0" w:afterAutospacing="0"/>
        <w:rPr>
          <w:b w:val="0"/>
          <w:bCs w:val="0"/>
        </w:rPr>
      </w:pPr>
    </w:p>
    <w:p w:rsidR="00912758" w:rsidRDefault="00912758" w:rsidP="00912758">
      <w:pPr>
        <w:pStyle w:val="xl30"/>
        <w:tabs>
          <w:tab w:val="left" w:pos="2175"/>
          <w:tab w:val="left" w:pos="9620"/>
        </w:tabs>
        <w:spacing w:before="0" w:beforeAutospacing="0" w:after="0" w:afterAutospacing="0"/>
        <w:rPr>
          <w:b w:val="0"/>
          <w:bCs w:val="0"/>
        </w:rPr>
      </w:pPr>
      <w:r w:rsidRPr="006743BA">
        <w:rPr>
          <w:b w:val="0"/>
          <w:bCs w:val="0"/>
        </w:rPr>
        <w:t>Question</w:t>
      </w:r>
      <w:r w:rsidRPr="00753E61">
        <w:rPr>
          <w:bCs w:val="0"/>
        </w:rPr>
        <w:t xml:space="preserve"> </w:t>
      </w:r>
      <w:r>
        <w:rPr>
          <w:bCs w:val="0"/>
        </w:rPr>
        <w:t>–</w:t>
      </w:r>
      <w:r w:rsidRPr="00753E61">
        <w:rPr>
          <w:bCs w:val="0"/>
        </w:rPr>
        <w:t xml:space="preserve"> </w:t>
      </w:r>
      <w:r>
        <w:rPr>
          <w:b w:val="0"/>
          <w:bCs w:val="0"/>
        </w:rPr>
        <w:t xml:space="preserve">self caring patients are still showing as </w:t>
      </w:r>
      <w:r w:rsidRPr="00753E61">
        <w:rPr>
          <w:b w:val="0"/>
          <w:bCs w:val="0"/>
        </w:rPr>
        <w:t xml:space="preserve">nursed patients </w:t>
      </w:r>
      <w:r>
        <w:rPr>
          <w:b w:val="0"/>
          <w:bCs w:val="0"/>
        </w:rPr>
        <w:t>as having dressing done at home. MS advised the patient should have dressing done by the GP surgery as this is not covered by the framework.</w:t>
      </w:r>
    </w:p>
    <w:p w:rsidR="00912758" w:rsidRDefault="00912758" w:rsidP="00912758">
      <w:pPr>
        <w:pStyle w:val="xl30"/>
        <w:tabs>
          <w:tab w:val="left" w:pos="2175"/>
          <w:tab w:val="left" w:pos="9620"/>
        </w:tabs>
        <w:spacing w:before="0" w:beforeAutospacing="0" w:after="0" w:afterAutospacing="0"/>
        <w:rPr>
          <w:b w:val="0"/>
          <w:bCs w:val="0"/>
        </w:rPr>
      </w:pPr>
    </w:p>
    <w:p w:rsidR="00912758" w:rsidRDefault="00912758" w:rsidP="00912758">
      <w:pPr>
        <w:pStyle w:val="xl30"/>
        <w:tabs>
          <w:tab w:val="left" w:pos="2175"/>
          <w:tab w:val="left" w:pos="9620"/>
        </w:tabs>
        <w:spacing w:before="0" w:beforeAutospacing="0" w:after="0" w:afterAutospacing="0"/>
        <w:rPr>
          <w:b w:val="0"/>
          <w:bCs w:val="0"/>
        </w:rPr>
      </w:pPr>
      <w:r w:rsidRPr="006743BA">
        <w:rPr>
          <w:b w:val="0"/>
          <w:bCs w:val="0"/>
        </w:rPr>
        <w:t xml:space="preserve">Question </w:t>
      </w:r>
      <w:r w:rsidRPr="00753E61">
        <w:rPr>
          <w:bCs w:val="0"/>
        </w:rPr>
        <w:t>–</w:t>
      </w:r>
      <w:r>
        <w:rPr>
          <w:b w:val="0"/>
          <w:bCs w:val="0"/>
        </w:rPr>
        <w:t xml:space="preserve"> Whose responsibility is it to carry out the annual assessment of a patient? MS advised the assessment should be carried out in centre once a year. </w:t>
      </w:r>
    </w:p>
    <w:p w:rsidR="00912758" w:rsidRDefault="00912758" w:rsidP="00912758">
      <w:pPr>
        <w:pStyle w:val="xl30"/>
        <w:tabs>
          <w:tab w:val="left" w:pos="2175"/>
          <w:tab w:val="left" w:pos="9620"/>
        </w:tabs>
        <w:spacing w:before="0" w:beforeAutospacing="0" w:after="0" w:afterAutospacing="0"/>
        <w:rPr>
          <w:b w:val="0"/>
          <w:bCs w:val="0"/>
        </w:rPr>
      </w:pPr>
    </w:p>
    <w:p w:rsidR="00912758" w:rsidRPr="006743BA" w:rsidRDefault="00912758" w:rsidP="00912758">
      <w:pPr>
        <w:pStyle w:val="xl30"/>
        <w:tabs>
          <w:tab w:val="left" w:pos="2175"/>
          <w:tab w:val="left" w:pos="9620"/>
        </w:tabs>
        <w:spacing w:before="0" w:beforeAutospacing="0" w:after="0" w:afterAutospacing="0"/>
        <w:rPr>
          <w:bCs w:val="0"/>
          <w:u w:val="single"/>
        </w:rPr>
      </w:pPr>
      <w:r w:rsidRPr="006743BA">
        <w:rPr>
          <w:bCs w:val="0"/>
          <w:u w:val="single"/>
        </w:rPr>
        <w:t>Innovation</w:t>
      </w:r>
    </w:p>
    <w:p w:rsidR="00912758" w:rsidRDefault="00912758" w:rsidP="00912758">
      <w:pPr>
        <w:pStyle w:val="xl30"/>
        <w:tabs>
          <w:tab w:val="left" w:pos="2175"/>
          <w:tab w:val="left" w:pos="9620"/>
        </w:tabs>
        <w:spacing w:before="0" w:beforeAutospacing="0" w:after="0" w:afterAutospacing="0"/>
        <w:rPr>
          <w:b w:val="0"/>
          <w:bCs w:val="0"/>
        </w:rPr>
      </w:pPr>
      <w:r>
        <w:rPr>
          <w:b w:val="0"/>
          <w:bCs w:val="0"/>
        </w:rPr>
        <w:t>All suppliers were encouraged to provide examples of any innovation.</w:t>
      </w:r>
    </w:p>
    <w:p w:rsidR="00912758" w:rsidRDefault="00912758" w:rsidP="00912758">
      <w:pPr>
        <w:pStyle w:val="xl30"/>
        <w:tabs>
          <w:tab w:val="left" w:pos="2175"/>
          <w:tab w:val="left" w:pos="9620"/>
        </w:tabs>
        <w:spacing w:before="0" w:beforeAutospacing="0" w:after="0" w:afterAutospacing="0"/>
        <w:rPr>
          <w:b w:val="0"/>
          <w:bCs w:val="0"/>
        </w:rPr>
      </w:pPr>
    </w:p>
    <w:p w:rsidR="00912758" w:rsidRDefault="00912758" w:rsidP="00912758">
      <w:pPr>
        <w:pStyle w:val="xl30"/>
        <w:tabs>
          <w:tab w:val="left" w:pos="2175"/>
          <w:tab w:val="left" w:pos="9620"/>
        </w:tabs>
        <w:spacing w:before="0" w:beforeAutospacing="0" w:after="0" w:afterAutospacing="0"/>
        <w:rPr>
          <w:u w:val="single"/>
        </w:rPr>
      </w:pPr>
      <w:r w:rsidRPr="006743BA">
        <w:rPr>
          <w:u w:val="single"/>
        </w:rPr>
        <w:t xml:space="preserve">Blue </w:t>
      </w:r>
      <w:proofErr w:type="spellStart"/>
      <w:r w:rsidRPr="006743BA">
        <w:rPr>
          <w:u w:val="single"/>
        </w:rPr>
        <w:t>Teq</w:t>
      </w:r>
      <w:proofErr w:type="spellEnd"/>
      <w:r w:rsidRPr="006743BA">
        <w:rPr>
          <w:u w:val="single"/>
        </w:rPr>
        <w:t xml:space="preserve"> forms</w:t>
      </w:r>
    </w:p>
    <w:p w:rsidR="006743BA" w:rsidRDefault="006743BA" w:rsidP="00912758">
      <w:pPr>
        <w:pStyle w:val="xl30"/>
        <w:tabs>
          <w:tab w:val="left" w:pos="2175"/>
          <w:tab w:val="left" w:pos="9620"/>
        </w:tabs>
        <w:spacing w:before="0" w:beforeAutospacing="0" w:after="0" w:afterAutospacing="0"/>
        <w:rPr>
          <w:b w:val="0"/>
          <w:bCs w:val="0"/>
        </w:rPr>
      </w:pPr>
      <w:r>
        <w:rPr>
          <w:b w:val="0"/>
          <w:bCs w:val="0"/>
        </w:rPr>
        <w:t xml:space="preserve">HW advised a new Blue </w:t>
      </w:r>
      <w:proofErr w:type="spellStart"/>
      <w:r>
        <w:rPr>
          <w:b w:val="0"/>
          <w:bCs w:val="0"/>
        </w:rPr>
        <w:t>Teq</w:t>
      </w:r>
      <w:proofErr w:type="spellEnd"/>
      <w:r>
        <w:rPr>
          <w:b w:val="0"/>
          <w:bCs w:val="0"/>
        </w:rPr>
        <w:t xml:space="preserve"> form is being developed for approval of extra training over the standard 28 hours.</w:t>
      </w:r>
    </w:p>
    <w:p w:rsidR="006743BA" w:rsidRDefault="006743BA" w:rsidP="00912758">
      <w:pPr>
        <w:pStyle w:val="xl30"/>
        <w:tabs>
          <w:tab w:val="left" w:pos="2175"/>
          <w:tab w:val="left" w:pos="9620"/>
        </w:tabs>
        <w:spacing w:before="0" w:beforeAutospacing="0" w:after="0" w:afterAutospacing="0"/>
        <w:rPr>
          <w:b w:val="0"/>
          <w:bCs w:val="0"/>
        </w:rPr>
      </w:pPr>
    </w:p>
    <w:p w:rsidR="006743BA" w:rsidRPr="00A4307F" w:rsidRDefault="006743BA" w:rsidP="00912758">
      <w:pPr>
        <w:pStyle w:val="xl30"/>
        <w:tabs>
          <w:tab w:val="left" w:pos="2175"/>
          <w:tab w:val="left" w:pos="9620"/>
        </w:tabs>
        <w:spacing w:before="0" w:beforeAutospacing="0" w:after="0" w:afterAutospacing="0"/>
        <w:rPr>
          <w:u w:val="single"/>
        </w:rPr>
      </w:pPr>
      <w:r w:rsidRPr="00A4307F">
        <w:rPr>
          <w:u w:val="single"/>
        </w:rPr>
        <w:t>Deliveries to patients</w:t>
      </w:r>
    </w:p>
    <w:p w:rsidR="006743BA" w:rsidRDefault="006743BA" w:rsidP="006743BA">
      <w:pPr>
        <w:pStyle w:val="xl30"/>
        <w:tabs>
          <w:tab w:val="left" w:pos="2175"/>
          <w:tab w:val="left" w:pos="9620"/>
        </w:tabs>
        <w:spacing w:before="0" w:beforeAutospacing="0" w:after="0" w:afterAutospacing="0"/>
        <w:rPr>
          <w:b w:val="0"/>
          <w:bCs w:val="0"/>
        </w:rPr>
      </w:pPr>
      <w:r>
        <w:rPr>
          <w:b w:val="0"/>
          <w:bCs w:val="0"/>
        </w:rPr>
        <w:t>Suppliers were advised they should provide a list of a maximum of 10 named drivers to patients and should think about news ways of letting patients know about deliveries and which driver will be making the deliver. MS also advised that all patients should be treated the same and no special arrangements should be made with individual patients as this is unfair on the rest of the cohort.</w:t>
      </w:r>
    </w:p>
    <w:p w:rsidR="006743BA" w:rsidRDefault="006743BA" w:rsidP="00912758">
      <w:pPr>
        <w:pStyle w:val="xl30"/>
        <w:tabs>
          <w:tab w:val="left" w:pos="2175"/>
          <w:tab w:val="left" w:pos="9620"/>
        </w:tabs>
        <w:spacing w:before="0" w:beforeAutospacing="0" w:after="0" w:afterAutospacing="0"/>
        <w:rPr>
          <w:b w:val="0"/>
          <w:bCs w:val="0"/>
        </w:rPr>
      </w:pPr>
    </w:p>
    <w:p w:rsidR="006743BA" w:rsidRPr="00A8679E" w:rsidRDefault="006743BA" w:rsidP="00912758">
      <w:pPr>
        <w:pStyle w:val="xl30"/>
        <w:tabs>
          <w:tab w:val="left" w:pos="2175"/>
          <w:tab w:val="left" w:pos="9620"/>
        </w:tabs>
        <w:spacing w:before="0" w:beforeAutospacing="0" w:after="0" w:afterAutospacing="0"/>
        <w:rPr>
          <w:bCs w:val="0"/>
          <w:u w:val="single"/>
        </w:rPr>
      </w:pPr>
      <w:r w:rsidRPr="00A8679E">
        <w:rPr>
          <w:bCs w:val="0"/>
          <w:u w:val="single"/>
        </w:rPr>
        <w:t>Quality Control (QC) Tabs and changes</w:t>
      </w:r>
    </w:p>
    <w:p w:rsidR="006743BA" w:rsidRDefault="006743BA" w:rsidP="006743BA">
      <w:pPr>
        <w:pStyle w:val="xl30"/>
        <w:tabs>
          <w:tab w:val="left" w:pos="2175"/>
          <w:tab w:val="left" w:pos="9620"/>
        </w:tabs>
        <w:spacing w:before="0" w:beforeAutospacing="0" w:after="0" w:afterAutospacing="0"/>
        <w:rPr>
          <w:b w:val="0"/>
          <w:bCs w:val="0"/>
        </w:rPr>
      </w:pPr>
      <w:r>
        <w:rPr>
          <w:b w:val="0"/>
          <w:bCs w:val="0"/>
        </w:rPr>
        <w:t>LH explained that some of the compounding tabs within the specification had been amalgamated so easier to complete.</w:t>
      </w:r>
    </w:p>
    <w:p w:rsidR="006743BA" w:rsidRDefault="006743BA" w:rsidP="006743BA">
      <w:pPr>
        <w:pStyle w:val="xl30"/>
        <w:tabs>
          <w:tab w:val="left" w:pos="2175"/>
          <w:tab w:val="left" w:pos="9620"/>
        </w:tabs>
        <w:spacing w:before="0" w:beforeAutospacing="0" w:after="0" w:afterAutospacing="0"/>
        <w:rPr>
          <w:b w:val="0"/>
          <w:bCs w:val="0"/>
        </w:rPr>
      </w:pPr>
      <w:r>
        <w:rPr>
          <w:b w:val="0"/>
          <w:bCs w:val="0"/>
        </w:rPr>
        <w:t>All suppliers agreed they will be able to work with all the ingredients.</w:t>
      </w:r>
    </w:p>
    <w:p w:rsidR="006743BA" w:rsidRDefault="006743BA" w:rsidP="006743BA">
      <w:pPr>
        <w:pStyle w:val="xl30"/>
        <w:tabs>
          <w:tab w:val="left" w:pos="2175"/>
          <w:tab w:val="left" w:pos="9620"/>
        </w:tabs>
        <w:spacing w:before="0" w:beforeAutospacing="0" w:after="0" w:afterAutospacing="0"/>
        <w:rPr>
          <w:b w:val="0"/>
          <w:bCs w:val="0"/>
        </w:rPr>
      </w:pPr>
      <w:r>
        <w:rPr>
          <w:b w:val="0"/>
          <w:bCs w:val="0"/>
        </w:rPr>
        <w:t>All suppliers should have plans in place for contingency of supply.</w:t>
      </w:r>
    </w:p>
    <w:p w:rsidR="006743BA" w:rsidRDefault="006743BA" w:rsidP="006743BA">
      <w:pPr>
        <w:pStyle w:val="xl30"/>
        <w:tabs>
          <w:tab w:val="left" w:pos="2175"/>
          <w:tab w:val="left" w:pos="9620"/>
        </w:tabs>
        <w:spacing w:before="0" w:beforeAutospacing="0" w:after="0" w:afterAutospacing="0"/>
        <w:rPr>
          <w:b w:val="0"/>
          <w:bCs w:val="0"/>
        </w:rPr>
      </w:pPr>
    </w:p>
    <w:p w:rsidR="006743BA" w:rsidRPr="00A8679E" w:rsidRDefault="006743BA" w:rsidP="006743BA">
      <w:pPr>
        <w:pStyle w:val="xl30"/>
        <w:tabs>
          <w:tab w:val="left" w:pos="2175"/>
          <w:tab w:val="left" w:pos="9620"/>
        </w:tabs>
        <w:spacing w:before="0" w:beforeAutospacing="0" w:after="0" w:afterAutospacing="0"/>
        <w:rPr>
          <w:u w:val="single"/>
        </w:rPr>
      </w:pPr>
      <w:r w:rsidRPr="00A8679E">
        <w:rPr>
          <w:u w:val="single"/>
        </w:rPr>
        <w:t>Product availability</w:t>
      </w:r>
    </w:p>
    <w:p w:rsidR="00A8679E" w:rsidRDefault="00A8679E" w:rsidP="00A8679E">
      <w:pPr>
        <w:pStyle w:val="xl30"/>
        <w:tabs>
          <w:tab w:val="left" w:pos="2175"/>
          <w:tab w:val="left" w:pos="9620"/>
        </w:tabs>
        <w:spacing w:before="0" w:beforeAutospacing="0" w:after="0" w:afterAutospacing="0"/>
        <w:rPr>
          <w:b w:val="0"/>
          <w:bCs w:val="0"/>
        </w:rPr>
      </w:pPr>
      <w:r>
        <w:rPr>
          <w:b w:val="0"/>
          <w:bCs w:val="0"/>
        </w:rPr>
        <w:t>LN advised all suppliers that as there was a long lead time between award and contract start suppliers should have all products QC assessed and ready for production.</w:t>
      </w:r>
    </w:p>
    <w:p w:rsidR="006C5D68" w:rsidRDefault="006C5D68" w:rsidP="00A8679E">
      <w:pPr>
        <w:pStyle w:val="xl30"/>
        <w:tabs>
          <w:tab w:val="left" w:pos="2175"/>
          <w:tab w:val="left" w:pos="9620"/>
        </w:tabs>
        <w:spacing w:before="0" w:beforeAutospacing="0" w:after="0" w:afterAutospacing="0"/>
        <w:rPr>
          <w:b w:val="0"/>
          <w:bCs w:val="0"/>
        </w:rPr>
      </w:pPr>
    </w:p>
    <w:p w:rsidR="00153D94" w:rsidRDefault="00153D94" w:rsidP="00A8679E">
      <w:pPr>
        <w:pStyle w:val="xl30"/>
        <w:tabs>
          <w:tab w:val="left" w:pos="2175"/>
          <w:tab w:val="left" w:pos="9620"/>
        </w:tabs>
        <w:spacing w:before="0" w:beforeAutospacing="0" w:after="0" w:afterAutospacing="0"/>
        <w:rPr>
          <w:b w:val="0"/>
          <w:bCs w:val="0"/>
        </w:rPr>
      </w:pPr>
    </w:p>
    <w:p w:rsidR="00153D94" w:rsidRDefault="00153D94" w:rsidP="00A8679E">
      <w:pPr>
        <w:pStyle w:val="xl30"/>
        <w:tabs>
          <w:tab w:val="left" w:pos="2175"/>
          <w:tab w:val="left" w:pos="9620"/>
        </w:tabs>
        <w:spacing w:before="0" w:beforeAutospacing="0" w:after="0" w:afterAutospacing="0"/>
        <w:rPr>
          <w:b w:val="0"/>
          <w:bCs w:val="0"/>
        </w:rPr>
      </w:pPr>
    </w:p>
    <w:p w:rsidR="00153D94" w:rsidRDefault="00153D94" w:rsidP="00A8679E">
      <w:pPr>
        <w:pStyle w:val="xl30"/>
        <w:tabs>
          <w:tab w:val="left" w:pos="2175"/>
          <w:tab w:val="left" w:pos="9620"/>
        </w:tabs>
        <w:spacing w:before="0" w:beforeAutospacing="0" w:after="0" w:afterAutospacing="0"/>
        <w:rPr>
          <w:b w:val="0"/>
          <w:bCs w:val="0"/>
        </w:rPr>
      </w:pPr>
    </w:p>
    <w:p w:rsidR="006C5D68" w:rsidRDefault="006C5D68" w:rsidP="006C5D68">
      <w:pPr>
        <w:pStyle w:val="xl30"/>
        <w:numPr>
          <w:ilvl w:val="0"/>
          <w:numId w:val="9"/>
        </w:numPr>
        <w:tabs>
          <w:tab w:val="left" w:pos="2175"/>
          <w:tab w:val="left" w:pos="9620"/>
        </w:tabs>
        <w:spacing w:before="0" w:beforeAutospacing="0" w:after="0" w:afterAutospacing="0"/>
        <w:rPr>
          <w:b w:val="0"/>
          <w:bCs w:val="0"/>
        </w:rPr>
      </w:pPr>
      <w:r w:rsidRPr="00676CC4">
        <w:rPr>
          <w:u w:val="single"/>
        </w:rPr>
        <w:lastRenderedPageBreak/>
        <w:t>Commercial schedule</w:t>
      </w:r>
      <w:r w:rsidRPr="00153D94">
        <w:t xml:space="preserve"> -</w:t>
      </w:r>
      <w:r>
        <w:rPr>
          <w:b w:val="0"/>
        </w:rPr>
        <w:t xml:space="preserve"> </w:t>
      </w:r>
      <w:r>
        <w:rPr>
          <w:b w:val="0"/>
          <w:bCs w:val="0"/>
        </w:rPr>
        <w:t>LP advised that the commercial schedule has been reviewed and has not been amended, however the document is still in draft.</w:t>
      </w:r>
    </w:p>
    <w:p w:rsidR="006C5D68" w:rsidRDefault="006C5D68" w:rsidP="006C5D68">
      <w:pPr>
        <w:pStyle w:val="xl30"/>
        <w:tabs>
          <w:tab w:val="left" w:pos="2175"/>
          <w:tab w:val="left" w:pos="9620"/>
        </w:tabs>
        <w:spacing w:before="0" w:beforeAutospacing="0" w:after="0" w:afterAutospacing="0"/>
        <w:rPr>
          <w:b w:val="0"/>
          <w:bCs w:val="0"/>
        </w:rPr>
      </w:pPr>
    </w:p>
    <w:p w:rsidR="006C5D68" w:rsidRPr="006C5D68" w:rsidRDefault="006C5D68" w:rsidP="006C5D68">
      <w:pPr>
        <w:pStyle w:val="xl30"/>
        <w:numPr>
          <w:ilvl w:val="0"/>
          <w:numId w:val="9"/>
        </w:numPr>
        <w:tabs>
          <w:tab w:val="left" w:pos="2175"/>
          <w:tab w:val="left" w:pos="9620"/>
        </w:tabs>
        <w:spacing w:before="0" w:beforeAutospacing="0" w:after="0" w:afterAutospacing="0"/>
        <w:rPr>
          <w:b w:val="0"/>
          <w:bCs w:val="0"/>
        </w:rPr>
      </w:pPr>
      <w:r w:rsidRPr="00676CC4">
        <w:rPr>
          <w:u w:val="single"/>
        </w:rPr>
        <w:t>Appendices</w:t>
      </w:r>
      <w:r w:rsidRPr="00153D94">
        <w:t xml:space="preserve"> -</w:t>
      </w:r>
      <w:r w:rsidRPr="006C5D68">
        <w:rPr>
          <w:b w:val="0"/>
        </w:rPr>
        <w:t xml:space="preserve"> </w:t>
      </w:r>
      <w:r w:rsidRPr="006C5D68">
        <w:rPr>
          <w:b w:val="0"/>
          <w:bCs w:val="0"/>
        </w:rPr>
        <w:t>Question – Pre-filled syringes have not been specified if they need to be sterile</w:t>
      </w:r>
      <w:r w:rsidRPr="00153D94">
        <w:rPr>
          <w:b w:val="0"/>
          <w:bCs w:val="0"/>
        </w:rPr>
        <w:t>. Action:</w:t>
      </w:r>
      <w:r w:rsidRPr="006C5D68">
        <w:rPr>
          <w:b w:val="0"/>
          <w:bCs w:val="0"/>
        </w:rPr>
        <w:t xml:space="preserve"> CMU will update in appendices.</w:t>
      </w:r>
    </w:p>
    <w:p w:rsidR="006C5D68" w:rsidRDefault="006C5D68" w:rsidP="006C5D68">
      <w:pPr>
        <w:pStyle w:val="xl30"/>
        <w:tabs>
          <w:tab w:val="left" w:pos="2175"/>
          <w:tab w:val="left" w:pos="9620"/>
        </w:tabs>
        <w:spacing w:before="0" w:beforeAutospacing="0" w:after="0" w:afterAutospacing="0"/>
        <w:rPr>
          <w:b w:val="0"/>
          <w:bCs w:val="0"/>
        </w:rPr>
      </w:pPr>
    </w:p>
    <w:p w:rsidR="006C5D68" w:rsidRDefault="006C5D68" w:rsidP="006C5D68">
      <w:pPr>
        <w:pStyle w:val="xl30"/>
        <w:numPr>
          <w:ilvl w:val="0"/>
          <w:numId w:val="9"/>
        </w:numPr>
        <w:tabs>
          <w:tab w:val="left" w:pos="2175"/>
          <w:tab w:val="left" w:pos="9620"/>
        </w:tabs>
        <w:spacing w:before="0" w:beforeAutospacing="0" w:after="0" w:afterAutospacing="0"/>
        <w:rPr>
          <w:b w:val="0"/>
          <w:bCs w:val="0"/>
        </w:rPr>
      </w:pPr>
      <w:r w:rsidRPr="00676CC4">
        <w:rPr>
          <w:u w:val="single"/>
        </w:rPr>
        <w:t>Heparin Saline</w:t>
      </w:r>
      <w:r w:rsidRPr="00153D94">
        <w:t xml:space="preserve"> -</w:t>
      </w:r>
      <w:r>
        <w:rPr>
          <w:b w:val="0"/>
        </w:rPr>
        <w:t xml:space="preserve"> </w:t>
      </w:r>
      <w:r>
        <w:rPr>
          <w:b w:val="0"/>
          <w:bCs w:val="0"/>
        </w:rPr>
        <w:t>JE advised suppliers that Heparin had been through RMOC and would come off the new framework for adults and possibly for paediatric patients.</w:t>
      </w:r>
    </w:p>
    <w:p w:rsidR="00A4307F" w:rsidRDefault="00A4307F" w:rsidP="00A4307F">
      <w:pPr>
        <w:pStyle w:val="xl30"/>
        <w:tabs>
          <w:tab w:val="left" w:pos="2175"/>
          <w:tab w:val="left" w:pos="9620"/>
        </w:tabs>
        <w:spacing w:before="0" w:beforeAutospacing="0" w:after="0" w:afterAutospacing="0"/>
        <w:rPr>
          <w:b w:val="0"/>
          <w:bCs w:val="0"/>
        </w:rPr>
      </w:pPr>
    </w:p>
    <w:p w:rsidR="006C5D68" w:rsidRPr="00A4307F" w:rsidRDefault="006C5D68" w:rsidP="00A4307F">
      <w:pPr>
        <w:pStyle w:val="xl30"/>
        <w:numPr>
          <w:ilvl w:val="0"/>
          <w:numId w:val="9"/>
        </w:numPr>
        <w:tabs>
          <w:tab w:val="left" w:pos="2175"/>
          <w:tab w:val="left" w:pos="9620"/>
        </w:tabs>
        <w:spacing w:before="0" w:beforeAutospacing="0" w:after="0" w:afterAutospacing="0"/>
        <w:rPr>
          <w:b w:val="0"/>
          <w:bCs w:val="0"/>
        </w:rPr>
      </w:pPr>
      <w:r w:rsidRPr="00676CC4">
        <w:rPr>
          <w:u w:val="single"/>
        </w:rPr>
        <w:t>IF procurement</w:t>
      </w:r>
      <w:r w:rsidRPr="00153D94">
        <w:t xml:space="preserve"> -</w:t>
      </w:r>
      <w:r w:rsidRPr="00A4307F">
        <w:rPr>
          <w:b w:val="0"/>
        </w:rPr>
        <w:t xml:space="preserve"> </w:t>
      </w:r>
      <w:r w:rsidRPr="00A4307F">
        <w:rPr>
          <w:b w:val="0"/>
          <w:bCs w:val="0"/>
        </w:rPr>
        <w:t>HW advised suppliers the service review is only for adults and is still in progress, therefore due to legal reasons cannot provide any further information at present.</w:t>
      </w:r>
    </w:p>
    <w:p w:rsidR="00A8679E" w:rsidRDefault="00A8679E" w:rsidP="006743BA">
      <w:pPr>
        <w:pStyle w:val="xl30"/>
        <w:tabs>
          <w:tab w:val="left" w:pos="2175"/>
          <w:tab w:val="left" w:pos="9620"/>
        </w:tabs>
        <w:spacing w:before="0" w:beforeAutospacing="0" w:after="0" w:afterAutospacing="0"/>
        <w:rPr>
          <w:b w:val="0"/>
          <w:bCs w:val="0"/>
        </w:rPr>
      </w:pPr>
    </w:p>
    <w:p w:rsidR="006C5D68" w:rsidRDefault="006C5D68" w:rsidP="006C5D68">
      <w:pPr>
        <w:pStyle w:val="xl30"/>
        <w:numPr>
          <w:ilvl w:val="0"/>
          <w:numId w:val="9"/>
        </w:numPr>
        <w:tabs>
          <w:tab w:val="left" w:pos="2175"/>
          <w:tab w:val="left" w:pos="9620"/>
        </w:tabs>
        <w:spacing w:before="0" w:beforeAutospacing="0" w:after="0" w:afterAutospacing="0"/>
        <w:rPr>
          <w:b w:val="0"/>
          <w:bCs w:val="0"/>
        </w:rPr>
      </w:pPr>
      <w:r w:rsidRPr="00676CC4">
        <w:rPr>
          <w:u w:val="single"/>
        </w:rPr>
        <w:t>Complex patients</w:t>
      </w:r>
      <w:r w:rsidRPr="00153D94">
        <w:t xml:space="preserve"> -</w:t>
      </w:r>
      <w:r>
        <w:rPr>
          <w:b w:val="0"/>
        </w:rPr>
        <w:t xml:space="preserve"> </w:t>
      </w:r>
      <w:r>
        <w:rPr>
          <w:b w:val="0"/>
          <w:bCs w:val="0"/>
        </w:rPr>
        <w:t>HW advised suppliers that the chief pharmacist within hospitals are responsible for all homecare patients therefore if there are any problems with patients then they, CMU and homecare leads should be informed as soon as possible via nhs.net email and if possible a phone call in the first instance. Suppliers were requested to ensure all the contact details they have are kept up to date.</w:t>
      </w:r>
    </w:p>
    <w:p w:rsidR="006C5D68" w:rsidRDefault="006C5D68" w:rsidP="006C5D68">
      <w:pPr>
        <w:pStyle w:val="xl30"/>
        <w:tabs>
          <w:tab w:val="left" w:pos="2175"/>
          <w:tab w:val="left" w:pos="9620"/>
        </w:tabs>
        <w:spacing w:before="0" w:beforeAutospacing="0" w:after="0" w:afterAutospacing="0"/>
        <w:ind w:firstLine="709"/>
        <w:rPr>
          <w:b w:val="0"/>
          <w:bCs w:val="0"/>
        </w:rPr>
      </w:pPr>
      <w:r>
        <w:rPr>
          <w:b w:val="0"/>
          <w:bCs w:val="0"/>
        </w:rPr>
        <w:t>Any issues with patients should also be raised at the quarterly review meetings.</w:t>
      </w:r>
    </w:p>
    <w:p w:rsidR="006C5D68" w:rsidRDefault="006C5D68" w:rsidP="006C5D68">
      <w:pPr>
        <w:pStyle w:val="xl30"/>
        <w:tabs>
          <w:tab w:val="left" w:pos="2175"/>
          <w:tab w:val="left" w:pos="9620"/>
        </w:tabs>
        <w:spacing w:before="0" w:beforeAutospacing="0" w:after="0" w:afterAutospacing="0"/>
        <w:ind w:left="709"/>
        <w:rPr>
          <w:b w:val="0"/>
          <w:bCs w:val="0"/>
        </w:rPr>
      </w:pPr>
      <w:r w:rsidRPr="006C5D68">
        <w:rPr>
          <w:b w:val="0"/>
          <w:bCs w:val="0"/>
        </w:rPr>
        <w:t>Question –</w:t>
      </w:r>
      <w:r>
        <w:rPr>
          <w:b w:val="0"/>
          <w:bCs w:val="0"/>
        </w:rPr>
        <w:t xml:space="preserve"> How can suppliers deal with complex patients when they have been passed to them from another provider? Could a patient’s behaviour exclude them from receiving HPN? Stakeholders agreed this was a possibility.</w:t>
      </w:r>
    </w:p>
    <w:p w:rsidR="006C5D68" w:rsidRDefault="006C5D68" w:rsidP="006C5D68">
      <w:pPr>
        <w:pStyle w:val="xl30"/>
        <w:tabs>
          <w:tab w:val="left" w:pos="2175"/>
          <w:tab w:val="left" w:pos="9620"/>
        </w:tabs>
        <w:spacing w:before="0" w:beforeAutospacing="0" w:after="0" w:afterAutospacing="0"/>
        <w:ind w:left="709"/>
        <w:rPr>
          <w:b w:val="0"/>
          <w:bCs w:val="0"/>
        </w:rPr>
      </w:pPr>
    </w:p>
    <w:p w:rsidR="006C5D68" w:rsidRDefault="006C5D68" w:rsidP="006C5D68">
      <w:pPr>
        <w:pStyle w:val="xl30"/>
        <w:numPr>
          <w:ilvl w:val="0"/>
          <w:numId w:val="9"/>
        </w:numPr>
        <w:tabs>
          <w:tab w:val="left" w:pos="2175"/>
          <w:tab w:val="left" w:pos="9620"/>
        </w:tabs>
        <w:spacing w:before="0" w:beforeAutospacing="0" w:after="0" w:afterAutospacing="0"/>
        <w:rPr>
          <w:b w:val="0"/>
          <w:bCs w:val="0"/>
        </w:rPr>
      </w:pPr>
      <w:r w:rsidRPr="00676CC4">
        <w:rPr>
          <w:u w:val="single"/>
        </w:rPr>
        <w:t>Change management</w:t>
      </w:r>
      <w:r w:rsidRPr="00153D94">
        <w:t xml:space="preserve"> -</w:t>
      </w:r>
      <w:r>
        <w:rPr>
          <w:b w:val="0"/>
        </w:rPr>
        <w:t xml:space="preserve"> </w:t>
      </w:r>
      <w:r>
        <w:rPr>
          <w:b w:val="0"/>
          <w:bCs w:val="0"/>
        </w:rPr>
        <w:t>MS advised there are 2 new appendices:-</w:t>
      </w:r>
    </w:p>
    <w:p w:rsidR="006C5D68" w:rsidRDefault="006C5D68" w:rsidP="006C5D68">
      <w:pPr>
        <w:pStyle w:val="xl30"/>
        <w:tabs>
          <w:tab w:val="left" w:pos="2175"/>
          <w:tab w:val="left" w:pos="9620"/>
        </w:tabs>
        <w:spacing w:before="0" w:beforeAutospacing="0" w:after="0" w:afterAutospacing="0"/>
        <w:ind w:firstLine="709"/>
        <w:rPr>
          <w:b w:val="0"/>
          <w:bCs w:val="0"/>
        </w:rPr>
      </w:pPr>
      <w:r>
        <w:rPr>
          <w:b w:val="0"/>
          <w:bCs w:val="0"/>
        </w:rPr>
        <w:t>Appendix R – Transfer of a patient from one Purchasing authority to another.</w:t>
      </w:r>
    </w:p>
    <w:p w:rsidR="006C5D68" w:rsidRDefault="006C5D68" w:rsidP="006C5D68">
      <w:pPr>
        <w:pStyle w:val="xl30"/>
        <w:tabs>
          <w:tab w:val="left" w:pos="2175"/>
          <w:tab w:val="left" w:pos="9620"/>
        </w:tabs>
        <w:spacing w:before="0" w:beforeAutospacing="0" w:after="0" w:afterAutospacing="0"/>
        <w:ind w:firstLine="709"/>
        <w:rPr>
          <w:b w:val="0"/>
          <w:bCs w:val="0"/>
        </w:rPr>
      </w:pPr>
      <w:r>
        <w:rPr>
          <w:b w:val="0"/>
          <w:bCs w:val="0"/>
        </w:rPr>
        <w:t>Appendix S - Transfer of a patient from one Contractor to another.</w:t>
      </w:r>
    </w:p>
    <w:p w:rsidR="006C5D68" w:rsidRDefault="006C5D68" w:rsidP="006C5D68">
      <w:pPr>
        <w:pStyle w:val="xl30"/>
        <w:tabs>
          <w:tab w:val="left" w:pos="2175"/>
          <w:tab w:val="left" w:pos="9620"/>
        </w:tabs>
        <w:spacing w:before="0" w:beforeAutospacing="0" w:after="0" w:afterAutospacing="0"/>
        <w:ind w:left="709"/>
        <w:rPr>
          <w:b w:val="0"/>
          <w:bCs w:val="0"/>
        </w:rPr>
      </w:pPr>
    </w:p>
    <w:p w:rsidR="006C5D68" w:rsidRDefault="006C5D68" w:rsidP="006C5D68">
      <w:pPr>
        <w:pStyle w:val="xl30"/>
        <w:numPr>
          <w:ilvl w:val="0"/>
          <w:numId w:val="9"/>
        </w:numPr>
        <w:tabs>
          <w:tab w:val="left" w:pos="2175"/>
          <w:tab w:val="left" w:pos="9620"/>
        </w:tabs>
        <w:spacing w:before="0" w:beforeAutospacing="0" w:after="0" w:afterAutospacing="0"/>
        <w:rPr>
          <w:b w:val="0"/>
          <w:bCs w:val="0"/>
        </w:rPr>
      </w:pPr>
      <w:r w:rsidRPr="00676CC4">
        <w:rPr>
          <w:u w:val="single"/>
        </w:rPr>
        <w:t>Data requirements</w:t>
      </w:r>
      <w:r w:rsidRPr="00153D94">
        <w:t xml:space="preserve"> -</w:t>
      </w:r>
      <w:r>
        <w:rPr>
          <w:b w:val="0"/>
        </w:rPr>
        <w:t xml:space="preserve"> </w:t>
      </w:r>
      <w:r>
        <w:rPr>
          <w:b w:val="0"/>
          <w:bCs w:val="0"/>
        </w:rPr>
        <w:t xml:space="preserve">LB thanked suppliers for the information they provide each month. The new data requirement will be in a similar format to now but will be split between adults and </w:t>
      </w:r>
      <w:proofErr w:type="spellStart"/>
      <w:r>
        <w:rPr>
          <w:b w:val="0"/>
          <w:bCs w:val="0"/>
        </w:rPr>
        <w:t>paeds</w:t>
      </w:r>
      <w:proofErr w:type="spellEnd"/>
      <w:r>
        <w:rPr>
          <w:b w:val="0"/>
          <w:bCs w:val="0"/>
        </w:rPr>
        <w:t>. If data is sent in and is not in the correct format it will be returned to suppliers for amendment.</w:t>
      </w:r>
    </w:p>
    <w:p w:rsidR="006C5D68" w:rsidRDefault="006C5D68" w:rsidP="006C5D68">
      <w:pPr>
        <w:pStyle w:val="xl30"/>
        <w:tabs>
          <w:tab w:val="left" w:pos="2175"/>
          <w:tab w:val="left" w:pos="9620"/>
        </w:tabs>
        <w:spacing w:before="0" w:beforeAutospacing="0" w:after="0" w:afterAutospacing="0"/>
        <w:ind w:left="709" w:hanging="141"/>
        <w:rPr>
          <w:b w:val="0"/>
          <w:bCs w:val="0"/>
        </w:rPr>
      </w:pPr>
      <w:r>
        <w:rPr>
          <w:b w:val="0"/>
          <w:bCs w:val="0"/>
        </w:rPr>
        <w:t xml:space="preserve">  LN asked suppliers if there were any volunteers to test the new MI template to ensure    suppliers can map their product codes etc. into the new template to avoid problems. </w:t>
      </w:r>
      <w:proofErr w:type="spellStart"/>
      <w:r>
        <w:rPr>
          <w:b w:val="0"/>
          <w:bCs w:val="0"/>
        </w:rPr>
        <w:t>Calea</w:t>
      </w:r>
      <w:proofErr w:type="spellEnd"/>
      <w:r>
        <w:rPr>
          <w:b w:val="0"/>
          <w:bCs w:val="0"/>
        </w:rPr>
        <w:t>, Liverpool and Baxter agreed to help.</w:t>
      </w:r>
    </w:p>
    <w:p w:rsidR="006C5D68" w:rsidRDefault="006C5D68" w:rsidP="006C5D68">
      <w:pPr>
        <w:pStyle w:val="xl30"/>
        <w:tabs>
          <w:tab w:val="left" w:pos="2175"/>
          <w:tab w:val="left" w:pos="9620"/>
        </w:tabs>
        <w:spacing w:before="0" w:beforeAutospacing="0" w:after="0" w:afterAutospacing="0"/>
        <w:ind w:firstLine="709"/>
        <w:rPr>
          <w:b w:val="0"/>
          <w:bCs w:val="0"/>
        </w:rPr>
      </w:pPr>
      <w:r w:rsidRPr="006C5D68">
        <w:rPr>
          <w:b w:val="0"/>
          <w:bCs w:val="0"/>
        </w:rPr>
        <w:t>Question –</w:t>
      </w:r>
      <w:r>
        <w:rPr>
          <w:b w:val="0"/>
          <w:bCs w:val="0"/>
        </w:rPr>
        <w:t xml:space="preserve"> Could the heat maps be issued in spreadsheet format?</w:t>
      </w:r>
    </w:p>
    <w:p w:rsidR="006C5D68" w:rsidRDefault="006C5D68" w:rsidP="006C5D68">
      <w:pPr>
        <w:pStyle w:val="xl30"/>
        <w:tabs>
          <w:tab w:val="left" w:pos="2175"/>
          <w:tab w:val="left" w:pos="9620"/>
        </w:tabs>
        <w:spacing w:before="0" w:beforeAutospacing="0" w:after="0" w:afterAutospacing="0"/>
        <w:ind w:firstLine="709"/>
        <w:rPr>
          <w:b w:val="0"/>
          <w:bCs w:val="0"/>
        </w:rPr>
      </w:pPr>
      <w:r w:rsidRPr="006C5D68">
        <w:rPr>
          <w:b w:val="0"/>
          <w:bCs w:val="0"/>
        </w:rPr>
        <w:t>Action:</w:t>
      </w:r>
      <w:r>
        <w:rPr>
          <w:b w:val="0"/>
          <w:bCs w:val="0"/>
        </w:rPr>
        <w:t xml:space="preserve"> CMU will investigate.</w:t>
      </w:r>
    </w:p>
    <w:p w:rsidR="006C5D68" w:rsidRDefault="006C5D68" w:rsidP="006C5D68">
      <w:pPr>
        <w:pStyle w:val="xl30"/>
        <w:tabs>
          <w:tab w:val="left" w:pos="2175"/>
          <w:tab w:val="left" w:pos="9620"/>
        </w:tabs>
        <w:spacing w:before="0" w:beforeAutospacing="0" w:after="0" w:afterAutospacing="0"/>
        <w:ind w:left="709"/>
        <w:rPr>
          <w:b w:val="0"/>
          <w:bCs w:val="0"/>
        </w:rPr>
      </w:pPr>
      <w:r w:rsidRPr="006C5D68">
        <w:rPr>
          <w:b w:val="0"/>
          <w:bCs w:val="0"/>
        </w:rPr>
        <w:t>Question –</w:t>
      </w:r>
      <w:r>
        <w:rPr>
          <w:b w:val="0"/>
          <w:bCs w:val="0"/>
        </w:rPr>
        <w:t xml:space="preserve"> Could the number of patients on HPN both long and short term be provided anonymously to suppliers?</w:t>
      </w:r>
    </w:p>
    <w:p w:rsidR="006C5D68" w:rsidRDefault="006C5D68" w:rsidP="006D446B">
      <w:pPr>
        <w:pStyle w:val="xl30"/>
        <w:tabs>
          <w:tab w:val="left" w:pos="2175"/>
          <w:tab w:val="left" w:pos="9620"/>
        </w:tabs>
        <w:spacing w:before="0" w:beforeAutospacing="0" w:after="0" w:afterAutospacing="0"/>
        <w:ind w:left="709"/>
        <w:rPr>
          <w:b w:val="0"/>
          <w:bCs w:val="0"/>
        </w:rPr>
      </w:pPr>
      <w:r w:rsidRPr="006C5D68">
        <w:rPr>
          <w:b w:val="0"/>
          <w:bCs w:val="0"/>
        </w:rPr>
        <w:t>Action:</w:t>
      </w:r>
      <w:r>
        <w:rPr>
          <w:b w:val="0"/>
          <w:bCs w:val="0"/>
        </w:rPr>
        <w:t xml:space="preserve"> CMU will firstly contact all suppliers for their approval to share information and then if all agree provide reports.</w:t>
      </w:r>
    </w:p>
    <w:p w:rsidR="006D446B" w:rsidRDefault="006D446B" w:rsidP="006D446B">
      <w:pPr>
        <w:pStyle w:val="xl30"/>
        <w:tabs>
          <w:tab w:val="left" w:pos="2175"/>
          <w:tab w:val="left" w:pos="9620"/>
        </w:tabs>
        <w:spacing w:before="0" w:beforeAutospacing="0" w:after="0" w:afterAutospacing="0"/>
        <w:ind w:left="709"/>
        <w:rPr>
          <w:b w:val="0"/>
          <w:bCs w:val="0"/>
        </w:rPr>
      </w:pPr>
    </w:p>
    <w:p w:rsidR="00937360" w:rsidRDefault="00676CC4" w:rsidP="00676CC4">
      <w:pPr>
        <w:pStyle w:val="xl30"/>
        <w:numPr>
          <w:ilvl w:val="0"/>
          <w:numId w:val="9"/>
        </w:numPr>
        <w:tabs>
          <w:tab w:val="left" w:pos="709"/>
          <w:tab w:val="left" w:pos="9620"/>
        </w:tabs>
        <w:spacing w:before="0" w:beforeAutospacing="0" w:after="0" w:afterAutospacing="0"/>
        <w:ind w:left="284" w:hanging="284"/>
        <w:rPr>
          <w:bCs w:val="0"/>
        </w:rPr>
      </w:pPr>
      <w:r>
        <w:rPr>
          <w:bCs w:val="0"/>
        </w:rPr>
        <w:t xml:space="preserve">  </w:t>
      </w:r>
      <w:r w:rsidR="00937360" w:rsidRPr="00153D94">
        <w:rPr>
          <w:bCs w:val="0"/>
        </w:rPr>
        <w:t>AOB</w:t>
      </w:r>
    </w:p>
    <w:p w:rsidR="00676CC4" w:rsidRPr="00153D94" w:rsidRDefault="00676CC4" w:rsidP="00676CC4">
      <w:pPr>
        <w:pStyle w:val="xl30"/>
        <w:tabs>
          <w:tab w:val="left" w:pos="2175"/>
          <w:tab w:val="left" w:pos="9620"/>
        </w:tabs>
        <w:spacing w:before="0" w:beforeAutospacing="0" w:after="0" w:afterAutospacing="0"/>
        <w:ind w:left="720"/>
        <w:rPr>
          <w:bCs w:val="0"/>
        </w:rPr>
      </w:pPr>
    </w:p>
    <w:p w:rsidR="00153D94" w:rsidRPr="00153D94" w:rsidRDefault="00153D94" w:rsidP="00153D94">
      <w:pPr>
        <w:pStyle w:val="xl30"/>
        <w:tabs>
          <w:tab w:val="left" w:pos="2175"/>
          <w:tab w:val="left" w:pos="9620"/>
        </w:tabs>
        <w:spacing w:before="0" w:beforeAutospacing="0" w:after="0" w:afterAutospacing="0"/>
        <w:rPr>
          <w:u w:val="single"/>
        </w:rPr>
      </w:pPr>
      <w:r w:rsidRPr="00153D94">
        <w:rPr>
          <w:u w:val="single"/>
        </w:rPr>
        <w:t xml:space="preserve">Blue </w:t>
      </w:r>
      <w:proofErr w:type="spellStart"/>
      <w:r w:rsidRPr="00153D94">
        <w:rPr>
          <w:u w:val="single"/>
        </w:rPr>
        <w:t>Teq</w:t>
      </w:r>
      <w:proofErr w:type="spellEnd"/>
      <w:r w:rsidRPr="00153D94">
        <w:rPr>
          <w:u w:val="single"/>
        </w:rPr>
        <w:t xml:space="preserve"> forms</w:t>
      </w:r>
    </w:p>
    <w:p w:rsidR="00153D94" w:rsidRDefault="00153D94" w:rsidP="00153D94">
      <w:pPr>
        <w:pStyle w:val="xl30"/>
        <w:tabs>
          <w:tab w:val="left" w:pos="2175"/>
          <w:tab w:val="left" w:pos="9620"/>
        </w:tabs>
        <w:spacing w:before="0" w:beforeAutospacing="0" w:after="0" w:afterAutospacing="0"/>
        <w:rPr>
          <w:b w:val="0"/>
          <w:bCs w:val="0"/>
        </w:rPr>
      </w:pPr>
      <w:r>
        <w:rPr>
          <w:b w:val="0"/>
          <w:bCs w:val="0"/>
        </w:rPr>
        <w:t xml:space="preserve">HW advised when new Blue </w:t>
      </w:r>
      <w:proofErr w:type="spellStart"/>
      <w:r>
        <w:rPr>
          <w:b w:val="0"/>
          <w:bCs w:val="0"/>
        </w:rPr>
        <w:t>Teq</w:t>
      </w:r>
      <w:proofErr w:type="spellEnd"/>
      <w:r>
        <w:rPr>
          <w:b w:val="0"/>
          <w:bCs w:val="0"/>
        </w:rPr>
        <w:t xml:space="preserve"> forms are ready they will be in the appendices. </w:t>
      </w:r>
    </w:p>
    <w:p w:rsidR="00153D94" w:rsidRDefault="00153D94" w:rsidP="00153D94">
      <w:pPr>
        <w:pStyle w:val="xl30"/>
        <w:tabs>
          <w:tab w:val="left" w:pos="2175"/>
          <w:tab w:val="left" w:pos="9620"/>
        </w:tabs>
        <w:spacing w:before="0" w:beforeAutospacing="0" w:after="0" w:afterAutospacing="0"/>
        <w:rPr>
          <w:b w:val="0"/>
          <w:bCs w:val="0"/>
        </w:rPr>
      </w:pPr>
      <w:r>
        <w:rPr>
          <w:b w:val="0"/>
          <w:bCs w:val="0"/>
        </w:rPr>
        <w:t xml:space="preserve">HW advised suppliers if they have legacy patients without </w:t>
      </w:r>
      <w:proofErr w:type="spellStart"/>
      <w:r>
        <w:rPr>
          <w:b w:val="0"/>
          <w:bCs w:val="0"/>
        </w:rPr>
        <w:t>BlueTeq</w:t>
      </w:r>
      <w:proofErr w:type="spellEnd"/>
      <w:r>
        <w:rPr>
          <w:b w:val="0"/>
          <w:bCs w:val="0"/>
        </w:rPr>
        <w:t xml:space="preserve"> numbers or trusts which are not the referring centre are using other trusts </w:t>
      </w:r>
      <w:proofErr w:type="spellStart"/>
      <w:r>
        <w:rPr>
          <w:b w:val="0"/>
          <w:bCs w:val="0"/>
        </w:rPr>
        <w:t>BlueTeq</w:t>
      </w:r>
      <w:proofErr w:type="spellEnd"/>
      <w:r>
        <w:rPr>
          <w:b w:val="0"/>
          <w:bCs w:val="0"/>
        </w:rPr>
        <w:t xml:space="preserve"> numbers to advise CMU.</w:t>
      </w:r>
    </w:p>
    <w:p w:rsidR="00153D94" w:rsidRDefault="00153D94" w:rsidP="00937360">
      <w:pPr>
        <w:pStyle w:val="xl30"/>
        <w:tabs>
          <w:tab w:val="left" w:pos="2175"/>
          <w:tab w:val="left" w:pos="9620"/>
        </w:tabs>
        <w:spacing w:before="0" w:beforeAutospacing="0" w:after="0" w:afterAutospacing="0"/>
        <w:ind w:left="360"/>
        <w:rPr>
          <w:b w:val="0"/>
          <w:bCs w:val="0"/>
        </w:rPr>
      </w:pPr>
      <w:r>
        <w:rPr>
          <w:b w:val="0"/>
          <w:bCs w:val="0"/>
        </w:rPr>
        <w:t xml:space="preserve"> </w:t>
      </w:r>
    </w:p>
    <w:p w:rsidR="006743BA" w:rsidRPr="00153D94" w:rsidRDefault="00153D94" w:rsidP="00153D94">
      <w:pPr>
        <w:pStyle w:val="xl30"/>
        <w:tabs>
          <w:tab w:val="left" w:pos="2175"/>
          <w:tab w:val="left" w:pos="9620"/>
        </w:tabs>
        <w:spacing w:before="0" w:beforeAutospacing="0" w:after="0" w:afterAutospacing="0"/>
        <w:rPr>
          <w:bCs w:val="0"/>
          <w:u w:val="single"/>
        </w:rPr>
      </w:pPr>
      <w:r w:rsidRPr="00153D94">
        <w:rPr>
          <w:u w:val="single"/>
        </w:rPr>
        <w:t>Training</w:t>
      </w:r>
      <w:r w:rsidR="00937360" w:rsidRPr="00153D94">
        <w:rPr>
          <w:bCs w:val="0"/>
          <w:u w:val="single"/>
        </w:rPr>
        <w:t xml:space="preserve"> </w:t>
      </w:r>
    </w:p>
    <w:p w:rsidR="00153D94" w:rsidRDefault="00153D94" w:rsidP="00153D94">
      <w:pPr>
        <w:pStyle w:val="xl30"/>
        <w:tabs>
          <w:tab w:val="left" w:pos="2175"/>
          <w:tab w:val="left" w:pos="9620"/>
        </w:tabs>
        <w:spacing w:before="0" w:beforeAutospacing="0" w:after="0" w:afterAutospacing="0"/>
        <w:rPr>
          <w:b w:val="0"/>
          <w:bCs w:val="0"/>
        </w:rPr>
      </w:pPr>
      <w:r>
        <w:rPr>
          <w:b w:val="0"/>
          <w:bCs w:val="0"/>
        </w:rPr>
        <w:t xml:space="preserve">MS advised the training of patients should be done at off peak times wherever possible. Suppliers advised this is more difficult with </w:t>
      </w:r>
      <w:proofErr w:type="spellStart"/>
      <w:r>
        <w:rPr>
          <w:b w:val="0"/>
          <w:bCs w:val="0"/>
        </w:rPr>
        <w:t>paeds</w:t>
      </w:r>
      <w:proofErr w:type="spellEnd"/>
      <w:r>
        <w:rPr>
          <w:b w:val="0"/>
          <w:bCs w:val="0"/>
        </w:rPr>
        <w:t xml:space="preserve"> due to them attending school.</w:t>
      </w:r>
    </w:p>
    <w:p w:rsidR="00153D94" w:rsidRDefault="00153D94" w:rsidP="00153D94">
      <w:pPr>
        <w:pStyle w:val="xl30"/>
        <w:tabs>
          <w:tab w:val="left" w:pos="2175"/>
          <w:tab w:val="left" w:pos="9620"/>
        </w:tabs>
        <w:spacing w:before="0" w:beforeAutospacing="0" w:after="0" w:afterAutospacing="0"/>
        <w:rPr>
          <w:b w:val="0"/>
          <w:bCs w:val="0"/>
        </w:rPr>
      </w:pPr>
      <w:r>
        <w:rPr>
          <w:b w:val="0"/>
          <w:bCs w:val="0"/>
        </w:rPr>
        <w:t>MS advised training expectations will be added to the briefing documents for the suppliers and the NHS.</w:t>
      </w:r>
    </w:p>
    <w:p w:rsidR="00153D94" w:rsidRDefault="00153D94" w:rsidP="00937360">
      <w:pPr>
        <w:pStyle w:val="xl30"/>
        <w:tabs>
          <w:tab w:val="left" w:pos="2175"/>
          <w:tab w:val="left" w:pos="9620"/>
        </w:tabs>
        <w:spacing w:before="0" w:beforeAutospacing="0" w:after="0" w:afterAutospacing="0"/>
        <w:ind w:left="360"/>
        <w:rPr>
          <w:b w:val="0"/>
          <w:bCs w:val="0"/>
        </w:rPr>
      </w:pPr>
    </w:p>
    <w:p w:rsidR="00153D94" w:rsidRPr="00153D94" w:rsidRDefault="00153D94" w:rsidP="00153D94">
      <w:pPr>
        <w:pStyle w:val="xl30"/>
        <w:tabs>
          <w:tab w:val="left" w:pos="2175"/>
          <w:tab w:val="left" w:pos="9620"/>
        </w:tabs>
        <w:spacing w:before="0" w:beforeAutospacing="0" w:after="0" w:afterAutospacing="0"/>
        <w:rPr>
          <w:u w:val="single"/>
        </w:rPr>
      </w:pPr>
      <w:r w:rsidRPr="00153D94">
        <w:rPr>
          <w:u w:val="single"/>
        </w:rPr>
        <w:t>Specification</w:t>
      </w:r>
    </w:p>
    <w:p w:rsidR="00153D94" w:rsidRDefault="00153D94" w:rsidP="00153D94">
      <w:pPr>
        <w:pStyle w:val="xl30"/>
        <w:tabs>
          <w:tab w:val="left" w:pos="2175"/>
          <w:tab w:val="left" w:pos="9620"/>
        </w:tabs>
        <w:spacing w:before="0" w:beforeAutospacing="0" w:after="0" w:afterAutospacing="0"/>
        <w:rPr>
          <w:b w:val="0"/>
          <w:bCs w:val="0"/>
        </w:rPr>
      </w:pPr>
      <w:r>
        <w:rPr>
          <w:b w:val="0"/>
          <w:bCs w:val="0"/>
        </w:rPr>
        <w:t>5a_6.1 Buffer stock – advises 2 day buffer stock required currently provide 3.</w:t>
      </w:r>
    </w:p>
    <w:p w:rsidR="00153D94" w:rsidRDefault="00153D94" w:rsidP="00153D94">
      <w:pPr>
        <w:pStyle w:val="xl30"/>
        <w:tabs>
          <w:tab w:val="left" w:pos="2175"/>
          <w:tab w:val="left" w:pos="9620"/>
        </w:tabs>
        <w:spacing w:before="0" w:beforeAutospacing="0" w:after="0" w:afterAutospacing="0"/>
        <w:rPr>
          <w:b w:val="0"/>
          <w:bCs w:val="0"/>
        </w:rPr>
      </w:pPr>
      <w:r w:rsidRPr="00153D94">
        <w:rPr>
          <w:b w:val="0"/>
          <w:bCs w:val="0"/>
        </w:rPr>
        <w:t>Action:</w:t>
      </w:r>
      <w:r>
        <w:rPr>
          <w:b w:val="0"/>
          <w:bCs w:val="0"/>
        </w:rPr>
        <w:t xml:space="preserve"> CMU to amend the specification to say minimum of 2 days.</w:t>
      </w:r>
    </w:p>
    <w:p w:rsidR="00153D94" w:rsidRDefault="00153D94" w:rsidP="00153D94">
      <w:pPr>
        <w:pStyle w:val="xl30"/>
        <w:tabs>
          <w:tab w:val="left" w:pos="2175"/>
          <w:tab w:val="left" w:pos="9620"/>
        </w:tabs>
        <w:spacing w:before="0" w:beforeAutospacing="0" w:after="0" w:afterAutospacing="0"/>
        <w:rPr>
          <w:b w:val="0"/>
          <w:bCs w:val="0"/>
        </w:rPr>
      </w:pPr>
    </w:p>
    <w:p w:rsidR="00153D94" w:rsidRDefault="00153D94" w:rsidP="00153D94">
      <w:pPr>
        <w:pStyle w:val="xl30"/>
        <w:tabs>
          <w:tab w:val="left" w:pos="2175"/>
          <w:tab w:val="left" w:pos="9620"/>
        </w:tabs>
        <w:spacing w:before="0" w:beforeAutospacing="0" w:after="0" w:afterAutospacing="0"/>
        <w:rPr>
          <w:b w:val="0"/>
          <w:bCs w:val="0"/>
        </w:rPr>
      </w:pPr>
      <w:r>
        <w:rPr>
          <w:b w:val="0"/>
          <w:bCs w:val="0"/>
        </w:rPr>
        <w:t xml:space="preserve">On hold patients - Suppliers need to inform CMU if trusts </w:t>
      </w:r>
      <w:proofErr w:type="gramStart"/>
      <w:r>
        <w:rPr>
          <w:b w:val="0"/>
          <w:bCs w:val="0"/>
        </w:rPr>
        <w:t>who</w:t>
      </w:r>
      <w:proofErr w:type="gramEnd"/>
      <w:r>
        <w:rPr>
          <w:b w:val="0"/>
          <w:bCs w:val="0"/>
        </w:rPr>
        <w:t xml:space="preserve"> are holding slots for compounding and nursing are holding for too long and is becoming difficult to manage, so the stakeholder group can link in with the NHS to resolve and release the slot if necessary.</w:t>
      </w:r>
    </w:p>
    <w:p w:rsidR="00153D94" w:rsidRPr="002F1D46" w:rsidRDefault="00153D94" w:rsidP="00153D94">
      <w:pPr>
        <w:pStyle w:val="xl30"/>
        <w:tabs>
          <w:tab w:val="left" w:pos="2175"/>
          <w:tab w:val="left" w:pos="9620"/>
        </w:tabs>
        <w:spacing w:before="0" w:beforeAutospacing="0" w:after="0" w:afterAutospacing="0"/>
        <w:rPr>
          <w:b w:val="0"/>
          <w:bCs w:val="0"/>
        </w:rPr>
      </w:pPr>
      <w:r w:rsidRPr="00153D94">
        <w:rPr>
          <w:b w:val="0"/>
          <w:bCs w:val="0"/>
        </w:rPr>
        <w:t>Action:</w:t>
      </w:r>
      <w:r>
        <w:rPr>
          <w:b w:val="0"/>
          <w:bCs w:val="0"/>
        </w:rPr>
        <w:t xml:space="preserve"> Stakeholder group to review the specification and insert process and timeline and add to the briefing document.</w:t>
      </w:r>
    </w:p>
    <w:p w:rsidR="00153D94" w:rsidRDefault="00153D94" w:rsidP="00937360">
      <w:pPr>
        <w:pStyle w:val="xl30"/>
        <w:tabs>
          <w:tab w:val="left" w:pos="2175"/>
          <w:tab w:val="left" w:pos="9620"/>
        </w:tabs>
        <w:spacing w:before="0" w:beforeAutospacing="0" w:after="0" w:afterAutospacing="0"/>
        <w:ind w:left="360"/>
        <w:rPr>
          <w:b w:val="0"/>
          <w:bCs w:val="0"/>
        </w:rPr>
      </w:pPr>
    </w:p>
    <w:p w:rsidR="00153D94" w:rsidRPr="00153D94" w:rsidRDefault="00153D94" w:rsidP="00153D94">
      <w:pPr>
        <w:pStyle w:val="xl30"/>
        <w:tabs>
          <w:tab w:val="left" w:pos="2175"/>
          <w:tab w:val="left" w:pos="9620"/>
        </w:tabs>
        <w:spacing w:before="0" w:beforeAutospacing="0" w:after="0" w:afterAutospacing="0"/>
        <w:rPr>
          <w:bCs w:val="0"/>
          <w:u w:val="single"/>
        </w:rPr>
      </w:pPr>
      <w:r w:rsidRPr="00153D94">
        <w:rPr>
          <w:bCs w:val="0"/>
          <w:u w:val="single"/>
        </w:rPr>
        <w:t>Fridges</w:t>
      </w:r>
    </w:p>
    <w:p w:rsidR="00153D94" w:rsidRDefault="00153D94" w:rsidP="00153D94">
      <w:pPr>
        <w:pStyle w:val="xl30"/>
        <w:tabs>
          <w:tab w:val="left" w:pos="2175"/>
          <w:tab w:val="left" w:pos="9620"/>
        </w:tabs>
        <w:spacing w:before="0" w:beforeAutospacing="0" w:after="0" w:afterAutospacing="0"/>
        <w:rPr>
          <w:b w:val="0"/>
          <w:bCs w:val="0"/>
        </w:rPr>
      </w:pPr>
      <w:r w:rsidRPr="00153D94">
        <w:rPr>
          <w:b w:val="0"/>
          <w:bCs w:val="0"/>
        </w:rPr>
        <w:t>Question –</w:t>
      </w:r>
      <w:r w:rsidRPr="00F7643A">
        <w:rPr>
          <w:bCs w:val="0"/>
        </w:rPr>
        <w:t xml:space="preserve"> </w:t>
      </w:r>
      <w:r>
        <w:rPr>
          <w:b w:val="0"/>
          <w:bCs w:val="0"/>
        </w:rPr>
        <w:t>If a patient moves home and the fridge doesn’t fit are suppliers required to provide a different fridge and is there a reinstallation charge? JE advised it is the patients responsibility to check the fridge will fit into their new property in the kitchen and if it doesn’t they must make alternative arrangements.</w:t>
      </w:r>
    </w:p>
    <w:p w:rsidR="00153D94" w:rsidRDefault="00153D94" w:rsidP="00153D94">
      <w:pPr>
        <w:pStyle w:val="xl30"/>
        <w:tabs>
          <w:tab w:val="left" w:pos="2175"/>
          <w:tab w:val="left" w:pos="9620"/>
        </w:tabs>
        <w:spacing w:before="0" w:beforeAutospacing="0" w:after="0" w:afterAutospacing="0"/>
        <w:rPr>
          <w:b w:val="0"/>
          <w:bCs w:val="0"/>
        </w:rPr>
      </w:pPr>
    </w:p>
    <w:p w:rsidR="00153D94" w:rsidRPr="00153D94" w:rsidRDefault="00153D94" w:rsidP="00153D94">
      <w:pPr>
        <w:pStyle w:val="xl30"/>
        <w:tabs>
          <w:tab w:val="left" w:pos="2175"/>
          <w:tab w:val="left" w:pos="9620"/>
        </w:tabs>
        <w:spacing w:before="0" w:beforeAutospacing="0" w:after="0" w:afterAutospacing="0"/>
        <w:rPr>
          <w:u w:val="single"/>
        </w:rPr>
      </w:pPr>
      <w:r w:rsidRPr="00153D94">
        <w:rPr>
          <w:u w:val="single"/>
        </w:rPr>
        <w:t>Prescriptions</w:t>
      </w:r>
    </w:p>
    <w:p w:rsidR="00153D94" w:rsidRDefault="00153D94" w:rsidP="00153D94">
      <w:pPr>
        <w:pStyle w:val="xl30"/>
        <w:tabs>
          <w:tab w:val="left" w:pos="2175"/>
          <w:tab w:val="left" w:pos="9620"/>
        </w:tabs>
        <w:spacing w:before="0" w:beforeAutospacing="0" w:after="0" w:afterAutospacing="0"/>
        <w:rPr>
          <w:b w:val="0"/>
          <w:bCs w:val="0"/>
        </w:rPr>
      </w:pPr>
      <w:r>
        <w:rPr>
          <w:b w:val="0"/>
          <w:bCs w:val="0"/>
        </w:rPr>
        <w:t>HW advised 3 signatures are required on prescriptions and if trusts are not complying then suppliers must let CMU know.</w:t>
      </w:r>
    </w:p>
    <w:p w:rsidR="00153D94" w:rsidRDefault="00153D94" w:rsidP="00937360">
      <w:pPr>
        <w:pStyle w:val="xl30"/>
        <w:tabs>
          <w:tab w:val="left" w:pos="2175"/>
          <w:tab w:val="left" w:pos="9620"/>
        </w:tabs>
        <w:spacing w:before="0" w:beforeAutospacing="0" w:after="0" w:afterAutospacing="0"/>
        <w:ind w:left="360"/>
        <w:rPr>
          <w:b w:val="0"/>
          <w:bCs w:val="0"/>
        </w:rPr>
      </w:pPr>
    </w:p>
    <w:p w:rsidR="006743BA" w:rsidRPr="006743BA" w:rsidRDefault="006743BA" w:rsidP="00912758">
      <w:pPr>
        <w:pStyle w:val="xl30"/>
        <w:tabs>
          <w:tab w:val="left" w:pos="2175"/>
          <w:tab w:val="left" w:pos="9620"/>
        </w:tabs>
        <w:spacing w:before="0" w:beforeAutospacing="0" w:after="0" w:afterAutospacing="0"/>
        <w:rPr>
          <w:b w:val="0"/>
          <w:bCs w:val="0"/>
        </w:rPr>
      </w:pPr>
    </w:p>
    <w:p w:rsidR="00912758" w:rsidRPr="00912758" w:rsidRDefault="00912758" w:rsidP="00912758">
      <w:pPr>
        <w:pStyle w:val="ListParagraph"/>
        <w:spacing w:after="0" w:line="240" w:lineRule="auto"/>
        <w:ind w:left="1364"/>
        <w:rPr>
          <w:rFonts w:ascii="Arial" w:eastAsia="Calibri" w:hAnsi="Arial" w:cs="Arial"/>
          <w:lang w:val="en-US" w:bidi="en-US"/>
        </w:rPr>
      </w:pPr>
    </w:p>
    <w:p w:rsidR="00D615E9" w:rsidRPr="00630BFE" w:rsidRDefault="00D615E9" w:rsidP="00D615E9">
      <w:pPr>
        <w:spacing w:after="0" w:line="240" w:lineRule="auto"/>
        <w:ind w:left="644"/>
        <w:rPr>
          <w:rFonts w:ascii="Arial" w:eastAsia="Calibri" w:hAnsi="Arial" w:cs="Arial"/>
          <w:lang w:val="en-US" w:bidi="en-US"/>
        </w:rPr>
      </w:pPr>
    </w:p>
    <w:p w:rsidR="00D615E9" w:rsidRPr="00630BFE" w:rsidRDefault="00D615E9" w:rsidP="00D615E9">
      <w:pPr>
        <w:spacing w:after="0" w:line="240" w:lineRule="auto"/>
        <w:ind w:left="644"/>
        <w:rPr>
          <w:rFonts w:ascii="Arial" w:eastAsia="Calibri" w:hAnsi="Arial" w:cs="Arial"/>
          <w:b/>
          <w:highlight w:val="yellow"/>
          <w:lang w:val="en-US" w:bidi="en-US"/>
        </w:rPr>
      </w:pPr>
    </w:p>
    <w:p w:rsidR="00D615E9" w:rsidRPr="00630BFE" w:rsidRDefault="00D615E9" w:rsidP="00D615E9">
      <w:pPr>
        <w:spacing w:after="0" w:line="240" w:lineRule="auto"/>
        <w:ind w:left="720"/>
        <w:rPr>
          <w:rFonts w:ascii="Arial" w:eastAsia="Calibri" w:hAnsi="Arial" w:cs="Arial"/>
          <w:b/>
          <w:lang w:val="en-US" w:bidi="en-US"/>
        </w:rPr>
      </w:pPr>
    </w:p>
    <w:p w:rsidR="00875407" w:rsidRPr="00630BFE" w:rsidRDefault="00875407" w:rsidP="00D615E9">
      <w:pPr>
        <w:spacing w:after="0" w:line="240" w:lineRule="auto"/>
        <w:ind w:left="720"/>
        <w:rPr>
          <w:rFonts w:ascii="Arial" w:eastAsia="Calibri" w:hAnsi="Arial" w:cs="Arial"/>
          <w:b/>
          <w:lang w:val="en-US" w:bidi="en-US"/>
        </w:rPr>
      </w:pPr>
    </w:p>
    <w:p w:rsidR="00875407" w:rsidRPr="00630BFE" w:rsidRDefault="00875407" w:rsidP="00D615E9">
      <w:pPr>
        <w:spacing w:after="0" w:line="240" w:lineRule="auto"/>
        <w:ind w:left="720"/>
        <w:rPr>
          <w:rFonts w:ascii="Arial" w:eastAsia="Calibri" w:hAnsi="Arial" w:cs="Arial"/>
          <w:b/>
          <w:lang w:val="en-US" w:bidi="en-US"/>
        </w:rPr>
      </w:pPr>
    </w:p>
    <w:p w:rsidR="00D615E9" w:rsidRPr="00630BFE" w:rsidRDefault="00D615E9" w:rsidP="00D615E9">
      <w:pPr>
        <w:spacing w:after="0" w:line="240" w:lineRule="auto"/>
        <w:rPr>
          <w:rFonts w:ascii="Arial" w:eastAsia="Calibri" w:hAnsi="Arial" w:cs="Arial"/>
          <w:lang w:val="en-US" w:bidi="en-US"/>
        </w:rPr>
      </w:pPr>
    </w:p>
    <w:p w:rsidR="00875407" w:rsidRPr="00630BFE" w:rsidRDefault="00875407" w:rsidP="00D615E9">
      <w:pPr>
        <w:spacing w:after="0" w:line="240" w:lineRule="auto"/>
        <w:rPr>
          <w:rFonts w:ascii="Arial" w:eastAsia="Calibri" w:hAnsi="Arial" w:cs="Arial"/>
          <w:bCs/>
          <w:color w:val="0070C0"/>
          <w:lang w:val="en-US" w:bidi="en-US"/>
        </w:rPr>
      </w:pPr>
    </w:p>
    <w:p w:rsidR="00875407" w:rsidRPr="00630BFE" w:rsidRDefault="00875407" w:rsidP="00D615E9">
      <w:pPr>
        <w:spacing w:after="0" w:line="240" w:lineRule="auto"/>
        <w:rPr>
          <w:rFonts w:ascii="Arial" w:eastAsia="Calibri" w:hAnsi="Arial" w:cs="Arial"/>
          <w:bCs/>
          <w:color w:val="0070C0"/>
          <w:lang w:val="en-US" w:bidi="en-US"/>
        </w:rPr>
      </w:pPr>
    </w:p>
    <w:p w:rsidR="00875407" w:rsidRPr="00630BFE" w:rsidRDefault="00875407" w:rsidP="00D615E9">
      <w:pPr>
        <w:spacing w:after="0" w:line="240" w:lineRule="auto"/>
        <w:rPr>
          <w:rFonts w:ascii="Arial" w:eastAsia="Calibri" w:hAnsi="Arial" w:cs="Arial"/>
          <w:bCs/>
          <w:color w:val="0070C0"/>
          <w:lang w:val="en-US" w:bidi="en-US"/>
        </w:rPr>
      </w:pPr>
    </w:p>
    <w:p w:rsidR="00875407" w:rsidRPr="00630BFE" w:rsidRDefault="00875407" w:rsidP="00D615E9">
      <w:pPr>
        <w:spacing w:after="0" w:line="240" w:lineRule="auto"/>
        <w:rPr>
          <w:rFonts w:ascii="Arial" w:eastAsia="Calibri" w:hAnsi="Arial" w:cs="Arial"/>
          <w:bCs/>
          <w:color w:val="0070C0"/>
          <w:lang w:val="en-US" w:bidi="en-US"/>
        </w:rPr>
      </w:pPr>
    </w:p>
    <w:p w:rsidR="00875407" w:rsidRPr="00630BFE" w:rsidRDefault="00875407" w:rsidP="00D615E9">
      <w:pPr>
        <w:spacing w:after="0" w:line="240" w:lineRule="auto"/>
        <w:rPr>
          <w:rFonts w:ascii="Arial" w:eastAsia="Calibri" w:hAnsi="Arial" w:cs="Arial"/>
          <w:bCs/>
          <w:color w:val="0070C0"/>
          <w:lang w:val="en-US" w:bidi="en-US"/>
        </w:rPr>
      </w:pPr>
    </w:p>
    <w:p w:rsidR="00875407" w:rsidRPr="00630BFE" w:rsidRDefault="00875407" w:rsidP="00D615E9">
      <w:pPr>
        <w:spacing w:after="0" w:line="240" w:lineRule="auto"/>
        <w:rPr>
          <w:rFonts w:ascii="Arial" w:eastAsia="Calibri" w:hAnsi="Arial" w:cs="Arial"/>
          <w:bCs/>
          <w:color w:val="0070C0"/>
          <w:lang w:val="en-US" w:bidi="en-US"/>
        </w:rPr>
      </w:pPr>
    </w:p>
    <w:p w:rsidR="00065109" w:rsidRPr="00630BFE" w:rsidRDefault="00065109">
      <w:pPr>
        <w:rPr>
          <w:rFonts w:ascii="Arial" w:hAnsi="Arial" w:cs="Arial"/>
        </w:rPr>
      </w:pPr>
    </w:p>
    <w:sectPr w:rsidR="00065109" w:rsidRPr="00630BF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FC7" w:rsidRDefault="003D5FC7">
      <w:pPr>
        <w:spacing w:after="0" w:line="240" w:lineRule="auto"/>
      </w:pPr>
      <w:r>
        <w:separator/>
      </w:r>
    </w:p>
  </w:endnote>
  <w:endnote w:type="continuationSeparator" w:id="0">
    <w:p w:rsidR="003D5FC7" w:rsidRDefault="003D5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2AC" w:rsidRPr="00A77304" w:rsidRDefault="00301CEE" w:rsidP="008672AC">
    <w:pPr>
      <w:pStyle w:val="Header"/>
      <w:jc w:val="center"/>
      <w:rPr>
        <w:rFonts w:ascii="Arial" w:hAnsi="Arial" w:cs="Arial"/>
        <w:sz w:val="24"/>
        <w:szCs w:val="24"/>
      </w:rPr>
    </w:pPr>
    <w:r w:rsidRPr="00A77304">
      <w:rPr>
        <w:rFonts w:ascii="Arial" w:hAnsi="Arial" w:cs="Arial"/>
        <w:sz w:val="24"/>
        <w:szCs w:val="24"/>
      </w:rPr>
      <w:t>OFFICIAL</w:t>
    </w:r>
  </w:p>
  <w:p w:rsidR="0059639C" w:rsidRPr="0059639C" w:rsidRDefault="0059639C">
    <w:pPr>
      <w:pStyle w:val="Footer"/>
      <w:rPr>
        <w:rFonts w:ascii="Arial" w:hAnsi="Arial" w:cs="Arial"/>
        <w:sz w:val="18"/>
        <w:szCs w:val="18"/>
      </w:rPr>
    </w:pPr>
    <w:r w:rsidRPr="0059639C">
      <w:rPr>
        <w:rFonts w:ascii="Arial" w:hAnsi="Arial" w:cs="Arial"/>
        <w:sz w:val="18"/>
        <w:szCs w:val="18"/>
      </w:rPr>
      <w:t>Document no. 8 – Market Engagement</w:t>
    </w:r>
  </w:p>
  <w:p w:rsidR="008672AC" w:rsidRDefault="0059639C">
    <w:pPr>
      <w:pStyle w:val="Footer"/>
      <w:rPr>
        <w:rFonts w:ascii="Arial" w:hAnsi="Arial" w:cs="Arial"/>
        <w:sz w:val="18"/>
        <w:szCs w:val="18"/>
      </w:rPr>
    </w:pPr>
    <w:r w:rsidRPr="0059639C">
      <w:rPr>
        <w:rFonts w:ascii="Arial" w:hAnsi="Arial" w:cs="Arial"/>
        <w:sz w:val="18"/>
        <w:szCs w:val="18"/>
      </w:rPr>
      <w:t>Transparency Disclosure</w:t>
    </w:r>
  </w:p>
  <w:p w:rsidR="0059639C" w:rsidRPr="0059639C" w:rsidRDefault="00FD0C8F" w:rsidP="0059639C">
    <w:pPr>
      <w:pStyle w:val="Footer"/>
      <w:rPr>
        <w:sz w:val="18"/>
        <w:szCs w:val="18"/>
      </w:rPr>
    </w:pPr>
    <w:r>
      <w:rPr>
        <w:sz w:val="18"/>
        <w:szCs w:val="18"/>
      </w:rPr>
      <w:t>©NHS England 2019</w:t>
    </w:r>
  </w:p>
  <w:p w:rsidR="0059639C" w:rsidRPr="0059639C" w:rsidRDefault="0059639C" w:rsidP="0059639C">
    <w:pPr>
      <w:pStyle w:val="Footer"/>
      <w:rPr>
        <w:rFonts w:ascii="Arial" w:hAnsi="Arial" w:cs="Arial"/>
        <w:sz w:val="18"/>
        <w:szCs w:val="18"/>
      </w:rPr>
    </w:pP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FC7" w:rsidRDefault="003D5FC7">
      <w:pPr>
        <w:spacing w:after="0" w:line="240" w:lineRule="auto"/>
      </w:pPr>
      <w:r>
        <w:separator/>
      </w:r>
    </w:p>
  </w:footnote>
  <w:footnote w:type="continuationSeparator" w:id="0">
    <w:p w:rsidR="003D5FC7" w:rsidRDefault="003D5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2AC" w:rsidRPr="00A77304" w:rsidRDefault="00684B8C" w:rsidP="00A77304">
    <w:pPr>
      <w:pStyle w:val="Header"/>
      <w:jc w:val="center"/>
      <w:rPr>
        <w:rFonts w:ascii="Arial" w:hAnsi="Arial" w:cs="Arial"/>
        <w:sz w:val="24"/>
        <w:szCs w:val="24"/>
      </w:rPr>
    </w:pPr>
    <w:r w:rsidRPr="00096F47">
      <w:rPr>
        <w:rFonts w:cs="Arial"/>
        <w:noProof/>
        <w:lang w:eastAsia="en-GB"/>
      </w:rPr>
      <w:drawing>
        <wp:anchor distT="0" distB="0" distL="114300" distR="114300" simplePos="0" relativeHeight="251659264" behindDoc="0" locked="0" layoutInCell="1" allowOverlap="1" wp14:anchorId="0B0D4497" wp14:editId="170D0A95">
          <wp:simplePos x="0" y="0"/>
          <wp:positionH relativeFrom="page">
            <wp:posOffset>6095365</wp:posOffset>
          </wp:positionH>
          <wp:positionV relativeFrom="page">
            <wp:posOffset>279400</wp:posOffset>
          </wp:positionV>
          <wp:extent cx="809625" cy="626110"/>
          <wp:effectExtent l="0" t="0" r="952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09625" cy="626110"/>
                  </a:xfrm>
                  <a:prstGeom prst="rect">
                    <a:avLst/>
                  </a:prstGeom>
                  <a:noFill/>
                </pic:spPr>
              </pic:pic>
            </a:graphicData>
          </a:graphic>
          <wp14:sizeRelH relativeFrom="margin">
            <wp14:pctWidth>0</wp14:pctWidth>
          </wp14:sizeRelH>
          <wp14:sizeRelV relativeFrom="margin">
            <wp14:pctHeight>0</wp14:pctHeight>
          </wp14:sizeRelV>
        </wp:anchor>
      </w:drawing>
    </w:r>
    <w:r w:rsidR="00301CEE" w:rsidRPr="00A77304">
      <w:rPr>
        <w:rFonts w:ascii="Arial" w:hAnsi="Arial" w:cs="Arial"/>
        <w:sz w:val="24"/>
        <w:szCs w:val="24"/>
      </w:rPr>
      <w:t>OFFICIAL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97199"/>
    <w:multiLevelType w:val="hybridMultilevel"/>
    <w:tmpl w:val="E278C7F0"/>
    <w:lvl w:ilvl="0" w:tplc="111EF5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357EA7"/>
    <w:multiLevelType w:val="hybridMultilevel"/>
    <w:tmpl w:val="53762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F82DAD"/>
    <w:multiLevelType w:val="hybridMultilevel"/>
    <w:tmpl w:val="1DAA6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1D17C23"/>
    <w:multiLevelType w:val="hybridMultilevel"/>
    <w:tmpl w:val="2A6C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D91006B"/>
    <w:multiLevelType w:val="hybridMultilevel"/>
    <w:tmpl w:val="D5BC0A88"/>
    <w:lvl w:ilvl="0" w:tplc="495E101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51E3701"/>
    <w:multiLevelType w:val="hybridMultilevel"/>
    <w:tmpl w:val="A0F8F854"/>
    <w:lvl w:ilvl="0" w:tplc="850464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84504A2"/>
    <w:multiLevelType w:val="hybridMultilevel"/>
    <w:tmpl w:val="B75497F6"/>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7">
    <w:nsid w:val="6A7C76EE"/>
    <w:multiLevelType w:val="hybridMultilevel"/>
    <w:tmpl w:val="B1A44DCC"/>
    <w:lvl w:ilvl="0" w:tplc="0809000F">
      <w:start w:val="1"/>
      <w:numFmt w:val="decimal"/>
      <w:lvlText w:val="%1."/>
      <w:lvlJc w:val="left"/>
      <w:pPr>
        <w:ind w:left="360" w:hanging="360"/>
      </w:pPr>
      <w:rPr>
        <w:rFonts w:hint="default"/>
      </w:rPr>
    </w:lvl>
    <w:lvl w:ilvl="1" w:tplc="53240060">
      <w:start w:val="1"/>
      <w:numFmt w:val="lowerLetter"/>
      <w:lvlText w:val="%2."/>
      <w:lvlJc w:val="left"/>
      <w:pPr>
        <w:ind w:left="1440" w:hanging="360"/>
      </w:pPr>
      <w:rPr>
        <w:b/>
        <w:i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86629C5"/>
    <w:multiLevelType w:val="hybridMultilevel"/>
    <w:tmpl w:val="5E10043E"/>
    <w:lvl w:ilvl="0" w:tplc="850464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D6678B2"/>
    <w:multiLevelType w:val="hybridMultilevel"/>
    <w:tmpl w:val="15B086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E7D5367"/>
    <w:multiLevelType w:val="hybridMultilevel"/>
    <w:tmpl w:val="B08EE036"/>
    <w:lvl w:ilvl="0" w:tplc="850464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7"/>
  </w:num>
  <w:num w:numId="3">
    <w:abstractNumId w:val="2"/>
  </w:num>
  <w:num w:numId="4">
    <w:abstractNumId w:val="6"/>
  </w:num>
  <w:num w:numId="5">
    <w:abstractNumId w:val="3"/>
  </w:num>
  <w:num w:numId="6">
    <w:abstractNumId w:val="9"/>
  </w:num>
  <w:num w:numId="7">
    <w:abstractNumId w:val="0"/>
  </w:num>
  <w:num w:numId="8">
    <w:abstractNumId w:val="5"/>
  </w:num>
  <w:num w:numId="9">
    <w:abstractNumId w:val="4"/>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E7E"/>
    <w:rsid w:val="00052142"/>
    <w:rsid w:val="00065109"/>
    <w:rsid w:val="00153D94"/>
    <w:rsid w:val="002B4FC9"/>
    <w:rsid w:val="002E79C4"/>
    <w:rsid w:val="00301CEE"/>
    <w:rsid w:val="003D5FC7"/>
    <w:rsid w:val="00413BBD"/>
    <w:rsid w:val="00415197"/>
    <w:rsid w:val="00440670"/>
    <w:rsid w:val="00482155"/>
    <w:rsid w:val="004C6BDB"/>
    <w:rsid w:val="0059639C"/>
    <w:rsid w:val="00630BFE"/>
    <w:rsid w:val="006743BA"/>
    <w:rsid w:val="00676CC4"/>
    <w:rsid w:val="00684B8C"/>
    <w:rsid w:val="006C5D68"/>
    <w:rsid w:val="006D446B"/>
    <w:rsid w:val="006E4D78"/>
    <w:rsid w:val="007456E9"/>
    <w:rsid w:val="00854E7E"/>
    <w:rsid w:val="00875407"/>
    <w:rsid w:val="00912758"/>
    <w:rsid w:val="00921D14"/>
    <w:rsid w:val="00937360"/>
    <w:rsid w:val="00977437"/>
    <w:rsid w:val="00A4307F"/>
    <w:rsid w:val="00A83C20"/>
    <w:rsid w:val="00A8679E"/>
    <w:rsid w:val="00AA4067"/>
    <w:rsid w:val="00AC318D"/>
    <w:rsid w:val="00C04EF9"/>
    <w:rsid w:val="00CC678C"/>
    <w:rsid w:val="00D526E1"/>
    <w:rsid w:val="00D615E9"/>
    <w:rsid w:val="00D81743"/>
    <w:rsid w:val="00D973E6"/>
    <w:rsid w:val="00DF1093"/>
    <w:rsid w:val="00E01342"/>
    <w:rsid w:val="00EC6FF6"/>
    <w:rsid w:val="00F3397A"/>
    <w:rsid w:val="00FD0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E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0">
    <w:name w:val="xl30"/>
    <w:basedOn w:val="Normal"/>
    <w:rsid w:val="00854E7E"/>
    <w:pPr>
      <w:spacing w:before="100" w:beforeAutospacing="1" w:after="100" w:afterAutospacing="1" w:line="240" w:lineRule="auto"/>
    </w:pPr>
    <w:rPr>
      <w:rFonts w:ascii="Arial" w:eastAsia="Times New Roman" w:hAnsi="Arial" w:cs="Arial"/>
      <w:b/>
      <w:bCs/>
    </w:rPr>
  </w:style>
  <w:style w:type="paragraph" w:styleId="Header">
    <w:name w:val="header"/>
    <w:basedOn w:val="Normal"/>
    <w:link w:val="HeaderChar"/>
    <w:uiPriority w:val="99"/>
    <w:unhideWhenUsed/>
    <w:rsid w:val="00854E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E7E"/>
  </w:style>
  <w:style w:type="paragraph" w:styleId="Footer">
    <w:name w:val="footer"/>
    <w:basedOn w:val="Normal"/>
    <w:link w:val="FooterChar"/>
    <w:uiPriority w:val="99"/>
    <w:unhideWhenUsed/>
    <w:rsid w:val="00854E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E7E"/>
  </w:style>
  <w:style w:type="paragraph" w:styleId="NoSpacing">
    <w:name w:val="No Spacing"/>
    <w:link w:val="NoSpacingChar"/>
    <w:uiPriority w:val="1"/>
    <w:qFormat/>
    <w:rsid w:val="00440670"/>
    <w:pPr>
      <w:spacing w:after="0" w:line="240" w:lineRule="auto"/>
    </w:pPr>
    <w:rPr>
      <w:rFonts w:ascii="Arial" w:eastAsia="Times New Roman" w:hAnsi="Arial" w:cs="Times New Roman"/>
      <w:szCs w:val="24"/>
      <w:lang w:eastAsia="en-GB"/>
    </w:rPr>
  </w:style>
  <w:style w:type="character" w:customStyle="1" w:styleId="NoSpacingChar">
    <w:name w:val="No Spacing Char"/>
    <w:basedOn w:val="DefaultParagraphFont"/>
    <w:link w:val="NoSpacing"/>
    <w:uiPriority w:val="1"/>
    <w:rsid w:val="00440670"/>
    <w:rPr>
      <w:rFonts w:ascii="Arial" w:eastAsia="Times New Roman" w:hAnsi="Arial" w:cs="Times New Roman"/>
      <w:szCs w:val="24"/>
      <w:lang w:eastAsia="en-GB"/>
    </w:rPr>
  </w:style>
  <w:style w:type="paragraph" w:customStyle="1" w:styleId="Default">
    <w:name w:val="Default"/>
    <w:rsid w:val="00440670"/>
    <w:pPr>
      <w:autoSpaceDE w:val="0"/>
      <w:autoSpaceDN w:val="0"/>
      <w:adjustRightInd w:val="0"/>
      <w:spacing w:after="0" w:line="240" w:lineRule="auto"/>
    </w:pPr>
    <w:rPr>
      <w:rFonts w:ascii="Liberation Sans" w:eastAsia="Times" w:hAnsi="Liberation Sans" w:cs="Liberation Sans"/>
      <w:color w:val="000000"/>
      <w:sz w:val="24"/>
      <w:szCs w:val="24"/>
      <w:lang w:eastAsia="en-GB"/>
    </w:rPr>
  </w:style>
  <w:style w:type="paragraph" w:styleId="ListParagraph">
    <w:name w:val="List Paragraph"/>
    <w:basedOn w:val="Normal"/>
    <w:uiPriority w:val="34"/>
    <w:qFormat/>
    <w:rsid w:val="00912758"/>
    <w:pPr>
      <w:ind w:left="720"/>
      <w:contextualSpacing/>
    </w:pPr>
  </w:style>
  <w:style w:type="paragraph" w:styleId="BodyText">
    <w:name w:val="Body Text"/>
    <w:basedOn w:val="Normal"/>
    <w:link w:val="BodyTextChar"/>
    <w:rsid w:val="006C5D68"/>
    <w:pPr>
      <w:spacing w:after="0" w:line="240" w:lineRule="auto"/>
    </w:pPr>
    <w:rPr>
      <w:rFonts w:ascii="Arial" w:eastAsia="Times New Roman" w:hAnsi="Arial" w:cs="Times New Roman"/>
      <w:bCs/>
      <w:sz w:val="28"/>
      <w:szCs w:val="20"/>
    </w:rPr>
  </w:style>
  <w:style w:type="character" w:customStyle="1" w:styleId="BodyTextChar">
    <w:name w:val="Body Text Char"/>
    <w:basedOn w:val="DefaultParagraphFont"/>
    <w:link w:val="BodyText"/>
    <w:rsid w:val="006C5D68"/>
    <w:rPr>
      <w:rFonts w:ascii="Arial" w:eastAsia="Times New Roman" w:hAnsi="Arial" w:cs="Times New Roman"/>
      <w:bCs/>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E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0">
    <w:name w:val="xl30"/>
    <w:basedOn w:val="Normal"/>
    <w:rsid w:val="00854E7E"/>
    <w:pPr>
      <w:spacing w:before="100" w:beforeAutospacing="1" w:after="100" w:afterAutospacing="1" w:line="240" w:lineRule="auto"/>
    </w:pPr>
    <w:rPr>
      <w:rFonts w:ascii="Arial" w:eastAsia="Times New Roman" w:hAnsi="Arial" w:cs="Arial"/>
      <w:b/>
      <w:bCs/>
    </w:rPr>
  </w:style>
  <w:style w:type="paragraph" w:styleId="Header">
    <w:name w:val="header"/>
    <w:basedOn w:val="Normal"/>
    <w:link w:val="HeaderChar"/>
    <w:uiPriority w:val="99"/>
    <w:unhideWhenUsed/>
    <w:rsid w:val="00854E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E7E"/>
  </w:style>
  <w:style w:type="paragraph" w:styleId="Footer">
    <w:name w:val="footer"/>
    <w:basedOn w:val="Normal"/>
    <w:link w:val="FooterChar"/>
    <w:uiPriority w:val="99"/>
    <w:unhideWhenUsed/>
    <w:rsid w:val="00854E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E7E"/>
  </w:style>
  <w:style w:type="paragraph" w:styleId="NoSpacing">
    <w:name w:val="No Spacing"/>
    <w:link w:val="NoSpacingChar"/>
    <w:uiPriority w:val="1"/>
    <w:qFormat/>
    <w:rsid w:val="00440670"/>
    <w:pPr>
      <w:spacing w:after="0" w:line="240" w:lineRule="auto"/>
    </w:pPr>
    <w:rPr>
      <w:rFonts w:ascii="Arial" w:eastAsia="Times New Roman" w:hAnsi="Arial" w:cs="Times New Roman"/>
      <w:szCs w:val="24"/>
      <w:lang w:eastAsia="en-GB"/>
    </w:rPr>
  </w:style>
  <w:style w:type="character" w:customStyle="1" w:styleId="NoSpacingChar">
    <w:name w:val="No Spacing Char"/>
    <w:basedOn w:val="DefaultParagraphFont"/>
    <w:link w:val="NoSpacing"/>
    <w:uiPriority w:val="1"/>
    <w:rsid w:val="00440670"/>
    <w:rPr>
      <w:rFonts w:ascii="Arial" w:eastAsia="Times New Roman" w:hAnsi="Arial" w:cs="Times New Roman"/>
      <w:szCs w:val="24"/>
      <w:lang w:eastAsia="en-GB"/>
    </w:rPr>
  </w:style>
  <w:style w:type="paragraph" w:customStyle="1" w:styleId="Default">
    <w:name w:val="Default"/>
    <w:rsid w:val="00440670"/>
    <w:pPr>
      <w:autoSpaceDE w:val="0"/>
      <w:autoSpaceDN w:val="0"/>
      <w:adjustRightInd w:val="0"/>
      <w:spacing w:after="0" w:line="240" w:lineRule="auto"/>
    </w:pPr>
    <w:rPr>
      <w:rFonts w:ascii="Liberation Sans" w:eastAsia="Times" w:hAnsi="Liberation Sans" w:cs="Liberation Sans"/>
      <w:color w:val="000000"/>
      <w:sz w:val="24"/>
      <w:szCs w:val="24"/>
      <w:lang w:eastAsia="en-GB"/>
    </w:rPr>
  </w:style>
  <w:style w:type="paragraph" w:styleId="ListParagraph">
    <w:name w:val="List Paragraph"/>
    <w:basedOn w:val="Normal"/>
    <w:uiPriority w:val="34"/>
    <w:qFormat/>
    <w:rsid w:val="00912758"/>
    <w:pPr>
      <w:ind w:left="720"/>
      <w:contextualSpacing/>
    </w:pPr>
  </w:style>
  <w:style w:type="paragraph" w:styleId="BodyText">
    <w:name w:val="Body Text"/>
    <w:basedOn w:val="Normal"/>
    <w:link w:val="BodyTextChar"/>
    <w:rsid w:val="006C5D68"/>
    <w:pPr>
      <w:spacing w:after="0" w:line="240" w:lineRule="auto"/>
    </w:pPr>
    <w:rPr>
      <w:rFonts w:ascii="Arial" w:eastAsia="Times New Roman" w:hAnsi="Arial" w:cs="Times New Roman"/>
      <w:bCs/>
      <w:sz w:val="28"/>
      <w:szCs w:val="20"/>
    </w:rPr>
  </w:style>
  <w:style w:type="character" w:customStyle="1" w:styleId="BodyTextChar">
    <w:name w:val="Body Text Char"/>
    <w:basedOn w:val="DefaultParagraphFont"/>
    <w:link w:val="BodyText"/>
    <w:rsid w:val="006C5D68"/>
    <w:rPr>
      <w:rFonts w:ascii="Arial" w:eastAsia="Times New Roman" w:hAnsi="Arial" w:cs="Times New Roman"/>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customXml" Target="/customXML/item2.xml" Id="R536dbc668a8c4bdf"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E082C855B2CC4CE58E7448F960A4E632" version="1.0.0">
  <systemFields>
    <field name="Objective-Id">
      <value order="0">A2472775</value>
    </field>
    <field name="Objective-Title">
      <value order="0">Document No. 08 - Market Engagement - Transparancy Disclosure</value>
    </field>
    <field name="Objective-Description">
      <value order="0"/>
    </field>
    <field name="Objective-CreationStamp">
      <value order="0">2018-10-31T11:39:52Z</value>
    </field>
    <field name="Objective-IsApproved">
      <value order="0">false</value>
    </field>
    <field name="Objective-IsPublished">
      <value order="0">true</value>
    </field>
    <field name="Objective-DatePublished">
      <value order="0">2019-06-07T07:54:26Z</value>
    </field>
    <field name="Objective-ModificationStamp">
      <value order="0">2019-06-07T10:32:03Z</value>
    </field>
    <field name="Objective-Owner">
      <value order="0">Johanna Rodriguez</value>
    </field>
    <field name="Objective-Path">
      <value order="0">Global Folder:04 Homecare and Services Projects and Contracts:Live Projects:Homecare - Contracts 2018:CM/MSR/17/5541 - Home Delivery Service - Home Parenteral Nutrition April 2020:03 Tender for CM/MSR/17/5541:02 Tender Docs:02 LP Approved Tender Docs</value>
    </field>
    <field name="Objective-Parent">
      <value order="0">02 LP Approved Tender Docs</value>
    </field>
    <field name="Objective-State">
      <value order="0">Published</value>
    </field>
    <field name="Objective-VersionId">
      <value order="0">vA3768240</value>
    </field>
    <field name="Objective-Version">
      <value order="0">12.0</value>
    </field>
    <field name="Objective-VersionNumber">
      <value order="0">12</value>
    </field>
    <field name="Objective-VersionComment">
      <value order="0"/>
    </field>
    <field name="Objective-FileNumber">
      <value order="0">qA18551</value>
    </field>
    <field name="Objective-Classification">
      <value order="0"/>
    </field>
    <field name="Objective-Caveats">
      <value order="0"/>
    </field>
  </systemFields>
  <catalogues/>
</metadata>
</file>

<file path=customXML/itemProps2.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4</Pages>
  <Words>1158</Words>
  <Characters>6606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7749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Karen</dc:creator>
  <cp:keywords/>
  <dc:description/>
  <cp:lastModifiedBy>Rodriguez, Johanna</cp:lastModifiedBy>
  <cp:revision>17</cp:revision>
  <dcterms:created xsi:type="dcterms:W3CDTF">2018-10-31T12:37:00Z</dcterms:created>
  <dcterms:modified xsi:type="dcterms:W3CDTF">2019-06-06T09:09:00Z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A2472775</vt:lpwstr>
  </property>
  <property fmtid="{D5CDD505-2E9C-101B-9397-08002B2CF9AE}" pid="4" name="Objective-Title">
    <vt:lpwstr>Document No. 08 - Market Engagement - Transparancy Disclosure</vt:lpwstr>
  </property>
  <property fmtid="{D5CDD505-2E9C-101B-9397-08002B2CF9AE}" pid="5" name="Objective-Comment">
    <vt:lpwstr/>
  </property>
  <property fmtid="{D5CDD505-2E9C-101B-9397-08002B2CF9AE}" pid="6" name="Objective-CreationStamp">
    <vt:filetime>2018-10-31T11:39:52Z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2019-06-07T07:54:26Z</vt:filetime>
  </property>
  <property fmtid="{D5CDD505-2E9C-101B-9397-08002B2CF9AE}" pid="10" name="Objective-ModificationStamp">
    <vt:filetime>2019-06-07T10:32:03Z</vt:filetime>
  </property>
  <property fmtid="{D5CDD505-2E9C-101B-9397-08002B2CF9AE}" pid="11" name="Objective-Owner">
    <vt:lpwstr>Johanna Rodriguez</vt:lpwstr>
  </property>
  <property fmtid="{D5CDD505-2E9C-101B-9397-08002B2CF9AE}" pid="12" name="Objective-Path">
    <vt:lpwstr>Global Folder:04 Homecare and Services Projects and Contracts:Live Projects:Homecare - Contracts 2018:CM/MSR/17/5541 - Home Delivery Service - Home Parenteral Nutrition April 2020:03 Tender for CM/MSR/17/5541:02 Tender Docs:02 LP Approved Tender Docs</vt:lpwstr>
  </property>
  <property fmtid="{D5CDD505-2E9C-101B-9397-08002B2CF9AE}" pid="13" name="Objective-Parent">
    <vt:lpwstr>02 LP Approved Tender Docs</vt:lpwstr>
  </property>
  <property fmtid="{D5CDD505-2E9C-101B-9397-08002B2CF9AE}" pid="14" name="Objective-State">
    <vt:lpwstr>Published</vt:lpwstr>
  </property>
  <property fmtid="{D5CDD505-2E9C-101B-9397-08002B2CF9AE}" pid="15" name="Objective-Version">
    <vt:lpwstr>12.0</vt:lpwstr>
  </property>
  <property fmtid="{D5CDD505-2E9C-101B-9397-08002B2CF9AE}" pid="16" name="Objective-VersionNumber">
    <vt:r8>12</vt:r8>
  </property>
  <property fmtid="{D5CDD505-2E9C-101B-9397-08002B2CF9AE}" pid="17" name="Objective-VersionComment">
    <vt:lpwstr/>
  </property>
  <property fmtid="{D5CDD505-2E9C-101B-9397-08002B2CF9AE}" pid="18" name="Objective-FileNumber">
    <vt:lpwstr>qA18551</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vA3768240</vt:lpwstr>
  </property>
</Properties>
</file>