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F6B0" w14:textId="29F2F33A" w:rsidR="004E49CE" w:rsidRDefault="00F13AD1" w:rsidP="004E49CE">
      <w:pPr>
        <w:pStyle w:val="Heading1"/>
      </w:pPr>
      <w:r>
        <w:t xml:space="preserve">Request for information </w:t>
      </w:r>
      <w:r w:rsidR="00711BCE">
        <w:t>–</w:t>
      </w:r>
      <w:r>
        <w:t xml:space="preserve"> </w:t>
      </w:r>
      <w:r w:rsidR="0011272F">
        <w:t>so</w:t>
      </w:r>
      <w:r>
        <w:t>f</w:t>
      </w:r>
      <w:r w:rsidR="00711BCE">
        <w:t xml:space="preserve">t </w:t>
      </w:r>
      <w:r w:rsidR="0011272F">
        <w:t>m</w:t>
      </w:r>
      <w:r>
        <w:t xml:space="preserve">arket </w:t>
      </w:r>
      <w:r w:rsidR="0011272F">
        <w:t>t</w:t>
      </w:r>
      <w:r>
        <w:t>esting</w:t>
      </w:r>
    </w:p>
    <w:p w14:paraId="709ABF2A" w14:textId="77777777" w:rsidR="004E49CE" w:rsidRPr="004E49CE" w:rsidRDefault="004E49CE" w:rsidP="004E49CE"/>
    <w:p w14:paraId="4F4ABB27" w14:textId="560C1D39" w:rsidR="00C74F48" w:rsidRDefault="008F7AC9" w:rsidP="00C74F48">
      <w:r w:rsidRPr="008F7AC9">
        <w:t xml:space="preserve">DWP is engaging with the market early in order to </w:t>
      </w:r>
      <w:r w:rsidR="005537ED" w:rsidRPr="005537ED">
        <w:t xml:space="preserve">secure valuable feedback </w:t>
      </w:r>
      <w:r w:rsidR="005537ED">
        <w:t xml:space="preserve">and </w:t>
      </w:r>
      <w:r w:rsidRPr="008F7AC9">
        <w:t>establish the following:</w:t>
      </w:r>
    </w:p>
    <w:p w14:paraId="5D280B00" w14:textId="77777777" w:rsidR="008F7AC9" w:rsidRDefault="008F7AC9" w:rsidP="00C74F48"/>
    <w:p w14:paraId="34F7AA24" w14:textId="77777777" w:rsidR="00774074" w:rsidRDefault="00774074" w:rsidP="00E354A6">
      <w:pPr>
        <w:pStyle w:val="ListParagraph"/>
        <w:numPr>
          <w:ilvl w:val="0"/>
          <w:numId w:val="4"/>
        </w:numPr>
      </w:pPr>
      <w:r>
        <w:t xml:space="preserve">What the appetite is amongst suppliers to provide these services to DWP? </w:t>
      </w:r>
    </w:p>
    <w:p w14:paraId="692B2871" w14:textId="6AA6B67D" w:rsidR="00774074" w:rsidRDefault="00774074" w:rsidP="00E354A6">
      <w:pPr>
        <w:pStyle w:val="ListParagraph"/>
        <w:numPr>
          <w:ilvl w:val="0"/>
          <w:numId w:val="4"/>
        </w:numPr>
      </w:pPr>
      <w:r>
        <w:t>How attractive is the proposed contract to suppliers?</w:t>
      </w:r>
    </w:p>
    <w:p w14:paraId="186A50CE" w14:textId="77777777" w:rsidR="00F97C87" w:rsidRDefault="00774074" w:rsidP="00E354A6">
      <w:pPr>
        <w:pStyle w:val="ListParagraph"/>
        <w:numPr>
          <w:ilvl w:val="0"/>
          <w:numId w:val="4"/>
        </w:numPr>
      </w:pPr>
      <w:r>
        <w:t>Wh</w:t>
      </w:r>
      <w:r w:rsidR="005B692F">
        <w:t xml:space="preserve">ich commercial models are used for this </w:t>
      </w:r>
      <w:r w:rsidR="00305885">
        <w:t>kind of service?</w:t>
      </w:r>
    </w:p>
    <w:p w14:paraId="4A63C5C2" w14:textId="77777777" w:rsidR="00F97C87" w:rsidRDefault="00F97C87" w:rsidP="00C74F48"/>
    <w:p w14:paraId="2D60D479" w14:textId="68356741" w:rsidR="00C74F48" w:rsidRDefault="006E5D89" w:rsidP="00C74F48">
      <w:r>
        <w:t>The</w:t>
      </w:r>
      <w:r w:rsidR="00C17D1C">
        <w:t>re is a</w:t>
      </w:r>
      <w:r w:rsidR="00652DE9">
        <w:t xml:space="preserve"> </w:t>
      </w:r>
      <w:r w:rsidR="00652DE9" w:rsidRPr="00652DE9">
        <w:t xml:space="preserve">questionnaire </w:t>
      </w:r>
      <w:r>
        <w:t xml:space="preserve">attached to the </w:t>
      </w:r>
      <w:r w:rsidR="00590E5C">
        <w:t>Prior Invitation Notice (</w:t>
      </w:r>
      <w:r>
        <w:t>PIN</w:t>
      </w:r>
      <w:r w:rsidR="00590E5C">
        <w:t>)</w:t>
      </w:r>
      <w:r w:rsidR="00266A36">
        <w:t>.</w:t>
      </w:r>
    </w:p>
    <w:p w14:paraId="563C492C" w14:textId="77777777" w:rsidR="00C74F48" w:rsidRDefault="00C74F48" w:rsidP="00C74F48"/>
    <w:p w14:paraId="0475F4B9" w14:textId="45B9ED1C" w:rsidR="00C74F48" w:rsidRPr="004E49CE" w:rsidRDefault="004E49CE" w:rsidP="00C74F48">
      <w:pPr>
        <w:rPr>
          <w:b/>
          <w:bCs/>
        </w:rPr>
      </w:pPr>
      <w:r w:rsidRPr="004E49CE">
        <w:rPr>
          <w:b/>
          <w:bCs/>
        </w:rPr>
        <w:t>Background</w:t>
      </w:r>
    </w:p>
    <w:p w14:paraId="57859A14" w14:textId="77777777" w:rsidR="00EB0346" w:rsidRDefault="00EB0346" w:rsidP="00EB0346"/>
    <w:p w14:paraId="57859A15" w14:textId="0DEC148D" w:rsidR="00EB0346" w:rsidRDefault="00EB0346" w:rsidP="00EB0346">
      <w:pPr>
        <w:pStyle w:val="ListParagraph"/>
        <w:numPr>
          <w:ilvl w:val="0"/>
          <w:numId w:val="1"/>
        </w:numPr>
      </w:pPr>
      <w:r>
        <w:t>It is the intention of the Department for Work and Pensions (DWP) to put in place a</w:t>
      </w:r>
      <w:r w:rsidR="00E31773">
        <w:t>n arrangement</w:t>
      </w:r>
      <w:r>
        <w:t xml:space="preserve"> for </w:t>
      </w:r>
      <w:r w:rsidR="00405CFA">
        <w:t>the management and operation or the Quarry House leisure centre in Leeds.</w:t>
      </w:r>
    </w:p>
    <w:p w14:paraId="57859A16" w14:textId="77777777" w:rsidR="00EB0346" w:rsidRDefault="00EB0346" w:rsidP="00EB0346">
      <w:pPr>
        <w:pStyle w:val="ListParagraph"/>
        <w:ind w:left="360"/>
      </w:pPr>
    </w:p>
    <w:p w14:paraId="57859A17" w14:textId="77777777" w:rsidR="00151F2F" w:rsidRDefault="00AB7A5D" w:rsidP="00AB7A5D">
      <w:pPr>
        <w:pStyle w:val="ListParagraph"/>
        <w:numPr>
          <w:ilvl w:val="0"/>
          <w:numId w:val="1"/>
        </w:numPr>
      </w:pPr>
      <w:r w:rsidRPr="00AB7A5D">
        <w:t xml:space="preserve">The successful supplier will be required to manage </w:t>
      </w:r>
      <w:r>
        <w:t xml:space="preserve">and operate </w:t>
      </w:r>
      <w:r w:rsidRPr="00AB7A5D">
        <w:t>the centre on the department’s behalf providing a fully functional sports and leisure centre for permitted users.  This will also include the management of the café area.</w:t>
      </w:r>
      <w:r w:rsidR="00EB0346">
        <w:t xml:space="preserve"> </w:t>
      </w:r>
    </w:p>
    <w:p w14:paraId="57859A18" w14:textId="77777777" w:rsidR="00151F2F" w:rsidRDefault="00151F2F" w:rsidP="00151F2F">
      <w:pPr>
        <w:pStyle w:val="ListParagraph"/>
      </w:pPr>
    </w:p>
    <w:p w14:paraId="57859A19" w14:textId="77777777" w:rsidR="00AB7A5D" w:rsidRDefault="00AB7A5D" w:rsidP="00AB7A5D">
      <w:pPr>
        <w:pStyle w:val="ListParagraph"/>
        <w:numPr>
          <w:ilvl w:val="0"/>
          <w:numId w:val="1"/>
        </w:numPr>
      </w:pPr>
      <w:r>
        <w:t>The main purpose of the facility is to promote and encourage active and healthy lifestyles for government employees and other permitted users and to actively encourage membership from other local organisations and participation from local schools, disadvantaged and community groups.</w:t>
      </w:r>
    </w:p>
    <w:p w14:paraId="57859A1A" w14:textId="77777777" w:rsidR="00AB7A5D" w:rsidRDefault="00AB7A5D" w:rsidP="00AB7A5D">
      <w:pPr>
        <w:pStyle w:val="ListParagraph"/>
      </w:pPr>
    </w:p>
    <w:p w14:paraId="57859A1B" w14:textId="77777777" w:rsidR="00AB7A5D" w:rsidRDefault="00AB7A5D" w:rsidP="00AB7A5D">
      <w:pPr>
        <w:pStyle w:val="ListParagraph"/>
        <w:numPr>
          <w:ilvl w:val="0"/>
          <w:numId w:val="1"/>
        </w:numPr>
      </w:pPr>
      <w:r>
        <w:t>The successful supplier will be expected to drive forward the themes of health and wellbeing at work and community engagement by ensuring that well managed facilities offering a variety of structured activities and contemporary classes are available to all.</w:t>
      </w:r>
    </w:p>
    <w:p w14:paraId="57859A1C" w14:textId="77777777" w:rsidR="00AB7A5D" w:rsidRDefault="00AB7A5D" w:rsidP="00AB7A5D">
      <w:pPr>
        <w:pStyle w:val="ListParagraph"/>
      </w:pPr>
    </w:p>
    <w:p w14:paraId="5CD87236" w14:textId="77777777" w:rsidR="004B34BD" w:rsidRDefault="00AB7A5D" w:rsidP="004B34BD">
      <w:pPr>
        <w:pStyle w:val="ListParagraph"/>
        <w:numPr>
          <w:ilvl w:val="0"/>
          <w:numId w:val="1"/>
        </w:numPr>
      </w:pPr>
      <w:r>
        <w:t>It is expected that all aspects of the club complement each other and follow in the spir</w:t>
      </w:r>
      <w:r w:rsidR="002D537E">
        <w:t>i</w:t>
      </w:r>
      <w:r>
        <w:t xml:space="preserve">t of the Governments health and wellbeing agenda.  This includes the range and types of food available in the café, the activities and classes available and any treatments offered. </w:t>
      </w:r>
    </w:p>
    <w:p w14:paraId="76A25C5A" w14:textId="77777777" w:rsidR="004B34BD" w:rsidRDefault="004B34BD" w:rsidP="00810AEC">
      <w:pPr>
        <w:pStyle w:val="ListParagraph"/>
      </w:pPr>
    </w:p>
    <w:p w14:paraId="57859A21" w14:textId="6E8AC5F0" w:rsidR="00CD260D" w:rsidRDefault="00CD260D" w:rsidP="00810AEC">
      <w:pPr>
        <w:pStyle w:val="ListParagraph"/>
        <w:ind w:left="360"/>
      </w:pPr>
    </w:p>
    <w:p w14:paraId="57859A22" w14:textId="77777777" w:rsidR="00EB0346" w:rsidRDefault="00AB7A5D" w:rsidP="00EB0346">
      <w:pPr>
        <w:pStyle w:val="Heading1"/>
      </w:pPr>
      <w:r>
        <w:t xml:space="preserve">Facilities </w:t>
      </w:r>
    </w:p>
    <w:p w14:paraId="57859A23" w14:textId="77777777" w:rsidR="00EB0346" w:rsidRDefault="00EB0346" w:rsidP="00EB0346">
      <w:pPr>
        <w:pStyle w:val="ListParagraph"/>
      </w:pPr>
    </w:p>
    <w:p w14:paraId="57859A24" w14:textId="77777777" w:rsidR="00AB7A5D" w:rsidRDefault="00AB7A5D" w:rsidP="00AB7A5D">
      <w:pPr>
        <w:pStyle w:val="ListParagraph"/>
        <w:numPr>
          <w:ilvl w:val="0"/>
          <w:numId w:val="1"/>
        </w:numPr>
      </w:pPr>
      <w:r w:rsidRPr="00C955E1">
        <w:t>The leisure centre facilities are situated over three floors in the Quarry House leisure centre (ground floor, upper basement and lower basement) and comprise of:</w:t>
      </w:r>
    </w:p>
    <w:p w14:paraId="57859A25" w14:textId="77777777" w:rsidR="00AB7A5D" w:rsidRDefault="00AB7A5D" w:rsidP="00AB7A5D"/>
    <w:p w14:paraId="57859A26" w14:textId="77777777" w:rsidR="00AB7A5D" w:rsidRDefault="00AB7A5D" w:rsidP="00AB7A5D">
      <w:pPr>
        <w:ind w:firstLine="360"/>
      </w:pPr>
      <w:r>
        <w:t>Ground Floor:</w:t>
      </w:r>
    </w:p>
    <w:p w14:paraId="57859A27" w14:textId="77777777" w:rsidR="00AB7A5D" w:rsidRDefault="00AB7A5D" w:rsidP="00AB7A5D"/>
    <w:p w14:paraId="57859A28" w14:textId="77777777" w:rsidR="00AB7A5D" w:rsidRDefault="00AB7A5D" w:rsidP="00AB7A5D">
      <w:pPr>
        <w:ind w:firstLine="360"/>
      </w:pPr>
      <w:r>
        <w:t>•</w:t>
      </w:r>
      <w:r>
        <w:tab/>
        <w:t>Reception area / office area</w:t>
      </w:r>
    </w:p>
    <w:p w14:paraId="57859A29" w14:textId="77777777" w:rsidR="00AB7A5D" w:rsidRDefault="00AB7A5D" w:rsidP="00AB7A5D">
      <w:pPr>
        <w:ind w:firstLine="360"/>
      </w:pPr>
      <w:r>
        <w:lastRenderedPageBreak/>
        <w:t>•</w:t>
      </w:r>
      <w:r>
        <w:tab/>
        <w:t>Bar/cafe area</w:t>
      </w:r>
    </w:p>
    <w:p w14:paraId="57859A2A" w14:textId="77777777" w:rsidR="00AB7A5D" w:rsidRDefault="00AB7A5D" w:rsidP="00AB7A5D">
      <w:pPr>
        <w:ind w:firstLine="360"/>
      </w:pPr>
      <w:r>
        <w:t>•</w:t>
      </w:r>
      <w:r>
        <w:tab/>
        <w:t xml:space="preserve">Bar cellar </w:t>
      </w:r>
    </w:p>
    <w:p w14:paraId="57859A2B" w14:textId="77777777" w:rsidR="00AB7A5D" w:rsidRDefault="00AB7A5D" w:rsidP="00AB7A5D">
      <w:pPr>
        <w:ind w:firstLine="360"/>
      </w:pPr>
      <w:r>
        <w:t>•</w:t>
      </w:r>
      <w:r>
        <w:tab/>
        <w:t>Sports hall</w:t>
      </w:r>
    </w:p>
    <w:p w14:paraId="57859A2C" w14:textId="77777777" w:rsidR="00AB7A5D" w:rsidRDefault="00AB7A5D" w:rsidP="00AB7A5D">
      <w:pPr>
        <w:ind w:firstLine="360"/>
      </w:pPr>
      <w:r>
        <w:t>•</w:t>
      </w:r>
      <w:r>
        <w:tab/>
        <w:t>25m swimming pool</w:t>
      </w:r>
    </w:p>
    <w:p w14:paraId="57859A2D" w14:textId="77777777" w:rsidR="00AB7A5D" w:rsidRDefault="00AB7A5D" w:rsidP="00AB7A5D">
      <w:pPr>
        <w:ind w:firstLine="360"/>
      </w:pPr>
      <w:r>
        <w:t>•</w:t>
      </w:r>
      <w:r>
        <w:tab/>
        <w:t>Small/baby pool</w:t>
      </w:r>
    </w:p>
    <w:p w14:paraId="57859A2E" w14:textId="77777777" w:rsidR="00AB7A5D" w:rsidRDefault="00AB7A5D" w:rsidP="00AB7A5D">
      <w:pPr>
        <w:ind w:firstLine="360"/>
      </w:pPr>
      <w:r>
        <w:t>•</w:t>
      </w:r>
      <w:r>
        <w:tab/>
        <w:t>Poolside first aid room</w:t>
      </w:r>
    </w:p>
    <w:p w14:paraId="57859A2F" w14:textId="77777777" w:rsidR="00AB7A5D" w:rsidRDefault="00AB7A5D" w:rsidP="00AB7A5D">
      <w:pPr>
        <w:ind w:firstLine="360"/>
      </w:pPr>
      <w:r>
        <w:t>•</w:t>
      </w:r>
      <w:r>
        <w:tab/>
        <w:t>Wet and dry changing rooms and toilets</w:t>
      </w:r>
    </w:p>
    <w:p w14:paraId="57859A30" w14:textId="77777777" w:rsidR="00AB7A5D" w:rsidRDefault="00AB7A5D" w:rsidP="00AB7A5D">
      <w:pPr>
        <w:ind w:firstLine="360"/>
      </w:pPr>
      <w:r>
        <w:t>•</w:t>
      </w:r>
      <w:r>
        <w:tab/>
        <w:t xml:space="preserve">Small room currently used as a Hairdresser’s room  </w:t>
      </w:r>
    </w:p>
    <w:p w14:paraId="57859A31" w14:textId="77777777" w:rsidR="00AB7A5D" w:rsidRDefault="00AB7A5D" w:rsidP="00AB7A5D">
      <w:pPr>
        <w:ind w:firstLine="360"/>
      </w:pPr>
      <w:r>
        <w:t>•</w:t>
      </w:r>
      <w:r>
        <w:tab/>
        <w:t xml:space="preserve">Small room currently used as a Beautician’s room  </w:t>
      </w:r>
    </w:p>
    <w:p w14:paraId="57859A32" w14:textId="77777777" w:rsidR="00AB7A5D" w:rsidRDefault="00AB7A5D" w:rsidP="00AB7A5D"/>
    <w:p w14:paraId="57859A33" w14:textId="77777777" w:rsidR="00AB7A5D" w:rsidRDefault="00AB7A5D" w:rsidP="00AB7A5D">
      <w:pPr>
        <w:ind w:firstLine="360"/>
      </w:pPr>
      <w:r>
        <w:t>Basement:</w:t>
      </w:r>
    </w:p>
    <w:p w14:paraId="57859A34" w14:textId="77777777" w:rsidR="00AB7A5D" w:rsidRDefault="00AB7A5D" w:rsidP="00AB7A5D"/>
    <w:p w14:paraId="57859A35" w14:textId="39603476" w:rsidR="00AB7A5D" w:rsidRDefault="00AB7A5D" w:rsidP="00AB7A5D">
      <w:pPr>
        <w:ind w:firstLine="360"/>
      </w:pPr>
      <w:r>
        <w:t>•</w:t>
      </w:r>
      <w:r>
        <w:tab/>
        <w:t>Changing rooms and toilets</w:t>
      </w:r>
      <w:r w:rsidR="00D243D2">
        <w:t xml:space="preserve"> (M)</w:t>
      </w:r>
    </w:p>
    <w:p w14:paraId="57859A36" w14:textId="77777777" w:rsidR="00AB7A5D" w:rsidRDefault="00AB7A5D" w:rsidP="00AB7A5D"/>
    <w:p w14:paraId="57859A37" w14:textId="77777777" w:rsidR="00AB7A5D" w:rsidRDefault="00AB7A5D" w:rsidP="00AB7A5D">
      <w:pPr>
        <w:ind w:firstLine="360"/>
      </w:pPr>
      <w:r>
        <w:t>Lower Basement:</w:t>
      </w:r>
    </w:p>
    <w:p w14:paraId="57859A38" w14:textId="77777777" w:rsidR="00AB7A5D" w:rsidRDefault="00AB7A5D" w:rsidP="00AB7A5D"/>
    <w:p w14:paraId="57859A39" w14:textId="4C956E15" w:rsidR="00AB7A5D" w:rsidRDefault="00AB7A5D" w:rsidP="00AB7A5D">
      <w:pPr>
        <w:ind w:firstLine="360"/>
      </w:pPr>
      <w:r>
        <w:t>•</w:t>
      </w:r>
      <w:r>
        <w:tab/>
        <w:t>Changing rooms and toilets</w:t>
      </w:r>
      <w:r w:rsidR="00D243D2">
        <w:t xml:space="preserve"> (F)</w:t>
      </w:r>
    </w:p>
    <w:p w14:paraId="57859A3A" w14:textId="77777777" w:rsidR="00AB7A5D" w:rsidRDefault="00AB7A5D" w:rsidP="00AB7A5D">
      <w:pPr>
        <w:ind w:firstLine="360"/>
      </w:pPr>
      <w:r>
        <w:t>•</w:t>
      </w:r>
      <w:r>
        <w:tab/>
        <w:t xml:space="preserve">Squash court </w:t>
      </w:r>
    </w:p>
    <w:p w14:paraId="57859A3B" w14:textId="77777777" w:rsidR="00AB7A5D" w:rsidRDefault="00AB7A5D" w:rsidP="00AB7A5D">
      <w:pPr>
        <w:ind w:firstLine="360"/>
      </w:pPr>
      <w:r>
        <w:t>•</w:t>
      </w:r>
      <w:r>
        <w:tab/>
        <w:t>Second Squash court converted into Fitness Studio/Spin Studio</w:t>
      </w:r>
    </w:p>
    <w:p w14:paraId="57859A3C" w14:textId="77777777" w:rsidR="00AB7A5D" w:rsidRDefault="00AB7A5D" w:rsidP="00AB7A5D">
      <w:pPr>
        <w:ind w:firstLine="360"/>
      </w:pPr>
      <w:r>
        <w:t>•</w:t>
      </w:r>
      <w:r>
        <w:tab/>
        <w:t xml:space="preserve">Gym/Fitness room </w:t>
      </w:r>
    </w:p>
    <w:p w14:paraId="57859A3D" w14:textId="77777777" w:rsidR="00AB7A5D" w:rsidRDefault="00AB7A5D" w:rsidP="00C26BA7">
      <w:pPr>
        <w:ind w:firstLine="360"/>
      </w:pPr>
      <w:r>
        <w:t>•</w:t>
      </w:r>
      <w:r>
        <w:tab/>
        <w:t>Small room (Office/Staff room/fitness testing room)</w:t>
      </w:r>
    </w:p>
    <w:p w14:paraId="57859A3E" w14:textId="77777777" w:rsidR="00AB7A5D" w:rsidRDefault="00AB7A5D" w:rsidP="00AB7A5D">
      <w:r>
        <w:t xml:space="preserve"> </w:t>
      </w:r>
    </w:p>
    <w:p w14:paraId="57859A3F" w14:textId="77777777" w:rsidR="00C26BA7" w:rsidRDefault="00C26BA7" w:rsidP="00C26BA7">
      <w:pPr>
        <w:ind w:firstLine="360"/>
      </w:pPr>
    </w:p>
    <w:p w14:paraId="57859A40" w14:textId="77777777" w:rsidR="00AB7A5D" w:rsidRDefault="00AB7A5D" w:rsidP="00C26BA7">
      <w:pPr>
        <w:ind w:firstLine="360"/>
      </w:pPr>
      <w:r>
        <w:t>The overall area is approximately 2,028 square metres.</w:t>
      </w:r>
    </w:p>
    <w:p w14:paraId="57859A41" w14:textId="77777777" w:rsidR="00C26BA7" w:rsidRDefault="00C26BA7" w:rsidP="00AB7A5D"/>
    <w:p w14:paraId="57859A49" w14:textId="77777777" w:rsidR="00CD260D" w:rsidRDefault="00CD260D" w:rsidP="00674B08">
      <w:pPr>
        <w:pStyle w:val="ListParagraph"/>
      </w:pPr>
    </w:p>
    <w:p w14:paraId="24916241" w14:textId="3F43D9A4" w:rsidR="004B34BD" w:rsidRDefault="004D7CF4" w:rsidP="004B34BD">
      <w:pPr>
        <w:pStyle w:val="Heading1"/>
      </w:pPr>
      <w:r>
        <w:t>V</w:t>
      </w:r>
      <w:r w:rsidR="00A2311E">
        <w:t>i</w:t>
      </w:r>
      <w:r w:rsidR="00B70D69">
        <w:t>sit</w:t>
      </w:r>
      <w:r w:rsidR="00C81859">
        <w:t>s to site</w:t>
      </w:r>
      <w:r w:rsidR="00A2311E">
        <w:t xml:space="preserve"> </w:t>
      </w:r>
    </w:p>
    <w:p w14:paraId="787313ED" w14:textId="77777777" w:rsidR="004B34BD" w:rsidRDefault="004B34BD" w:rsidP="004B34BD"/>
    <w:p w14:paraId="2EC9A069" w14:textId="0ADBD13C" w:rsidR="008D56E1" w:rsidRPr="00413CA2" w:rsidRDefault="00216545" w:rsidP="00413CA2">
      <w:pPr>
        <w:pStyle w:val="ListParagraph"/>
        <w:numPr>
          <w:ilvl w:val="0"/>
          <w:numId w:val="1"/>
        </w:numPr>
      </w:pPr>
      <w:r w:rsidRPr="00413CA2">
        <w:t>S</w:t>
      </w:r>
      <w:r w:rsidR="00713281" w:rsidRPr="00413CA2">
        <w:t>ite visits can be arranged</w:t>
      </w:r>
      <w:r w:rsidR="00D26019" w:rsidRPr="00413CA2">
        <w:t xml:space="preserve"> for </w:t>
      </w:r>
      <w:r w:rsidR="004B34BD" w:rsidRPr="00413CA2">
        <w:t xml:space="preserve">interested </w:t>
      </w:r>
      <w:r w:rsidR="00A54C4B" w:rsidRPr="00413CA2">
        <w:t xml:space="preserve">parties </w:t>
      </w:r>
      <w:r w:rsidR="004B34BD" w:rsidRPr="00413CA2">
        <w:t xml:space="preserve">capable of running a sports and leisure facility to </w:t>
      </w:r>
      <w:r w:rsidR="00B66ABF" w:rsidRPr="00413CA2">
        <w:t>view the facility</w:t>
      </w:r>
      <w:r w:rsidR="007F70F6" w:rsidRPr="00413CA2">
        <w:t xml:space="preserve">, </w:t>
      </w:r>
      <w:r w:rsidR="004B34BD" w:rsidRPr="00413CA2">
        <w:t>discuss</w:t>
      </w:r>
      <w:r w:rsidR="00A54C4B" w:rsidRPr="00413CA2">
        <w:t xml:space="preserve"> return</w:t>
      </w:r>
      <w:r w:rsidR="00A976E0" w:rsidRPr="00413CA2">
        <w:t>ed</w:t>
      </w:r>
      <w:r w:rsidR="00A54C4B" w:rsidRPr="00413CA2">
        <w:t xml:space="preserve"> </w:t>
      </w:r>
      <w:r w:rsidR="008D56E1" w:rsidRPr="00413CA2">
        <w:t>questionnaire</w:t>
      </w:r>
      <w:r w:rsidR="00A976E0" w:rsidRPr="00413CA2">
        <w:t>s</w:t>
      </w:r>
      <w:r w:rsidR="008D56E1" w:rsidRPr="00413CA2">
        <w:t xml:space="preserve"> </w:t>
      </w:r>
      <w:r w:rsidR="007F70F6" w:rsidRPr="00413CA2">
        <w:t xml:space="preserve">and </w:t>
      </w:r>
      <w:r w:rsidR="00A54C4B" w:rsidRPr="00413CA2">
        <w:t>answer any further queries regarding the opportunity.</w:t>
      </w:r>
    </w:p>
    <w:p w14:paraId="64F60C07" w14:textId="2A5437A4" w:rsidR="004B34BD" w:rsidRPr="00413CA2" w:rsidRDefault="00A54C4B" w:rsidP="00413CA2">
      <w:pPr>
        <w:pStyle w:val="ListParagraph"/>
        <w:ind w:left="360"/>
      </w:pPr>
      <w:r w:rsidRPr="00413CA2">
        <w:t xml:space="preserve"> </w:t>
      </w:r>
    </w:p>
    <w:p w14:paraId="4E38630D" w14:textId="297A3FBD" w:rsidR="004B34BD" w:rsidRPr="00413CA2" w:rsidRDefault="004B34BD" w:rsidP="00413CA2">
      <w:pPr>
        <w:pStyle w:val="ListParagraph"/>
        <w:numPr>
          <w:ilvl w:val="0"/>
          <w:numId w:val="1"/>
        </w:numPr>
      </w:pPr>
      <w:r w:rsidRPr="00413CA2">
        <w:t xml:space="preserve">DWP </w:t>
      </w:r>
      <w:r w:rsidR="001F22E4" w:rsidRPr="00413CA2">
        <w:t xml:space="preserve">would hold </w:t>
      </w:r>
      <w:r w:rsidR="00A976E0" w:rsidRPr="00413CA2">
        <w:t xml:space="preserve">these visits </w:t>
      </w:r>
      <w:r w:rsidR="00AF5E22" w:rsidRPr="00413CA2">
        <w:t>in early December 2023.</w:t>
      </w:r>
      <w:r w:rsidRPr="00413CA2">
        <w:t xml:space="preserve"> </w:t>
      </w:r>
    </w:p>
    <w:p w14:paraId="643CC2E3" w14:textId="77777777" w:rsidR="004B34BD" w:rsidRPr="00413CA2" w:rsidRDefault="004B34BD" w:rsidP="004B34BD">
      <w:pPr>
        <w:pStyle w:val="ListParagraph"/>
      </w:pPr>
    </w:p>
    <w:p w14:paraId="57859A59" w14:textId="77777777" w:rsidR="00637A6E" w:rsidRDefault="00637A6E" w:rsidP="0035370D">
      <w:pPr>
        <w:ind w:left="720"/>
        <w:contextualSpacing/>
      </w:pPr>
    </w:p>
    <w:sectPr w:rsidR="00637A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6C9"/>
    <w:multiLevelType w:val="hybridMultilevel"/>
    <w:tmpl w:val="F33E2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DE3FB8"/>
    <w:multiLevelType w:val="hybridMultilevel"/>
    <w:tmpl w:val="86FE1E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58E2371"/>
    <w:multiLevelType w:val="hybridMultilevel"/>
    <w:tmpl w:val="86FE1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C517A7D"/>
    <w:multiLevelType w:val="hybridMultilevel"/>
    <w:tmpl w:val="1BC6C02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289469">
    <w:abstractNumId w:val="2"/>
  </w:num>
  <w:num w:numId="2" w16cid:durableId="966744542">
    <w:abstractNumId w:val="1"/>
  </w:num>
  <w:num w:numId="3" w16cid:durableId="514003491">
    <w:abstractNumId w:val="0"/>
  </w:num>
  <w:num w:numId="4" w16cid:durableId="1448305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30"/>
    <w:rsid w:val="000A378D"/>
    <w:rsid w:val="000D4878"/>
    <w:rsid w:val="000F7D2D"/>
    <w:rsid w:val="0011272F"/>
    <w:rsid w:val="001253A8"/>
    <w:rsid w:val="00130127"/>
    <w:rsid w:val="00151F2F"/>
    <w:rsid w:val="001F22E4"/>
    <w:rsid w:val="00216545"/>
    <w:rsid w:val="0025324C"/>
    <w:rsid w:val="00266A36"/>
    <w:rsid w:val="002933DE"/>
    <w:rsid w:val="002D537E"/>
    <w:rsid w:val="00305885"/>
    <w:rsid w:val="003270C0"/>
    <w:rsid w:val="0035370D"/>
    <w:rsid w:val="00375C27"/>
    <w:rsid w:val="0039568C"/>
    <w:rsid w:val="003A27EF"/>
    <w:rsid w:val="00405CFA"/>
    <w:rsid w:val="00413CA2"/>
    <w:rsid w:val="00456219"/>
    <w:rsid w:val="004B34BD"/>
    <w:rsid w:val="004D2297"/>
    <w:rsid w:val="004D7CF4"/>
    <w:rsid w:val="004E49CE"/>
    <w:rsid w:val="00521CEC"/>
    <w:rsid w:val="00527338"/>
    <w:rsid w:val="005537ED"/>
    <w:rsid w:val="00554F51"/>
    <w:rsid w:val="00590E5C"/>
    <w:rsid w:val="00595A3B"/>
    <w:rsid w:val="005B692F"/>
    <w:rsid w:val="006267DC"/>
    <w:rsid w:val="00637A6E"/>
    <w:rsid w:val="00652DE9"/>
    <w:rsid w:val="00656973"/>
    <w:rsid w:val="006726D2"/>
    <w:rsid w:val="00674B08"/>
    <w:rsid w:val="006E5D89"/>
    <w:rsid w:val="006E7B02"/>
    <w:rsid w:val="00711BCE"/>
    <w:rsid w:val="00713281"/>
    <w:rsid w:val="00720881"/>
    <w:rsid w:val="00774074"/>
    <w:rsid w:val="007C60A1"/>
    <w:rsid w:val="007F70F6"/>
    <w:rsid w:val="00810AEC"/>
    <w:rsid w:val="008229B6"/>
    <w:rsid w:val="008624B8"/>
    <w:rsid w:val="008C6F84"/>
    <w:rsid w:val="008D56E1"/>
    <w:rsid w:val="008F7AC9"/>
    <w:rsid w:val="00900830"/>
    <w:rsid w:val="009471C5"/>
    <w:rsid w:val="00974DAE"/>
    <w:rsid w:val="009A4DB4"/>
    <w:rsid w:val="00A2311E"/>
    <w:rsid w:val="00A54C4B"/>
    <w:rsid w:val="00A976E0"/>
    <w:rsid w:val="00AA2694"/>
    <w:rsid w:val="00AB7A5D"/>
    <w:rsid w:val="00AF5E22"/>
    <w:rsid w:val="00B02CA2"/>
    <w:rsid w:val="00B062C1"/>
    <w:rsid w:val="00B15DE4"/>
    <w:rsid w:val="00B56616"/>
    <w:rsid w:val="00B66ABF"/>
    <w:rsid w:val="00B70D69"/>
    <w:rsid w:val="00B82346"/>
    <w:rsid w:val="00B97EFA"/>
    <w:rsid w:val="00C17D1C"/>
    <w:rsid w:val="00C26BA7"/>
    <w:rsid w:val="00C74F48"/>
    <w:rsid w:val="00C81859"/>
    <w:rsid w:val="00CA3E26"/>
    <w:rsid w:val="00CD260D"/>
    <w:rsid w:val="00D202BB"/>
    <w:rsid w:val="00D243D2"/>
    <w:rsid w:val="00D26019"/>
    <w:rsid w:val="00E20DCA"/>
    <w:rsid w:val="00E31773"/>
    <w:rsid w:val="00E354A6"/>
    <w:rsid w:val="00E61F44"/>
    <w:rsid w:val="00E66F98"/>
    <w:rsid w:val="00EB0346"/>
    <w:rsid w:val="00F119E4"/>
    <w:rsid w:val="00F13AD1"/>
    <w:rsid w:val="00F20202"/>
    <w:rsid w:val="00F21ABF"/>
    <w:rsid w:val="00F50C3B"/>
    <w:rsid w:val="00F534C7"/>
    <w:rsid w:val="00F861F2"/>
    <w:rsid w:val="00F867B3"/>
    <w:rsid w:val="00F97C87"/>
    <w:rsid w:val="00FB2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9A13"/>
  <w15:chartTrackingRefBased/>
  <w15:docId w15:val="{41AC2B8E-35EB-4641-B3EE-4B123FA6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rsid w:val="00F20202"/>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202"/>
    <w:rPr>
      <w:rFonts w:ascii="Arial" w:eastAsiaTheme="majorEastAsia" w:hAnsi="Arial" w:cstheme="majorBidi"/>
      <w:b/>
      <w:sz w:val="24"/>
      <w:szCs w:val="32"/>
    </w:rPr>
  </w:style>
  <w:style w:type="paragraph" w:styleId="ListParagraph">
    <w:name w:val="List Paragraph"/>
    <w:basedOn w:val="Normal"/>
    <w:uiPriority w:val="34"/>
    <w:qFormat/>
    <w:rsid w:val="00EB0346"/>
    <w:pPr>
      <w:ind w:left="720"/>
      <w:contextualSpacing/>
    </w:pPr>
  </w:style>
  <w:style w:type="character" w:styleId="Hyperlink">
    <w:name w:val="Hyperlink"/>
    <w:basedOn w:val="DefaultParagraphFont"/>
    <w:uiPriority w:val="99"/>
    <w:unhideWhenUsed/>
    <w:rsid w:val="00EB0346"/>
    <w:rPr>
      <w:color w:val="0563C1" w:themeColor="hyperlink"/>
      <w:u w:val="single"/>
    </w:rPr>
  </w:style>
  <w:style w:type="paragraph" w:styleId="Revision">
    <w:name w:val="Revision"/>
    <w:hidden/>
    <w:uiPriority w:val="99"/>
    <w:semiHidden/>
    <w:rsid w:val="006267DC"/>
    <w:rPr>
      <w:rFonts w:ascii="Arial" w:hAnsi="Arial"/>
      <w:sz w:val="24"/>
      <w:szCs w:val="24"/>
    </w:rPr>
  </w:style>
  <w:style w:type="character" w:styleId="CommentReference">
    <w:name w:val="annotation reference"/>
    <w:basedOn w:val="DefaultParagraphFont"/>
    <w:uiPriority w:val="99"/>
    <w:semiHidden/>
    <w:unhideWhenUsed/>
    <w:rsid w:val="007C60A1"/>
    <w:rPr>
      <w:sz w:val="16"/>
      <w:szCs w:val="16"/>
    </w:rPr>
  </w:style>
  <w:style w:type="paragraph" w:styleId="CommentText">
    <w:name w:val="annotation text"/>
    <w:basedOn w:val="Normal"/>
    <w:link w:val="CommentTextChar"/>
    <w:uiPriority w:val="99"/>
    <w:unhideWhenUsed/>
    <w:rsid w:val="007C60A1"/>
    <w:rPr>
      <w:sz w:val="20"/>
      <w:szCs w:val="20"/>
    </w:rPr>
  </w:style>
  <w:style w:type="character" w:customStyle="1" w:styleId="CommentTextChar">
    <w:name w:val="Comment Text Char"/>
    <w:basedOn w:val="DefaultParagraphFont"/>
    <w:link w:val="CommentText"/>
    <w:uiPriority w:val="99"/>
    <w:rsid w:val="007C60A1"/>
    <w:rPr>
      <w:rFonts w:ascii="Arial" w:hAnsi="Arial"/>
    </w:rPr>
  </w:style>
  <w:style w:type="paragraph" w:styleId="CommentSubject">
    <w:name w:val="annotation subject"/>
    <w:basedOn w:val="CommentText"/>
    <w:next w:val="CommentText"/>
    <w:link w:val="CommentSubjectChar"/>
    <w:uiPriority w:val="99"/>
    <w:semiHidden/>
    <w:unhideWhenUsed/>
    <w:rsid w:val="007C60A1"/>
    <w:rPr>
      <w:b/>
      <w:bCs/>
    </w:rPr>
  </w:style>
  <w:style w:type="character" w:customStyle="1" w:styleId="CommentSubjectChar">
    <w:name w:val="Comment Subject Char"/>
    <w:basedOn w:val="CommentTextChar"/>
    <w:link w:val="CommentSubject"/>
    <w:uiPriority w:val="99"/>
    <w:semiHidden/>
    <w:rsid w:val="007C60A1"/>
    <w:rPr>
      <w:rFonts w:ascii="Arial" w:hAnsi="Arial"/>
      <w:b/>
      <w:bCs/>
    </w:rPr>
  </w:style>
  <w:style w:type="character" w:styleId="UnresolvedMention">
    <w:name w:val="Unresolved Mention"/>
    <w:basedOn w:val="DefaultParagraphFont"/>
    <w:uiPriority w:val="99"/>
    <w:semiHidden/>
    <w:unhideWhenUsed/>
    <w:rsid w:val="00327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3" ma:contentTypeDescription="Create a new document." ma:contentTypeScope="" ma:versionID="27f9a69c079b7526b0bbf21252daa897">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0aadf9d217f6ea43d981fc20f3691d4e"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cheduleNumber xmlns="4feac705-4105-4bb1-bb77-ced40c3f9fcd" xsi:nil="true"/>
    <lcf76f155ced4ddcb4097134ff3c332f xmlns="4feac705-4105-4bb1-bb77-ced40c3f9fcd">
      <Terms xmlns="http://schemas.microsoft.com/office/infopath/2007/PartnerControls"/>
    </lcf76f155ced4ddcb4097134ff3c332f>
    <TaxCatchAll xmlns="a04dbe3e-63b4-48d2-9d03-f0eb0c7bc09d" xsi:nil="true"/>
    <Call_x002d_offschedule xmlns="4feac705-4105-4bb1-bb77-ced40c3f9fcd" xsi:nil="true"/>
    <_Flow_SignoffStatus xmlns="4feac705-4105-4bb1-bb77-ced40c3f9fcd" xsi:nil="true"/>
  </documentManagement>
</p:properties>
</file>

<file path=customXml/itemProps1.xml><?xml version="1.0" encoding="utf-8"?>
<ds:datastoreItem xmlns:ds="http://schemas.openxmlformats.org/officeDocument/2006/customXml" ds:itemID="{0C038655-1C26-43D9-8706-AC5F52719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9E103-9D57-4E6C-9801-F1F1752D2769}">
  <ds:schemaRefs>
    <ds:schemaRef ds:uri="http://schemas.microsoft.com/sharepoint/v3/contenttype/forms"/>
  </ds:schemaRefs>
</ds:datastoreItem>
</file>

<file path=customXml/itemProps3.xml><?xml version="1.0" encoding="utf-8"?>
<ds:datastoreItem xmlns:ds="http://schemas.openxmlformats.org/officeDocument/2006/customXml" ds:itemID="{BE0A44FF-69F6-4DE1-ADA3-67006CB5BC8D}">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 Colin DWP COMMERCIAL DIRECTORATE</dc:creator>
  <cp:keywords/>
  <dc:description/>
  <cp:lastModifiedBy>Naylor Julie DWP COMMERCIAL DIRECTORATE</cp:lastModifiedBy>
  <cp:revision>35</cp:revision>
  <dcterms:created xsi:type="dcterms:W3CDTF">2023-11-02T17:07:00Z</dcterms:created>
  <dcterms:modified xsi:type="dcterms:W3CDTF">2023-11-07T09:54:00Z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y fmtid="{D5CDD505-2E9C-101B-9397-08002B2CF9AE}" pid="3" name="MediaServiceImageTags">
    <vt:lpwstr/>
  </property>
</Properties>
</file>