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8C88" w14:textId="77777777" w:rsidR="005B4D19" w:rsidRDefault="003B590B">
      <w:pPr>
        <w:pStyle w:val="Heading1"/>
        <w:rPr>
          <w:sz w:val="20"/>
          <w:szCs w:val="20"/>
        </w:rPr>
      </w:pPr>
      <w:bookmarkStart w:id="0" w:name="_7k0e5iphw8tz"/>
      <w:bookmarkEnd w:id="0"/>
      <w:r>
        <w:rPr>
          <w:sz w:val="20"/>
          <w:szCs w:val="20"/>
        </w:rPr>
        <w:t>Joint Schedule 4 (Commercially Sensitive Information)</w:t>
      </w:r>
    </w:p>
    <w:p w14:paraId="6A30307E" w14:textId="77777777" w:rsidR="005B4D19" w:rsidRDefault="003B590B" w:rsidP="001B6C78">
      <w:pPr>
        <w:pStyle w:val="Standard"/>
        <w:widowControl/>
        <w:numPr>
          <w:ilvl w:val="0"/>
          <w:numId w:val="2"/>
        </w:numPr>
        <w:tabs>
          <w:tab w:val="left" w:pos="142"/>
        </w:tabs>
        <w:spacing w:before="120" w:after="240" w:line="240" w:lineRule="auto"/>
        <w:ind w:left="851" w:hanging="851"/>
      </w:pPr>
      <w:r>
        <w:rPr>
          <w:rFonts w:ascii="Arial" w:eastAsia="Arial" w:hAnsi="Arial" w:cs="Arial"/>
          <w:b/>
          <w:color w:val="000000"/>
          <w:sz w:val="20"/>
          <w:szCs w:val="20"/>
        </w:rPr>
        <w:t xml:space="preserve">What </w:t>
      </w:r>
      <w:r>
        <w:rPr>
          <w:rFonts w:ascii="Arial" w:eastAsia="Arial" w:hAnsi="Arial" w:cs="Arial"/>
          <w:b/>
          <w:sz w:val="20"/>
          <w:szCs w:val="20"/>
        </w:rPr>
        <w:t>is Commercially</w:t>
      </w:r>
      <w:r>
        <w:rPr>
          <w:rFonts w:ascii="Arial" w:eastAsia="Arial" w:hAnsi="Arial" w:cs="Arial"/>
          <w:b/>
          <w:color w:val="000000"/>
          <w:sz w:val="20"/>
          <w:szCs w:val="20"/>
        </w:rPr>
        <w:t xml:space="preserve"> Sensitive Information?</w:t>
      </w:r>
    </w:p>
    <w:p w14:paraId="55C151FA" w14:textId="77777777" w:rsidR="005B4D19" w:rsidRDefault="003B590B" w:rsidP="001B6C78">
      <w:pPr>
        <w:pStyle w:val="Standard"/>
        <w:widowControl/>
        <w:numPr>
          <w:ilvl w:val="1"/>
          <w:numId w:val="1"/>
        </w:numPr>
        <w:tabs>
          <w:tab w:val="left" w:pos="1134"/>
        </w:tabs>
        <w:spacing w:before="120" w:after="120" w:line="240" w:lineRule="auto"/>
        <w:ind w:left="851" w:hanging="851"/>
        <w:jc w:val="both"/>
      </w:pPr>
      <w:r>
        <w:rPr>
          <w:rFonts w:ascii="Arial" w:eastAsia="Arial" w:hAnsi="Arial" w:cs="Arial"/>
          <w:color w:val="000000"/>
          <w:sz w:val="20"/>
          <w:szCs w:val="20"/>
        </w:rPr>
        <w:t>In this Schedule the Parties have sought to identify the Supplier's Confidential Information that is genuinely commercially sensitive and the disclosure of which would be the subject of an exemption under the FOIA and the EIRs.</w:t>
      </w:r>
    </w:p>
    <w:p w14:paraId="7472B57D" w14:textId="77777777" w:rsidR="005B4D19" w:rsidRPr="001B6C78" w:rsidRDefault="003B590B" w:rsidP="001B6C78">
      <w:pPr>
        <w:pStyle w:val="Standard"/>
        <w:widowControl/>
        <w:numPr>
          <w:ilvl w:val="1"/>
          <w:numId w:val="1"/>
        </w:numPr>
        <w:tabs>
          <w:tab w:val="left" w:pos="1134"/>
        </w:tabs>
        <w:spacing w:before="120" w:after="120" w:line="240" w:lineRule="auto"/>
        <w:ind w:left="851" w:hanging="851"/>
        <w:jc w:val="both"/>
        <w:rPr>
          <w:rFonts w:ascii="Arial" w:eastAsia="Arial" w:hAnsi="Arial" w:cs="Arial"/>
          <w:color w:val="000000"/>
          <w:sz w:val="20"/>
          <w:szCs w:val="20"/>
        </w:rPr>
      </w:pPr>
      <w:r>
        <w:rPr>
          <w:rFonts w:ascii="Arial" w:eastAsia="Arial" w:hAnsi="Arial" w:cs="Arial"/>
          <w:color w:val="000000"/>
          <w:sz w:val="20"/>
          <w:szCs w:val="20"/>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FA97C29" w14:textId="77777777" w:rsidR="005B4D19" w:rsidRPr="001B6C78" w:rsidRDefault="003B590B" w:rsidP="001B6C78">
      <w:pPr>
        <w:pStyle w:val="Standard"/>
        <w:widowControl/>
        <w:numPr>
          <w:ilvl w:val="1"/>
          <w:numId w:val="1"/>
        </w:numPr>
        <w:tabs>
          <w:tab w:val="left" w:pos="1134"/>
        </w:tabs>
        <w:spacing w:before="120" w:after="120" w:line="240" w:lineRule="auto"/>
        <w:ind w:left="851" w:hanging="851"/>
        <w:jc w:val="both"/>
        <w:rPr>
          <w:rFonts w:ascii="Arial" w:eastAsia="Arial" w:hAnsi="Arial" w:cs="Arial"/>
          <w:color w:val="000000"/>
          <w:sz w:val="20"/>
          <w:szCs w:val="20"/>
        </w:rPr>
      </w:pPr>
      <w:r>
        <w:rPr>
          <w:rFonts w:ascii="Arial" w:eastAsia="Arial" w:hAnsi="Arial" w:cs="Arial"/>
          <w:color w:val="000000"/>
          <w:sz w:val="20"/>
          <w:szCs w:val="20"/>
        </w:rPr>
        <w:t>Without prejudice to the Authority's obligation to disclose Information in accordance with FOIA or Clause 16 (When You Can Share Information), the Authority will, in its sole discretion, acting reasonably, seek to apply the relevant exemption set out in the FOIA to the following Information:</w:t>
      </w:r>
    </w:p>
    <w:p w14:paraId="540D258F" w14:textId="77777777" w:rsidR="005B4D19" w:rsidRDefault="005B4D19">
      <w:pPr>
        <w:pStyle w:val="Standard"/>
        <w:widowControl/>
        <w:tabs>
          <w:tab w:val="left" w:pos="1778"/>
        </w:tabs>
        <w:spacing w:before="120" w:after="120" w:line="240" w:lineRule="auto"/>
        <w:ind w:left="644" w:hanging="576"/>
        <w:jc w:val="both"/>
        <w:rPr>
          <w:color w:val="000000"/>
        </w:rPr>
      </w:pPr>
    </w:p>
    <w:tbl>
      <w:tblPr>
        <w:tblW w:w="7949" w:type="dxa"/>
        <w:tblInd w:w="1008" w:type="dxa"/>
        <w:tblLayout w:type="fixed"/>
        <w:tblCellMar>
          <w:left w:w="10" w:type="dxa"/>
          <w:right w:w="10" w:type="dxa"/>
        </w:tblCellMar>
        <w:tblLook w:val="04A0" w:firstRow="1" w:lastRow="0" w:firstColumn="1" w:lastColumn="0" w:noHBand="0" w:noVBand="1"/>
      </w:tblPr>
      <w:tblGrid>
        <w:gridCol w:w="989"/>
        <w:gridCol w:w="1710"/>
        <w:gridCol w:w="3011"/>
        <w:gridCol w:w="2239"/>
      </w:tblGrid>
      <w:tr w:rsidR="005B4D19" w14:paraId="0EBB5CEE" w14:textId="77777777">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66B1BF" w14:textId="77777777" w:rsidR="005B4D19" w:rsidRPr="00AA7B92" w:rsidRDefault="003B590B">
            <w:pPr>
              <w:pStyle w:val="Standard"/>
              <w:keepNext/>
              <w:widowControl/>
              <w:spacing w:before="240" w:after="120" w:line="240" w:lineRule="auto"/>
              <w:ind w:left="142"/>
              <w:jc w:val="center"/>
              <w:rPr>
                <w:sz w:val="20"/>
                <w:szCs w:val="20"/>
              </w:rPr>
            </w:pPr>
            <w:r w:rsidRPr="00AA7B92">
              <w:rPr>
                <w:rFonts w:ascii="Arial" w:eastAsia="Arial" w:hAnsi="Arial" w:cs="Arial"/>
                <w:b/>
                <w:color w:val="000000"/>
                <w:sz w:val="20"/>
                <w:szCs w:val="20"/>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DBB36" w14:textId="77777777" w:rsidR="005B4D19" w:rsidRPr="00AA7B92" w:rsidRDefault="003B590B">
            <w:pPr>
              <w:pStyle w:val="Standard"/>
              <w:keepNext/>
              <w:widowControl/>
              <w:spacing w:before="240" w:after="120" w:line="240" w:lineRule="auto"/>
              <w:ind w:left="142"/>
              <w:jc w:val="center"/>
              <w:rPr>
                <w:sz w:val="20"/>
                <w:szCs w:val="20"/>
              </w:rPr>
            </w:pPr>
            <w:r w:rsidRPr="00AA7B92">
              <w:rPr>
                <w:rFonts w:ascii="Arial" w:eastAsia="Arial" w:hAnsi="Arial" w:cs="Arial"/>
                <w:b/>
                <w:color w:val="000000"/>
                <w:sz w:val="20"/>
                <w:szCs w:val="20"/>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C3E3C0" w14:textId="77777777" w:rsidR="005B4D19" w:rsidRPr="00AA7B92" w:rsidRDefault="003B590B">
            <w:pPr>
              <w:pStyle w:val="Standard"/>
              <w:keepNext/>
              <w:widowControl/>
              <w:spacing w:before="240" w:after="120" w:line="240" w:lineRule="auto"/>
              <w:ind w:left="142"/>
              <w:jc w:val="center"/>
              <w:rPr>
                <w:sz w:val="20"/>
                <w:szCs w:val="20"/>
              </w:rPr>
            </w:pPr>
            <w:r w:rsidRPr="00AA7B92">
              <w:rPr>
                <w:rFonts w:ascii="Arial" w:eastAsia="Arial" w:hAnsi="Arial" w:cs="Arial"/>
                <w:b/>
                <w:color w:val="000000"/>
                <w:sz w:val="20"/>
                <w:szCs w:val="20"/>
              </w:rPr>
              <w:t>Item(s)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05347D" w14:textId="77777777" w:rsidR="005B4D19" w:rsidRPr="00AA7B92" w:rsidRDefault="003B590B">
            <w:pPr>
              <w:pStyle w:val="Standard"/>
              <w:keepNext/>
              <w:widowControl/>
              <w:spacing w:before="240" w:after="120" w:line="240" w:lineRule="auto"/>
              <w:ind w:left="142"/>
              <w:jc w:val="center"/>
              <w:rPr>
                <w:sz w:val="20"/>
                <w:szCs w:val="20"/>
              </w:rPr>
            </w:pPr>
            <w:r w:rsidRPr="00AA7B92">
              <w:rPr>
                <w:rFonts w:ascii="Arial" w:eastAsia="Arial" w:hAnsi="Arial" w:cs="Arial"/>
                <w:b/>
                <w:color w:val="000000"/>
                <w:sz w:val="20"/>
                <w:szCs w:val="20"/>
              </w:rPr>
              <w:t>Duration of Confidentiality</w:t>
            </w:r>
          </w:p>
        </w:tc>
      </w:tr>
      <w:tr w:rsidR="005B4D19" w14:paraId="70776A9E" w14:textId="77777777">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E8CECF" w14:textId="77777777" w:rsidR="005B4D19" w:rsidRPr="00AA7B92" w:rsidRDefault="005B4D19">
            <w:pPr>
              <w:pStyle w:val="Standard"/>
              <w:keepNext/>
              <w:widowControl/>
              <w:spacing w:before="240" w:after="120" w:line="240" w:lineRule="auto"/>
              <w:ind w:left="142"/>
              <w:jc w:val="both"/>
              <w:rPr>
                <w:rFonts w:ascii="Arial" w:eastAsia="Arial" w:hAnsi="Arial" w:cs="Arial"/>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52A574" w14:textId="77777777" w:rsidR="005B4D19" w:rsidRPr="00AA7B92" w:rsidRDefault="003B590B">
            <w:pPr>
              <w:pStyle w:val="Standard"/>
              <w:keepNext/>
              <w:widowControl/>
              <w:spacing w:before="240" w:after="120" w:line="240" w:lineRule="auto"/>
              <w:ind w:left="142"/>
              <w:jc w:val="both"/>
              <w:rPr>
                <w:sz w:val="20"/>
                <w:szCs w:val="20"/>
              </w:rPr>
            </w:pPr>
            <w:r w:rsidRPr="00AA7B92">
              <w:rPr>
                <w:rFonts w:ascii="Arial" w:eastAsia="Arial" w:hAnsi="Arial" w:cs="Arial"/>
                <w:color w:val="000000"/>
                <w:sz w:val="20"/>
                <w:szCs w:val="20"/>
                <w:shd w:val="clear" w:color="auto" w:fill="FFFF00"/>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A22D35" w14:textId="77777777" w:rsidR="005B4D19" w:rsidRPr="00AA7B92" w:rsidRDefault="003B590B">
            <w:pPr>
              <w:pStyle w:val="Standard"/>
              <w:keepNext/>
              <w:widowControl/>
              <w:spacing w:before="240" w:after="120" w:line="240" w:lineRule="auto"/>
              <w:ind w:left="142"/>
              <w:jc w:val="both"/>
              <w:rPr>
                <w:sz w:val="20"/>
                <w:szCs w:val="20"/>
              </w:rPr>
            </w:pPr>
            <w:r w:rsidRPr="00AA7B92">
              <w:rPr>
                <w:rFonts w:ascii="Arial" w:eastAsia="Arial" w:hAnsi="Arial" w:cs="Arial"/>
                <w:color w:val="000000"/>
                <w:sz w:val="20"/>
                <w:szCs w:val="20"/>
                <w:shd w:val="clear" w:color="auto" w:fill="FFFF00"/>
              </w:rPr>
              <w:t>[insert details]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AD0A78" w14:textId="77777777" w:rsidR="005B4D19" w:rsidRPr="00AA7B92" w:rsidRDefault="003B590B">
            <w:pPr>
              <w:pStyle w:val="Standard"/>
              <w:keepNext/>
              <w:widowControl/>
              <w:spacing w:before="240" w:after="120" w:line="240" w:lineRule="auto"/>
              <w:ind w:left="142"/>
              <w:jc w:val="both"/>
              <w:rPr>
                <w:sz w:val="20"/>
                <w:szCs w:val="20"/>
              </w:rPr>
            </w:pPr>
            <w:r w:rsidRPr="00AA7B92">
              <w:rPr>
                <w:rFonts w:ascii="Arial" w:eastAsia="Arial" w:hAnsi="Arial" w:cs="Arial"/>
                <w:color w:val="000000"/>
                <w:sz w:val="20"/>
                <w:szCs w:val="20"/>
                <w:shd w:val="clear" w:color="auto" w:fill="FFFF00"/>
              </w:rPr>
              <w:t>[insert duration]</w:t>
            </w:r>
          </w:p>
        </w:tc>
      </w:tr>
    </w:tbl>
    <w:p w14:paraId="3042251D" w14:textId="77777777" w:rsidR="005B4D19" w:rsidRDefault="005B4D19">
      <w:pPr>
        <w:pStyle w:val="Standard"/>
      </w:pPr>
    </w:p>
    <w:p w14:paraId="74968ACB" w14:textId="77777777" w:rsidR="005B4D19" w:rsidRDefault="005B4D19">
      <w:pPr>
        <w:pStyle w:val="Standard"/>
        <w:widowControl/>
      </w:pPr>
    </w:p>
    <w:sectPr w:rsidR="005B4D19">
      <w:headerReference w:type="default" r:id="rId11"/>
      <w:footerReference w:type="default" r:id="rId12"/>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7264" w14:textId="77777777" w:rsidR="00944840" w:rsidRDefault="00944840">
      <w:r>
        <w:separator/>
      </w:r>
    </w:p>
  </w:endnote>
  <w:endnote w:type="continuationSeparator" w:id="0">
    <w:p w14:paraId="3D34709D" w14:textId="77777777" w:rsidR="00944840" w:rsidRDefault="0094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42" w14:textId="77777777" w:rsidR="003B590B" w:rsidRDefault="003B590B">
    <w:pPr>
      <w:pStyle w:val="Standard"/>
      <w:widowControl/>
      <w:tabs>
        <w:tab w:val="center" w:pos="4513"/>
        <w:tab w:val="right" w:pos="9026"/>
      </w:tabs>
      <w:spacing w:after="0" w:line="240" w:lineRule="auto"/>
    </w:pP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14:paraId="1345FED7" w14:textId="77777777" w:rsidR="003B590B" w:rsidRDefault="003B590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5DE2" w14:textId="77777777" w:rsidR="00944840" w:rsidRDefault="00944840">
      <w:r>
        <w:rPr>
          <w:color w:val="000000"/>
        </w:rPr>
        <w:separator/>
      </w:r>
    </w:p>
  </w:footnote>
  <w:footnote w:type="continuationSeparator" w:id="0">
    <w:p w14:paraId="1BCAE769" w14:textId="77777777" w:rsidR="00944840" w:rsidRDefault="0094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2ECB" w14:textId="77777777" w:rsidR="003B590B" w:rsidRDefault="003B590B">
    <w:pPr>
      <w:pStyle w:val="Standard"/>
      <w:widowControl/>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14:paraId="41BFF91D" w14:textId="77777777" w:rsidR="003B590B" w:rsidRDefault="003B590B">
    <w:pPr>
      <w:pStyle w:val="Standard"/>
      <w:widowControl/>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5054F"/>
    <w:multiLevelType w:val="multilevel"/>
    <w:tmpl w:val="82B4AB7C"/>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37796933">
    <w:abstractNumId w:val="0"/>
    <w:lvlOverride w:ilvl="1">
      <w:lvl w:ilvl="1">
        <w:start w:val="1"/>
        <w:numFmt w:val="decimal"/>
        <w:lvlText w:val="%1.%2"/>
        <w:lvlJc w:val="left"/>
        <w:pPr>
          <w:ind w:left="644" w:hanging="358"/>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457845412">
    <w:abstractNumId w:val="0"/>
    <w:lvlOverride w:ilvl="0">
      <w:startOverride w:val="1"/>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0"/>
          <w:szCs w:val="20"/>
          <w:u w:val="none"/>
          <w:vertAlign w:val="baseline"/>
        </w:rPr>
      </w:lvl>
    </w:lvlOverride>
  </w:num>
  <w:num w:numId="3" w16cid:durableId="16694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620"/>
    <w:docVar w:name="Revision" w:val="2"/>
  </w:docVars>
  <w:rsids>
    <w:rsidRoot w:val="005B4D19"/>
    <w:rsid w:val="001B6C78"/>
    <w:rsid w:val="003B590B"/>
    <w:rsid w:val="00557576"/>
    <w:rsid w:val="005B4D19"/>
    <w:rsid w:val="005D300A"/>
    <w:rsid w:val="00944840"/>
    <w:rsid w:val="00AA7B92"/>
    <w:rsid w:val="00BC5AD1"/>
    <w:rsid w:val="00E2383A"/>
    <w:rsid w:val="00F034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0B032"/>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2024-03-12T14:47:09+00:00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WWVFZ3DUP6VR-488400291-77258</_dlc_DocId>
    <_dlc_DocIdUrl xmlns="2289aba0-e0ce-4c45-9e32-eab2d8212a20">
      <Url>https://beisgov.sharepoint.com/sites/ESC/_layouts/15/DocIdRedir.aspx?ID=WWVFZ3DUP6VR-488400291-77258</Url>
      <Description>WWVFZ3DUP6VR-488400291-77258</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ABD391-51B4-46C4-A13C-3D908189885D}">
  <ds:schemaRefs>
    <ds:schemaRef ds:uri="a8f60570-4bd3-4f2b-950b-a996de8ab151"/>
    <ds:schemaRef ds:uri="http://purl.org/dc/elements/1.1/"/>
    <ds:schemaRef ds:uri="http://schemas.microsoft.com/office/infopath/2007/PartnerControls"/>
    <ds:schemaRef ds:uri="2289aba0-e0ce-4c45-9e32-eab2d8212a20"/>
    <ds:schemaRef ds:uri="http://schemas.openxmlformats.org/package/2006/metadata/core-properties"/>
    <ds:schemaRef ds:uri="53a3b5c5-fefe-4f93-9d19-697d8b02f2a2"/>
    <ds:schemaRef ds:uri="aaacb922-5235-4a66-b188-303b9b46fbd7"/>
    <ds:schemaRef ds:uri="http://schemas.microsoft.com/office/2006/documentManagement/types"/>
    <ds:schemaRef ds:uri="b413c3fd-5a3b-4239-b985-69032e371c04"/>
    <ds:schemaRef ds:uri="http://purl.org/dc/dcmitype/"/>
    <ds:schemaRef ds:uri="0063f72e-ace3-48fb-9c1f-5b513408b31f"/>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6B28629-BD6B-4DEC-9300-02742DF28133}">
  <ds:schemaRefs>
    <ds:schemaRef ds:uri="http://schemas.microsoft.com/sharepoint/v3/contenttype/forms"/>
  </ds:schemaRefs>
</ds:datastoreItem>
</file>

<file path=customXml/itemProps3.xml><?xml version="1.0" encoding="utf-8"?>
<ds:datastoreItem xmlns:ds="http://schemas.openxmlformats.org/officeDocument/2006/customXml" ds:itemID="{5D5DC296-EA1F-44BD-9E2E-EC812F50A73A}"/>
</file>

<file path=customXml/itemProps4.xml><?xml version="1.0" encoding="utf-8"?>
<ds:datastoreItem xmlns:ds="http://schemas.openxmlformats.org/officeDocument/2006/customXml" ds:itemID="{D2309232-E556-47B0-B069-FB5802CAA1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Spurling</dc:creator>
  <cp:lastModifiedBy>Walkem, Mark (Energy Security)</cp:lastModifiedBy>
  <cp:revision>2</cp:revision>
  <dcterms:created xsi:type="dcterms:W3CDTF">2024-03-12T14:47:00Z</dcterms:created>
  <dcterms:modified xsi:type="dcterms:W3CDTF">2024-03-12T14:47:00Z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21215702-728d-4909-a893-f701c07855b3</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2024-02-16T12:24:25Z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cf25f14c-eb0c-4c7d-b8d4-f12c9601fc94</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