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A79DD" w14:textId="0C71EA87" w:rsidR="009A1765" w:rsidRPr="00BE3C10" w:rsidRDefault="00D02287" w:rsidP="002238F9">
      <w:pPr>
        <w:spacing w:line="240" w:lineRule="auto"/>
        <w:ind w:right="1088"/>
        <w:jc w:val="center"/>
        <w:rPr>
          <w:rFonts w:ascii="Arial" w:hAnsi="Arial" w:cs="Arial"/>
          <w:b/>
          <w:sz w:val="28"/>
          <w:szCs w:val="28"/>
        </w:rPr>
      </w:pPr>
      <w:r>
        <w:rPr>
          <w:rFonts w:ascii="Arial" w:hAnsi="Arial" w:cs="Arial"/>
          <w:b/>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36747E" w:rsidRPr="00D76352" w14:paraId="409A79DF" w14:textId="77777777" w:rsidTr="00F64730">
        <w:tc>
          <w:tcPr>
            <w:tcW w:w="8908" w:type="dxa"/>
            <w:shd w:val="clear" w:color="auto" w:fill="008000"/>
          </w:tcPr>
          <w:p w14:paraId="409A79DE" w14:textId="0EBB0E61" w:rsidR="0036747E" w:rsidRPr="00D76352" w:rsidRDefault="00520686" w:rsidP="00702205">
            <w:pPr>
              <w:spacing w:after="120" w:line="240" w:lineRule="auto"/>
              <w:ind w:right="1088"/>
              <w:rPr>
                <w:rFonts w:ascii="Arial" w:hAnsi="Arial" w:cs="Arial"/>
                <w:b/>
                <w:i/>
                <w:color w:val="FFFFFF" w:themeColor="background1"/>
                <w:sz w:val="24"/>
                <w:szCs w:val="24"/>
              </w:rPr>
            </w:pPr>
            <w:r>
              <w:rPr>
                <w:rFonts w:ascii="Arial" w:hAnsi="Arial" w:cs="Arial"/>
                <w:b/>
                <w:i/>
                <w:color w:val="FFFFFF" w:themeColor="background1"/>
                <w:sz w:val="24"/>
                <w:szCs w:val="24"/>
              </w:rPr>
              <w:t xml:space="preserve">Specification </w:t>
            </w:r>
            <w:r w:rsidRPr="00D76352">
              <w:rPr>
                <w:rFonts w:ascii="Arial" w:hAnsi="Arial" w:cs="Arial"/>
                <w:b/>
                <w:i/>
                <w:color w:val="FFFFFF" w:themeColor="background1"/>
                <w:sz w:val="24"/>
                <w:szCs w:val="24"/>
              </w:rPr>
              <w:t>Reference</w:t>
            </w:r>
          </w:p>
        </w:tc>
      </w:tr>
      <w:tr w:rsidR="0036747E" w:rsidRPr="00BE3C10" w14:paraId="409A79E1" w14:textId="77777777" w:rsidTr="00F64730">
        <w:tc>
          <w:tcPr>
            <w:tcW w:w="8908" w:type="dxa"/>
            <w:tcBorders>
              <w:bottom w:val="single" w:sz="4" w:space="0" w:color="auto"/>
            </w:tcBorders>
          </w:tcPr>
          <w:p w14:paraId="409A79E0" w14:textId="54C63128" w:rsidR="0036747E" w:rsidRPr="005A67D2" w:rsidRDefault="005A67D2" w:rsidP="00C9138A">
            <w:pPr>
              <w:pStyle w:val="Tenderreference"/>
              <w:rPr>
                <w:b/>
              </w:rPr>
            </w:pPr>
            <w:r w:rsidRPr="005A67D2">
              <w:rPr>
                <w:b/>
                <w:i w:val="0"/>
              </w:rPr>
              <w:t>FS301071</w:t>
            </w:r>
          </w:p>
        </w:tc>
      </w:tr>
      <w:tr w:rsidR="0036747E" w:rsidRPr="00BE3C10" w14:paraId="409A79E3" w14:textId="77777777" w:rsidTr="00F64730">
        <w:tc>
          <w:tcPr>
            <w:tcW w:w="8908" w:type="dxa"/>
            <w:shd w:val="clear" w:color="auto" w:fill="008000"/>
          </w:tcPr>
          <w:p w14:paraId="409A79E2" w14:textId="7E6C10D1" w:rsidR="0036747E" w:rsidRPr="00D76352" w:rsidRDefault="00520686" w:rsidP="00702205">
            <w:pPr>
              <w:tabs>
                <w:tab w:val="left" w:pos="9026"/>
              </w:tabs>
              <w:spacing w:after="120" w:line="240" w:lineRule="auto"/>
              <w:ind w:right="95"/>
              <w:rPr>
                <w:rFonts w:ascii="Arial" w:hAnsi="Arial" w:cs="Arial"/>
                <w:b/>
                <w:i/>
                <w:color w:val="FFFFFF" w:themeColor="background1"/>
                <w:sz w:val="24"/>
                <w:szCs w:val="24"/>
              </w:rPr>
            </w:pPr>
            <w:r>
              <w:rPr>
                <w:rFonts w:ascii="Arial" w:hAnsi="Arial" w:cs="Arial"/>
                <w:b/>
                <w:i/>
                <w:color w:val="FFFFFF" w:themeColor="background1"/>
                <w:sz w:val="24"/>
                <w:szCs w:val="24"/>
              </w:rPr>
              <w:t xml:space="preserve">Specification </w:t>
            </w:r>
            <w:r w:rsidRPr="00D76352">
              <w:rPr>
                <w:rFonts w:ascii="Arial" w:hAnsi="Arial" w:cs="Arial"/>
                <w:b/>
                <w:i/>
                <w:color w:val="FFFFFF" w:themeColor="background1"/>
                <w:sz w:val="24"/>
                <w:szCs w:val="24"/>
              </w:rPr>
              <w:t>Title</w:t>
            </w:r>
          </w:p>
        </w:tc>
      </w:tr>
      <w:tr w:rsidR="00F64730" w:rsidRPr="00BE3C10" w14:paraId="409A79E5" w14:textId="77777777" w:rsidTr="00F64730">
        <w:tc>
          <w:tcPr>
            <w:tcW w:w="8908" w:type="dxa"/>
          </w:tcPr>
          <w:p w14:paraId="409A79E4" w14:textId="02FEBF91" w:rsidR="00F64730" w:rsidRPr="00C9138A" w:rsidRDefault="007773F8" w:rsidP="00F64730">
            <w:pPr>
              <w:pStyle w:val="TenderTitle"/>
            </w:pPr>
            <w:bookmarkStart w:id="0" w:name="_GoBack"/>
            <w:r>
              <w:rPr>
                <w:i w:val="0"/>
              </w:rPr>
              <w:t xml:space="preserve">Behaviour and Compliance - </w:t>
            </w:r>
            <w:r w:rsidRPr="007773F8">
              <w:rPr>
                <w:i w:val="0"/>
              </w:rPr>
              <w:t>Motivators and</w:t>
            </w:r>
            <w:r>
              <w:rPr>
                <w:i w:val="0"/>
              </w:rPr>
              <w:t xml:space="preserve"> Economic</w:t>
            </w:r>
            <w:r w:rsidRPr="007773F8">
              <w:rPr>
                <w:i w:val="0"/>
              </w:rPr>
              <w:t xml:space="preserve"> incentive drivers in the </w:t>
            </w:r>
            <w:r>
              <w:rPr>
                <w:i w:val="0"/>
              </w:rPr>
              <w:t>UK Meat Industry</w:t>
            </w:r>
            <w:bookmarkEnd w:id="0"/>
            <w:r w:rsidR="007938AC">
              <w:rPr>
                <w:i w:val="0"/>
              </w:rPr>
              <w:t>.</w:t>
            </w:r>
          </w:p>
        </w:tc>
      </w:tr>
      <w:tr w:rsidR="00F64730" w:rsidRPr="00D76352" w14:paraId="409A79E7" w14:textId="77777777" w:rsidTr="00F64730">
        <w:tc>
          <w:tcPr>
            <w:tcW w:w="8908" w:type="dxa"/>
            <w:tcBorders>
              <w:top w:val="single" w:sz="4" w:space="0" w:color="auto"/>
              <w:left w:val="single" w:sz="4" w:space="0" w:color="auto"/>
              <w:bottom w:val="single" w:sz="4" w:space="0" w:color="auto"/>
              <w:right w:val="single" w:sz="4" w:space="0" w:color="auto"/>
            </w:tcBorders>
            <w:shd w:val="clear" w:color="auto" w:fill="008000"/>
          </w:tcPr>
          <w:p w14:paraId="409A79E6" w14:textId="77777777" w:rsidR="00F64730" w:rsidRPr="0063435F" w:rsidRDefault="00F64730" w:rsidP="00F64730">
            <w:pPr>
              <w:pStyle w:val="TenderTitle"/>
              <w:rPr>
                <w:b/>
              </w:rPr>
            </w:pPr>
            <w:r>
              <w:rPr>
                <w:b/>
                <w:color w:val="FFFFFF" w:themeColor="background1"/>
              </w:rPr>
              <w:t>Contract Duration</w:t>
            </w:r>
          </w:p>
        </w:tc>
      </w:tr>
      <w:tr w:rsidR="00F64730" w:rsidRPr="00C9138A" w14:paraId="409A79E9" w14:textId="77777777" w:rsidTr="00F64730">
        <w:tc>
          <w:tcPr>
            <w:tcW w:w="8908" w:type="dxa"/>
            <w:tcBorders>
              <w:top w:val="single" w:sz="4" w:space="0" w:color="auto"/>
              <w:left w:val="single" w:sz="4" w:space="0" w:color="auto"/>
              <w:bottom w:val="single" w:sz="4" w:space="0" w:color="auto"/>
              <w:right w:val="single" w:sz="4" w:space="0" w:color="auto"/>
            </w:tcBorders>
          </w:tcPr>
          <w:p w14:paraId="409A79E8" w14:textId="6AE4B61E" w:rsidR="00F64730" w:rsidRPr="00C9138A" w:rsidRDefault="00C032B7" w:rsidP="00F64730">
            <w:pPr>
              <w:pStyle w:val="TenderTitle"/>
            </w:pPr>
            <w:r>
              <w:rPr>
                <w:i w:val="0"/>
              </w:rPr>
              <w:t>September</w:t>
            </w:r>
            <w:r w:rsidR="007773F8">
              <w:rPr>
                <w:i w:val="0"/>
              </w:rPr>
              <w:t xml:space="preserve"> 2018 – </w:t>
            </w:r>
            <w:r>
              <w:rPr>
                <w:i w:val="0"/>
              </w:rPr>
              <w:t>March</w:t>
            </w:r>
            <w:r w:rsidR="007773F8">
              <w:rPr>
                <w:i w:val="0"/>
              </w:rPr>
              <w:t xml:space="preserve"> </w:t>
            </w:r>
            <w:r w:rsidR="00F64730">
              <w:rPr>
                <w:i w:val="0"/>
              </w:rPr>
              <w:t>2019</w:t>
            </w:r>
          </w:p>
        </w:tc>
      </w:tr>
    </w:tbl>
    <w:p w14:paraId="409A79EA" w14:textId="77777777" w:rsidR="0036747E" w:rsidRDefault="0036747E" w:rsidP="002238F9">
      <w:pPr>
        <w:spacing w:line="240" w:lineRule="auto"/>
        <w:ind w:right="-58"/>
        <w:rPr>
          <w:rFonts w:ascii="Arial" w:hAnsi="Arial" w:cs="Arial"/>
          <w:sz w:val="24"/>
          <w:szCs w:val="24"/>
        </w:rPr>
      </w:pPr>
    </w:p>
    <w:p w14:paraId="409A79EB" w14:textId="77777777" w:rsidR="0036747E" w:rsidRDefault="0036747E" w:rsidP="002238F9">
      <w:pPr>
        <w:spacing w:line="240" w:lineRule="auto"/>
        <w:ind w:right="-58"/>
        <w:rPr>
          <w:rFonts w:ascii="Arial" w:hAnsi="Arial" w:cs="Arial"/>
          <w:sz w:val="24"/>
          <w:szCs w:val="24"/>
        </w:rPr>
      </w:pPr>
    </w:p>
    <w:p w14:paraId="409A79EC" w14:textId="77777777" w:rsidR="009A1765" w:rsidRPr="00BE3C10" w:rsidRDefault="009A1765" w:rsidP="002238F9">
      <w:pPr>
        <w:spacing w:line="240" w:lineRule="auto"/>
        <w:ind w:right="-58"/>
        <w:rPr>
          <w:rFonts w:ascii="Arial" w:hAnsi="Arial" w:cs="Arial"/>
          <w:sz w:val="24"/>
          <w:szCs w:val="24"/>
        </w:rPr>
      </w:pPr>
      <w:r w:rsidRPr="00BE3C10">
        <w:rPr>
          <w:rFonts w:ascii="Arial" w:hAnsi="Arial" w:cs="Arial"/>
          <w:sz w:val="24"/>
          <w:szCs w:val="24"/>
        </w:rPr>
        <w:t xml:space="preserve">This </w:t>
      </w:r>
      <w:r w:rsidR="009D6DA0">
        <w:rPr>
          <w:rFonts w:ascii="Arial" w:hAnsi="Arial" w:cs="Arial"/>
          <w:sz w:val="24"/>
          <w:szCs w:val="24"/>
        </w:rPr>
        <w:t>s</w:t>
      </w:r>
      <w:r w:rsidR="009D6DA0" w:rsidRPr="009D6DA0">
        <w:rPr>
          <w:rFonts w:ascii="Arial" w:hAnsi="Arial" w:cs="Arial"/>
          <w:sz w:val="24"/>
          <w:szCs w:val="24"/>
        </w:rPr>
        <w:t>pecification</w:t>
      </w:r>
      <w:r w:rsidR="009D6DA0">
        <w:rPr>
          <w:rFonts w:ascii="Arial" w:hAnsi="Arial" w:cs="Arial"/>
          <w:sz w:val="24"/>
          <w:szCs w:val="24"/>
        </w:rPr>
        <w:t xml:space="preserve">, </w:t>
      </w:r>
      <w:r w:rsidRPr="00BE3C10">
        <w:rPr>
          <w:rFonts w:ascii="Arial" w:hAnsi="Arial" w:cs="Arial"/>
          <w:sz w:val="24"/>
          <w:szCs w:val="24"/>
        </w:rPr>
        <w:t xml:space="preserve">which </w:t>
      </w:r>
      <w:r w:rsidR="00590163">
        <w:rPr>
          <w:rFonts w:ascii="Arial" w:hAnsi="Arial" w:cs="Arial"/>
          <w:sz w:val="24"/>
          <w:szCs w:val="24"/>
        </w:rPr>
        <w:t xml:space="preserve">forms part of the Invitation to </w:t>
      </w:r>
      <w:r w:rsidRPr="00BE3C10">
        <w:rPr>
          <w:rFonts w:ascii="Arial" w:hAnsi="Arial" w:cs="Arial"/>
          <w:sz w:val="24"/>
          <w:szCs w:val="24"/>
        </w:rPr>
        <w:t>Tender (ITT)</w:t>
      </w:r>
      <w:r w:rsidR="009D6DA0">
        <w:rPr>
          <w:rFonts w:ascii="Arial" w:hAnsi="Arial" w:cs="Arial"/>
          <w:sz w:val="24"/>
          <w:szCs w:val="24"/>
        </w:rPr>
        <w:t>,</w:t>
      </w:r>
      <w:r w:rsidRPr="00BE3C10">
        <w:rPr>
          <w:rFonts w:ascii="Arial" w:hAnsi="Arial" w:cs="Arial"/>
          <w:sz w:val="24"/>
          <w:szCs w:val="24"/>
        </w:rPr>
        <w:t xml:space="preserve"> comprises of three </w:t>
      </w:r>
      <w:r w:rsidR="009D6DA0" w:rsidRPr="00BE3C10">
        <w:rPr>
          <w:rFonts w:ascii="Arial" w:hAnsi="Arial" w:cs="Arial"/>
          <w:sz w:val="24"/>
          <w:szCs w:val="24"/>
        </w:rPr>
        <w:t>indiv</w:t>
      </w:r>
      <w:r w:rsidR="009D6DA0">
        <w:rPr>
          <w:rFonts w:ascii="Arial" w:hAnsi="Arial" w:cs="Arial"/>
          <w:sz w:val="24"/>
          <w:szCs w:val="24"/>
        </w:rPr>
        <w:t>i</w:t>
      </w:r>
      <w:r w:rsidR="009D6DA0" w:rsidRPr="00BE3C10">
        <w:rPr>
          <w:rFonts w:ascii="Arial" w:hAnsi="Arial" w:cs="Arial"/>
          <w:sz w:val="24"/>
          <w:szCs w:val="24"/>
        </w:rPr>
        <w:t>dual</w:t>
      </w:r>
      <w:r w:rsidRPr="00BE3C10">
        <w:rPr>
          <w:rFonts w:ascii="Arial" w:hAnsi="Arial" w:cs="Arial"/>
          <w:sz w:val="24"/>
          <w:szCs w:val="24"/>
        </w:rPr>
        <w:t xml:space="preserve"> sections: -</w:t>
      </w:r>
    </w:p>
    <w:p w14:paraId="409A79ED" w14:textId="77777777" w:rsidR="009A1765" w:rsidRPr="00BE3C10" w:rsidRDefault="009A1765" w:rsidP="002238F9">
      <w:pPr>
        <w:spacing w:line="240" w:lineRule="auto"/>
        <w:ind w:right="-58"/>
        <w:rPr>
          <w:rFonts w:ascii="Arial" w:hAnsi="Arial" w:cs="Arial"/>
          <w:sz w:val="24"/>
          <w:szCs w:val="24"/>
        </w:rPr>
      </w:pPr>
    </w:p>
    <w:p w14:paraId="409A79EE" w14:textId="77777777" w:rsidR="009A1765" w:rsidRPr="00BE3C10" w:rsidRDefault="009A1765" w:rsidP="002238F9">
      <w:pPr>
        <w:numPr>
          <w:ilvl w:val="0"/>
          <w:numId w:val="20"/>
        </w:numPr>
        <w:spacing w:line="240" w:lineRule="auto"/>
        <w:ind w:right="-58"/>
        <w:rPr>
          <w:rFonts w:ascii="Arial" w:hAnsi="Arial" w:cs="Arial"/>
          <w:b/>
          <w:sz w:val="24"/>
          <w:szCs w:val="24"/>
        </w:rPr>
      </w:pPr>
      <w:r w:rsidRPr="00BE3C10">
        <w:rPr>
          <w:rFonts w:ascii="Arial" w:hAnsi="Arial" w:cs="Arial"/>
          <w:b/>
          <w:sz w:val="24"/>
          <w:szCs w:val="24"/>
        </w:rPr>
        <w:t xml:space="preserve">SPECIFICATION: </w:t>
      </w:r>
      <w:r w:rsidRPr="00BE3C10">
        <w:rPr>
          <w:rFonts w:ascii="Arial" w:hAnsi="Arial" w:cs="Arial"/>
          <w:sz w:val="24"/>
          <w:szCs w:val="24"/>
        </w:rPr>
        <w:t>An outline of the</w:t>
      </w:r>
      <w:r w:rsidR="00704145">
        <w:rPr>
          <w:rFonts w:ascii="Arial" w:hAnsi="Arial" w:cs="Arial"/>
          <w:sz w:val="24"/>
          <w:szCs w:val="24"/>
        </w:rPr>
        <w:t xml:space="preserve"> requirement</w:t>
      </w:r>
    </w:p>
    <w:p w14:paraId="409A79EF" w14:textId="77777777" w:rsidR="009A1765" w:rsidRPr="00BE3C10" w:rsidRDefault="009A1765" w:rsidP="002238F9">
      <w:pPr>
        <w:spacing w:line="240" w:lineRule="auto"/>
        <w:ind w:left="720" w:right="-58"/>
        <w:rPr>
          <w:rFonts w:ascii="Arial" w:hAnsi="Arial" w:cs="Arial"/>
          <w:b/>
          <w:sz w:val="24"/>
          <w:szCs w:val="24"/>
        </w:rPr>
      </w:pPr>
    </w:p>
    <w:p w14:paraId="409A79F0" w14:textId="77777777" w:rsidR="009A1765" w:rsidRPr="00BE3C10" w:rsidRDefault="009A1765" w:rsidP="002238F9">
      <w:pPr>
        <w:numPr>
          <w:ilvl w:val="0"/>
          <w:numId w:val="20"/>
        </w:numPr>
        <w:tabs>
          <w:tab w:val="left" w:pos="709"/>
        </w:tabs>
        <w:spacing w:line="240" w:lineRule="auto"/>
        <w:ind w:right="-58"/>
        <w:rPr>
          <w:rFonts w:ascii="Arial" w:hAnsi="Arial" w:cs="Arial"/>
          <w:sz w:val="24"/>
          <w:szCs w:val="24"/>
        </w:rPr>
      </w:pPr>
      <w:r w:rsidRPr="00BE3C10">
        <w:rPr>
          <w:rFonts w:ascii="Arial" w:hAnsi="Arial" w:cs="Arial"/>
          <w:b/>
          <w:sz w:val="24"/>
          <w:szCs w:val="24"/>
        </w:rPr>
        <w:t xml:space="preserve">PROCUREMENT TIMETABLE: </w:t>
      </w:r>
      <w:r w:rsidRPr="00BE3C10">
        <w:rPr>
          <w:rFonts w:ascii="Arial" w:hAnsi="Arial" w:cs="Arial"/>
          <w:sz w:val="24"/>
          <w:szCs w:val="24"/>
        </w:rPr>
        <w:t xml:space="preserve">An estimated timetable for the procurement of the proposed </w:t>
      </w:r>
      <w:r w:rsidR="006B3F91">
        <w:rPr>
          <w:rFonts w:ascii="Arial" w:hAnsi="Arial" w:cs="Arial"/>
          <w:sz w:val="24"/>
          <w:szCs w:val="24"/>
        </w:rPr>
        <w:t>requirement</w:t>
      </w:r>
    </w:p>
    <w:p w14:paraId="409A79F1" w14:textId="77777777" w:rsidR="009A1765" w:rsidRPr="00BE3C10" w:rsidRDefault="009A1765" w:rsidP="002238F9">
      <w:pPr>
        <w:tabs>
          <w:tab w:val="left" w:pos="709"/>
        </w:tabs>
        <w:spacing w:line="240" w:lineRule="auto"/>
        <w:ind w:right="-58"/>
        <w:rPr>
          <w:rFonts w:ascii="Arial" w:hAnsi="Arial" w:cs="Arial"/>
          <w:sz w:val="24"/>
          <w:szCs w:val="24"/>
        </w:rPr>
      </w:pPr>
    </w:p>
    <w:p w14:paraId="409A79F2" w14:textId="77777777" w:rsidR="009A1765" w:rsidRPr="00BE3C10" w:rsidRDefault="009A1765" w:rsidP="002238F9">
      <w:pPr>
        <w:numPr>
          <w:ilvl w:val="0"/>
          <w:numId w:val="20"/>
        </w:numPr>
        <w:spacing w:line="240" w:lineRule="auto"/>
        <w:ind w:right="-58"/>
        <w:rPr>
          <w:rFonts w:ascii="Arial" w:hAnsi="Arial" w:cs="Arial"/>
          <w:sz w:val="24"/>
          <w:szCs w:val="24"/>
        </w:rPr>
      </w:pPr>
      <w:r w:rsidRPr="00BE3C10">
        <w:rPr>
          <w:rFonts w:ascii="Arial" w:hAnsi="Arial" w:cs="Arial"/>
          <w:b/>
          <w:sz w:val="24"/>
          <w:szCs w:val="24"/>
        </w:rPr>
        <w:t xml:space="preserve">TENDER REQUIREMENTS AND EVALUATION CRITERIA: </w:t>
      </w:r>
      <w:r w:rsidRPr="00BE3C10">
        <w:rPr>
          <w:rFonts w:ascii="Arial" w:hAnsi="Arial" w:cs="Arial"/>
          <w:sz w:val="24"/>
          <w:szCs w:val="24"/>
        </w:rPr>
        <w:t>Provides guidance to applicants on the information that should be included within tenders and on the evaluation criteria and weightings used by appraisers when assessing and scoring tenders</w:t>
      </w:r>
    </w:p>
    <w:p w14:paraId="409A79F3" w14:textId="77777777" w:rsidR="009A1765" w:rsidRPr="00BE3C10" w:rsidRDefault="009A1765" w:rsidP="002238F9">
      <w:pPr>
        <w:pStyle w:val="BodyText"/>
        <w:spacing w:after="0"/>
        <w:jc w:val="both"/>
        <w:rPr>
          <w:rFonts w:cs="Arial"/>
        </w:rPr>
      </w:pPr>
    </w:p>
    <w:p w14:paraId="409A79F4" w14:textId="32CFB2A7" w:rsidR="009A1765" w:rsidRPr="00BE3C10" w:rsidRDefault="009A1765" w:rsidP="002238F9">
      <w:pPr>
        <w:pBdr>
          <w:top w:val="single" w:sz="18" w:space="1" w:color="008000"/>
          <w:left w:val="single" w:sz="18" w:space="4" w:color="008000"/>
          <w:bottom w:val="single" w:sz="18" w:space="1" w:color="008000"/>
          <w:right w:val="single" w:sz="18" w:space="4" w:color="008000"/>
        </w:pBdr>
        <w:spacing w:line="240" w:lineRule="auto"/>
        <w:ind w:left="284"/>
        <w:jc w:val="both"/>
        <w:rPr>
          <w:rFonts w:ascii="Arial" w:hAnsi="Arial" w:cs="Arial"/>
          <w:sz w:val="24"/>
          <w:szCs w:val="24"/>
        </w:rPr>
      </w:pPr>
      <w:r w:rsidRPr="00BE3C10">
        <w:rPr>
          <w:rFonts w:ascii="Arial" w:hAnsi="Arial" w:cs="Arial"/>
          <w:sz w:val="24"/>
          <w:szCs w:val="24"/>
        </w:rPr>
        <w:t xml:space="preserve">Tenders for FSA funded projects must be submitted through the FSA </w:t>
      </w:r>
      <w:r w:rsidR="00984943">
        <w:rPr>
          <w:rFonts w:ascii="Arial" w:hAnsi="Arial" w:cs="Arial"/>
          <w:sz w:val="24"/>
          <w:szCs w:val="24"/>
        </w:rPr>
        <w:t>E-sourcing and contract management</w:t>
      </w:r>
      <w:r w:rsidRPr="00BE3C10">
        <w:rPr>
          <w:rFonts w:ascii="Arial" w:hAnsi="Arial" w:cs="Arial"/>
          <w:sz w:val="24"/>
          <w:szCs w:val="24"/>
        </w:rPr>
        <w:t xml:space="preserve"> system, </w:t>
      </w:r>
      <w:r w:rsidR="00984943">
        <w:rPr>
          <w:rFonts w:ascii="Arial" w:hAnsi="Arial" w:cs="Arial"/>
          <w:sz w:val="24"/>
          <w:szCs w:val="24"/>
        </w:rPr>
        <w:t>ECMS</w:t>
      </w:r>
      <w:r w:rsidRPr="00BE3C10">
        <w:rPr>
          <w:rFonts w:ascii="Arial" w:hAnsi="Arial" w:cs="Arial"/>
          <w:sz w:val="24"/>
          <w:szCs w:val="24"/>
        </w:rPr>
        <w:t xml:space="preserve">, using the following link: </w:t>
      </w:r>
      <w:hyperlink r:id="rId12" w:history="1">
        <w:r w:rsidR="00984943" w:rsidRPr="00621797">
          <w:rPr>
            <w:rStyle w:val="Hyperlink"/>
          </w:rPr>
          <w:t>https://food.bravosolution.co.uk/web/login.html</w:t>
        </w:r>
      </w:hyperlink>
      <w:r w:rsidR="00984943">
        <w:rPr>
          <w:color w:val="0070C0"/>
        </w:rPr>
        <w:t>.</w:t>
      </w:r>
      <w:r w:rsidRPr="00BE3C10">
        <w:rPr>
          <w:rFonts w:ascii="Arial" w:hAnsi="Arial" w:cs="Arial"/>
          <w:sz w:val="24"/>
          <w:szCs w:val="24"/>
        </w:rPr>
        <w:t xml:space="preserve">  </w:t>
      </w:r>
      <w:r w:rsidR="00863228" w:rsidRPr="00BE3C10">
        <w:rPr>
          <w:rFonts w:ascii="Arial" w:hAnsi="Arial" w:cs="Arial"/>
          <w:sz w:val="24"/>
          <w:szCs w:val="24"/>
        </w:rPr>
        <w:t>Failure to do so may result in the tender response not being processed by the system or the response being automatically disqualified during the evaluation stage of the tender process</w:t>
      </w:r>
      <w:r w:rsidR="00863228" w:rsidRPr="00BE3C10">
        <w:rPr>
          <w:rFonts w:ascii="Arial" w:hAnsi="Arial" w:cs="Arial"/>
          <w:i/>
        </w:rPr>
        <w:t>.</w:t>
      </w:r>
    </w:p>
    <w:p w14:paraId="409A79F5" w14:textId="77777777" w:rsidR="009A1765" w:rsidRPr="00BE3C10" w:rsidRDefault="009A1765" w:rsidP="002238F9">
      <w:pPr>
        <w:pStyle w:val="NormalWeb"/>
        <w:spacing w:before="0" w:beforeAutospacing="0" w:after="0" w:afterAutospacing="0"/>
        <w:rPr>
          <w:rFonts w:ascii="Arial" w:hAnsi="Arial" w:cs="Arial"/>
        </w:rPr>
      </w:pPr>
    </w:p>
    <w:p w14:paraId="409A79F6" w14:textId="77777777" w:rsidR="008648B8" w:rsidRDefault="008648B8" w:rsidP="002238F9">
      <w:pPr>
        <w:spacing w:after="120" w:line="240" w:lineRule="auto"/>
        <w:ind w:right="-188"/>
        <w:jc w:val="center"/>
        <w:rPr>
          <w:rFonts w:ascii="Arial" w:hAnsi="Arial" w:cs="Arial"/>
          <w:b/>
          <w:sz w:val="24"/>
          <w:szCs w:val="24"/>
        </w:rPr>
      </w:pPr>
    </w:p>
    <w:p w14:paraId="409A79F7" w14:textId="77777777" w:rsidR="008648B8" w:rsidRPr="008648B8" w:rsidRDefault="008648B8" w:rsidP="008648B8">
      <w:pPr>
        <w:rPr>
          <w:rFonts w:ascii="Arial" w:hAnsi="Arial" w:cs="Arial"/>
          <w:sz w:val="24"/>
          <w:szCs w:val="24"/>
        </w:rPr>
      </w:pPr>
    </w:p>
    <w:p w14:paraId="409A79F8" w14:textId="77777777" w:rsidR="008648B8" w:rsidRPr="008648B8" w:rsidRDefault="008648B8" w:rsidP="008648B8">
      <w:pPr>
        <w:rPr>
          <w:rFonts w:ascii="Arial" w:hAnsi="Arial" w:cs="Arial"/>
          <w:sz w:val="24"/>
          <w:szCs w:val="24"/>
        </w:rPr>
      </w:pPr>
    </w:p>
    <w:p w14:paraId="409A79F9" w14:textId="77777777" w:rsidR="008648B8" w:rsidRDefault="008648B8" w:rsidP="008648B8">
      <w:pPr>
        <w:tabs>
          <w:tab w:val="left" w:pos="2700"/>
        </w:tabs>
        <w:spacing w:after="120" w:line="240" w:lineRule="auto"/>
        <w:ind w:right="-188"/>
        <w:rPr>
          <w:rFonts w:ascii="Arial" w:hAnsi="Arial" w:cs="Arial"/>
          <w:sz w:val="24"/>
          <w:szCs w:val="24"/>
        </w:rPr>
      </w:pPr>
      <w:r>
        <w:rPr>
          <w:rFonts w:ascii="Arial" w:hAnsi="Arial" w:cs="Arial"/>
          <w:sz w:val="24"/>
          <w:szCs w:val="24"/>
        </w:rPr>
        <w:tab/>
      </w:r>
    </w:p>
    <w:p w14:paraId="409A79FA" w14:textId="77777777" w:rsidR="001C2A83" w:rsidRPr="00BE3C10" w:rsidRDefault="009A1765" w:rsidP="002238F9">
      <w:pPr>
        <w:spacing w:after="120" w:line="240" w:lineRule="auto"/>
        <w:ind w:right="-188"/>
        <w:jc w:val="center"/>
        <w:rPr>
          <w:rFonts w:ascii="Arial" w:hAnsi="Arial" w:cs="Arial"/>
          <w:b/>
          <w:sz w:val="24"/>
          <w:szCs w:val="24"/>
        </w:rPr>
      </w:pPr>
      <w:r w:rsidRPr="008648B8">
        <w:rPr>
          <w:rFonts w:ascii="Arial" w:hAnsi="Arial" w:cs="Arial"/>
          <w:sz w:val="24"/>
          <w:szCs w:val="24"/>
        </w:rPr>
        <w:br w:type="page"/>
      </w:r>
      <w:r w:rsidR="001C2A83" w:rsidRPr="00BE3C10">
        <w:rPr>
          <w:rFonts w:ascii="Arial" w:hAnsi="Arial" w:cs="Arial"/>
          <w:b/>
          <w:sz w:val="24"/>
          <w:szCs w:val="24"/>
        </w:rPr>
        <w:lastRenderedPageBreak/>
        <w:t xml:space="preserve">THE </w:t>
      </w:r>
      <w:r w:rsidR="00C25369">
        <w:rPr>
          <w:rFonts w:ascii="Arial" w:hAnsi="Arial" w:cs="Arial"/>
          <w:b/>
          <w:sz w:val="24"/>
          <w:szCs w:val="24"/>
        </w:rPr>
        <w:t>SPECIFICATION</w:t>
      </w:r>
      <w:r w:rsidR="001C2A83" w:rsidRPr="00BE3C10">
        <w:rPr>
          <w:rFonts w:ascii="Arial" w:hAnsi="Arial" w:cs="Arial"/>
          <w:b/>
          <w:sz w:val="24"/>
          <w:szCs w:val="24"/>
        </w:rPr>
        <w:t xml:space="preserve">, </w:t>
      </w:r>
      <w:r w:rsidR="00553417" w:rsidRPr="00BE3C10">
        <w:rPr>
          <w:rFonts w:ascii="Arial" w:hAnsi="Arial" w:cs="Arial"/>
          <w:b/>
          <w:sz w:val="24"/>
          <w:szCs w:val="24"/>
        </w:rPr>
        <w:t xml:space="preserve">INCLUDING </w:t>
      </w:r>
      <w:r w:rsidR="001C2A83" w:rsidRPr="00BE3C10">
        <w:rPr>
          <w:rFonts w:ascii="Arial" w:hAnsi="Arial" w:cs="Arial"/>
          <w:b/>
          <w:sz w:val="24"/>
          <w:szCs w:val="24"/>
        </w:rPr>
        <w:t xml:space="preserve">PROJECT TIMETABLE </w:t>
      </w:r>
    </w:p>
    <w:p w14:paraId="409A79FB" w14:textId="77777777" w:rsidR="001C2A83" w:rsidRPr="00BE3C10" w:rsidRDefault="00B85D5B" w:rsidP="002238F9">
      <w:pPr>
        <w:spacing w:after="120" w:line="240" w:lineRule="auto"/>
        <w:ind w:right="1088"/>
        <w:jc w:val="center"/>
        <w:rPr>
          <w:rFonts w:ascii="Arial" w:hAnsi="Arial" w:cs="Arial"/>
          <w:b/>
          <w:sz w:val="24"/>
          <w:szCs w:val="24"/>
        </w:rPr>
      </w:pPr>
      <w:r w:rsidRPr="00BE3C10">
        <w:rPr>
          <w:rFonts w:ascii="Arial" w:hAnsi="Arial" w:cs="Arial"/>
          <w:b/>
          <w:sz w:val="24"/>
          <w:szCs w:val="24"/>
        </w:rPr>
        <w:t xml:space="preserve">AND </w:t>
      </w:r>
      <w:r w:rsidR="001C2A83" w:rsidRPr="00BE3C10">
        <w:rPr>
          <w:rFonts w:ascii="Arial" w:hAnsi="Arial" w:cs="Arial"/>
          <w:b/>
          <w:sz w:val="24"/>
          <w:szCs w:val="24"/>
        </w:rPr>
        <w:t>EVALUATION</w:t>
      </w:r>
      <w:r w:rsidRPr="00BE3C10">
        <w:rPr>
          <w:rFonts w:ascii="Arial" w:hAnsi="Arial" w:cs="Arial"/>
          <w:b/>
          <w:sz w:val="24"/>
          <w:szCs w:val="24"/>
        </w:rPr>
        <w:t xml:space="preserve"> OF TENDERS</w:t>
      </w:r>
    </w:p>
    <w:p w14:paraId="409A79FC" w14:textId="77777777" w:rsidR="00734117" w:rsidRDefault="00734117" w:rsidP="002238F9">
      <w:pPr>
        <w:spacing w:after="120" w:line="240" w:lineRule="auto"/>
        <w:jc w:val="both"/>
        <w:rPr>
          <w:rFonts w:ascii="Arial" w:hAnsi="Arial" w:cs="Arial"/>
          <w:b/>
          <w:sz w:val="24"/>
          <w:szCs w:val="24"/>
        </w:rPr>
      </w:pPr>
    </w:p>
    <w:p w14:paraId="409A79FD" w14:textId="77777777" w:rsidR="003554B8" w:rsidRPr="00BE3C10" w:rsidRDefault="00FD652E" w:rsidP="002238F9">
      <w:pPr>
        <w:spacing w:after="120" w:line="240" w:lineRule="auto"/>
        <w:jc w:val="both"/>
        <w:rPr>
          <w:rFonts w:ascii="Arial" w:hAnsi="Arial" w:cs="Arial"/>
          <w:b/>
          <w:sz w:val="24"/>
          <w:szCs w:val="24"/>
        </w:rPr>
      </w:pPr>
      <w:r w:rsidRPr="00BE3C10">
        <w:rPr>
          <w:rFonts w:ascii="Arial" w:hAnsi="Arial" w:cs="Arial"/>
          <w:b/>
          <w:sz w:val="24"/>
          <w:szCs w:val="24"/>
        </w:rPr>
        <w:t>GENERAL INTRODUCTION</w:t>
      </w:r>
    </w:p>
    <w:p w14:paraId="409A79FE" w14:textId="2374ECB2" w:rsidR="00C51BE5" w:rsidRDefault="00A1493C" w:rsidP="00E70664">
      <w:pPr>
        <w:spacing w:before="240" w:line="276" w:lineRule="auto"/>
        <w:jc w:val="both"/>
        <w:rPr>
          <w:rFonts w:ascii="Arial" w:hAnsi="Arial" w:cs="Arial"/>
          <w:sz w:val="24"/>
          <w:szCs w:val="24"/>
        </w:rPr>
      </w:pPr>
      <w:r w:rsidRPr="00BE3C10">
        <w:rPr>
          <w:rFonts w:ascii="Arial" w:hAnsi="Arial" w:cs="Arial"/>
          <w:sz w:val="24"/>
          <w:szCs w:val="24"/>
        </w:rPr>
        <w:t>The Food Standards Agency</w:t>
      </w:r>
      <w:r w:rsidR="008356A1">
        <w:rPr>
          <w:rFonts w:ascii="Arial" w:hAnsi="Arial" w:cs="Arial"/>
          <w:sz w:val="24"/>
          <w:szCs w:val="24"/>
        </w:rPr>
        <w:t xml:space="preserve"> (FSA)</w:t>
      </w:r>
      <w:r w:rsidRPr="00BE3C10">
        <w:rPr>
          <w:rFonts w:ascii="Arial" w:hAnsi="Arial" w:cs="Arial"/>
          <w:sz w:val="24"/>
          <w:szCs w:val="24"/>
        </w:rPr>
        <w:t xml:space="preserve"> is a non-ministerial government department governed by a Board appointed to act in the public interest, with the task of protecting consumers in relation to food. It is a UK-wide body with offices in London, Cardiff, Belfast and York</w:t>
      </w:r>
      <w:r w:rsidR="004524EE">
        <w:rPr>
          <w:rFonts w:ascii="Arial" w:hAnsi="Arial" w:cs="Arial"/>
          <w:sz w:val="24"/>
          <w:szCs w:val="24"/>
        </w:rPr>
        <w:t xml:space="preserve">; and Food Standards Scotland (FSS) in </w:t>
      </w:r>
      <w:r w:rsidR="00520686">
        <w:rPr>
          <w:rFonts w:ascii="Arial" w:hAnsi="Arial" w:cs="Arial"/>
          <w:sz w:val="24"/>
          <w:szCs w:val="24"/>
        </w:rPr>
        <w:t>Scotland.</w:t>
      </w:r>
    </w:p>
    <w:p w14:paraId="409A79FF" w14:textId="77777777" w:rsidR="00A1493C" w:rsidRDefault="00A1493C" w:rsidP="00E70664">
      <w:pPr>
        <w:spacing w:line="276" w:lineRule="auto"/>
        <w:jc w:val="both"/>
        <w:rPr>
          <w:rFonts w:ascii="Arial" w:hAnsi="Arial" w:cs="Arial"/>
          <w:sz w:val="24"/>
          <w:szCs w:val="24"/>
        </w:rPr>
      </w:pPr>
      <w:r w:rsidRPr="00BE3C10">
        <w:rPr>
          <w:rFonts w:ascii="Arial" w:hAnsi="Arial" w:cs="Arial"/>
          <w:sz w:val="24"/>
          <w:szCs w:val="24"/>
        </w:rPr>
        <w:t xml:space="preserve"> </w:t>
      </w:r>
    </w:p>
    <w:p w14:paraId="409A7A00" w14:textId="46E0D21C" w:rsidR="00C51BE5" w:rsidRPr="00F42EA9" w:rsidRDefault="00C51BE5" w:rsidP="00E70664">
      <w:pPr>
        <w:spacing w:line="276" w:lineRule="auto"/>
        <w:rPr>
          <w:rFonts w:ascii="Arial" w:hAnsi="Arial" w:cs="Arial"/>
          <w:color w:val="1F497D"/>
          <w:sz w:val="24"/>
          <w:szCs w:val="24"/>
        </w:rPr>
      </w:pPr>
      <w:r w:rsidRPr="00F54E91">
        <w:rPr>
          <w:rFonts w:ascii="Arial" w:hAnsi="Arial"/>
          <w:sz w:val="24"/>
          <w:szCs w:val="24"/>
        </w:rPr>
        <w:t>The Agency is committed to openness</w:t>
      </w:r>
      <w:r w:rsidR="00FB6CBC">
        <w:rPr>
          <w:rFonts w:ascii="Arial" w:hAnsi="Arial"/>
          <w:sz w:val="24"/>
          <w:szCs w:val="24"/>
        </w:rPr>
        <w:t>,</w:t>
      </w:r>
      <w:r w:rsidRPr="00F54E91">
        <w:rPr>
          <w:rFonts w:ascii="Arial" w:hAnsi="Arial"/>
          <w:sz w:val="24"/>
          <w:szCs w:val="24"/>
        </w:rPr>
        <w:t xml:space="preserve"> transparency</w:t>
      </w:r>
      <w:r w:rsidR="00FB6CBC">
        <w:rPr>
          <w:rFonts w:ascii="Arial" w:hAnsi="Arial"/>
          <w:sz w:val="24"/>
          <w:szCs w:val="24"/>
        </w:rPr>
        <w:t xml:space="preserve"> and equality of treatment to all suppliers</w:t>
      </w:r>
      <w:r>
        <w:rPr>
          <w:rFonts w:ascii="Arial" w:hAnsi="Arial"/>
          <w:sz w:val="24"/>
          <w:szCs w:val="24"/>
        </w:rPr>
        <w:t>.</w:t>
      </w:r>
      <w:r w:rsidRPr="00F54E91">
        <w:rPr>
          <w:rFonts w:ascii="Arial" w:hAnsi="Arial"/>
          <w:sz w:val="24"/>
          <w:szCs w:val="24"/>
        </w:rPr>
        <w:t xml:space="preserve"> </w:t>
      </w:r>
      <w:r>
        <w:rPr>
          <w:rFonts w:ascii="Arial" w:hAnsi="Arial" w:cs="Arial"/>
          <w:sz w:val="24"/>
          <w:szCs w:val="24"/>
        </w:rPr>
        <w:t xml:space="preserve">As well as </w:t>
      </w:r>
      <w:r w:rsidRPr="00F54E91">
        <w:rPr>
          <w:rFonts w:ascii="Arial" w:hAnsi="Arial"/>
          <w:sz w:val="24"/>
          <w:szCs w:val="24"/>
        </w:rPr>
        <w:t>the</w:t>
      </w:r>
      <w:r w:rsidR="00FB6CBC">
        <w:rPr>
          <w:rFonts w:ascii="Arial" w:hAnsi="Arial"/>
          <w:sz w:val="24"/>
          <w:szCs w:val="24"/>
        </w:rPr>
        <w:t>se principles, for science projects the</w:t>
      </w:r>
      <w:r w:rsidRPr="00F54E91">
        <w:rPr>
          <w:rFonts w:ascii="Arial" w:hAnsi="Arial"/>
          <w:sz w:val="24"/>
          <w:szCs w:val="24"/>
        </w:rPr>
        <w:t xml:space="preserve"> final project report </w:t>
      </w:r>
      <w:r w:rsidR="00FB6CBC">
        <w:rPr>
          <w:rFonts w:ascii="Arial" w:hAnsi="Arial"/>
          <w:sz w:val="24"/>
          <w:szCs w:val="24"/>
        </w:rPr>
        <w:t>will be</w:t>
      </w:r>
      <w:r w:rsidRPr="00F54E91">
        <w:rPr>
          <w:rFonts w:ascii="Arial" w:hAnsi="Arial"/>
          <w:sz w:val="24"/>
          <w:szCs w:val="24"/>
        </w:rPr>
        <w:t xml:space="preserve"> published on </w:t>
      </w:r>
      <w:r w:rsidR="00F06FB2">
        <w:rPr>
          <w:rFonts w:ascii="Arial" w:hAnsi="Arial"/>
          <w:sz w:val="24"/>
          <w:szCs w:val="24"/>
        </w:rPr>
        <w:t>the Food Standards Agency website (</w:t>
      </w:r>
      <w:hyperlink r:id="rId13" w:history="1">
        <w:r w:rsidR="00F06FB2" w:rsidRPr="00A47E90">
          <w:rPr>
            <w:rStyle w:val="Hyperlink"/>
            <w:rFonts w:ascii="Arial" w:hAnsi="Arial"/>
            <w:sz w:val="24"/>
            <w:szCs w:val="24"/>
          </w:rPr>
          <w:t>www.</w:t>
        </w:r>
        <w:r w:rsidR="00F06FB2" w:rsidRPr="00A47E90">
          <w:rPr>
            <w:rStyle w:val="Hyperlink"/>
            <w:rFonts w:ascii="Arial" w:hAnsi="Arial" w:cs="Arial"/>
            <w:sz w:val="24"/>
            <w:szCs w:val="24"/>
          </w:rPr>
          <w:t>food.gov.uk</w:t>
        </w:r>
      </w:hyperlink>
      <w:r w:rsidR="00F06FB2">
        <w:rPr>
          <w:rFonts w:ascii="Arial" w:hAnsi="Arial" w:cs="Arial"/>
          <w:sz w:val="24"/>
          <w:szCs w:val="24"/>
        </w:rPr>
        <w:t xml:space="preserve"> )</w:t>
      </w:r>
      <w:r w:rsidR="00FB6CBC">
        <w:rPr>
          <w:rFonts w:ascii="Arial" w:hAnsi="Arial"/>
          <w:sz w:val="24"/>
          <w:szCs w:val="24"/>
        </w:rPr>
        <w:t>.</w:t>
      </w:r>
      <w:r>
        <w:rPr>
          <w:rFonts w:ascii="Arial" w:hAnsi="Arial"/>
          <w:sz w:val="24"/>
          <w:szCs w:val="24"/>
        </w:rPr>
        <w:t xml:space="preserve"> </w:t>
      </w:r>
      <w:r w:rsidR="00FB6CBC">
        <w:rPr>
          <w:rFonts w:ascii="Arial" w:hAnsi="Arial"/>
          <w:sz w:val="24"/>
          <w:szCs w:val="24"/>
        </w:rPr>
        <w:t xml:space="preserve">For science projects </w:t>
      </w:r>
      <w:r>
        <w:rPr>
          <w:rFonts w:ascii="Arial" w:hAnsi="Arial"/>
          <w:sz w:val="24"/>
          <w:szCs w:val="24"/>
        </w:rPr>
        <w:t>we</w:t>
      </w:r>
      <w:r w:rsidR="00FB6CBC">
        <w:rPr>
          <w:rFonts w:ascii="Arial" w:hAnsi="Arial"/>
          <w:sz w:val="24"/>
          <w:szCs w:val="24"/>
        </w:rPr>
        <w:t xml:space="preserve"> </w:t>
      </w:r>
      <w:r w:rsidRPr="00F54E91">
        <w:rPr>
          <w:rFonts w:ascii="Arial" w:hAnsi="Arial"/>
          <w:sz w:val="24"/>
          <w:szCs w:val="24"/>
        </w:rPr>
        <w:t>encourage contractors to publish their work in peer reviewed scientific publications</w:t>
      </w:r>
      <w:r>
        <w:rPr>
          <w:rFonts w:ascii="Arial" w:hAnsi="Arial"/>
          <w:sz w:val="24"/>
          <w:szCs w:val="24"/>
        </w:rPr>
        <w:t xml:space="preserve"> wherever possible. Also, i</w:t>
      </w:r>
      <w:r w:rsidRPr="00F54E91">
        <w:rPr>
          <w:rFonts w:ascii="Arial" w:hAnsi="Arial" w:cs="Arial"/>
          <w:sz w:val="24"/>
          <w:szCs w:val="24"/>
        </w:rPr>
        <w:t>n line with</w:t>
      </w:r>
      <w:r w:rsidRPr="00F54E91">
        <w:rPr>
          <w:rFonts w:ascii="Arial" w:hAnsi="Arial" w:cs="Arial"/>
          <w:color w:val="FF0000"/>
          <w:sz w:val="24"/>
          <w:szCs w:val="24"/>
        </w:rPr>
        <w:t xml:space="preserve"> </w:t>
      </w:r>
      <w:r w:rsidRPr="00F54E91">
        <w:rPr>
          <w:rFonts w:ascii="Arial" w:hAnsi="Arial" w:cs="Arial"/>
          <w:sz w:val="24"/>
          <w:szCs w:val="24"/>
        </w:rPr>
        <w:t>the Government’s Transparency Agenda which aims to encourage more open access to data held by government, the Agency is developing a policy on the release of underpinning data from all of its science- and evidence-gat</w:t>
      </w:r>
      <w:r w:rsidR="006B3F91">
        <w:rPr>
          <w:rFonts w:ascii="Arial" w:hAnsi="Arial" w:cs="Arial"/>
          <w:sz w:val="24"/>
          <w:szCs w:val="24"/>
        </w:rPr>
        <w:t>hering</w:t>
      </w:r>
      <w:r w:rsidRPr="00F54E91">
        <w:rPr>
          <w:rFonts w:ascii="Arial" w:hAnsi="Arial" w:cs="Arial"/>
          <w:sz w:val="24"/>
          <w:szCs w:val="24"/>
        </w:rPr>
        <w:t xml:space="preserve"> projects</w:t>
      </w:r>
      <w:r w:rsidRPr="00F54E91">
        <w:rPr>
          <w:rFonts w:ascii="Arial" w:hAnsi="Arial"/>
          <w:sz w:val="24"/>
          <w:szCs w:val="24"/>
        </w:rPr>
        <w:t xml:space="preserve">. </w:t>
      </w:r>
      <w:r w:rsidRPr="00F54E91">
        <w:rPr>
          <w:rFonts w:ascii="Arial" w:hAnsi="Arial" w:cs="Arial"/>
          <w:sz w:val="24"/>
          <w:szCs w:val="24"/>
        </w:rPr>
        <w:t>Underpinning data should also be published in an open, accessible, and re-usable format, such that the data can be made available to future researchers and the maximum benefit is derived from it.</w:t>
      </w:r>
      <w:r>
        <w:rPr>
          <w:rFonts w:ascii="Arial" w:hAnsi="Arial" w:cs="Arial"/>
          <w:sz w:val="24"/>
          <w:szCs w:val="24"/>
        </w:rPr>
        <w:t xml:space="preserve"> The Agency has </w:t>
      </w:r>
      <w:r w:rsidRPr="00F54E91">
        <w:rPr>
          <w:rFonts w:ascii="Arial" w:hAnsi="Arial" w:cs="Arial"/>
          <w:sz w:val="24"/>
          <w:szCs w:val="24"/>
        </w:rPr>
        <w:t>establish</w:t>
      </w:r>
      <w:r>
        <w:rPr>
          <w:rFonts w:ascii="Arial" w:hAnsi="Arial" w:cs="Arial"/>
          <w:sz w:val="24"/>
          <w:szCs w:val="24"/>
        </w:rPr>
        <w:t>ed</w:t>
      </w:r>
      <w:r w:rsidRPr="00F54E91">
        <w:rPr>
          <w:rFonts w:ascii="Arial" w:hAnsi="Arial" w:cs="Arial"/>
          <w:sz w:val="24"/>
          <w:szCs w:val="24"/>
        </w:rPr>
        <w:t xml:space="preserve"> the key principles for release of underpinning data that will be applied to all new science- and evidence-gathering projects</w:t>
      </w:r>
      <w:r w:rsidRPr="007A6B7E">
        <w:rPr>
          <w:rFonts w:ascii="Arial" w:hAnsi="Arial" w:cs="Arial"/>
        </w:rPr>
        <w:t xml:space="preserve"> </w:t>
      </w:r>
      <w:r w:rsidRPr="00F54E91">
        <w:rPr>
          <w:rFonts w:ascii="Arial" w:hAnsi="Arial" w:cs="Arial"/>
          <w:sz w:val="24"/>
          <w:szCs w:val="24"/>
        </w:rPr>
        <w:t>which we would expect contractors</w:t>
      </w:r>
      <w:r>
        <w:rPr>
          <w:rFonts w:ascii="Arial" w:hAnsi="Arial" w:cs="Arial"/>
        </w:rPr>
        <w:t xml:space="preserve"> </w:t>
      </w:r>
      <w:r w:rsidRPr="00F54E91">
        <w:rPr>
          <w:rFonts w:ascii="Arial" w:hAnsi="Arial" w:cs="Arial"/>
          <w:sz w:val="24"/>
          <w:szCs w:val="24"/>
        </w:rPr>
        <w:t xml:space="preserve">to comply with. These can be found at </w:t>
      </w:r>
      <w:hyperlink r:id="rId14" w:history="1">
        <w:r w:rsidRPr="00F42EA9">
          <w:rPr>
            <w:rStyle w:val="Hyperlink"/>
            <w:rFonts w:ascii="Arial" w:hAnsi="Arial" w:cs="Arial"/>
            <w:sz w:val="24"/>
            <w:szCs w:val="24"/>
          </w:rPr>
          <w:t>http://www.food.gov.uk/about-us/data-and-policies/underpinning-data</w:t>
        </w:r>
      </w:hyperlink>
    </w:p>
    <w:p w14:paraId="409A7A01" w14:textId="77777777" w:rsidR="00A1493C" w:rsidRPr="00BE3C10" w:rsidRDefault="00A1493C" w:rsidP="00E70664">
      <w:pPr>
        <w:spacing w:line="276" w:lineRule="auto"/>
        <w:rPr>
          <w:rFonts w:ascii="Arial" w:hAnsi="Arial" w:cs="Arial"/>
          <w:sz w:val="24"/>
          <w:szCs w:val="24"/>
          <w:lang w:val="en-US"/>
        </w:rPr>
      </w:pPr>
    </w:p>
    <w:p w14:paraId="409A7A05" w14:textId="223C9BFB" w:rsidR="007C2CC0" w:rsidRPr="00F64730" w:rsidRDefault="00F64730" w:rsidP="00E70664">
      <w:pPr>
        <w:spacing w:line="276" w:lineRule="auto"/>
        <w:rPr>
          <w:rFonts w:ascii="Arial" w:hAnsi="Arial" w:cs="Arial"/>
          <w:sz w:val="24"/>
          <w:szCs w:val="24"/>
        </w:rPr>
      </w:pPr>
      <w:r w:rsidRPr="00F64730">
        <w:rPr>
          <w:rFonts w:ascii="Arial" w:hAnsi="Arial" w:cs="Arial"/>
          <w:sz w:val="24"/>
          <w:szCs w:val="24"/>
        </w:rPr>
        <w:t>This work is cross-cutting and will support all of the FSA’s strategic outcomes by ensuring that appraisal, evaluation and assessment of food safety policy has the most robust and credible evidence underpinning decision making around those polices. This will help ensure the FSA’s strategic plan outcomes represent value for money and are economically efficient.</w:t>
      </w:r>
      <w:r w:rsidR="00CD593A" w:rsidRPr="00F64730">
        <w:rPr>
          <w:rFonts w:ascii="Arial" w:hAnsi="Arial" w:cs="Arial"/>
          <w:sz w:val="24"/>
          <w:szCs w:val="24"/>
        </w:rPr>
        <w:t xml:space="preserve"> </w:t>
      </w:r>
    </w:p>
    <w:p w14:paraId="080CC0D9" w14:textId="77777777" w:rsidR="00F64730" w:rsidRDefault="00F64730" w:rsidP="00E70664">
      <w:pPr>
        <w:spacing w:after="120" w:line="276" w:lineRule="auto"/>
        <w:rPr>
          <w:rFonts w:ascii="Arial" w:hAnsi="Arial" w:cs="Arial"/>
          <w:b/>
          <w:sz w:val="24"/>
          <w:szCs w:val="24"/>
        </w:rPr>
      </w:pPr>
    </w:p>
    <w:p w14:paraId="409A7A08" w14:textId="5410F82B" w:rsidR="00AD5AFB" w:rsidRDefault="00D00C38" w:rsidP="00E70664">
      <w:pPr>
        <w:spacing w:after="120" w:line="276" w:lineRule="auto"/>
        <w:rPr>
          <w:rFonts w:ascii="Arial" w:hAnsi="Arial" w:cs="Arial"/>
          <w:b/>
          <w:sz w:val="24"/>
          <w:szCs w:val="24"/>
        </w:rPr>
      </w:pPr>
      <w:r w:rsidRPr="00BE3C10">
        <w:rPr>
          <w:rFonts w:ascii="Arial" w:hAnsi="Arial" w:cs="Arial"/>
          <w:b/>
          <w:sz w:val="24"/>
          <w:szCs w:val="24"/>
        </w:rPr>
        <w:t>A. THE SPECIFICATION</w:t>
      </w:r>
      <w:r w:rsidR="00B95826">
        <w:rPr>
          <w:rFonts w:ascii="Arial" w:hAnsi="Arial" w:cs="Arial"/>
          <w:b/>
          <w:sz w:val="24"/>
          <w:szCs w:val="24"/>
        </w:rPr>
        <w:t xml:space="preserve"> </w:t>
      </w:r>
    </w:p>
    <w:p w14:paraId="409A7A09" w14:textId="77777777" w:rsidR="00CC6057" w:rsidRDefault="001D772B" w:rsidP="00E70664">
      <w:pPr>
        <w:spacing w:after="120" w:line="276" w:lineRule="auto"/>
        <w:jc w:val="both"/>
        <w:rPr>
          <w:rFonts w:ascii="Arial" w:hAnsi="Arial" w:cs="Arial"/>
          <w:b/>
          <w:sz w:val="24"/>
          <w:szCs w:val="24"/>
        </w:rPr>
      </w:pPr>
      <w:r>
        <w:rPr>
          <w:rFonts w:ascii="Arial" w:hAnsi="Arial" w:cs="Arial"/>
          <w:b/>
          <w:sz w:val="24"/>
          <w:szCs w:val="24"/>
        </w:rPr>
        <w:t>Background</w:t>
      </w:r>
    </w:p>
    <w:p w14:paraId="48FB1F8D" w14:textId="49D1C7EA" w:rsidR="008356A1" w:rsidRDefault="008356A1" w:rsidP="00327279">
      <w:pPr>
        <w:spacing w:line="276" w:lineRule="auto"/>
        <w:rPr>
          <w:rFonts w:ascii="Arial" w:hAnsi="Arial" w:cs="Arial"/>
          <w:sz w:val="24"/>
          <w:szCs w:val="24"/>
        </w:rPr>
      </w:pPr>
      <w:r>
        <w:rPr>
          <w:rFonts w:ascii="Arial" w:hAnsi="Arial" w:cs="Arial"/>
          <w:sz w:val="24"/>
          <w:szCs w:val="24"/>
        </w:rPr>
        <w:t xml:space="preserve">The FSA </w:t>
      </w:r>
      <w:r w:rsidR="00DD61FD">
        <w:rPr>
          <w:rFonts w:ascii="Arial" w:hAnsi="Arial" w:cs="Arial"/>
          <w:sz w:val="24"/>
          <w:szCs w:val="24"/>
        </w:rPr>
        <w:t>regulates the UK</w:t>
      </w:r>
      <w:r w:rsidR="00D725C0">
        <w:rPr>
          <w:rFonts w:ascii="Arial" w:hAnsi="Arial" w:cs="Arial"/>
          <w:sz w:val="24"/>
          <w:szCs w:val="24"/>
        </w:rPr>
        <w:t xml:space="preserve"> meat industry </w:t>
      </w:r>
      <w:r w:rsidR="007E2031">
        <w:rPr>
          <w:rFonts w:ascii="Arial" w:hAnsi="Arial" w:cs="Arial"/>
          <w:sz w:val="24"/>
          <w:szCs w:val="24"/>
        </w:rPr>
        <w:t>by</w:t>
      </w:r>
      <w:r w:rsidR="003E41C8">
        <w:rPr>
          <w:rFonts w:ascii="Arial" w:hAnsi="Arial" w:cs="Arial"/>
          <w:sz w:val="24"/>
          <w:szCs w:val="24"/>
        </w:rPr>
        <w:t xml:space="preserve"> ensuring compliance with interventions</w:t>
      </w:r>
      <w:r w:rsidR="003E41C8" w:rsidRPr="003E41C8">
        <w:rPr>
          <w:rFonts w:ascii="Arial" w:hAnsi="Arial" w:cs="Arial"/>
          <w:sz w:val="24"/>
          <w:szCs w:val="24"/>
        </w:rPr>
        <w:t xml:space="preserve">, principles and guidance that govern </w:t>
      </w:r>
      <w:r w:rsidR="007E2031">
        <w:rPr>
          <w:rFonts w:ascii="Arial" w:hAnsi="Arial" w:cs="Arial"/>
          <w:sz w:val="24"/>
          <w:szCs w:val="24"/>
        </w:rPr>
        <w:t xml:space="preserve">the </w:t>
      </w:r>
      <w:r w:rsidR="003E41C8" w:rsidRPr="003E41C8">
        <w:rPr>
          <w:rFonts w:ascii="Arial" w:hAnsi="Arial" w:cs="Arial"/>
          <w:sz w:val="24"/>
          <w:szCs w:val="24"/>
        </w:rPr>
        <w:t xml:space="preserve">conduct of </w:t>
      </w:r>
      <w:r w:rsidR="003E41C8">
        <w:rPr>
          <w:rFonts w:ascii="Arial" w:hAnsi="Arial" w:cs="Arial"/>
          <w:sz w:val="24"/>
          <w:szCs w:val="24"/>
        </w:rPr>
        <w:t>approved meat establishments</w:t>
      </w:r>
      <w:r w:rsidR="003E41C8" w:rsidRPr="003E41C8">
        <w:rPr>
          <w:rFonts w:ascii="Arial" w:hAnsi="Arial" w:cs="Arial"/>
          <w:sz w:val="24"/>
          <w:szCs w:val="24"/>
        </w:rPr>
        <w:t xml:space="preserve">. </w:t>
      </w:r>
      <w:r w:rsidR="00DF40C4">
        <w:rPr>
          <w:rFonts w:ascii="Arial" w:hAnsi="Arial" w:cs="Arial"/>
          <w:sz w:val="24"/>
          <w:szCs w:val="24"/>
        </w:rPr>
        <w:t>By e</w:t>
      </w:r>
      <w:r w:rsidR="00DF40C4" w:rsidRPr="00DF40C4">
        <w:rPr>
          <w:rFonts w:ascii="Arial" w:hAnsi="Arial" w:cs="Arial"/>
          <w:sz w:val="24"/>
          <w:szCs w:val="24"/>
        </w:rPr>
        <w:t xml:space="preserve">stablishing and enforcing </w:t>
      </w:r>
      <w:r w:rsidR="00DF40C4">
        <w:rPr>
          <w:rFonts w:ascii="Arial" w:hAnsi="Arial" w:cs="Arial"/>
          <w:sz w:val="24"/>
          <w:szCs w:val="24"/>
        </w:rPr>
        <w:t xml:space="preserve">meat hygiene safety </w:t>
      </w:r>
      <w:r w:rsidR="00DF40C4" w:rsidRPr="00DF40C4">
        <w:rPr>
          <w:rFonts w:ascii="Arial" w:hAnsi="Arial" w:cs="Arial"/>
          <w:sz w:val="24"/>
          <w:szCs w:val="24"/>
        </w:rPr>
        <w:t>standards</w:t>
      </w:r>
      <w:r w:rsidR="00DF40C4">
        <w:rPr>
          <w:rFonts w:ascii="Arial" w:hAnsi="Arial" w:cs="Arial"/>
          <w:sz w:val="24"/>
          <w:szCs w:val="24"/>
        </w:rPr>
        <w:t xml:space="preserve">, the FSA </w:t>
      </w:r>
      <w:r w:rsidR="00DF40C4" w:rsidRPr="00DF40C4">
        <w:rPr>
          <w:rFonts w:ascii="Arial" w:hAnsi="Arial" w:cs="Arial"/>
          <w:sz w:val="24"/>
          <w:szCs w:val="24"/>
        </w:rPr>
        <w:t xml:space="preserve">facilitates UK trade by ensuring </w:t>
      </w:r>
      <w:r w:rsidR="009D673C">
        <w:rPr>
          <w:rFonts w:ascii="Arial" w:hAnsi="Arial" w:cs="Arial"/>
          <w:sz w:val="24"/>
          <w:szCs w:val="24"/>
        </w:rPr>
        <w:t>that</w:t>
      </w:r>
      <w:r w:rsidR="00DF40C4" w:rsidRPr="00DF40C4">
        <w:rPr>
          <w:rFonts w:ascii="Arial" w:hAnsi="Arial" w:cs="Arial"/>
          <w:sz w:val="24"/>
          <w:szCs w:val="24"/>
        </w:rPr>
        <w:t xml:space="preserve"> businesses are aware and compliant with EU regulations and by enabling firms to trade within EU markets</w:t>
      </w:r>
      <w:r w:rsidR="00DF40C4">
        <w:rPr>
          <w:rFonts w:ascii="Arial" w:hAnsi="Arial" w:cs="Arial"/>
          <w:sz w:val="24"/>
          <w:szCs w:val="24"/>
        </w:rPr>
        <w:t xml:space="preserve"> and third countries</w:t>
      </w:r>
      <w:r w:rsidR="00DF40C4" w:rsidRPr="00DF40C4">
        <w:rPr>
          <w:rFonts w:ascii="Arial" w:hAnsi="Arial" w:cs="Arial"/>
          <w:sz w:val="24"/>
          <w:szCs w:val="24"/>
        </w:rPr>
        <w:t>.</w:t>
      </w:r>
      <w:r w:rsidR="004A7350">
        <w:rPr>
          <w:rFonts w:ascii="Arial" w:hAnsi="Arial" w:cs="Arial"/>
          <w:sz w:val="24"/>
          <w:szCs w:val="24"/>
        </w:rPr>
        <w:t xml:space="preserve"> </w:t>
      </w:r>
      <w:r w:rsidR="00D725C0">
        <w:rPr>
          <w:rFonts w:ascii="Arial" w:hAnsi="Arial" w:cs="Arial"/>
          <w:sz w:val="24"/>
          <w:szCs w:val="24"/>
        </w:rPr>
        <w:t xml:space="preserve">The meat industry </w:t>
      </w:r>
      <w:r w:rsidR="00D725C0">
        <w:rPr>
          <w:rFonts w:ascii="Arial" w:hAnsi="Arial" w:cs="Arial"/>
          <w:sz w:val="24"/>
          <w:szCs w:val="24"/>
        </w:rPr>
        <w:lastRenderedPageBreak/>
        <w:t>is currently worth £4.4bn</w:t>
      </w:r>
      <w:r w:rsidR="00D725C0">
        <w:rPr>
          <w:rStyle w:val="FootnoteReference"/>
          <w:rFonts w:ascii="Arial" w:hAnsi="Arial" w:cs="Arial"/>
          <w:sz w:val="24"/>
          <w:szCs w:val="24"/>
        </w:rPr>
        <w:footnoteReference w:id="2"/>
      </w:r>
      <w:r w:rsidR="00D725C0">
        <w:rPr>
          <w:rFonts w:ascii="Arial" w:hAnsi="Arial" w:cs="Arial"/>
          <w:sz w:val="24"/>
          <w:szCs w:val="24"/>
        </w:rPr>
        <w:t xml:space="preserve"> to the UK economy,</w:t>
      </w:r>
      <w:r w:rsidR="00011F01">
        <w:rPr>
          <w:rFonts w:ascii="Arial" w:hAnsi="Arial" w:cs="Arial"/>
          <w:sz w:val="24"/>
          <w:szCs w:val="24"/>
        </w:rPr>
        <w:t xml:space="preserve"> with exports valued at </w:t>
      </w:r>
      <w:r w:rsidR="00DD61FD">
        <w:rPr>
          <w:rFonts w:ascii="Arial" w:hAnsi="Arial" w:cs="Arial"/>
          <w:sz w:val="24"/>
          <w:szCs w:val="24"/>
        </w:rPr>
        <w:t>£1.82bn</w:t>
      </w:r>
      <w:r w:rsidR="00DD61FD">
        <w:rPr>
          <w:rStyle w:val="FootnoteReference"/>
          <w:rFonts w:ascii="Arial" w:hAnsi="Arial" w:cs="Arial"/>
          <w:sz w:val="24"/>
          <w:szCs w:val="24"/>
        </w:rPr>
        <w:footnoteReference w:id="3"/>
      </w:r>
      <w:r w:rsidR="00DD61FD">
        <w:rPr>
          <w:rFonts w:ascii="Arial" w:hAnsi="Arial" w:cs="Arial"/>
          <w:sz w:val="24"/>
          <w:szCs w:val="24"/>
        </w:rPr>
        <w:t xml:space="preserve"> in 2017. </w:t>
      </w:r>
    </w:p>
    <w:p w14:paraId="62D64330" w14:textId="77777777" w:rsidR="008356A1" w:rsidRDefault="008356A1" w:rsidP="00327279">
      <w:pPr>
        <w:spacing w:line="276" w:lineRule="auto"/>
        <w:rPr>
          <w:rFonts w:ascii="Arial" w:hAnsi="Arial" w:cs="Arial"/>
          <w:sz w:val="24"/>
          <w:szCs w:val="24"/>
        </w:rPr>
      </w:pPr>
    </w:p>
    <w:p w14:paraId="1ED0DF60" w14:textId="1B30B24E" w:rsidR="00756ED3" w:rsidRDefault="000D3199" w:rsidP="00756ED3">
      <w:pPr>
        <w:spacing w:line="276" w:lineRule="auto"/>
        <w:rPr>
          <w:rFonts w:ascii="Arial" w:hAnsi="Arial" w:cs="Arial"/>
          <w:sz w:val="24"/>
          <w:szCs w:val="24"/>
        </w:rPr>
      </w:pPr>
      <w:r w:rsidRPr="000D3199">
        <w:rPr>
          <w:rFonts w:ascii="Arial" w:hAnsi="Arial" w:cs="Arial"/>
          <w:sz w:val="24"/>
          <w:szCs w:val="24"/>
        </w:rPr>
        <w:t>EU legislation requires meat official controls</w:t>
      </w:r>
      <w:r w:rsidR="00F53E49">
        <w:rPr>
          <w:rStyle w:val="FootnoteReference"/>
          <w:rFonts w:ascii="Arial" w:hAnsi="Arial" w:cs="Arial"/>
          <w:sz w:val="24"/>
          <w:szCs w:val="24"/>
        </w:rPr>
        <w:footnoteReference w:id="4"/>
      </w:r>
      <w:r w:rsidRPr="000D3199">
        <w:rPr>
          <w:rFonts w:ascii="Arial" w:hAnsi="Arial" w:cs="Arial"/>
          <w:sz w:val="24"/>
          <w:szCs w:val="24"/>
        </w:rPr>
        <w:t xml:space="preserve"> to be delivered in all approved meat establishments; their aim is to protect public health, animal health and animal </w:t>
      </w:r>
      <w:r w:rsidR="008356A1">
        <w:rPr>
          <w:rFonts w:ascii="Arial" w:hAnsi="Arial" w:cs="Arial"/>
          <w:sz w:val="24"/>
          <w:szCs w:val="24"/>
        </w:rPr>
        <w:t xml:space="preserve">welfare. The </w:t>
      </w:r>
      <w:r w:rsidRPr="000D3199">
        <w:rPr>
          <w:rFonts w:ascii="Arial" w:hAnsi="Arial" w:cs="Arial"/>
          <w:sz w:val="24"/>
          <w:szCs w:val="24"/>
        </w:rPr>
        <w:t>FSA</w:t>
      </w:r>
      <w:r>
        <w:rPr>
          <w:rFonts w:ascii="Arial" w:hAnsi="Arial" w:cs="Arial"/>
          <w:sz w:val="24"/>
          <w:szCs w:val="24"/>
        </w:rPr>
        <w:t xml:space="preserve"> and Food Standards Scotland (FSS) are the central competent authorities</w:t>
      </w:r>
      <w:r w:rsidRPr="000D3199">
        <w:rPr>
          <w:rFonts w:ascii="Arial" w:hAnsi="Arial" w:cs="Arial"/>
          <w:sz w:val="24"/>
          <w:szCs w:val="24"/>
        </w:rPr>
        <w:t xml:space="preserve"> in the UK in relation to meat hygiene. </w:t>
      </w:r>
      <w:r w:rsidR="00756ED3">
        <w:rPr>
          <w:rFonts w:ascii="Arial" w:hAnsi="Arial" w:cs="Arial"/>
          <w:sz w:val="24"/>
          <w:szCs w:val="24"/>
        </w:rPr>
        <w:t>Although o</w:t>
      </w:r>
      <w:r w:rsidR="00756ED3" w:rsidRPr="00895F6D">
        <w:rPr>
          <w:rFonts w:ascii="Arial" w:hAnsi="Arial" w:cs="Arial"/>
          <w:sz w:val="24"/>
          <w:szCs w:val="24"/>
        </w:rPr>
        <w:t>fficial controls are n</w:t>
      </w:r>
      <w:r w:rsidR="00756ED3">
        <w:rPr>
          <w:rFonts w:ascii="Arial" w:hAnsi="Arial" w:cs="Arial"/>
          <w:sz w:val="24"/>
          <w:szCs w:val="24"/>
        </w:rPr>
        <w:t>ot unique to the meat industry, the scope of the commission will focus on the UK meat sector as a test case</w:t>
      </w:r>
      <w:r w:rsidR="00F53E49">
        <w:rPr>
          <w:rStyle w:val="FootnoteReference"/>
          <w:rFonts w:ascii="Arial" w:hAnsi="Arial" w:cs="Arial"/>
          <w:sz w:val="24"/>
          <w:szCs w:val="24"/>
        </w:rPr>
        <w:footnoteReference w:id="5"/>
      </w:r>
      <w:r w:rsidR="00756ED3">
        <w:rPr>
          <w:rFonts w:ascii="Arial" w:hAnsi="Arial" w:cs="Arial"/>
          <w:sz w:val="24"/>
          <w:szCs w:val="24"/>
        </w:rPr>
        <w:t xml:space="preserve">. </w:t>
      </w:r>
    </w:p>
    <w:p w14:paraId="3FF38308" w14:textId="34152334" w:rsidR="007E2031" w:rsidRDefault="007E2031" w:rsidP="00327279">
      <w:pPr>
        <w:spacing w:line="276" w:lineRule="auto"/>
        <w:rPr>
          <w:rFonts w:ascii="Arial" w:hAnsi="Arial" w:cs="Arial"/>
          <w:sz w:val="24"/>
          <w:szCs w:val="24"/>
        </w:rPr>
      </w:pPr>
    </w:p>
    <w:p w14:paraId="4F9E3D24" w14:textId="099C9440" w:rsidR="007E2031" w:rsidRPr="00990FA0" w:rsidRDefault="007E2031" w:rsidP="007E2031">
      <w:pPr>
        <w:spacing w:line="276" w:lineRule="auto"/>
        <w:rPr>
          <w:rFonts w:ascii="Arial" w:hAnsi="Arial" w:cs="Arial"/>
          <w:sz w:val="24"/>
          <w:szCs w:val="24"/>
        </w:rPr>
      </w:pPr>
      <w:r>
        <w:rPr>
          <w:rFonts w:ascii="Arial" w:hAnsi="Arial" w:cs="Arial"/>
          <w:sz w:val="24"/>
          <w:szCs w:val="24"/>
        </w:rPr>
        <w:t>Recent n</w:t>
      </w:r>
      <w:r w:rsidRPr="006C6296">
        <w:rPr>
          <w:rFonts w:ascii="Arial" w:hAnsi="Arial" w:cs="Arial"/>
          <w:sz w:val="24"/>
          <w:szCs w:val="24"/>
        </w:rPr>
        <w:t>on-compliance issues ident</w:t>
      </w:r>
      <w:r>
        <w:rPr>
          <w:rFonts w:ascii="Arial" w:hAnsi="Arial" w:cs="Arial"/>
          <w:sz w:val="24"/>
          <w:szCs w:val="24"/>
        </w:rPr>
        <w:t>ified at various cutting plants, has led t</w:t>
      </w:r>
      <w:r w:rsidRPr="006C6296">
        <w:rPr>
          <w:rFonts w:ascii="Arial" w:hAnsi="Arial" w:cs="Arial"/>
          <w:sz w:val="24"/>
          <w:szCs w:val="24"/>
        </w:rPr>
        <w:t>he F</w:t>
      </w:r>
      <w:r>
        <w:rPr>
          <w:rFonts w:ascii="Arial" w:hAnsi="Arial" w:cs="Arial"/>
          <w:sz w:val="24"/>
          <w:szCs w:val="24"/>
        </w:rPr>
        <w:t>SA/ FSS to u</w:t>
      </w:r>
      <w:r w:rsidRPr="006C6296">
        <w:rPr>
          <w:rFonts w:ascii="Arial" w:hAnsi="Arial" w:cs="Arial"/>
          <w:sz w:val="24"/>
          <w:szCs w:val="24"/>
        </w:rPr>
        <w:t>ndertak</w:t>
      </w:r>
      <w:r>
        <w:rPr>
          <w:rFonts w:ascii="Arial" w:hAnsi="Arial" w:cs="Arial"/>
          <w:sz w:val="24"/>
          <w:szCs w:val="24"/>
        </w:rPr>
        <w:t>e</w:t>
      </w:r>
      <w:r w:rsidRPr="006C6296">
        <w:rPr>
          <w:rFonts w:ascii="Arial" w:hAnsi="Arial" w:cs="Arial"/>
          <w:sz w:val="24"/>
          <w:szCs w:val="24"/>
        </w:rPr>
        <w:t xml:space="preserve"> a review of </w:t>
      </w:r>
      <w:r w:rsidR="00C55177">
        <w:rPr>
          <w:rFonts w:ascii="Arial" w:hAnsi="Arial" w:cs="Arial"/>
          <w:sz w:val="24"/>
          <w:szCs w:val="24"/>
        </w:rPr>
        <w:t xml:space="preserve">approved </w:t>
      </w:r>
      <w:r w:rsidRPr="006C6296">
        <w:rPr>
          <w:rFonts w:ascii="Arial" w:hAnsi="Arial" w:cs="Arial"/>
          <w:sz w:val="24"/>
          <w:szCs w:val="24"/>
        </w:rPr>
        <w:t>meat cutting premises and cold stores.</w:t>
      </w:r>
      <w:r>
        <w:rPr>
          <w:rFonts w:ascii="Arial" w:hAnsi="Arial" w:cs="Arial"/>
          <w:sz w:val="24"/>
          <w:szCs w:val="24"/>
        </w:rPr>
        <w:t xml:space="preserve"> Moreover, the FSA/ FSS </w:t>
      </w:r>
      <w:r w:rsidR="009D673C">
        <w:rPr>
          <w:rFonts w:ascii="Arial" w:hAnsi="Arial" w:cs="Arial"/>
          <w:sz w:val="24"/>
          <w:szCs w:val="24"/>
        </w:rPr>
        <w:t>are</w:t>
      </w:r>
      <w:r>
        <w:rPr>
          <w:rFonts w:ascii="Arial" w:hAnsi="Arial" w:cs="Arial"/>
          <w:sz w:val="24"/>
          <w:szCs w:val="24"/>
        </w:rPr>
        <w:t xml:space="preserve"> keen to broaden its scope and gain a better understanding of </w:t>
      </w:r>
      <w:r w:rsidRPr="006851FB">
        <w:rPr>
          <w:rFonts w:ascii="Arial" w:hAnsi="Arial" w:cs="Arial"/>
          <w:sz w:val="24"/>
          <w:szCs w:val="24"/>
        </w:rPr>
        <w:t xml:space="preserve">what influences and drives </w:t>
      </w:r>
      <w:r w:rsidR="00C55177">
        <w:rPr>
          <w:rFonts w:ascii="Arial" w:hAnsi="Arial" w:cs="Arial"/>
          <w:sz w:val="24"/>
          <w:szCs w:val="24"/>
        </w:rPr>
        <w:t xml:space="preserve">the </w:t>
      </w:r>
      <w:r>
        <w:rPr>
          <w:rFonts w:ascii="Arial" w:hAnsi="Arial" w:cs="Arial"/>
          <w:sz w:val="24"/>
          <w:szCs w:val="24"/>
        </w:rPr>
        <w:t xml:space="preserve">level of </w:t>
      </w:r>
      <w:r w:rsidRPr="006851FB">
        <w:rPr>
          <w:rFonts w:ascii="Arial" w:hAnsi="Arial" w:cs="Arial"/>
          <w:sz w:val="24"/>
          <w:szCs w:val="24"/>
        </w:rPr>
        <w:t>compliance in the UK meat industry</w:t>
      </w:r>
      <w:r w:rsidR="000723A9">
        <w:rPr>
          <w:rFonts w:ascii="Arial" w:hAnsi="Arial" w:cs="Arial"/>
          <w:sz w:val="24"/>
          <w:szCs w:val="24"/>
        </w:rPr>
        <w:t>.</w:t>
      </w:r>
      <w:r w:rsidRPr="006851FB">
        <w:rPr>
          <w:rFonts w:ascii="Arial" w:hAnsi="Arial" w:cs="Arial"/>
          <w:sz w:val="24"/>
          <w:szCs w:val="24"/>
        </w:rPr>
        <w:t xml:space="preserve"> </w:t>
      </w:r>
    </w:p>
    <w:p w14:paraId="049C67FF" w14:textId="77777777" w:rsidR="007E2031" w:rsidRDefault="007E2031" w:rsidP="007E2031">
      <w:pPr>
        <w:spacing w:line="276" w:lineRule="auto"/>
        <w:rPr>
          <w:rFonts w:ascii="Arial" w:hAnsi="Arial" w:cs="Arial"/>
          <w:sz w:val="24"/>
          <w:szCs w:val="24"/>
        </w:rPr>
      </w:pPr>
    </w:p>
    <w:p w14:paraId="59A7FBCE" w14:textId="3BC1D3D4" w:rsidR="00756ED3" w:rsidRDefault="00F53E49" w:rsidP="003F0249">
      <w:pPr>
        <w:spacing w:line="276" w:lineRule="auto"/>
        <w:rPr>
          <w:rFonts w:ascii="Arial" w:hAnsi="Arial" w:cs="Arial"/>
          <w:sz w:val="24"/>
          <w:szCs w:val="24"/>
        </w:rPr>
      </w:pPr>
      <w:r>
        <w:rPr>
          <w:rFonts w:ascii="Arial" w:hAnsi="Arial" w:cs="Arial"/>
          <w:sz w:val="24"/>
          <w:szCs w:val="24"/>
        </w:rPr>
        <w:t xml:space="preserve">The FSA is seeking to commission a study </w:t>
      </w:r>
      <w:r w:rsidR="00F4498A">
        <w:rPr>
          <w:rFonts w:ascii="Arial" w:hAnsi="Arial" w:cs="Arial"/>
          <w:sz w:val="24"/>
          <w:szCs w:val="24"/>
        </w:rPr>
        <w:t xml:space="preserve">to examine the </w:t>
      </w:r>
      <w:r w:rsidR="000723A9">
        <w:rPr>
          <w:rFonts w:ascii="Arial" w:hAnsi="Arial" w:cs="Arial"/>
          <w:sz w:val="24"/>
          <w:szCs w:val="24"/>
        </w:rPr>
        <w:t xml:space="preserve">socio-economics of the UK meat industry by exploring a range </w:t>
      </w:r>
      <w:r w:rsidR="009D673C">
        <w:rPr>
          <w:rFonts w:ascii="Arial" w:hAnsi="Arial" w:cs="Arial"/>
          <w:sz w:val="24"/>
          <w:szCs w:val="24"/>
        </w:rPr>
        <w:t xml:space="preserve">of </w:t>
      </w:r>
      <w:r w:rsidR="000723A9">
        <w:rPr>
          <w:rFonts w:ascii="Arial" w:hAnsi="Arial" w:cs="Arial"/>
          <w:sz w:val="24"/>
          <w:szCs w:val="24"/>
        </w:rPr>
        <w:t xml:space="preserve">factors including economic incentives, governance, social, cultural and behavioural issues that affect compliance and food safety. The scope of </w:t>
      </w:r>
      <w:r w:rsidR="00C55177">
        <w:rPr>
          <w:rFonts w:ascii="Arial" w:hAnsi="Arial" w:cs="Arial"/>
          <w:sz w:val="24"/>
          <w:szCs w:val="24"/>
        </w:rPr>
        <w:t>the</w:t>
      </w:r>
      <w:r w:rsidR="000723A9">
        <w:rPr>
          <w:rFonts w:ascii="Arial" w:hAnsi="Arial" w:cs="Arial"/>
          <w:sz w:val="24"/>
          <w:szCs w:val="24"/>
        </w:rPr>
        <w:t xml:space="preserve"> study would look to encompass the whole of the UK meat supply chain from ‘Farm to Fork’.</w:t>
      </w:r>
    </w:p>
    <w:p w14:paraId="53DA7F27" w14:textId="3BE97CC3" w:rsidR="009206A4" w:rsidRDefault="009206A4" w:rsidP="00F27404">
      <w:pPr>
        <w:spacing w:line="276" w:lineRule="auto"/>
        <w:rPr>
          <w:rFonts w:ascii="Arial" w:hAnsi="Arial" w:cs="Arial"/>
          <w:sz w:val="24"/>
          <w:szCs w:val="24"/>
        </w:rPr>
      </w:pPr>
    </w:p>
    <w:p w14:paraId="011DA2D0" w14:textId="06875984" w:rsidR="00F64730" w:rsidRDefault="00F64730" w:rsidP="00E70664">
      <w:pPr>
        <w:spacing w:line="276" w:lineRule="auto"/>
        <w:rPr>
          <w:rFonts w:ascii="Arial" w:hAnsi="Arial" w:cs="Arial"/>
          <w:sz w:val="24"/>
          <w:szCs w:val="24"/>
          <w:u w:val="single"/>
        </w:rPr>
      </w:pPr>
      <w:r w:rsidRPr="00F64730">
        <w:rPr>
          <w:rFonts w:ascii="Arial" w:hAnsi="Arial" w:cs="Arial"/>
          <w:sz w:val="24"/>
          <w:szCs w:val="24"/>
          <w:u w:val="single"/>
        </w:rPr>
        <w:t>Strategic need</w:t>
      </w:r>
    </w:p>
    <w:p w14:paraId="1181DD9F" w14:textId="77777777" w:rsidR="000D3199" w:rsidRPr="00F64730" w:rsidRDefault="000D3199" w:rsidP="00E70664">
      <w:pPr>
        <w:spacing w:line="276" w:lineRule="auto"/>
        <w:rPr>
          <w:rFonts w:ascii="Arial" w:hAnsi="Arial" w:cs="Arial"/>
          <w:sz w:val="24"/>
          <w:szCs w:val="24"/>
          <w:u w:val="single"/>
        </w:rPr>
      </w:pPr>
    </w:p>
    <w:p w14:paraId="2D92BE10" w14:textId="3A42B9E6" w:rsidR="000D3199" w:rsidRDefault="00746974" w:rsidP="000D3199">
      <w:pPr>
        <w:spacing w:line="276" w:lineRule="auto"/>
        <w:rPr>
          <w:rFonts w:ascii="Arial" w:hAnsi="Arial" w:cs="Arial"/>
          <w:sz w:val="24"/>
          <w:szCs w:val="24"/>
        </w:rPr>
      </w:pPr>
      <w:r w:rsidRPr="00746974">
        <w:rPr>
          <w:rFonts w:ascii="Arial" w:hAnsi="Arial" w:cs="Arial"/>
          <w:sz w:val="24"/>
          <w:szCs w:val="24"/>
        </w:rPr>
        <w:t>Businesses are responsible for producing food that is safe and is what it says it is.</w:t>
      </w:r>
      <w:r>
        <w:rPr>
          <w:rFonts w:ascii="Arial" w:hAnsi="Arial" w:cs="Arial"/>
          <w:sz w:val="24"/>
          <w:szCs w:val="24"/>
        </w:rPr>
        <w:t xml:space="preserve"> </w:t>
      </w:r>
      <w:r w:rsidR="000D3199" w:rsidRPr="00327279">
        <w:rPr>
          <w:rFonts w:ascii="Arial" w:hAnsi="Arial" w:cs="Arial"/>
          <w:sz w:val="24"/>
          <w:szCs w:val="24"/>
        </w:rPr>
        <w:t>This project is designed to draw on economic and behavioural insights to examine the underlying incentives that drive levels of compliance in the UK meat industry for the purposes of identifying ways in which there is closer alignment of food safety culture with that of the FSA, under the Regulating our Future (ROF) programme</w:t>
      </w:r>
      <w:r w:rsidR="002D374F">
        <w:rPr>
          <w:rStyle w:val="FootnoteReference"/>
          <w:rFonts w:ascii="Arial" w:hAnsi="Arial" w:cs="Arial"/>
          <w:sz w:val="24"/>
          <w:szCs w:val="24"/>
        </w:rPr>
        <w:footnoteReference w:id="6"/>
      </w:r>
      <w:r w:rsidR="000D3199" w:rsidRPr="00327279">
        <w:rPr>
          <w:rFonts w:ascii="Arial" w:hAnsi="Arial" w:cs="Arial"/>
          <w:sz w:val="24"/>
          <w:szCs w:val="24"/>
        </w:rPr>
        <w:t>.</w:t>
      </w:r>
      <w:r>
        <w:rPr>
          <w:rFonts w:ascii="Arial" w:hAnsi="Arial" w:cs="Arial"/>
          <w:sz w:val="24"/>
          <w:szCs w:val="24"/>
        </w:rPr>
        <w:t xml:space="preserve"> As the FSA looks to </w:t>
      </w:r>
      <w:r w:rsidRPr="00746974">
        <w:rPr>
          <w:rFonts w:ascii="Arial" w:hAnsi="Arial" w:cs="Arial"/>
          <w:sz w:val="24"/>
          <w:szCs w:val="24"/>
        </w:rPr>
        <w:t>modernis</w:t>
      </w:r>
      <w:r>
        <w:rPr>
          <w:rFonts w:ascii="Arial" w:hAnsi="Arial" w:cs="Arial"/>
          <w:sz w:val="24"/>
          <w:szCs w:val="24"/>
        </w:rPr>
        <w:t>e</w:t>
      </w:r>
      <w:r w:rsidRPr="00746974">
        <w:rPr>
          <w:rFonts w:ascii="Arial" w:hAnsi="Arial" w:cs="Arial"/>
          <w:sz w:val="24"/>
          <w:szCs w:val="24"/>
        </w:rPr>
        <w:t xml:space="preserve"> the way food businesses are regulated</w:t>
      </w:r>
      <w:r w:rsidR="009D673C">
        <w:rPr>
          <w:rFonts w:ascii="Arial" w:hAnsi="Arial" w:cs="Arial"/>
          <w:sz w:val="24"/>
          <w:szCs w:val="24"/>
        </w:rPr>
        <w:t xml:space="preserve">, </w:t>
      </w:r>
      <w:r w:rsidR="00E1655E">
        <w:rPr>
          <w:rFonts w:ascii="Arial" w:hAnsi="Arial" w:cs="Arial"/>
          <w:sz w:val="24"/>
          <w:szCs w:val="24"/>
        </w:rPr>
        <w:t xml:space="preserve">the FSA needs to </w:t>
      </w:r>
      <w:r w:rsidR="003005A8">
        <w:rPr>
          <w:rFonts w:ascii="Arial" w:hAnsi="Arial" w:cs="Arial"/>
          <w:sz w:val="24"/>
          <w:szCs w:val="24"/>
        </w:rPr>
        <w:t xml:space="preserve">better </w:t>
      </w:r>
      <w:r w:rsidR="00E1655E">
        <w:rPr>
          <w:rFonts w:ascii="Arial" w:hAnsi="Arial" w:cs="Arial"/>
          <w:sz w:val="24"/>
          <w:szCs w:val="24"/>
        </w:rPr>
        <w:t xml:space="preserve">understand the sectors it regulates if it is to develop </w:t>
      </w:r>
      <w:r w:rsidRPr="00746974">
        <w:rPr>
          <w:rFonts w:ascii="Arial" w:hAnsi="Arial" w:cs="Arial"/>
          <w:sz w:val="24"/>
          <w:szCs w:val="24"/>
        </w:rPr>
        <w:t>a system that is modern, risk-based, proportionate, robust and resilient.</w:t>
      </w:r>
    </w:p>
    <w:p w14:paraId="3A49A68F" w14:textId="038325E8" w:rsidR="009B591D" w:rsidRDefault="009B591D" w:rsidP="000D3199">
      <w:pPr>
        <w:spacing w:line="276" w:lineRule="auto"/>
        <w:rPr>
          <w:rFonts w:ascii="Arial" w:hAnsi="Arial" w:cs="Arial"/>
          <w:sz w:val="24"/>
          <w:szCs w:val="24"/>
        </w:rPr>
      </w:pPr>
    </w:p>
    <w:p w14:paraId="5951E9F4" w14:textId="0B00B48B" w:rsidR="009B591D" w:rsidRPr="00327279" w:rsidRDefault="009B591D" w:rsidP="000D3199">
      <w:pPr>
        <w:spacing w:line="276" w:lineRule="auto"/>
        <w:rPr>
          <w:rFonts w:ascii="Arial" w:hAnsi="Arial" w:cs="Arial"/>
          <w:sz w:val="24"/>
          <w:szCs w:val="24"/>
        </w:rPr>
      </w:pPr>
    </w:p>
    <w:p w14:paraId="3676FFDE" w14:textId="02FE8D3A" w:rsidR="00F64730" w:rsidRPr="00F64730" w:rsidRDefault="00F64730" w:rsidP="00E70664">
      <w:pPr>
        <w:spacing w:line="276" w:lineRule="auto"/>
        <w:rPr>
          <w:rFonts w:ascii="Arial" w:hAnsi="Arial" w:cs="Arial"/>
          <w:sz w:val="24"/>
          <w:szCs w:val="24"/>
          <w:u w:val="single"/>
        </w:rPr>
      </w:pPr>
    </w:p>
    <w:p w14:paraId="0E42C1CA" w14:textId="180EA676" w:rsidR="00F64730" w:rsidRPr="003978EC" w:rsidRDefault="00F64730" w:rsidP="00E70664">
      <w:pPr>
        <w:spacing w:line="276" w:lineRule="auto"/>
        <w:rPr>
          <w:rFonts w:ascii="Arial" w:hAnsi="Arial" w:cs="Arial"/>
          <w:sz w:val="24"/>
          <w:szCs w:val="24"/>
          <w:u w:val="single"/>
        </w:rPr>
      </w:pPr>
      <w:r w:rsidRPr="003978EC">
        <w:rPr>
          <w:rFonts w:ascii="Arial" w:hAnsi="Arial" w:cs="Arial"/>
          <w:sz w:val="24"/>
          <w:szCs w:val="24"/>
          <w:u w:val="single"/>
        </w:rPr>
        <w:t>Research aims</w:t>
      </w:r>
    </w:p>
    <w:p w14:paraId="0514B777" w14:textId="553B2787" w:rsidR="00F85C90" w:rsidRDefault="00F85C90" w:rsidP="00E70664">
      <w:pPr>
        <w:spacing w:line="276" w:lineRule="auto"/>
        <w:rPr>
          <w:rFonts w:ascii="Arial" w:hAnsi="Arial" w:cs="Arial"/>
          <w:sz w:val="24"/>
          <w:szCs w:val="24"/>
          <w:u w:val="single"/>
        </w:rPr>
      </w:pPr>
    </w:p>
    <w:p w14:paraId="1B773678" w14:textId="426BCE8C" w:rsidR="00F85C90" w:rsidRDefault="00F85C90" w:rsidP="00F85C90">
      <w:pPr>
        <w:spacing w:line="276" w:lineRule="auto"/>
        <w:rPr>
          <w:rFonts w:ascii="Arial" w:hAnsi="Arial" w:cs="Arial"/>
          <w:sz w:val="24"/>
          <w:szCs w:val="24"/>
        </w:rPr>
      </w:pPr>
      <w:r w:rsidRPr="00327279">
        <w:rPr>
          <w:rFonts w:ascii="Arial" w:hAnsi="Arial" w:cs="Arial"/>
          <w:sz w:val="24"/>
          <w:szCs w:val="24"/>
        </w:rPr>
        <w:t>The aim</w:t>
      </w:r>
      <w:r w:rsidR="00A77898">
        <w:rPr>
          <w:rFonts w:ascii="Arial" w:hAnsi="Arial" w:cs="Arial"/>
          <w:sz w:val="24"/>
          <w:szCs w:val="24"/>
        </w:rPr>
        <w:t xml:space="preserve"> of this study</w:t>
      </w:r>
      <w:r w:rsidRPr="00327279">
        <w:rPr>
          <w:rFonts w:ascii="Arial" w:hAnsi="Arial" w:cs="Arial"/>
          <w:sz w:val="24"/>
          <w:szCs w:val="24"/>
        </w:rPr>
        <w:t xml:space="preserve"> </w:t>
      </w:r>
      <w:r w:rsidR="009206A4">
        <w:rPr>
          <w:rFonts w:ascii="Arial" w:hAnsi="Arial" w:cs="Arial"/>
          <w:sz w:val="24"/>
          <w:szCs w:val="24"/>
        </w:rPr>
        <w:t>is to develop complements from economics and b</w:t>
      </w:r>
      <w:r w:rsidRPr="00327279">
        <w:rPr>
          <w:rFonts w:ascii="Arial" w:hAnsi="Arial" w:cs="Arial"/>
          <w:sz w:val="24"/>
          <w:szCs w:val="24"/>
        </w:rPr>
        <w:t>ehavioural</w:t>
      </w:r>
      <w:r w:rsidR="003978EC">
        <w:rPr>
          <w:rFonts w:ascii="Arial" w:hAnsi="Arial" w:cs="Arial"/>
          <w:sz w:val="24"/>
          <w:szCs w:val="24"/>
        </w:rPr>
        <w:t xml:space="preserve"> economics as a way of identifying underlying drivers influencing compliance levels and </w:t>
      </w:r>
      <w:r w:rsidR="009206A4">
        <w:rPr>
          <w:rFonts w:ascii="Arial" w:hAnsi="Arial" w:cs="Arial"/>
          <w:sz w:val="24"/>
          <w:szCs w:val="24"/>
        </w:rPr>
        <w:t>f</w:t>
      </w:r>
      <w:r w:rsidRPr="00327279">
        <w:rPr>
          <w:rFonts w:ascii="Arial" w:hAnsi="Arial" w:cs="Arial"/>
          <w:sz w:val="24"/>
          <w:szCs w:val="24"/>
        </w:rPr>
        <w:t xml:space="preserve">ood safety culture in </w:t>
      </w:r>
      <w:r w:rsidR="009206A4">
        <w:rPr>
          <w:rFonts w:ascii="Arial" w:hAnsi="Arial" w:cs="Arial"/>
          <w:sz w:val="24"/>
          <w:szCs w:val="24"/>
        </w:rPr>
        <w:t>food business operators (</w:t>
      </w:r>
      <w:r w:rsidRPr="00327279">
        <w:rPr>
          <w:rFonts w:ascii="Arial" w:hAnsi="Arial" w:cs="Arial"/>
          <w:sz w:val="24"/>
          <w:szCs w:val="24"/>
        </w:rPr>
        <w:t>FBOs</w:t>
      </w:r>
      <w:r w:rsidR="009206A4">
        <w:rPr>
          <w:rFonts w:ascii="Arial" w:hAnsi="Arial" w:cs="Arial"/>
          <w:sz w:val="24"/>
          <w:szCs w:val="24"/>
        </w:rPr>
        <w:t>)</w:t>
      </w:r>
      <w:r w:rsidR="00C52350">
        <w:rPr>
          <w:rFonts w:ascii="Arial" w:hAnsi="Arial" w:cs="Arial"/>
          <w:sz w:val="24"/>
          <w:szCs w:val="24"/>
        </w:rPr>
        <w:t xml:space="preserve">, using the </w:t>
      </w:r>
      <w:r w:rsidR="003978EC">
        <w:rPr>
          <w:rFonts w:ascii="Arial" w:hAnsi="Arial" w:cs="Arial"/>
          <w:sz w:val="24"/>
          <w:szCs w:val="24"/>
        </w:rPr>
        <w:t xml:space="preserve">UK </w:t>
      </w:r>
      <w:r w:rsidR="00C52350">
        <w:rPr>
          <w:rFonts w:ascii="Arial" w:hAnsi="Arial" w:cs="Arial"/>
          <w:sz w:val="24"/>
          <w:szCs w:val="24"/>
        </w:rPr>
        <w:t>meat i</w:t>
      </w:r>
      <w:r w:rsidRPr="00327279">
        <w:rPr>
          <w:rFonts w:ascii="Arial" w:hAnsi="Arial" w:cs="Arial"/>
          <w:sz w:val="24"/>
          <w:szCs w:val="24"/>
        </w:rPr>
        <w:t>ndustry as a test case.</w:t>
      </w:r>
    </w:p>
    <w:p w14:paraId="4D7152D8" w14:textId="77777777" w:rsidR="00776E2A" w:rsidRPr="00F64730" w:rsidRDefault="00776E2A" w:rsidP="00F85C90">
      <w:pPr>
        <w:spacing w:line="276" w:lineRule="auto"/>
        <w:rPr>
          <w:rFonts w:ascii="Arial" w:hAnsi="Arial" w:cs="Arial"/>
          <w:sz w:val="24"/>
          <w:szCs w:val="24"/>
        </w:rPr>
      </w:pPr>
    </w:p>
    <w:p w14:paraId="59684CEB" w14:textId="04C88941" w:rsidR="00F85C90" w:rsidRDefault="00776E2A" w:rsidP="003978EC">
      <w:pPr>
        <w:spacing w:after="120" w:line="276" w:lineRule="auto"/>
        <w:rPr>
          <w:rFonts w:ascii="Arial" w:hAnsi="Arial" w:cs="Arial"/>
          <w:sz w:val="24"/>
          <w:szCs w:val="24"/>
        </w:rPr>
      </w:pPr>
      <w:r w:rsidRPr="00776E2A">
        <w:rPr>
          <w:rFonts w:ascii="Arial" w:hAnsi="Arial" w:cs="Arial"/>
          <w:sz w:val="24"/>
          <w:szCs w:val="24"/>
        </w:rPr>
        <w:t>The overarc</w:t>
      </w:r>
      <w:r w:rsidR="00546A8E">
        <w:rPr>
          <w:rFonts w:ascii="Arial" w:hAnsi="Arial" w:cs="Arial"/>
          <w:sz w:val="24"/>
          <w:szCs w:val="24"/>
        </w:rPr>
        <w:t>hing aims of the research are</w:t>
      </w:r>
      <w:r w:rsidRPr="00776E2A">
        <w:rPr>
          <w:rFonts w:ascii="Arial" w:hAnsi="Arial" w:cs="Arial"/>
          <w:sz w:val="24"/>
          <w:szCs w:val="24"/>
        </w:rPr>
        <w:t>:</w:t>
      </w:r>
    </w:p>
    <w:p w14:paraId="4DE486CB" w14:textId="24A6C31E" w:rsidR="00215EA9" w:rsidRPr="00C56E34" w:rsidRDefault="00215EA9" w:rsidP="00974306">
      <w:pPr>
        <w:pStyle w:val="ListParagraph"/>
        <w:numPr>
          <w:ilvl w:val="0"/>
          <w:numId w:val="38"/>
        </w:numPr>
        <w:spacing w:after="120" w:line="276" w:lineRule="auto"/>
        <w:rPr>
          <w:rFonts w:ascii="Arial" w:hAnsi="Arial" w:cs="Arial"/>
          <w:sz w:val="24"/>
          <w:szCs w:val="24"/>
        </w:rPr>
      </w:pPr>
      <w:r w:rsidRPr="00C56E34">
        <w:rPr>
          <w:rFonts w:ascii="Arial" w:hAnsi="Arial" w:cs="Arial"/>
          <w:sz w:val="24"/>
          <w:szCs w:val="24"/>
        </w:rPr>
        <w:t xml:space="preserve">To understand the complexities and dynamics of the UK meat industry in terms </w:t>
      </w:r>
      <w:r>
        <w:rPr>
          <w:rFonts w:ascii="Arial" w:hAnsi="Arial" w:cs="Arial"/>
          <w:sz w:val="24"/>
          <w:szCs w:val="24"/>
        </w:rPr>
        <w:t xml:space="preserve">of </w:t>
      </w:r>
      <w:r w:rsidRPr="00C56E34">
        <w:rPr>
          <w:rFonts w:ascii="Arial" w:hAnsi="Arial" w:cs="Arial"/>
          <w:sz w:val="24"/>
          <w:szCs w:val="24"/>
        </w:rPr>
        <w:t>incentives,</w:t>
      </w:r>
      <w:r w:rsidR="0025047A">
        <w:rPr>
          <w:rFonts w:ascii="Arial" w:hAnsi="Arial" w:cs="Arial"/>
          <w:sz w:val="24"/>
          <w:szCs w:val="24"/>
        </w:rPr>
        <w:t xml:space="preserve"> drivers, </w:t>
      </w:r>
      <w:r w:rsidRPr="00C56E34">
        <w:rPr>
          <w:rFonts w:ascii="Arial" w:hAnsi="Arial" w:cs="Arial"/>
          <w:sz w:val="24"/>
          <w:szCs w:val="24"/>
        </w:rPr>
        <w:t>governance, controls, culture and behavioural issues.</w:t>
      </w:r>
    </w:p>
    <w:p w14:paraId="0D020690" w14:textId="78D58F1E" w:rsidR="00974306" w:rsidRDefault="00A176DA" w:rsidP="00453B59">
      <w:pPr>
        <w:pStyle w:val="ListParagraph"/>
        <w:numPr>
          <w:ilvl w:val="0"/>
          <w:numId w:val="38"/>
        </w:numPr>
        <w:spacing w:after="120" w:line="276" w:lineRule="auto"/>
        <w:rPr>
          <w:rFonts w:ascii="Arial" w:hAnsi="Arial" w:cs="Arial"/>
          <w:sz w:val="24"/>
          <w:szCs w:val="24"/>
        </w:rPr>
      </w:pPr>
      <w:r w:rsidRPr="00A176DA">
        <w:rPr>
          <w:rFonts w:ascii="Arial" w:hAnsi="Arial" w:cs="Arial"/>
          <w:sz w:val="24"/>
          <w:szCs w:val="24"/>
        </w:rPr>
        <w:t>O</w:t>
      </w:r>
      <w:r w:rsidR="00974306" w:rsidRPr="00A176DA">
        <w:rPr>
          <w:rFonts w:ascii="Arial" w:hAnsi="Arial" w:cs="Arial"/>
          <w:sz w:val="24"/>
          <w:szCs w:val="24"/>
        </w:rPr>
        <w:t>utlin</w:t>
      </w:r>
      <w:r w:rsidRPr="00A176DA">
        <w:rPr>
          <w:rFonts w:ascii="Arial" w:hAnsi="Arial" w:cs="Arial"/>
          <w:sz w:val="24"/>
          <w:szCs w:val="24"/>
        </w:rPr>
        <w:t>e</w:t>
      </w:r>
      <w:r w:rsidR="00974306" w:rsidRPr="00A176DA">
        <w:rPr>
          <w:rFonts w:ascii="Arial" w:hAnsi="Arial" w:cs="Arial"/>
          <w:sz w:val="24"/>
          <w:szCs w:val="24"/>
        </w:rPr>
        <w:t xml:space="preserve"> a methodology that can assess the relationship between how the value chain is structured and rates of compliance</w:t>
      </w:r>
      <w:r w:rsidR="0000484D" w:rsidRPr="00A176DA">
        <w:rPr>
          <w:rFonts w:ascii="Arial" w:hAnsi="Arial" w:cs="Arial"/>
          <w:sz w:val="24"/>
          <w:szCs w:val="24"/>
        </w:rPr>
        <w:t>.</w:t>
      </w:r>
    </w:p>
    <w:p w14:paraId="57746894" w14:textId="679AA705" w:rsidR="00F64730" w:rsidRPr="008B285D" w:rsidRDefault="00A176DA" w:rsidP="008B285D">
      <w:pPr>
        <w:pStyle w:val="ListParagraph"/>
        <w:numPr>
          <w:ilvl w:val="0"/>
          <w:numId w:val="38"/>
        </w:numPr>
        <w:spacing w:after="120" w:line="276" w:lineRule="auto"/>
        <w:ind w:left="709" w:hanging="357"/>
        <w:rPr>
          <w:rFonts w:ascii="Arial" w:hAnsi="Arial" w:cs="Arial"/>
          <w:sz w:val="24"/>
          <w:szCs w:val="24"/>
        </w:rPr>
      </w:pPr>
      <w:r w:rsidRPr="008B285D">
        <w:rPr>
          <w:rFonts w:ascii="Arial" w:hAnsi="Arial" w:cs="Arial"/>
          <w:sz w:val="24"/>
          <w:szCs w:val="24"/>
        </w:rPr>
        <w:t>Implement the methodology in order to, based on how the value chain is structured</w:t>
      </w:r>
      <w:r w:rsidR="005B2EBD" w:rsidRPr="008B285D">
        <w:rPr>
          <w:rFonts w:ascii="Arial" w:hAnsi="Arial" w:cs="Arial"/>
          <w:sz w:val="24"/>
          <w:szCs w:val="24"/>
        </w:rPr>
        <w:t>,</w:t>
      </w:r>
      <w:r w:rsidRPr="008B285D">
        <w:rPr>
          <w:rFonts w:ascii="Arial" w:hAnsi="Arial" w:cs="Arial"/>
          <w:sz w:val="24"/>
          <w:szCs w:val="24"/>
        </w:rPr>
        <w:t xml:space="preserve"> to assess how this impacts compliance rates by sector i.e. poultry (</w:t>
      </w:r>
      <w:r w:rsidRPr="008B285D">
        <w:rPr>
          <w:rFonts w:ascii="Arial" w:hAnsi="Arial" w:cs="Arial"/>
          <w:i/>
          <w:sz w:val="24"/>
          <w:szCs w:val="24"/>
        </w:rPr>
        <w:t>chicken, turkey etc.</w:t>
      </w:r>
      <w:r w:rsidRPr="008B285D">
        <w:rPr>
          <w:rFonts w:ascii="Arial" w:hAnsi="Arial" w:cs="Arial"/>
          <w:sz w:val="24"/>
          <w:szCs w:val="24"/>
        </w:rPr>
        <w:t>), red meat (</w:t>
      </w:r>
      <w:r w:rsidRPr="008B285D">
        <w:rPr>
          <w:rFonts w:ascii="Arial" w:hAnsi="Arial" w:cs="Arial"/>
          <w:i/>
          <w:sz w:val="24"/>
          <w:szCs w:val="24"/>
        </w:rPr>
        <w:t>beef, lamb, pork etc.</w:t>
      </w:r>
      <w:r w:rsidRPr="008B285D">
        <w:rPr>
          <w:rFonts w:ascii="Arial" w:hAnsi="Arial" w:cs="Arial"/>
          <w:sz w:val="24"/>
          <w:szCs w:val="24"/>
        </w:rPr>
        <w:t>)  game handling (</w:t>
      </w:r>
      <w:r w:rsidRPr="008B285D">
        <w:rPr>
          <w:rFonts w:ascii="Arial" w:hAnsi="Arial" w:cs="Arial"/>
          <w:i/>
          <w:sz w:val="24"/>
          <w:szCs w:val="24"/>
        </w:rPr>
        <w:t>venison, duck, rabbit etc.</w:t>
      </w:r>
      <w:r w:rsidRPr="008B285D">
        <w:rPr>
          <w:rFonts w:ascii="Arial" w:hAnsi="Arial" w:cs="Arial"/>
          <w:sz w:val="24"/>
          <w:szCs w:val="24"/>
        </w:rPr>
        <w:t>) and horse meat</w:t>
      </w:r>
      <w:r w:rsidR="005B2EBD" w:rsidRPr="008B285D">
        <w:rPr>
          <w:rFonts w:ascii="Arial" w:hAnsi="Arial" w:cs="Arial"/>
          <w:sz w:val="24"/>
          <w:szCs w:val="24"/>
        </w:rPr>
        <w:t>.</w:t>
      </w:r>
      <w:r w:rsidR="008B285D" w:rsidRPr="008B285D">
        <w:rPr>
          <w:rFonts w:ascii="Arial" w:hAnsi="Arial" w:cs="Arial"/>
          <w:sz w:val="24"/>
          <w:szCs w:val="24"/>
        </w:rPr>
        <w:tab/>
      </w:r>
    </w:p>
    <w:p w14:paraId="7FB293E3" w14:textId="69CA4C22" w:rsidR="00981A71" w:rsidRPr="00981A71" w:rsidRDefault="00C56E34" w:rsidP="008B285D">
      <w:pPr>
        <w:pStyle w:val="ListParagraph"/>
        <w:numPr>
          <w:ilvl w:val="0"/>
          <w:numId w:val="38"/>
        </w:numPr>
        <w:spacing w:after="120" w:line="276" w:lineRule="auto"/>
        <w:ind w:hanging="357"/>
        <w:rPr>
          <w:rFonts w:ascii="Arial" w:hAnsi="Arial" w:cs="Arial"/>
          <w:b/>
          <w:sz w:val="24"/>
          <w:szCs w:val="24"/>
        </w:rPr>
      </w:pPr>
      <w:r w:rsidRPr="00981A71">
        <w:rPr>
          <w:rFonts w:ascii="Arial" w:hAnsi="Arial" w:cs="Arial"/>
          <w:sz w:val="24"/>
          <w:szCs w:val="24"/>
        </w:rPr>
        <w:t xml:space="preserve">To </w:t>
      </w:r>
      <w:r w:rsidR="00981A71" w:rsidRPr="00981A71">
        <w:rPr>
          <w:rFonts w:ascii="Arial" w:hAnsi="Arial" w:cs="Arial"/>
          <w:sz w:val="24"/>
          <w:szCs w:val="24"/>
        </w:rPr>
        <w:t xml:space="preserve">draw on </w:t>
      </w:r>
      <w:r w:rsidRPr="00981A71">
        <w:rPr>
          <w:rFonts w:ascii="Arial" w:hAnsi="Arial" w:cs="Arial"/>
          <w:sz w:val="24"/>
          <w:szCs w:val="24"/>
        </w:rPr>
        <w:t>conventional and behavioural economics</w:t>
      </w:r>
      <w:r w:rsidR="00981A71" w:rsidRPr="00981A71">
        <w:rPr>
          <w:rFonts w:ascii="Arial" w:hAnsi="Arial" w:cs="Arial"/>
          <w:sz w:val="24"/>
          <w:szCs w:val="24"/>
        </w:rPr>
        <w:t xml:space="preserve"> to explain the role of </w:t>
      </w:r>
      <w:r w:rsidRPr="00981A71">
        <w:rPr>
          <w:rFonts w:ascii="Arial" w:hAnsi="Arial" w:cs="Arial"/>
          <w:sz w:val="24"/>
          <w:szCs w:val="24"/>
        </w:rPr>
        <w:t>incentives</w:t>
      </w:r>
      <w:r w:rsidR="00D43A58">
        <w:rPr>
          <w:rFonts w:ascii="Arial" w:hAnsi="Arial" w:cs="Arial"/>
          <w:sz w:val="24"/>
          <w:szCs w:val="24"/>
        </w:rPr>
        <w:t>, drivers</w:t>
      </w:r>
      <w:r w:rsidRPr="00981A71">
        <w:rPr>
          <w:rFonts w:ascii="Arial" w:hAnsi="Arial" w:cs="Arial"/>
          <w:sz w:val="24"/>
          <w:szCs w:val="24"/>
        </w:rPr>
        <w:t xml:space="preserve"> and behavioural biases </w:t>
      </w:r>
      <w:r w:rsidR="00981A71" w:rsidRPr="00981A71">
        <w:rPr>
          <w:rFonts w:ascii="Arial" w:hAnsi="Arial" w:cs="Arial"/>
          <w:sz w:val="24"/>
          <w:szCs w:val="24"/>
        </w:rPr>
        <w:t>on compliance performance in the meat industry.</w:t>
      </w:r>
    </w:p>
    <w:p w14:paraId="27DCEBDB" w14:textId="5C365F26" w:rsidR="00F64730" w:rsidRPr="00981A71" w:rsidRDefault="00F64730" w:rsidP="002147CE">
      <w:pPr>
        <w:pStyle w:val="ListParagraph"/>
        <w:numPr>
          <w:ilvl w:val="0"/>
          <w:numId w:val="38"/>
        </w:numPr>
        <w:spacing w:after="120" w:line="276" w:lineRule="auto"/>
        <w:rPr>
          <w:rFonts w:ascii="Arial" w:hAnsi="Arial" w:cs="Arial"/>
          <w:b/>
          <w:sz w:val="24"/>
          <w:szCs w:val="24"/>
        </w:rPr>
      </w:pPr>
      <w:r w:rsidRPr="00981A71">
        <w:rPr>
          <w:rFonts w:ascii="Arial" w:hAnsi="Arial" w:cs="Arial"/>
          <w:sz w:val="24"/>
          <w:szCs w:val="24"/>
        </w:rPr>
        <w:t>To produce evidence the FSA can use to</w:t>
      </w:r>
      <w:r w:rsidR="0025047A">
        <w:rPr>
          <w:rFonts w:ascii="Arial" w:hAnsi="Arial" w:cs="Arial"/>
          <w:sz w:val="24"/>
          <w:szCs w:val="24"/>
        </w:rPr>
        <w:t xml:space="preserve"> explore the efficacy of deterrence approaches against alternative </w:t>
      </w:r>
      <w:r w:rsidR="00981A71" w:rsidRPr="00981A71">
        <w:rPr>
          <w:rFonts w:ascii="Arial" w:hAnsi="Arial" w:cs="Arial"/>
          <w:sz w:val="24"/>
          <w:szCs w:val="24"/>
        </w:rPr>
        <w:t>incentive-based approach</w:t>
      </w:r>
      <w:r w:rsidR="0025047A">
        <w:rPr>
          <w:rFonts w:ascii="Arial" w:hAnsi="Arial" w:cs="Arial"/>
          <w:sz w:val="24"/>
          <w:szCs w:val="24"/>
        </w:rPr>
        <w:t>es</w:t>
      </w:r>
      <w:r w:rsidR="00981A71" w:rsidRPr="00981A71">
        <w:rPr>
          <w:rFonts w:ascii="Arial" w:hAnsi="Arial" w:cs="Arial"/>
          <w:sz w:val="24"/>
          <w:szCs w:val="24"/>
        </w:rPr>
        <w:t xml:space="preserve"> </w:t>
      </w:r>
      <w:r w:rsidR="002147CE" w:rsidRPr="002147CE">
        <w:rPr>
          <w:rFonts w:ascii="Arial" w:hAnsi="Arial" w:cs="Arial"/>
          <w:sz w:val="24"/>
          <w:szCs w:val="24"/>
        </w:rPr>
        <w:t>that would achieve compliance while enhancing the</w:t>
      </w:r>
      <w:r w:rsidR="00351F5A">
        <w:rPr>
          <w:rFonts w:ascii="Arial" w:hAnsi="Arial" w:cs="Arial"/>
          <w:sz w:val="24"/>
          <w:szCs w:val="24"/>
        </w:rPr>
        <w:t xml:space="preserve"> value chain of</w:t>
      </w:r>
      <w:r w:rsidR="002147CE" w:rsidRPr="002147CE">
        <w:rPr>
          <w:rFonts w:ascii="Arial" w:hAnsi="Arial" w:cs="Arial"/>
          <w:sz w:val="24"/>
          <w:szCs w:val="24"/>
        </w:rPr>
        <w:t xml:space="preserve"> FBO</w:t>
      </w:r>
      <w:r w:rsidR="00351F5A">
        <w:rPr>
          <w:rFonts w:ascii="Arial" w:hAnsi="Arial" w:cs="Arial"/>
          <w:sz w:val="24"/>
          <w:szCs w:val="24"/>
        </w:rPr>
        <w:t xml:space="preserve">s. </w:t>
      </w:r>
    </w:p>
    <w:p w14:paraId="2E41D9CC" w14:textId="6E0B0663" w:rsidR="00776E2A" w:rsidRPr="00776E2A" w:rsidRDefault="00776E2A" w:rsidP="00776E2A">
      <w:pPr>
        <w:spacing w:after="120" w:line="276" w:lineRule="auto"/>
        <w:rPr>
          <w:rFonts w:ascii="Arial" w:hAnsi="Arial" w:cs="Arial"/>
          <w:sz w:val="24"/>
          <w:szCs w:val="24"/>
        </w:rPr>
      </w:pPr>
      <w:r w:rsidRPr="00776E2A">
        <w:rPr>
          <w:rFonts w:ascii="Arial" w:hAnsi="Arial" w:cs="Arial"/>
          <w:sz w:val="24"/>
          <w:szCs w:val="24"/>
        </w:rPr>
        <w:t>The overarching aims are addressed through f</w:t>
      </w:r>
      <w:r>
        <w:rPr>
          <w:rFonts w:ascii="Arial" w:hAnsi="Arial" w:cs="Arial"/>
          <w:sz w:val="24"/>
          <w:szCs w:val="24"/>
        </w:rPr>
        <w:t>our</w:t>
      </w:r>
      <w:r w:rsidRPr="00776E2A">
        <w:rPr>
          <w:rFonts w:ascii="Arial" w:hAnsi="Arial" w:cs="Arial"/>
          <w:sz w:val="24"/>
          <w:szCs w:val="24"/>
        </w:rPr>
        <w:t xml:space="preserve"> specific research questions set out below. In answering these questions, the study should include a thorough review of the relevant published</w:t>
      </w:r>
      <w:r w:rsidR="00ED455F">
        <w:rPr>
          <w:rFonts w:ascii="Arial" w:hAnsi="Arial" w:cs="Arial"/>
          <w:sz w:val="24"/>
          <w:szCs w:val="24"/>
        </w:rPr>
        <w:t xml:space="preserve"> </w:t>
      </w:r>
      <w:r w:rsidRPr="00776E2A">
        <w:rPr>
          <w:rFonts w:ascii="Arial" w:hAnsi="Arial" w:cs="Arial"/>
          <w:sz w:val="24"/>
          <w:szCs w:val="24"/>
        </w:rPr>
        <w:t>literature on</w:t>
      </w:r>
      <w:r>
        <w:rPr>
          <w:rFonts w:ascii="Arial" w:hAnsi="Arial" w:cs="Arial"/>
          <w:sz w:val="24"/>
          <w:szCs w:val="24"/>
        </w:rPr>
        <w:t xml:space="preserve"> </w:t>
      </w:r>
      <w:r w:rsidR="00ED455F">
        <w:rPr>
          <w:rFonts w:ascii="Arial" w:hAnsi="Arial" w:cs="Arial"/>
          <w:sz w:val="24"/>
          <w:szCs w:val="24"/>
        </w:rPr>
        <w:t>behaviour and compliance in industry</w:t>
      </w:r>
      <w:r w:rsidR="004559A0">
        <w:rPr>
          <w:rFonts w:ascii="Arial" w:hAnsi="Arial" w:cs="Arial"/>
          <w:sz w:val="24"/>
          <w:szCs w:val="24"/>
        </w:rPr>
        <w:t>,</w:t>
      </w:r>
      <w:r w:rsidR="00ED455F">
        <w:rPr>
          <w:rFonts w:ascii="Arial" w:hAnsi="Arial" w:cs="Arial"/>
          <w:sz w:val="24"/>
          <w:szCs w:val="24"/>
        </w:rPr>
        <w:t xml:space="preserve"> drawing parallels to the UK meat industry</w:t>
      </w:r>
      <w:r w:rsidRPr="00776E2A">
        <w:rPr>
          <w:rFonts w:ascii="Arial" w:hAnsi="Arial" w:cs="Arial"/>
          <w:sz w:val="24"/>
          <w:szCs w:val="24"/>
        </w:rPr>
        <w:t xml:space="preserve">. </w:t>
      </w:r>
    </w:p>
    <w:p w14:paraId="409A7A0D" w14:textId="22BF72CA" w:rsidR="00335A6A" w:rsidRPr="00776E2A" w:rsidRDefault="00776E2A" w:rsidP="00776E2A">
      <w:pPr>
        <w:spacing w:after="120" w:line="276" w:lineRule="auto"/>
        <w:rPr>
          <w:rFonts w:ascii="Arial" w:hAnsi="Arial" w:cs="Arial"/>
          <w:sz w:val="24"/>
          <w:szCs w:val="24"/>
        </w:rPr>
      </w:pPr>
      <w:r w:rsidRPr="00776E2A">
        <w:rPr>
          <w:rFonts w:ascii="Arial" w:hAnsi="Arial" w:cs="Arial"/>
          <w:sz w:val="24"/>
          <w:szCs w:val="24"/>
        </w:rPr>
        <w:t>The research should seek to address the following questions:</w:t>
      </w:r>
    </w:p>
    <w:p w14:paraId="72458663" w14:textId="16257DDC" w:rsidR="00776E2A" w:rsidRPr="00EA4110" w:rsidRDefault="00776E2A" w:rsidP="00776E2A">
      <w:pPr>
        <w:pStyle w:val="ListParagraph"/>
        <w:numPr>
          <w:ilvl w:val="0"/>
          <w:numId w:val="34"/>
        </w:numPr>
        <w:spacing w:after="120" w:line="276" w:lineRule="auto"/>
        <w:ind w:left="1077"/>
        <w:rPr>
          <w:rFonts w:ascii="Arial" w:hAnsi="Arial" w:cs="Arial"/>
          <w:sz w:val="24"/>
          <w:szCs w:val="24"/>
        </w:rPr>
      </w:pPr>
      <w:r w:rsidRPr="00EA4110">
        <w:rPr>
          <w:rFonts w:ascii="Arial" w:hAnsi="Arial" w:cs="Arial"/>
          <w:sz w:val="24"/>
          <w:szCs w:val="24"/>
        </w:rPr>
        <w:t>What are the key economic incentives that motivate the</w:t>
      </w:r>
      <w:r>
        <w:rPr>
          <w:rFonts w:ascii="Arial" w:hAnsi="Arial" w:cs="Arial"/>
          <w:sz w:val="24"/>
          <w:szCs w:val="24"/>
        </w:rPr>
        <w:t xml:space="preserve"> UK</w:t>
      </w:r>
      <w:r w:rsidRPr="00EA4110">
        <w:rPr>
          <w:rFonts w:ascii="Arial" w:hAnsi="Arial" w:cs="Arial"/>
          <w:sz w:val="24"/>
          <w:szCs w:val="24"/>
        </w:rPr>
        <w:t xml:space="preserve"> meat industry and how do they differ by size</w:t>
      </w:r>
      <w:r w:rsidR="00BA75AE">
        <w:rPr>
          <w:rFonts w:ascii="Arial" w:hAnsi="Arial" w:cs="Arial"/>
          <w:sz w:val="24"/>
          <w:szCs w:val="24"/>
        </w:rPr>
        <w:t xml:space="preserve">, </w:t>
      </w:r>
      <w:r w:rsidRPr="00EA4110">
        <w:rPr>
          <w:rFonts w:ascii="Arial" w:hAnsi="Arial" w:cs="Arial"/>
          <w:sz w:val="24"/>
          <w:szCs w:val="24"/>
        </w:rPr>
        <w:t>sector</w:t>
      </w:r>
      <w:r>
        <w:rPr>
          <w:rFonts w:ascii="Arial" w:hAnsi="Arial" w:cs="Arial"/>
          <w:sz w:val="24"/>
          <w:szCs w:val="24"/>
        </w:rPr>
        <w:t xml:space="preserve"> (poultry, red meat</w:t>
      </w:r>
      <w:r w:rsidR="007B76E4">
        <w:rPr>
          <w:rFonts w:ascii="Arial" w:hAnsi="Arial" w:cs="Arial"/>
          <w:sz w:val="24"/>
          <w:szCs w:val="24"/>
        </w:rPr>
        <w:t xml:space="preserve">, </w:t>
      </w:r>
      <w:r>
        <w:rPr>
          <w:rFonts w:ascii="Arial" w:hAnsi="Arial" w:cs="Arial"/>
          <w:sz w:val="24"/>
          <w:szCs w:val="24"/>
        </w:rPr>
        <w:t>game handling</w:t>
      </w:r>
      <w:r w:rsidR="007B76E4">
        <w:rPr>
          <w:rFonts w:ascii="Arial" w:hAnsi="Arial" w:cs="Arial"/>
          <w:sz w:val="24"/>
          <w:szCs w:val="24"/>
        </w:rPr>
        <w:t xml:space="preserve"> and horse meat</w:t>
      </w:r>
      <w:r>
        <w:rPr>
          <w:rFonts w:ascii="Arial" w:hAnsi="Arial" w:cs="Arial"/>
          <w:sz w:val="24"/>
          <w:szCs w:val="24"/>
        </w:rPr>
        <w:t>)</w:t>
      </w:r>
      <w:r w:rsidR="00BA75AE">
        <w:rPr>
          <w:rFonts w:ascii="Arial" w:hAnsi="Arial" w:cs="Arial"/>
          <w:sz w:val="24"/>
          <w:szCs w:val="24"/>
        </w:rPr>
        <w:t xml:space="preserve"> and UK country (England, Wales, Scotland and Northern Ireland)</w:t>
      </w:r>
      <w:r w:rsidRPr="00EA4110">
        <w:rPr>
          <w:rFonts w:ascii="Arial" w:hAnsi="Arial" w:cs="Arial"/>
          <w:sz w:val="24"/>
          <w:szCs w:val="24"/>
        </w:rPr>
        <w:t xml:space="preserve">? </w:t>
      </w:r>
    </w:p>
    <w:p w14:paraId="786E4945" w14:textId="77777777" w:rsidR="009F7496" w:rsidRDefault="00776E2A" w:rsidP="00776E2A">
      <w:pPr>
        <w:pStyle w:val="ListParagraph"/>
        <w:numPr>
          <w:ilvl w:val="0"/>
          <w:numId w:val="34"/>
        </w:numPr>
        <w:spacing w:after="120" w:line="276" w:lineRule="auto"/>
        <w:ind w:left="1077"/>
        <w:rPr>
          <w:rFonts w:ascii="Arial" w:hAnsi="Arial" w:cs="Arial"/>
          <w:sz w:val="24"/>
          <w:szCs w:val="24"/>
        </w:rPr>
      </w:pPr>
      <w:r w:rsidRPr="00EA4110">
        <w:rPr>
          <w:rFonts w:ascii="Arial" w:hAnsi="Arial" w:cs="Arial"/>
          <w:sz w:val="24"/>
          <w:szCs w:val="24"/>
        </w:rPr>
        <w:t>How do perceptions of risk inform the way in which the meat industry is motivated to improve food safety cultures?</w:t>
      </w:r>
      <w:r w:rsidR="009F7496">
        <w:rPr>
          <w:rFonts w:ascii="Arial" w:hAnsi="Arial" w:cs="Arial"/>
          <w:sz w:val="24"/>
          <w:szCs w:val="24"/>
        </w:rPr>
        <w:t xml:space="preserve"> </w:t>
      </w:r>
    </w:p>
    <w:p w14:paraId="704165D2" w14:textId="655E4D7C" w:rsidR="00776E2A" w:rsidRDefault="009F7496" w:rsidP="00776E2A">
      <w:pPr>
        <w:pStyle w:val="ListParagraph"/>
        <w:numPr>
          <w:ilvl w:val="0"/>
          <w:numId w:val="34"/>
        </w:numPr>
        <w:spacing w:after="120" w:line="276" w:lineRule="auto"/>
        <w:ind w:left="1077"/>
        <w:rPr>
          <w:rFonts w:ascii="Arial" w:hAnsi="Arial" w:cs="Arial"/>
          <w:sz w:val="24"/>
          <w:szCs w:val="24"/>
        </w:rPr>
      </w:pPr>
      <w:r>
        <w:rPr>
          <w:rFonts w:ascii="Arial" w:hAnsi="Arial" w:cs="Arial"/>
          <w:sz w:val="24"/>
          <w:szCs w:val="24"/>
        </w:rPr>
        <w:t>How do non-compliant FBOs compare with the meat industry as a whole?</w:t>
      </w:r>
    </w:p>
    <w:p w14:paraId="45117CE6" w14:textId="5D58D620" w:rsidR="001D0B8F" w:rsidRPr="00EA4110" w:rsidRDefault="001D0B8F" w:rsidP="001D0B8F">
      <w:pPr>
        <w:pStyle w:val="ListParagraph"/>
        <w:numPr>
          <w:ilvl w:val="0"/>
          <w:numId w:val="34"/>
        </w:numPr>
        <w:spacing w:after="120" w:line="276" w:lineRule="auto"/>
        <w:rPr>
          <w:rFonts w:ascii="Arial" w:hAnsi="Arial" w:cs="Arial"/>
          <w:sz w:val="24"/>
          <w:szCs w:val="24"/>
        </w:rPr>
      </w:pPr>
      <w:r>
        <w:rPr>
          <w:rFonts w:ascii="Arial" w:hAnsi="Arial" w:cs="Arial"/>
          <w:sz w:val="24"/>
          <w:szCs w:val="24"/>
        </w:rPr>
        <w:lastRenderedPageBreak/>
        <w:t>How can regulation motivate</w:t>
      </w:r>
      <w:r w:rsidRPr="001D0B8F">
        <w:rPr>
          <w:rFonts w:ascii="Arial" w:hAnsi="Arial" w:cs="Arial"/>
          <w:sz w:val="24"/>
          <w:szCs w:val="24"/>
        </w:rPr>
        <w:t>/</w:t>
      </w:r>
      <w:r>
        <w:rPr>
          <w:rFonts w:ascii="Arial" w:hAnsi="Arial" w:cs="Arial"/>
          <w:sz w:val="24"/>
          <w:szCs w:val="24"/>
        </w:rPr>
        <w:t xml:space="preserve"> influence</w:t>
      </w:r>
      <w:r w:rsidRPr="001D0B8F">
        <w:rPr>
          <w:rFonts w:ascii="Arial" w:hAnsi="Arial" w:cs="Arial"/>
          <w:sz w:val="24"/>
          <w:szCs w:val="24"/>
        </w:rPr>
        <w:t xml:space="preserve"> a good food safety culture</w:t>
      </w:r>
      <w:r>
        <w:rPr>
          <w:rFonts w:ascii="Arial" w:hAnsi="Arial" w:cs="Arial"/>
          <w:sz w:val="24"/>
          <w:szCs w:val="24"/>
        </w:rPr>
        <w:t xml:space="preserve"> in the industry</w:t>
      </w:r>
      <w:r w:rsidRPr="001D0B8F">
        <w:rPr>
          <w:rFonts w:ascii="Arial" w:hAnsi="Arial" w:cs="Arial"/>
          <w:sz w:val="24"/>
          <w:szCs w:val="24"/>
        </w:rPr>
        <w:t>?</w:t>
      </w:r>
    </w:p>
    <w:p w14:paraId="744A79B2" w14:textId="77777777" w:rsidR="007A17A8" w:rsidRDefault="00776E2A" w:rsidP="007E2A4D">
      <w:pPr>
        <w:pStyle w:val="ListParagraph"/>
        <w:numPr>
          <w:ilvl w:val="0"/>
          <w:numId w:val="34"/>
        </w:numPr>
        <w:spacing w:after="120" w:line="276" w:lineRule="auto"/>
        <w:rPr>
          <w:rFonts w:ascii="Arial" w:hAnsi="Arial" w:cs="Arial"/>
          <w:sz w:val="24"/>
          <w:szCs w:val="24"/>
        </w:rPr>
      </w:pPr>
      <w:r w:rsidRPr="007E2A4D">
        <w:rPr>
          <w:rFonts w:ascii="Arial" w:hAnsi="Arial" w:cs="Arial"/>
          <w:sz w:val="24"/>
          <w:szCs w:val="24"/>
        </w:rPr>
        <w:t>To what extent</w:t>
      </w:r>
      <w:r w:rsidR="009818C5" w:rsidRPr="007E2A4D">
        <w:rPr>
          <w:rFonts w:ascii="Arial" w:hAnsi="Arial" w:cs="Arial"/>
          <w:sz w:val="24"/>
          <w:szCs w:val="24"/>
        </w:rPr>
        <w:t>,</w:t>
      </w:r>
      <w:r w:rsidR="007A17A8">
        <w:rPr>
          <w:rFonts w:ascii="Arial" w:hAnsi="Arial" w:cs="Arial"/>
          <w:sz w:val="24"/>
          <w:szCs w:val="24"/>
        </w:rPr>
        <w:t xml:space="preserve"> </w:t>
      </w:r>
      <w:r w:rsidR="009818C5" w:rsidRPr="007E2A4D">
        <w:rPr>
          <w:rFonts w:ascii="Arial" w:hAnsi="Arial" w:cs="Arial"/>
          <w:sz w:val="24"/>
          <w:szCs w:val="24"/>
        </w:rPr>
        <w:t>if any,</w:t>
      </w:r>
      <w:r w:rsidRPr="007E2A4D">
        <w:rPr>
          <w:rFonts w:ascii="Arial" w:hAnsi="Arial" w:cs="Arial"/>
          <w:sz w:val="24"/>
          <w:szCs w:val="24"/>
        </w:rPr>
        <w:t xml:space="preserve"> is the</w:t>
      </w:r>
      <w:r w:rsidR="009818C5" w:rsidRPr="007E2A4D">
        <w:rPr>
          <w:rFonts w:ascii="Arial" w:hAnsi="Arial" w:cs="Arial"/>
          <w:sz w:val="24"/>
          <w:szCs w:val="24"/>
        </w:rPr>
        <w:t>re misalignment in incentives between the</w:t>
      </w:r>
      <w:r w:rsidRPr="007E2A4D">
        <w:rPr>
          <w:rFonts w:ascii="Arial" w:hAnsi="Arial" w:cs="Arial"/>
          <w:sz w:val="24"/>
          <w:szCs w:val="24"/>
        </w:rPr>
        <w:t xml:space="preserve"> UK </w:t>
      </w:r>
      <w:r w:rsidRPr="00971131">
        <w:rPr>
          <w:rFonts w:ascii="Arial" w:hAnsi="Arial" w:cs="Arial"/>
          <w:sz w:val="24"/>
          <w:szCs w:val="24"/>
        </w:rPr>
        <w:t>meat industry</w:t>
      </w:r>
      <w:r w:rsidR="009818C5" w:rsidRPr="00971131">
        <w:rPr>
          <w:rFonts w:ascii="Arial" w:hAnsi="Arial" w:cs="Arial"/>
          <w:sz w:val="24"/>
          <w:szCs w:val="24"/>
        </w:rPr>
        <w:t xml:space="preserve"> and</w:t>
      </w:r>
      <w:r w:rsidRPr="00971131">
        <w:rPr>
          <w:rFonts w:ascii="Arial" w:hAnsi="Arial" w:cs="Arial"/>
          <w:sz w:val="24"/>
          <w:szCs w:val="24"/>
        </w:rPr>
        <w:t xml:space="preserve"> </w:t>
      </w:r>
      <w:r w:rsidR="001B7965" w:rsidRPr="00971131">
        <w:rPr>
          <w:rFonts w:ascii="Arial" w:hAnsi="Arial" w:cs="Arial"/>
          <w:sz w:val="24"/>
          <w:szCs w:val="24"/>
        </w:rPr>
        <w:t>the</w:t>
      </w:r>
      <w:r w:rsidR="007E2A4D" w:rsidRPr="00971131">
        <w:rPr>
          <w:rFonts w:ascii="Arial" w:hAnsi="Arial" w:cs="Arial"/>
          <w:sz w:val="24"/>
          <w:szCs w:val="24"/>
        </w:rPr>
        <w:t xml:space="preserve"> food safety regulator - </w:t>
      </w:r>
      <w:r w:rsidR="001B7965" w:rsidRPr="00971131">
        <w:rPr>
          <w:rFonts w:ascii="Arial" w:hAnsi="Arial" w:cs="Arial"/>
          <w:sz w:val="24"/>
          <w:szCs w:val="24"/>
        </w:rPr>
        <w:t xml:space="preserve"> FSA</w:t>
      </w:r>
      <w:r w:rsidR="007E2A4D">
        <w:rPr>
          <w:rFonts w:ascii="Arial" w:hAnsi="Arial" w:cs="Arial"/>
          <w:sz w:val="24"/>
          <w:szCs w:val="24"/>
        </w:rPr>
        <w:t>?</w:t>
      </w:r>
      <w:r w:rsidR="007A17A8">
        <w:rPr>
          <w:rFonts w:ascii="Arial" w:hAnsi="Arial" w:cs="Arial"/>
          <w:sz w:val="24"/>
          <w:szCs w:val="24"/>
        </w:rPr>
        <w:t xml:space="preserve"> </w:t>
      </w:r>
    </w:p>
    <w:p w14:paraId="558E4BBB" w14:textId="0466BC17" w:rsidR="00776E2A" w:rsidRPr="007E2A4D" w:rsidRDefault="007E2A4D" w:rsidP="007E2A4D">
      <w:pPr>
        <w:pStyle w:val="ListParagraph"/>
        <w:numPr>
          <w:ilvl w:val="0"/>
          <w:numId w:val="34"/>
        </w:numPr>
        <w:spacing w:after="120" w:line="276" w:lineRule="auto"/>
        <w:rPr>
          <w:rFonts w:ascii="Arial" w:hAnsi="Arial" w:cs="Arial"/>
          <w:sz w:val="24"/>
          <w:szCs w:val="24"/>
        </w:rPr>
      </w:pPr>
      <w:r>
        <w:rPr>
          <w:rFonts w:ascii="Arial" w:hAnsi="Arial" w:cs="Arial"/>
          <w:sz w:val="24"/>
          <w:szCs w:val="24"/>
        </w:rPr>
        <w:t xml:space="preserve">Are the </w:t>
      </w:r>
      <w:r w:rsidR="00776E2A" w:rsidRPr="007E2A4D">
        <w:rPr>
          <w:rFonts w:ascii="Arial" w:hAnsi="Arial" w:cs="Arial"/>
          <w:sz w:val="24"/>
          <w:szCs w:val="24"/>
        </w:rPr>
        <w:t xml:space="preserve">priorities of FBOs </w:t>
      </w:r>
      <w:r>
        <w:rPr>
          <w:rFonts w:ascii="Arial" w:hAnsi="Arial" w:cs="Arial"/>
          <w:sz w:val="24"/>
          <w:szCs w:val="24"/>
        </w:rPr>
        <w:t xml:space="preserve">out of kilter </w:t>
      </w:r>
      <w:r w:rsidR="00776E2A" w:rsidRPr="007E2A4D">
        <w:rPr>
          <w:rFonts w:ascii="Arial" w:hAnsi="Arial" w:cs="Arial"/>
          <w:sz w:val="24"/>
          <w:szCs w:val="24"/>
        </w:rPr>
        <w:t xml:space="preserve">with those of food regulators with respect to food safety management?  </w:t>
      </w:r>
      <w:r>
        <w:rPr>
          <w:rFonts w:ascii="Arial" w:hAnsi="Arial" w:cs="Arial"/>
          <w:sz w:val="24"/>
          <w:szCs w:val="24"/>
        </w:rPr>
        <w:t xml:space="preserve">Is this inherent throughout the industry and are </w:t>
      </w:r>
      <w:r w:rsidRPr="007E2A4D">
        <w:rPr>
          <w:rFonts w:ascii="Arial" w:hAnsi="Arial" w:cs="Arial"/>
          <w:sz w:val="24"/>
          <w:szCs w:val="24"/>
        </w:rPr>
        <w:t xml:space="preserve">there examples </w:t>
      </w:r>
      <w:r>
        <w:rPr>
          <w:rFonts w:ascii="Arial" w:hAnsi="Arial" w:cs="Arial"/>
          <w:sz w:val="24"/>
          <w:szCs w:val="24"/>
        </w:rPr>
        <w:t xml:space="preserve">of </w:t>
      </w:r>
      <w:r w:rsidRPr="007E2A4D">
        <w:rPr>
          <w:rFonts w:ascii="Arial" w:hAnsi="Arial" w:cs="Arial"/>
          <w:sz w:val="24"/>
          <w:szCs w:val="24"/>
        </w:rPr>
        <w:t>good practice where the FBO’s and regulators priorities are aligned?</w:t>
      </w:r>
    </w:p>
    <w:p w14:paraId="68CCABF6" w14:textId="77777777" w:rsidR="00F4195A" w:rsidRDefault="00F4195A" w:rsidP="00E70664">
      <w:pPr>
        <w:spacing w:after="120" w:line="276" w:lineRule="auto"/>
        <w:rPr>
          <w:rFonts w:ascii="Arial" w:hAnsi="Arial" w:cs="Arial"/>
          <w:b/>
          <w:sz w:val="24"/>
          <w:szCs w:val="24"/>
        </w:rPr>
      </w:pPr>
    </w:p>
    <w:p w14:paraId="409A7A13" w14:textId="39395DB5" w:rsidR="00335A6A" w:rsidRPr="00F4195A" w:rsidRDefault="00335A6A" w:rsidP="00E70664">
      <w:pPr>
        <w:spacing w:after="120" w:line="276" w:lineRule="auto"/>
        <w:rPr>
          <w:rFonts w:ascii="Arial" w:hAnsi="Arial" w:cs="Arial"/>
          <w:b/>
          <w:sz w:val="24"/>
          <w:szCs w:val="24"/>
        </w:rPr>
      </w:pPr>
      <w:r w:rsidRPr="00F4195A">
        <w:rPr>
          <w:rFonts w:ascii="Arial" w:hAnsi="Arial" w:cs="Arial"/>
          <w:b/>
          <w:sz w:val="24"/>
          <w:szCs w:val="24"/>
        </w:rPr>
        <w:t>The Specification</w:t>
      </w:r>
    </w:p>
    <w:p w14:paraId="5AABBE72" w14:textId="418A2114" w:rsidR="001F6096" w:rsidRDefault="003B13D0" w:rsidP="003978EC">
      <w:pPr>
        <w:spacing w:line="276" w:lineRule="auto"/>
        <w:rPr>
          <w:rFonts w:ascii="Arial" w:hAnsi="Arial" w:cs="Arial"/>
          <w:sz w:val="24"/>
          <w:szCs w:val="24"/>
        </w:rPr>
      </w:pPr>
      <w:r>
        <w:rPr>
          <w:rFonts w:ascii="Arial" w:hAnsi="Arial" w:cs="Arial"/>
          <w:sz w:val="24"/>
          <w:szCs w:val="24"/>
        </w:rPr>
        <w:t xml:space="preserve">The FSA now wishes to commission a </w:t>
      </w:r>
      <w:r w:rsidR="003978EC">
        <w:rPr>
          <w:rFonts w:ascii="Arial" w:hAnsi="Arial" w:cs="Arial"/>
          <w:sz w:val="24"/>
          <w:szCs w:val="24"/>
        </w:rPr>
        <w:t>study</w:t>
      </w:r>
      <w:r w:rsidR="00730227">
        <w:rPr>
          <w:rFonts w:ascii="Arial" w:hAnsi="Arial" w:cs="Arial"/>
          <w:sz w:val="24"/>
          <w:szCs w:val="24"/>
        </w:rPr>
        <w:t xml:space="preserve"> </w:t>
      </w:r>
      <w:r w:rsidR="00453B59">
        <w:rPr>
          <w:rFonts w:ascii="Arial" w:hAnsi="Arial" w:cs="Arial"/>
          <w:sz w:val="24"/>
          <w:szCs w:val="24"/>
        </w:rPr>
        <w:t xml:space="preserve">based on a case study approach </w:t>
      </w:r>
      <w:r w:rsidR="003978EC" w:rsidRPr="00327279">
        <w:rPr>
          <w:rFonts w:ascii="Arial" w:hAnsi="Arial" w:cs="Arial"/>
          <w:sz w:val="24"/>
          <w:szCs w:val="24"/>
        </w:rPr>
        <w:t>to examine the core underlying economic and behavioural drivers of the UK meat industry</w:t>
      </w:r>
      <w:r w:rsidR="00730227">
        <w:rPr>
          <w:rFonts w:ascii="Arial" w:hAnsi="Arial" w:cs="Arial"/>
          <w:sz w:val="24"/>
          <w:szCs w:val="24"/>
        </w:rPr>
        <w:t xml:space="preserve"> with a view to understanding </w:t>
      </w:r>
      <w:r w:rsidR="003978EC" w:rsidRPr="00327279">
        <w:rPr>
          <w:rFonts w:ascii="Arial" w:hAnsi="Arial" w:cs="Arial"/>
          <w:sz w:val="24"/>
          <w:szCs w:val="24"/>
        </w:rPr>
        <w:t>its complex supply and value chain</w:t>
      </w:r>
      <w:r w:rsidR="001F6096">
        <w:rPr>
          <w:rFonts w:ascii="Arial" w:hAnsi="Arial" w:cs="Arial"/>
          <w:sz w:val="24"/>
          <w:szCs w:val="24"/>
        </w:rPr>
        <w:t xml:space="preserve"> and how this affects compliance with meat hygiene controls and food safety</w:t>
      </w:r>
      <w:r w:rsidR="00730227">
        <w:rPr>
          <w:rFonts w:ascii="Arial" w:hAnsi="Arial" w:cs="Arial"/>
          <w:sz w:val="24"/>
          <w:szCs w:val="24"/>
        </w:rPr>
        <w:t xml:space="preserve">. </w:t>
      </w:r>
    </w:p>
    <w:p w14:paraId="7BF1A4AE" w14:textId="77777777" w:rsidR="001F6096" w:rsidRDefault="001F6096" w:rsidP="003978EC">
      <w:pPr>
        <w:spacing w:line="276" w:lineRule="auto"/>
        <w:rPr>
          <w:rFonts w:ascii="Arial" w:hAnsi="Arial" w:cs="Arial"/>
          <w:sz w:val="24"/>
          <w:szCs w:val="24"/>
        </w:rPr>
      </w:pPr>
    </w:p>
    <w:p w14:paraId="77E58EEB" w14:textId="4DCEB906" w:rsidR="003978EC" w:rsidRDefault="00730227" w:rsidP="003978EC">
      <w:pPr>
        <w:spacing w:line="276" w:lineRule="auto"/>
        <w:rPr>
          <w:rFonts w:ascii="Arial" w:hAnsi="Arial" w:cs="Arial"/>
          <w:sz w:val="24"/>
          <w:szCs w:val="24"/>
        </w:rPr>
      </w:pPr>
      <w:r>
        <w:rPr>
          <w:rFonts w:ascii="Arial" w:hAnsi="Arial" w:cs="Arial"/>
          <w:sz w:val="24"/>
          <w:szCs w:val="24"/>
        </w:rPr>
        <w:t>The scope of the study would encompass the</w:t>
      </w:r>
      <w:r w:rsidR="001F6096">
        <w:rPr>
          <w:rFonts w:ascii="Arial" w:hAnsi="Arial" w:cs="Arial"/>
          <w:sz w:val="24"/>
          <w:szCs w:val="24"/>
        </w:rPr>
        <w:t xml:space="preserve"> entire </w:t>
      </w:r>
      <w:r>
        <w:rPr>
          <w:rFonts w:ascii="Arial" w:hAnsi="Arial" w:cs="Arial"/>
          <w:sz w:val="24"/>
          <w:szCs w:val="24"/>
        </w:rPr>
        <w:t xml:space="preserve">UK </w:t>
      </w:r>
      <w:r w:rsidR="002F40AA">
        <w:rPr>
          <w:rFonts w:ascii="Arial" w:hAnsi="Arial" w:cs="Arial"/>
          <w:sz w:val="24"/>
          <w:szCs w:val="24"/>
        </w:rPr>
        <w:t xml:space="preserve">domestic </w:t>
      </w:r>
      <w:r>
        <w:rPr>
          <w:rFonts w:ascii="Arial" w:hAnsi="Arial" w:cs="Arial"/>
          <w:sz w:val="24"/>
          <w:szCs w:val="24"/>
        </w:rPr>
        <w:t>meat supply chain</w:t>
      </w:r>
      <w:r w:rsidR="003978EC" w:rsidRPr="00327279">
        <w:rPr>
          <w:rFonts w:ascii="Arial" w:hAnsi="Arial" w:cs="Arial"/>
          <w:sz w:val="24"/>
          <w:szCs w:val="24"/>
        </w:rPr>
        <w:t>, involving production, processing,</w:t>
      </w:r>
      <w:r w:rsidR="001F6096">
        <w:rPr>
          <w:rFonts w:ascii="Arial" w:hAnsi="Arial" w:cs="Arial"/>
          <w:sz w:val="24"/>
          <w:szCs w:val="24"/>
        </w:rPr>
        <w:t xml:space="preserve"> wholesale,</w:t>
      </w:r>
      <w:r w:rsidR="003978EC" w:rsidRPr="00327279">
        <w:rPr>
          <w:rFonts w:ascii="Arial" w:hAnsi="Arial" w:cs="Arial"/>
          <w:sz w:val="24"/>
          <w:szCs w:val="24"/>
        </w:rPr>
        <w:t xml:space="preserve"> retail,</w:t>
      </w:r>
      <w:r w:rsidR="001F6096">
        <w:rPr>
          <w:rFonts w:ascii="Arial" w:hAnsi="Arial" w:cs="Arial"/>
          <w:sz w:val="24"/>
          <w:szCs w:val="24"/>
        </w:rPr>
        <w:t xml:space="preserve"> consumer, management and governance; </w:t>
      </w:r>
      <w:r w:rsidR="003978EC" w:rsidRPr="00327279">
        <w:rPr>
          <w:rFonts w:ascii="Arial" w:hAnsi="Arial" w:cs="Arial"/>
          <w:sz w:val="24"/>
          <w:szCs w:val="24"/>
        </w:rPr>
        <w:t>coordinate</w:t>
      </w:r>
      <w:r w:rsidR="00EF2974">
        <w:rPr>
          <w:rFonts w:ascii="Arial" w:hAnsi="Arial" w:cs="Arial"/>
          <w:sz w:val="24"/>
          <w:szCs w:val="24"/>
        </w:rPr>
        <w:t>d</w:t>
      </w:r>
      <w:r w:rsidR="003978EC" w:rsidRPr="00327279">
        <w:rPr>
          <w:rFonts w:ascii="Arial" w:hAnsi="Arial" w:cs="Arial"/>
          <w:sz w:val="24"/>
          <w:szCs w:val="24"/>
        </w:rPr>
        <w:t xml:space="preserve"> with existing frameworks for understanding food safety culture in general. </w:t>
      </w:r>
    </w:p>
    <w:p w14:paraId="1914A7DC" w14:textId="77777777" w:rsidR="003978EC" w:rsidRDefault="003978EC" w:rsidP="00EA4110">
      <w:pPr>
        <w:spacing w:line="276" w:lineRule="auto"/>
        <w:rPr>
          <w:rFonts w:ascii="Arial" w:hAnsi="Arial" w:cs="Arial"/>
          <w:sz w:val="24"/>
          <w:szCs w:val="24"/>
        </w:rPr>
      </w:pPr>
    </w:p>
    <w:p w14:paraId="77DB40B9" w14:textId="03785AD7" w:rsidR="003978EC" w:rsidRDefault="003978EC" w:rsidP="00EA4110">
      <w:pPr>
        <w:spacing w:line="276" w:lineRule="auto"/>
        <w:rPr>
          <w:rFonts w:ascii="Arial" w:hAnsi="Arial" w:cs="Arial"/>
          <w:sz w:val="24"/>
          <w:szCs w:val="24"/>
        </w:rPr>
      </w:pPr>
      <w:r>
        <w:rPr>
          <w:rFonts w:ascii="Arial" w:hAnsi="Arial" w:cs="Arial"/>
          <w:sz w:val="24"/>
          <w:szCs w:val="24"/>
        </w:rPr>
        <w:t>Specific research objectives are</w:t>
      </w:r>
      <w:r w:rsidR="001F6096">
        <w:rPr>
          <w:rFonts w:ascii="Arial" w:hAnsi="Arial" w:cs="Arial"/>
          <w:sz w:val="24"/>
          <w:szCs w:val="24"/>
        </w:rPr>
        <w:t xml:space="preserve"> to</w:t>
      </w:r>
      <w:r>
        <w:rPr>
          <w:rFonts w:ascii="Arial" w:hAnsi="Arial" w:cs="Arial"/>
          <w:sz w:val="24"/>
          <w:szCs w:val="24"/>
        </w:rPr>
        <w:t>:</w:t>
      </w:r>
    </w:p>
    <w:p w14:paraId="26D9057E" w14:textId="1CF25657" w:rsidR="003978EC" w:rsidRDefault="003978EC" w:rsidP="00EA4110">
      <w:pPr>
        <w:spacing w:line="276" w:lineRule="auto"/>
        <w:rPr>
          <w:rFonts w:ascii="Arial" w:hAnsi="Arial" w:cs="Arial"/>
          <w:sz w:val="24"/>
          <w:szCs w:val="24"/>
        </w:rPr>
      </w:pPr>
    </w:p>
    <w:p w14:paraId="4D60AC38" w14:textId="051A1D56" w:rsidR="008F78A1" w:rsidRPr="00E54094" w:rsidRDefault="001F6096" w:rsidP="00A5698E">
      <w:pPr>
        <w:pStyle w:val="ListParagraph"/>
        <w:numPr>
          <w:ilvl w:val="0"/>
          <w:numId w:val="37"/>
        </w:numPr>
        <w:spacing w:after="120" w:line="276" w:lineRule="auto"/>
        <w:ind w:left="709" w:hanging="357"/>
        <w:rPr>
          <w:rFonts w:ascii="Arial" w:hAnsi="Arial" w:cs="Arial"/>
          <w:sz w:val="24"/>
          <w:szCs w:val="24"/>
        </w:rPr>
      </w:pPr>
      <w:r w:rsidRPr="00E54094">
        <w:rPr>
          <w:rFonts w:ascii="Arial" w:hAnsi="Arial" w:cs="Arial"/>
          <w:sz w:val="24"/>
          <w:szCs w:val="24"/>
        </w:rPr>
        <w:t xml:space="preserve">Conduct a thorough review of relevant published literature </w:t>
      </w:r>
      <w:r w:rsidR="00887DF3" w:rsidRPr="00E54094">
        <w:rPr>
          <w:rFonts w:ascii="Arial" w:hAnsi="Arial" w:cs="Arial"/>
          <w:sz w:val="24"/>
          <w:szCs w:val="24"/>
        </w:rPr>
        <w:t>drawing on disciplines from economics and the behavioural sciences (psychology, behavioural economics etc.)</w:t>
      </w:r>
      <w:r w:rsidRPr="00E54094">
        <w:rPr>
          <w:rFonts w:ascii="Arial" w:hAnsi="Arial" w:cs="Arial"/>
          <w:sz w:val="24"/>
          <w:szCs w:val="24"/>
        </w:rPr>
        <w:t xml:space="preserve"> </w:t>
      </w:r>
      <w:r w:rsidR="00887DF3" w:rsidRPr="00E54094">
        <w:rPr>
          <w:rFonts w:ascii="Arial" w:hAnsi="Arial" w:cs="Arial"/>
          <w:sz w:val="24"/>
          <w:szCs w:val="24"/>
        </w:rPr>
        <w:t xml:space="preserve">to understand the </w:t>
      </w:r>
      <w:r w:rsidR="0031206B" w:rsidRPr="00E54094">
        <w:rPr>
          <w:rFonts w:ascii="Arial" w:hAnsi="Arial" w:cs="Arial"/>
          <w:sz w:val="24"/>
          <w:szCs w:val="24"/>
        </w:rPr>
        <w:t>social</w:t>
      </w:r>
      <w:r w:rsidR="00EF2974" w:rsidRPr="00E54094">
        <w:rPr>
          <w:rFonts w:ascii="Arial" w:hAnsi="Arial" w:cs="Arial"/>
          <w:sz w:val="24"/>
          <w:szCs w:val="24"/>
        </w:rPr>
        <w:t xml:space="preserve"> and </w:t>
      </w:r>
      <w:r w:rsidR="0031206B" w:rsidRPr="00E54094">
        <w:rPr>
          <w:rFonts w:ascii="Arial" w:hAnsi="Arial" w:cs="Arial"/>
          <w:sz w:val="24"/>
          <w:szCs w:val="24"/>
        </w:rPr>
        <w:t xml:space="preserve">cultural </w:t>
      </w:r>
      <w:r w:rsidR="00887DF3" w:rsidRPr="00E54094">
        <w:rPr>
          <w:rFonts w:ascii="Arial" w:hAnsi="Arial" w:cs="Arial"/>
          <w:sz w:val="24"/>
          <w:szCs w:val="24"/>
        </w:rPr>
        <w:t>complexit</w:t>
      </w:r>
      <w:r w:rsidR="00EF2974" w:rsidRPr="00E54094">
        <w:rPr>
          <w:rFonts w:ascii="Arial" w:hAnsi="Arial" w:cs="Arial"/>
          <w:sz w:val="24"/>
          <w:szCs w:val="24"/>
        </w:rPr>
        <w:t xml:space="preserve">ies, including the </w:t>
      </w:r>
      <w:r w:rsidR="0031206B" w:rsidRPr="00E54094">
        <w:rPr>
          <w:rFonts w:ascii="Arial" w:hAnsi="Arial" w:cs="Arial"/>
          <w:sz w:val="24"/>
          <w:szCs w:val="24"/>
        </w:rPr>
        <w:t xml:space="preserve">economic </w:t>
      </w:r>
      <w:r w:rsidR="00887DF3" w:rsidRPr="00E54094">
        <w:rPr>
          <w:rFonts w:ascii="Arial" w:hAnsi="Arial" w:cs="Arial"/>
          <w:sz w:val="24"/>
          <w:szCs w:val="24"/>
        </w:rPr>
        <w:t>dynamics</w:t>
      </w:r>
      <w:r w:rsidR="00EF2974" w:rsidRPr="00E54094">
        <w:rPr>
          <w:rFonts w:ascii="Arial" w:hAnsi="Arial" w:cs="Arial"/>
          <w:sz w:val="24"/>
          <w:szCs w:val="24"/>
        </w:rPr>
        <w:t>,</w:t>
      </w:r>
      <w:r w:rsidR="00887DF3" w:rsidRPr="00E54094">
        <w:rPr>
          <w:rFonts w:ascii="Arial" w:hAnsi="Arial" w:cs="Arial"/>
          <w:sz w:val="24"/>
          <w:szCs w:val="24"/>
        </w:rPr>
        <w:t xml:space="preserve"> of the UK meat industry</w:t>
      </w:r>
      <w:r w:rsidR="00C71C42" w:rsidRPr="00E54094">
        <w:rPr>
          <w:rFonts w:ascii="Arial" w:hAnsi="Arial" w:cs="Arial"/>
          <w:sz w:val="24"/>
          <w:szCs w:val="24"/>
        </w:rPr>
        <w:t xml:space="preserve">. </w:t>
      </w:r>
      <w:r w:rsidR="00C77BC8" w:rsidRPr="005E5FB3">
        <w:rPr>
          <w:rFonts w:ascii="Arial" w:hAnsi="Arial" w:cs="Arial"/>
          <w:sz w:val="24"/>
          <w:szCs w:val="24"/>
        </w:rPr>
        <w:t xml:space="preserve">The review should look to examine the relationship between incentives and compliance in </w:t>
      </w:r>
      <w:r w:rsidR="00C77BC8">
        <w:rPr>
          <w:rFonts w:ascii="Arial" w:hAnsi="Arial" w:cs="Arial"/>
          <w:sz w:val="24"/>
          <w:szCs w:val="24"/>
        </w:rPr>
        <w:t xml:space="preserve">an </w:t>
      </w:r>
      <w:r w:rsidR="00C77BC8" w:rsidRPr="005E5FB3">
        <w:rPr>
          <w:rFonts w:ascii="Arial" w:hAnsi="Arial" w:cs="Arial"/>
          <w:sz w:val="24"/>
          <w:szCs w:val="24"/>
        </w:rPr>
        <w:t>organisation</w:t>
      </w:r>
      <w:r w:rsidR="00C77BC8">
        <w:rPr>
          <w:rFonts w:ascii="Arial" w:hAnsi="Arial" w:cs="Arial"/>
          <w:sz w:val="24"/>
          <w:szCs w:val="24"/>
        </w:rPr>
        <w:t xml:space="preserve">al context including its application </w:t>
      </w:r>
      <w:r w:rsidR="00C77BC8" w:rsidRPr="005E5FB3">
        <w:rPr>
          <w:rFonts w:ascii="Arial" w:hAnsi="Arial" w:cs="Arial"/>
          <w:sz w:val="24"/>
          <w:szCs w:val="24"/>
        </w:rPr>
        <w:t>to the meat industry</w:t>
      </w:r>
      <w:r w:rsidR="00E54094" w:rsidRPr="00E54094">
        <w:rPr>
          <w:rFonts w:ascii="Arial" w:hAnsi="Arial" w:cs="Arial"/>
          <w:sz w:val="24"/>
          <w:szCs w:val="24"/>
        </w:rPr>
        <w:t xml:space="preserve"> (see evidence base for details)</w:t>
      </w:r>
      <w:r w:rsidR="000800B9" w:rsidRPr="00E54094">
        <w:rPr>
          <w:rFonts w:ascii="Arial" w:hAnsi="Arial" w:cs="Arial"/>
          <w:sz w:val="24"/>
          <w:szCs w:val="24"/>
        </w:rPr>
        <w:t xml:space="preserve">. </w:t>
      </w:r>
      <w:r w:rsidR="008F78A1" w:rsidRPr="00E54094">
        <w:rPr>
          <w:rFonts w:ascii="Arial" w:hAnsi="Arial" w:cs="Arial"/>
          <w:sz w:val="24"/>
          <w:szCs w:val="24"/>
        </w:rPr>
        <w:t xml:space="preserve"> </w:t>
      </w:r>
    </w:p>
    <w:p w14:paraId="76C80CB0" w14:textId="4DAF3704" w:rsidR="00D73514" w:rsidRDefault="000727A2" w:rsidP="00D73514">
      <w:pPr>
        <w:pStyle w:val="ListParagraph"/>
        <w:numPr>
          <w:ilvl w:val="0"/>
          <w:numId w:val="37"/>
        </w:numPr>
        <w:spacing w:after="120" w:line="276" w:lineRule="auto"/>
        <w:rPr>
          <w:rFonts w:ascii="Arial" w:hAnsi="Arial" w:cs="Arial"/>
          <w:sz w:val="24"/>
          <w:szCs w:val="24"/>
        </w:rPr>
      </w:pPr>
      <w:r w:rsidRPr="00A263D1">
        <w:rPr>
          <w:rFonts w:ascii="Arial" w:hAnsi="Arial" w:cs="Arial"/>
          <w:sz w:val="24"/>
          <w:szCs w:val="24"/>
        </w:rPr>
        <w:t>Value chain analysis</w:t>
      </w:r>
      <w:r w:rsidR="009F4490" w:rsidRPr="00A263D1">
        <w:rPr>
          <w:rFonts w:ascii="Arial" w:hAnsi="Arial" w:cs="Arial"/>
          <w:sz w:val="24"/>
          <w:szCs w:val="24"/>
        </w:rPr>
        <w:t xml:space="preserve"> </w:t>
      </w:r>
      <w:r w:rsidR="008B74DE">
        <w:rPr>
          <w:rFonts w:ascii="Arial" w:hAnsi="Arial" w:cs="Arial"/>
          <w:sz w:val="24"/>
          <w:szCs w:val="24"/>
        </w:rPr>
        <w:t>of  the</w:t>
      </w:r>
      <w:r w:rsidR="009F4490" w:rsidRPr="00A263D1">
        <w:rPr>
          <w:rFonts w:ascii="Arial" w:hAnsi="Arial" w:cs="Arial"/>
          <w:sz w:val="24"/>
          <w:szCs w:val="24"/>
        </w:rPr>
        <w:t xml:space="preserve"> </w:t>
      </w:r>
      <w:r w:rsidR="008B74DE">
        <w:rPr>
          <w:rFonts w:ascii="Arial" w:hAnsi="Arial" w:cs="Arial"/>
          <w:sz w:val="24"/>
          <w:szCs w:val="24"/>
        </w:rPr>
        <w:t xml:space="preserve">whole of the UK </w:t>
      </w:r>
      <w:r w:rsidR="002F40AA">
        <w:rPr>
          <w:rFonts w:ascii="Arial" w:hAnsi="Arial" w:cs="Arial"/>
          <w:sz w:val="24"/>
          <w:szCs w:val="24"/>
        </w:rPr>
        <w:t xml:space="preserve">domestic </w:t>
      </w:r>
      <w:r w:rsidR="008B74DE">
        <w:rPr>
          <w:rFonts w:ascii="Arial" w:hAnsi="Arial" w:cs="Arial"/>
          <w:sz w:val="24"/>
          <w:szCs w:val="24"/>
        </w:rPr>
        <w:t>meat supply chain (</w:t>
      </w:r>
      <w:r w:rsidR="008B74DE" w:rsidRPr="00704863">
        <w:rPr>
          <w:rFonts w:ascii="Arial" w:hAnsi="Arial" w:cs="Arial"/>
          <w:i/>
          <w:sz w:val="24"/>
          <w:szCs w:val="24"/>
        </w:rPr>
        <w:t>livestock producers, marketers, slaughter and cutting plants, by-product and waste processors, value-added processing (e.g. sausage, bacon etc.), distributors, wholesalers, retailers, food service and consumers</w:t>
      </w:r>
      <w:r w:rsidR="008B74DE">
        <w:rPr>
          <w:rFonts w:ascii="Arial" w:hAnsi="Arial" w:cs="Arial"/>
          <w:sz w:val="24"/>
          <w:szCs w:val="24"/>
        </w:rPr>
        <w:t xml:space="preserve">) </w:t>
      </w:r>
      <w:r w:rsidR="008B74DE" w:rsidRPr="000252B7">
        <w:rPr>
          <w:rFonts w:ascii="Arial" w:hAnsi="Arial" w:cs="Arial"/>
          <w:sz w:val="24"/>
          <w:szCs w:val="24"/>
        </w:rPr>
        <w:t>by sector (</w:t>
      </w:r>
      <w:r w:rsidR="008B74DE" w:rsidRPr="00704863">
        <w:rPr>
          <w:rFonts w:ascii="Arial" w:hAnsi="Arial" w:cs="Arial"/>
          <w:i/>
          <w:sz w:val="24"/>
          <w:szCs w:val="24"/>
        </w:rPr>
        <w:t>poultry, red meat</w:t>
      </w:r>
      <w:r w:rsidR="008B74DE">
        <w:rPr>
          <w:rFonts w:ascii="Arial" w:hAnsi="Arial" w:cs="Arial"/>
          <w:i/>
          <w:sz w:val="24"/>
          <w:szCs w:val="24"/>
        </w:rPr>
        <w:t>,</w:t>
      </w:r>
      <w:r w:rsidR="008B74DE" w:rsidRPr="00704863">
        <w:rPr>
          <w:rFonts w:ascii="Arial" w:hAnsi="Arial" w:cs="Arial"/>
          <w:i/>
          <w:sz w:val="24"/>
          <w:szCs w:val="24"/>
        </w:rPr>
        <w:t xml:space="preserve"> game handling</w:t>
      </w:r>
      <w:r w:rsidR="008B74DE">
        <w:rPr>
          <w:rFonts w:ascii="Arial" w:hAnsi="Arial" w:cs="Arial"/>
          <w:i/>
          <w:sz w:val="24"/>
          <w:szCs w:val="24"/>
        </w:rPr>
        <w:t xml:space="preserve"> and horse meat</w:t>
      </w:r>
      <w:r w:rsidR="008B74DE" w:rsidRPr="000252B7">
        <w:rPr>
          <w:rFonts w:ascii="Arial" w:hAnsi="Arial" w:cs="Arial"/>
          <w:sz w:val="24"/>
          <w:szCs w:val="24"/>
        </w:rPr>
        <w:t>) for each of the product markets (</w:t>
      </w:r>
      <w:r w:rsidR="008B74DE" w:rsidRPr="00704863">
        <w:rPr>
          <w:rFonts w:ascii="Arial" w:hAnsi="Arial" w:cs="Arial"/>
          <w:i/>
          <w:sz w:val="24"/>
          <w:szCs w:val="24"/>
        </w:rPr>
        <w:t>e.g. venison, poultry, beef, lamb, pork etc.</w:t>
      </w:r>
      <w:r w:rsidR="008B74DE" w:rsidRPr="000252B7">
        <w:rPr>
          <w:rFonts w:ascii="Arial" w:hAnsi="Arial" w:cs="Arial"/>
          <w:sz w:val="24"/>
          <w:szCs w:val="24"/>
        </w:rPr>
        <w:t>)</w:t>
      </w:r>
      <w:r w:rsidR="008B74DE">
        <w:rPr>
          <w:rFonts w:ascii="Arial" w:hAnsi="Arial" w:cs="Arial"/>
          <w:sz w:val="24"/>
          <w:szCs w:val="24"/>
        </w:rPr>
        <w:t xml:space="preserve"> and their corresponding </w:t>
      </w:r>
      <w:r w:rsidR="008B74DE" w:rsidRPr="000252B7">
        <w:rPr>
          <w:rFonts w:ascii="Arial" w:hAnsi="Arial" w:cs="Arial"/>
          <w:sz w:val="24"/>
          <w:szCs w:val="24"/>
        </w:rPr>
        <w:t>business models</w:t>
      </w:r>
      <w:r w:rsidR="00B77C32">
        <w:rPr>
          <w:rFonts w:ascii="Arial" w:hAnsi="Arial" w:cs="Arial"/>
          <w:sz w:val="24"/>
          <w:szCs w:val="24"/>
        </w:rPr>
        <w:t xml:space="preserve"> i.e. </w:t>
      </w:r>
      <w:r w:rsidR="00D73514">
        <w:rPr>
          <w:rFonts w:ascii="Arial" w:hAnsi="Arial" w:cs="Arial"/>
          <w:sz w:val="24"/>
          <w:szCs w:val="24"/>
        </w:rPr>
        <w:t xml:space="preserve">create a </w:t>
      </w:r>
      <w:r w:rsidR="00D73514" w:rsidRPr="00A263D1">
        <w:rPr>
          <w:rFonts w:ascii="Arial" w:hAnsi="Arial" w:cs="Arial"/>
          <w:sz w:val="24"/>
          <w:szCs w:val="24"/>
        </w:rPr>
        <w:t>generic value chain for meat and meat products</w:t>
      </w:r>
      <w:r w:rsidR="00D73514">
        <w:rPr>
          <w:rFonts w:ascii="Arial" w:hAnsi="Arial" w:cs="Arial"/>
          <w:sz w:val="24"/>
          <w:szCs w:val="24"/>
        </w:rPr>
        <w:t xml:space="preserve"> with a view to identify</w:t>
      </w:r>
      <w:r w:rsidR="004F309C">
        <w:rPr>
          <w:rFonts w:ascii="Arial" w:hAnsi="Arial" w:cs="Arial"/>
          <w:sz w:val="24"/>
          <w:szCs w:val="24"/>
        </w:rPr>
        <w:t>ing</w:t>
      </w:r>
      <w:r w:rsidR="00D73514">
        <w:rPr>
          <w:rFonts w:ascii="Arial" w:hAnsi="Arial" w:cs="Arial"/>
          <w:sz w:val="24"/>
          <w:szCs w:val="24"/>
        </w:rPr>
        <w:t xml:space="preserve"> </w:t>
      </w:r>
      <w:r w:rsidR="00D73514" w:rsidRPr="00A263D1">
        <w:rPr>
          <w:rFonts w:ascii="Arial" w:hAnsi="Arial" w:cs="Arial"/>
          <w:sz w:val="24"/>
          <w:szCs w:val="24"/>
        </w:rPr>
        <w:t>all actors in the value chain</w:t>
      </w:r>
      <w:r w:rsidR="00B77C32">
        <w:rPr>
          <w:rFonts w:ascii="Arial" w:hAnsi="Arial" w:cs="Arial"/>
          <w:sz w:val="24"/>
          <w:szCs w:val="24"/>
        </w:rPr>
        <w:t>.</w:t>
      </w:r>
      <w:r w:rsidR="00417E21">
        <w:rPr>
          <w:rFonts w:ascii="Arial" w:hAnsi="Arial" w:cs="Arial"/>
          <w:sz w:val="24"/>
          <w:szCs w:val="24"/>
        </w:rPr>
        <w:t xml:space="preserve"> </w:t>
      </w:r>
      <w:r w:rsidR="00D73514">
        <w:rPr>
          <w:rFonts w:ascii="Arial" w:hAnsi="Arial" w:cs="Arial"/>
          <w:sz w:val="24"/>
          <w:szCs w:val="24"/>
        </w:rPr>
        <w:t xml:space="preserve">This will provide the </w:t>
      </w:r>
      <w:r w:rsidR="00D73514">
        <w:rPr>
          <w:rFonts w:ascii="Arial" w:hAnsi="Arial" w:cs="Arial"/>
          <w:sz w:val="24"/>
          <w:szCs w:val="24"/>
        </w:rPr>
        <w:lastRenderedPageBreak/>
        <w:t xml:space="preserve">FSA </w:t>
      </w:r>
      <w:r w:rsidR="00D73514" w:rsidRPr="00D73514">
        <w:rPr>
          <w:rFonts w:ascii="Arial" w:hAnsi="Arial" w:cs="Arial"/>
          <w:sz w:val="24"/>
          <w:szCs w:val="24"/>
        </w:rPr>
        <w:t>with a systematic tool to understand the processes in the industry</w:t>
      </w:r>
      <w:r w:rsidR="00417E21">
        <w:rPr>
          <w:rFonts w:ascii="Arial" w:hAnsi="Arial" w:cs="Arial"/>
          <w:sz w:val="24"/>
          <w:szCs w:val="24"/>
        </w:rPr>
        <w:t>/firm</w:t>
      </w:r>
      <w:r w:rsidR="00D73514" w:rsidRPr="00D73514">
        <w:rPr>
          <w:rFonts w:ascii="Arial" w:hAnsi="Arial" w:cs="Arial"/>
          <w:sz w:val="24"/>
          <w:szCs w:val="24"/>
        </w:rPr>
        <w:t xml:space="preserve"> and know the costs related to the various steps in the chain</w:t>
      </w:r>
      <w:r w:rsidR="00D73514">
        <w:rPr>
          <w:rFonts w:ascii="Arial" w:hAnsi="Arial" w:cs="Arial"/>
          <w:sz w:val="24"/>
          <w:szCs w:val="24"/>
        </w:rPr>
        <w:t>.</w:t>
      </w:r>
    </w:p>
    <w:p w14:paraId="481ED1AC" w14:textId="0DFD205A" w:rsidR="00A3740E" w:rsidRDefault="00A3740E" w:rsidP="00D73514">
      <w:pPr>
        <w:pStyle w:val="ListParagraph"/>
        <w:numPr>
          <w:ilvl w:val="0"/>
          <w:numId w:val="37"/>
        </w:numPr>
        <w:spacing w:after="120" w:line="276" w:lineRule="auto"/>
        <w:rPr>
          <w:rFonts w:ascii="Arial" w:hAnsi="Arial" w:cs="Arial"/>
          <w:sz w:val="24"/>
          <w:szCs w:val="24"/>
        </w:rPr>
      </w:pPr>
      <w:r>
        <w:rPr>
          <w:rFonts w:ascii="Arial" w:hAnsi="Arial" w:cs="Arial"/>
          <w:sz w:val="24"/>
          <w:szCs w:val="24"/>
        </w:rPr>
        <w:t>Analyse the regulatory regime, social system and cultural factors within the meat supply and value chains</w:t>
      </w:r>
      <w:r w:rsidR="00CB4643">
        <w:rPr>
          <w:rFonts w:ascii="Arial" w:hAnsi="Arial" w:cs="Arial"/>
          <w:sz w:val="24"/>
          <w:szCs w:val="24"/>
        </w:rPr>
        <w:t>. The analysis will focus on the rules, regulations, controls and governance imposed on the meat sector</w:t>
      </w:r>
      <w:r w:rsidR="004F309C">
        <w:rPr>
          <w:rFonts w:ascii="Arial" w:hAnsi="Arial" w:cs="Arial"/>
          <w:sz w:val="24"/>
          <w:szCs w:val="24"/>
        </w:rPr>
        <w:t>,</w:t>
      </w:r>
      <w:r w:rsidR="00CB4643">
        <w:rPr>
          <w:rFonts w:ascii="Arial" w:hAnsi="Arial" w:cs="Arial"/>
          <w:sz w:val="24"/>
          <w:szCs w:val="24"/>
        </w:rPr>
        <w:t xml:space="preserve"> looking at what is set out in principle and what </w:t>
      </w:r>
      <w:r w:rsidR="007C2555">
        <w:rPr>
          <w:rFonts w:ascii="Arial" w:hAnsi="Arial" w:cs="Arial"/>
          <w:sz w:val="24"/>
          <w:szCs w:val="24"/>
        </w:rPr>
        <w:t>happens</w:t>
      </w:r>
      <w:r w:rsidR="00CB4643">
        <w:rPr>
          <w:rFonts w:ascii="Arial" w:hAnsi="Arial" w:cs="Arial"/>
          <w:sz w:val="24"/>
          <w:szCs w:val="24"/>
        </w:rPr>
        <w:t xml:space="preserve"> in practice to determine the extent of non-compliance and associated food safety risks.</w:t>
      </w:r>
      <w:r w:rsidR="00D8456C">
        <w:rPr>
          <w:rFonts w:ascii="Arial" w:hAnsi="Arial" w:cs="Arial"/>
          <w:sz w:val="24"/>
          <w:szCs w:val="24"/>
        </w:rPr>
        <w:t xml:space="preserve"> This part of the study </w:t>
      </w:r>
      <w:r w:rsidR="007C2555">
        <w:rPr>
          <w:rFonts w:ascii="Arial" w:hAnsi="Arial" w:cs="Arial"/>
          <w:sz w:val="24"/>
          <w:szCs w:val="24"/>
        </w:rPr>
        <w:t xml:space="preserve">should look at the role of institutional and cultural factors that influence and shape the meat industry. </w:t>
      </w:r>
    </w:p>
    <w:p w14:paraId="256A2ADB" w14:textId="60BAFED8" w:rsidR="008B74DE" w:rsidRDefault="008B74DE" w:rsidP="00D73514">
      <w:pPr>
        <w:pStyle w:val="ListParagraph"/>
        <w:numPr>
          <w:ilvl w:val="0"/>
          <w:numId w:val="37"/>
        </w:numPr>
        <w:spacing w:after="120" w:line="276" w:lineRule="auto"/>
        <w:rPr>
          <w:rFonts w:ascii="Arial" w:hAnsi="Arial" w:cs="Arial"/>
          <w:sz w:val="24"/>
          <w:szCs w:val="24"/>
        </w:rPr>
      </w:pPr>
      <w:r>
        <w:rPr>
          <w:rFonts w:ascii="Arial" w:hAnsi="Arial" w:cs="Arial"/>
          <w:sz w:val="24"/>
          <w:szCs w:val="24"/>
        </w:rPr>
        <w:t xml:space="preserve">Map out the entire eco-system for the UK </w:t>
      </w:r>
      <w:r w:rsidR="002F40AA">
        <w:rPr>
          <w:rFonts w:ascii="Arial" w:hAnsi="Arial" w:cs="Arial"/>
          <w:sz w:val="24"/>
          <w:szCs w:val="24"/>
        </w:rPr>
        <w:t xml:space="preserve">domestic </w:t>
      </w:r>
      <w:r>
        <w:rPr>
          <w:rFonts w:ascii="Arial" w:hAnsi="Arial" w:cs="Arial"/>
          <w:sz w:val="24"/>
          <w:szCs w:val="24"/>
        </w:rPr>
        <w:t xml:space="preserve">meat trade showing the dynamics, interactions and interdependencies between sectors and stakeholders - the scope of which should look to encompass objectives </w:t>
      </w:r>
      <w:r w:rsidR="00B77C32">
        <w:rPr>
          <w:rFonts w:ascii="Arial" w:hAnsi="Arial" w:cs="Arial"/>
          <w:sz w:val="24"/>
          <w:szCs w:val="24"/>
        </w:rPr>
        <w:t xml:space="preserve">2 </w:t>
      </w:r>
      <w:r>
        <w:rPr>
          <w:rFonts w:ascii="Arial" w:hAnsi="Arial" w:cs="Arial"/>
          <w:sz w:val="24"/>
          <w:szCs w:val="24"/>
        </w:rPr>
        <w:t xml:space="preserve">and </w:t>
      </w:r>
      <w:r w:rsidR="00B77C32">
        <w:rPr>
          <w:rFonts w:ascii="Arial" w:hAnsi="Arial" w:cs="Arial"/>
          <w:sz w:val="24"/>
          <w:szCs w:val="24"/>
        </w:rPr>
        <w:t>3</w:t>
      </w:r>
      <w:r>
        <w:rPr>
          <w:rFonts w:ascii="Arial" w:hAnsi="Arial" w:cs="Arial"/>
          <w:sz w:val="24"/>
          <w:szCs w:val="24"/>
        </w:rPr>
        <w:t xml:space="preserve"> above</w:t>
      </w:r>
      <w:r w:rsidR="00B77C32">
        <w:rPr>
          <w:rFonts w:ascii="Arial" w:hAnsi="Arial" w:cs="Arial"/>
          <w:sz w:val="24"/>
          <w:szCs w:val="24"/>
        </w:rPr>
        <w:t>.</w:t>
      </w:r>
    </w:p>
    <w:p w14:paraId="17E701FA" w14:textId="7EF5AEC4" w:rsidR="003978EC" w:rsidRDefault="00704863" w:rsidP="0031206B">
      <w:pPr>
        <w:pStyle w:val="ListParagraph"/>
        <w:numPr>
          <w:ilvl w:val="0"/>
          <w:numId w:val="37"/>
        </w:numPr>
        <w:spacing w:after="120" w:line="276" w:lineRule="auto"/>
        <w:ind w:left="714" w:hanging="357"/>
        <w:rPr>
          <w:rFonts w:ascii="Arial" w:hAnsi="Arial" w:cs="Arial"/>
          <w:sz w:val="24"/>
          <w:szCs w:val="24"/>
        </w:rPr>
      </w:pPr>
      <w:r>
        <w:rPr>
          <w:rFonts w:ascii="Arial" w:hAnsi="Arial" w:cs="Arial"/>
          <w:sz w:val="24"/>
          <w:szCs w:val="24"/>
        </w:rPr>
        <w:t xml:space="preserve">Comparative Analysis -   </w:t>
      </w:r>
      <w:r w:rsidR="00AB0B34">
        <w:rPr>
          <w:rFonts w:ascii="Arial" w:hAnsi="Arial" w:cs="Arial"/>
          <w:sz w:val="24"/>
          <w:szCs w:val="24"/>
        </w:rPr>
        <w:t>compare compliance levels</w:t>
      </w:r>
      <w:r w:rsidR="00C77BC8">
        <w:rPr>
          <w:rFonts w:ascii="Arial" w:hAnsi="Arial" w:cs="Arial"/>
          <w:sz w:val="24"/>
          <w:szCs w:val="24"/>
        </w:rPr>
        <w:t xml:space="preserve"> in meat hygiene official controls</w:t>
      </w:r>
      <w:r w:rsidR="00AB0B34">
        <w:rPr>
          <w:rFonts w:ascii="Arial" w:hAnsi="Arial" w:cs="Arial"/>
          <w:sz w:val="24"/>
          <w:szCs w:val="24"/>
        </w:rPr>
        <w:t xml:space="preserve"> by sector </w:t>
      </w:r>
      <w:r w:rsidR="00AB0B34" w:rsidRPr="000252B7">
        <w:rPr>
          <w:rFonts w:ascii="Arial" w:hAnsi="Arial" w:cs="Arial"/>
          <w:sz w:val="24"/>
          <w:szCs w:val="24"/>
        </w:rPr>
        <w:t>(</w:t>
      </w:r>
      <w:r w:rsidR="00AB0B34" w:rsidRPr="00704863">
        <w:rPr>
          <w:rFonts w:ascii="Arial" w:hAnsi="Arial" w:cs="Arial"/>
          <w:i/>
          <w:sz w:val="24"/>
          <w:szCs w:val="24"/>
        </w:rPr>
        <w:t>poultry, red meat</w:t>
      </w:r>
      <w:r w:rsidR="006B1BEF">
        <w:rPr>
          <w:rFonts w:ascii="Arial" w:hAnsi="Arial" w:cs="Arial"/>
          <w:i/>
          <w:sz w:val="24"/>
          <w:szCs w:val="24"/>
        </w:rPr>
        <w:t xml:space="preserve">, </w:t>
      </w:r>
      <w:r w:rsidR="00AB0B34" w:rsidRPr="00704863">
        <w:rPr>
          <w:rFonts w:ascii="Arial" w:hAnsi="Arial" w:cs="Arial"/>
          <w:i/>
          <w:sz w:val="24"/>
          <w:szCs w:val="24"/>
        </w:rPr>
        <w:t>game handling</w:t>
      </w:r>
      <w:r w:rsidR="006B1BEF">
        <w:rPr>
          <w:rFonts w:ascii="Arial" w:hAnsi="Arial" w:cs="Arial"/>
          <w:i/>
          <w:sz w:val="24"/>
          <w:szCs w:val="24"/>
        </w:rPr>
        <w:t xml:space="preserve"> and horse meat</w:t>
      </w:r>
      <w:r w:rsidR="00AB0B34" w:rsidRPr="000252B7">
        <w:rPr>
          <w:rFonts w:ascii="Arial" w:hAnsi="Arial" w:cs="Arial"/>
          <w:sz w:val="24"/>
          <w:szCs w:val="24"/>
        </w:rPr>
        <w:t xml:space="preserve">) </w:t>
      </w:r>
      <w:r w:rsidR="00AB0B34">
        <w:rPr>
          <w:rFonts w:ascii="Arial" w:hAnsi="Arial" w:cs="Arial"/>
          <w:sz w:val="24"/>
          <w:szCs w:val="24"/>
        </w:rPr>
        <w:t>and scale of operation (</w:t>
      </w:r>
      <w:r w:rsidR="00AB0B34" w:rsidRPr="00AB0B34">
        <w:rPr>
          <w:rFonts w:ascii="Arial" w:hAnsi="Arial" w:cs="Arial"/>
          <w:i/>
          <w:sz w:val="24"/>
          <w:szCs w:val="24"/>
        </w:rPr>
        <w:t>micro, small, medium, large, very large</w:t>
      </w:r>
      <w:r w:rsidR="00AB0B34">
        <w:rPr>
          <w:rFonts w:ascii="Arial" w:hAnsi="Arial" w:cs="Arial"/>
          <w:sz w:val="24"/>
          <w:szCs w:val="24"/>
        </w:rPr>
        <w:t xml:space="preserve">).  Identify factors or drivers that could potentially explain differences in compliance performance between sectors and scale of plant. </w:t>
      </w:r>
    </w:p>
    <w:p w14:paraId="4EBB9737" w14:textId="579572E4" w:rsidR="000727A2" w:rsidRPr="001F6096" w:rsidRDefault="000727A2" w:rsidP="0031206B">
      <w:pPr>
        <w:pStyle w:val="ListParagraph"/>
        <w:numPr>
          <w:ilvl w:val="0"/>
          <w:numId w:val="37"/>
        </w:numPr>
        <w:spacing w:after="120" w:line="276" w:lineRule="auto"/>
        <w:ind w:left="714" w:hanging="357"/>
        <w:rPr>
          <w:rFonts w:ascii="Arial" w:hAnsi="Arial" w:cs="Arial"/>
          <w:sz w:val="24"/>
          <w:szCs w:val="24"/>
        </w:rPr>
      </w:pPr>
      <w:r>
        <w:rPr>
          <w:rFonts w:ascii="Arial" w:hAnsi="Arial" w:cs="Arial"/>
          <w:sz w:val="24"/>
          <w:szCs w:val="24"/>
        </w:rPr>
        <w:t xml:space="preserve">Recommendations on designing an effective </w:t>
      </w:r>
      <w:r w:rsidR="004631BB">
        <w:rPr>
          <w:rFonts w:ascii="Arial" w:hAnsi="Arial" w:cs="Arial"/>
          <w:sz w:val="24"/>
          <w:szCs w:val="24"/>
        </w:rPr>
        <w:t>regulatory</w:t>
      </w:r>
      <w:r>
        <w:rPr>
          <w:rFonts w:ascii="Arial" w:hAnsi="Arial" w:cs="Arial"/>
          <w:sz w:val="24"/>
          <w:szCs w:val="24"/>
        </w:rPr>
        <w:t xml:space="preserve"> model</w:t>
      </w:r>
      <w:r w:rsidR="00D23795">
        <w:rPr>
          <w:rFonts w:ascii="Arial" w:hAnsi="Arial" w:cs="Arial"/>
          <w:sz w:val="24"/>
          <w:szCs w:val="24"/>
        </w:rPr>
        <w:t xml:space="preserve"> that enables the FSA to identify vulnera</w:t>
      </w:r>
      <w:r w:rsidR="0097550A">
        <w:rPr>
          <w:rFonts w:ascii="Arial" w:hAnsi="Arial" w:cs="Arial"/>
          <w:sz w:val="24"/>
          <w:szCs w:val="24"/>
        </w:rPr>
        <w:t xml:space="preserve">bilities </w:t>
      </w:r>
      <w:r w:rsidR="00D23795">
        <w:rPr>
          <w:rFonts w:ascii="Arial" w:hAnsi="Arial" w:cs="Arial"/>
          <w:sz w:val="24"/>
          <w:szCs w:val="24"/>
        </w:rPr>
        <w:t xml:space="preserve">and compliance risks in the </w:t>
      </w:r>
      <w:r w:rsidR="002F40AA">
        <w:rPr>
          <w:rFonts w:ascii="Arial" w:hAnsi="Arial" w:cs="Arial"/>
          <w:sz w:val="24"/>
          <w:szCs w:val="24"/>
        </w:rPr>
        <w:t xml:space="preserve">domestic </w:t>
      </w:r>
      <w:r w:rsidR="00D23795">
        <w:rPr>
          <w:rFonts w:ascii="Arial" w:hAnsi="Arial" w:cs="Arial"/>
          <w:sz w:val="24"/>
          <w:szCs w:val="24"/>
        </w:rPr>
        <w:t>meat supply and value chains, which ultimately poses a risk to food safety.</w:t>
      </w:r>
    </w:p>
    <w:p w14:paraId="4379E88C" w14:textId="77777777" w:rsidR="003B13D0" w:rsidRDefault="003B13D0" w:rsidP="00EA4110">
      <w:pPr>
        <w:spacing w:line="276" w:lineRule="auto"/>
        <w:rPr>
          <w:rFonts w:ascii="Arial" w:hAnsi="Arial" w:cs="Arial"/>
          <w:sz w:val="24"/>
          <w:szCs w:val="24"/>
        </w:rPr>
      </w:pPr>
    </w:p>
    <w:p w14:paraId="1911A399" w14:textId="3434F784" w:rsidR="00F64730" w:rsidRPr="00F64730" w:rsidRDefault="00F64730" w:rsidP="00E501B9">
      <w:pPr>
        <w:spacing w:after="120" w:line="276" w:lineRule="auto"/>
        <w:rPr>
          <w:rFonts w:ascii="Arial" w:hAnsi="Arial" w:cs="Arial"/>
          <w:b/>
          <w:sz w:val="24"/>
          <w:szCs w:val="24"/>
        </w:rPr>
      </w:pPr>
      <w:r w:rsidRPr="00F64730">
        <w:rPr>
          <w:rFonts w:ascii="Arial" w:hAnsi="Arial" w:cs="Arial"/>
          <w:b/>
          <w:sz w:val="24"/>
          <w:szCs w:val="24"/>
        </w:rPr>
        <w:t>Methodology</w:t>
      </w:r>
    </w:p>
    <w:p w14:paraId="54BDF44E" w14:textId="1219459E" w:rsidR="00F64730" w:rsidRPr="00F64730" w:rsidRDefault="00777161" w:rsidP="00E501B9">
      <w:pPr>
        <w:spacing w:after="120" w:line="276" w:lineRule="auto"/>
        <w:rPr>
          <w:rStyle w:val="A1"/>
          <w:rFonts w:ascii="Arial" w:hAnsi="Arial" w:cs="Arial"/>
          <w:sz w:val="24"/>
          <w:szCs w:val="24"/>
        </w:rPr>
      </w:pPr>
      <w:r w:rsidRPr="00D36038">
        <w:rPr>
          <w:rStyle w:val="A1"/>
          <w:rFonts w:ascii="Arial" w:hAnsi="Arial" w:cs="Arial"/>
          <w:sz w:val="24"/>
          <w:szCs w:val="24"/>
        </w:rPr>
        <w:t xml:space="preserve">We expect the tenderer </w:t>
      </w:r>
      <w:r>
        <w:rPr>
          <w:rStyle w:val="A1"/>
          <w:rFonts w:ascii="Arial" w:hAnsi="Arial" w:cs="Arial"/>
          <w:sz w:val="24"/>
          <w:szCs w:val="24"/>
        </w:rPr>
        <w:t>to</w:t>
      </w:r>
      <w:r w:rsidRPr="00D36038">
        <w:rPr>
          <w:rStyle w:val="A1"/>
          <w:rFonts w:ascii="Arial" w:hAnsi="Arial" w:cs="Arial"/>
          <w:sz w:val="24"/>
          <w:szCs w:val="24"/>
        </w:rPr>
        <w:t xml:space="preserve"> outline an approach they deem appropriate to answer the research questions and that appreciates the challenges of conducting this research. </w:t>
      </w:r>
      <w:r>
        <w:rPr>
          <w:rStyle w:val="A1"/>
          <w:rFonts w:ascii="Arial" w:hAnsi="Arial" w:cs="Arial"/>
          <w:sz w:val="24"/>
          <w:szCs w:val="24"/>
        </w:rPr>
        <w:t>I</w:t>
      </w:r>
      <w:r w:rsidR="00F64730" w:rsidRPr="00F64730">
        <w:rPr>
          <w:rStyle w:val="A1"/>
          <w:rFonts w:ascii="Arial" w:hAnsi="Arial" w:cs="Arial"/>
          <w:sz w:val="24"/>
          <w:szCs w:val="24"/>
        </w:rPr>
        <w:t xml:space="preserve">t is not expected that a complete methodology be outlined in the tender application. Instead, the tenderer should include a roadmap of the concepts they expect to apply and research they intend to build upon to achieve the outcomes outlined in the specification. Where assumptions are made, these must be explicitly stated along with the rationale behind their application. </w:t>
      </w:r>
    </w:p>
    <w:p w14:paraId="726D4855" w14:textId="77777777" w:rsidR="00F64730" w:rsidRPr="00F64730" w:rsidRDefault="00F64730" w:rsidP="00E70664">
      <w:pPr>
        <w:spacing w:line="276" w:lineRule="auto"/>
        <w:rPr>
          <w:rFonts w:ascii="Arial" w:hAnsi="Arial" w:cs="Arial"/>
          <w:b/>
          <w:sz w:val="24"/>
          <w:szCs w:val="24"/>
        </w:rPr>
      </w:pPr>
    </w:p>
    <w:p w14:paraId="657CE621" w14:textId="60543D4A" w:rsidR="00F64730" w:rsidRPr="00F4195A" w:rsidRDefault="00F64730" w:rsidP="00F4195A">
      <w:pPr>
        <w:spacing w:after="120" w:line="276" w:lineRule="auto"/>
        <w:rPr>
          <w:rFonts w:ascii="Arial" w:hAnsi="Arial" w:cs="Arial"/>
          <w:b/>
          <w:sz w:val="24"/>
          <w:szCs w:val="24"/>
        </w:rPr>
      </w:pPr>
      <w:r w:rsidRPr="00F4195A">
        <w:rPr>
          <w:rFonts w:ascii="Arial" w:hAnsi="Arial" w:cs="Arial"/>
          <w:b/>
          <w:sz w:val="24"/>
          <w:szCs w:val="24"/>
        </w:rPr>
        <w:t>Evidence Base</w:t>
      </w:r>
    </w:p>
    <w:p w14:paraId="05C50260" w14:textId="22EA6750" w:rsidR="006A39C6" w:rsidRDefault="006A39C6" w:rsidP="00F4195A">
      <w:pPr>
        <w:spacing w:after="120" w:line="276" w:lineRule="auto"/>
        <w:rPr>
          <w:rFonts w:ascii="Arial" w:hAnsi="Arial" w:cs="Arial"/>
          <w:sz w:val="24"/>
          <w:szCs w:val="24"/>
        </w:rPr>
      </w:pPr>
      <w:r w:rsidRPr="006A39C6">
        <w:rPr>
          <w:rFonts w:ascii="Arial" w:hAnsi="Arial" w:cs="Arial"/>
          <w:sz w:val="24"/>
          <w:szCs w:val="24"/>
        </w:rPr>
        <w:t xml:space="preserve">To be effective, regulators need to ensure that firms comply with the rules they set. Compliance in practice depends on a range of factors, including incentives, governance, controls, culture and behavioural issues. </w:t>
      </w:r>
      <w:r>
        <w:rPr>
          <w:rFonts w:ascii="Arial" w:hAnsi="Arial" w:cs="Arial"/>
          <w:sz w:val="24"/>
          <w:szCs w:val="24"/>
        </w:rPr>
        <w:t xml:space="preserve">A paper by </w:t>
      </w:r>
      <w:r w:rsidRPr="006A39C6">
        <w:rPr>
          <w:rFonts w:ascii="Arial" w:hAnsi="Arial" w:cs="Arial"/>
          <w:sz w:val="24"/>
          <w:szCs w:val="24"/>
        </w:rPr>
        <w:t xml:space="preserve">Iscenko, </w:t>
      </w:r>
      <w:r>
        <w:rPr>
          <w:rFonts w:ascii="Arial" w:hAnsi="Arial" w:cs="Arial"/>
          <w:sz w:val="24"/>
          <w:szCs w:val="24"/>
        </w:rPr>
        <w:t xml:space="preserve">Pickard, Smart and Vasas (2016), </w:t>
      </w:r>
      <w:r w:rsidRPr="006A39C6">
        <w:rPr>
          <w:rFonts w:ascii="Arial" w:hAnsi="Arial" w:cs="Arial"/>
          <w:sz w:val="24"/>
          <w:szCs w:val="24"/>
        </w:rPr>
        <w:t xml:space="preserve">considers how regulators can complement an incentive-based ‘credible deterrence’ approach with an approach that uses insights from </w:t>
      </w:r>
      <w:r w:rsidRPr="006A39C6">
        <w:rPr>
          <w:rFonts w:ascii="Arial" w:hAnsi="Arial" w:cs="Arial"/>
          <w:sz w:val="24"/>
          <w:szCs w:val="24"/>
        </w:rPr>
        <w:lastRenderedPageBreak/>
        <w:t xml:space="preserve">psychology to change the way that firms make compliance decisions. This involves analysis of behavioural biases, morality, culture and social norms, which have tended to be studied in the context of consumer decision making. </w:t>
      </w:r>
      <w:r>
        <w:rPr>
          <w:rFonts w:ascii="Arial" w:hAnsi="Arial" w:cs="Arial"/>
          <w:sz w:val="24"/>
          <w:szCs w:val="24"/>
        </w:rPr>
        <w:t>However, t</w:t>
      </w:r>
      <w:r w:rsidRPr="006A39C6">
        <w:rPr>
          <w:rFonts w:ascii="Arial" w:hAnsi="Arial" w:cs="Arial"/>
          <w:sz w:val="24"/>
          <w:szCs w:val="24"/>
        </w:rPr>
        <w:t>heir implications for compliance are less well understood.</w:t>
      </w:r>
    </w:p>
    <w:p w14:paraId="37D7FCD2" w14:textId="6095AD6D" w:rsidR="006A39C6" w:rsidRPr="006A39C6" w:rsidRDefault="0021368B" w:rsidP="00F4195A">
      <w:pPr>
        <w:spacing w:after="120" w:line="276" w:lineRule="auto"/>
        <w:rPr>
          <w:rFonts w:ascii="Arial" w:hAnsi="Arial" w:cs="Arial"/>
          <w:sz w:val="24"/>
          <w:szCs w:val="24"/>
        </w:rPr>
      </w:pPr>
      <w:r w:rsidRPr="0021368B">
        <w:rPr>
          <w:rFonts w:ascii="Arial" w:hAnsi="Arial" w:cs="Arial"/>
          <w:sz w:val="24"/>
          <w:szCs w:val="24"/>
        </w:rPr>
        <w:t>Standard economic models see regulation as a principal-agent problem, in which the regulated firm – the agent – may have an incentive to act in a harmful way</w:t>
      </w:r>
      <w:r>
        <w:rPr>
          <w:rFonts w:ascii="Arial" w:hAnsi="Arial" w:cs="Arial"/>
          <w:sz w:val="24"/>
          <w:szCs w:val="24"/>
        </w:rPr>
        <w:t xml:space="preserve"> (see Laffont and Tirole (1993))</w:t>
      </w:r>
      <w:r w:rsidRPr="0021368B">
        <w:rPr>
          <w:rFonts w:ascii="Arial" w:hAnsi="Arial" w:cs="Arial"/>
          <w:sz w:val="24"/>
          <w:szCs w:val="24"/>
        </w:rPr>
        <w:t>.  The firm has private information that the regulator – the principal – cannot access, which limits the regulator’s ability to prevent the firm from doing harm</w:t>
      </w:r>
      <w:r w:rsidR="00D357C9">
        <w:rPr>
          <w:rFonts w:ascii="Arial" w:hAnsi="Arial" w:cs="Arial"/>
          <w:sz w:val="24"/>
          <w:szCs w:val="24"/>
        </w:rPr>
        <w:t xml:space="preserve"> – imperfect monitoring (see Alchain and Demsetz (1972) and Fama (1980))</w:t>
      </w:r>
      <w:r w:rsidRPr="0021368B">
        <w:rPr>
          <w:rFonts w:ascii="Arial" w:hAnsi="Arial" w:cs="Arial"/>
          <w:sz w:val="24"/>
          <w:szCs w:val="24"/>
        </w:rPr>
        <w:t>. The sorts of harm that are of concern to regulators include the exploitation of vulnerable consumers, market integrity issues and market failures, which occur when profit-maximising behaviour on the part of firms reduces the welfare of society as a whole</w:t>
      </w:r>
      <w:r>
        <w:rPr>
          <w:rFonts w:ascii="Arial" w:hAnsi="Arial" w:cs="Arial"/>
          <w:sz w:val="24"/>
          <w:szCs w:val="24"/>
        </w:rPr>
        <w:t xml:space="preserve">. </w:t>
      </w:r>
      <w:r w:rsidR="006A39C6" w:rsidRPr="006A39C6">
        <w:rPr>
          <w:rFonts w:ascii="Arial" w:hAnsi="Arial" w:cs="Arial"/>
          <w:sz w:val="24"/>
          <w:szCs w:val="24"/>
        </w:rPr>
        <w:t>These models have had a significant influence on regulators’ approaches to compliance, with ‘credible deterrence’ tending to focus on using detection and punishment to change firms’ incentives, alongside strengthening the quality of firms’ governance and internal controls.</w:t>
      </w:r>
    </w:p>
    <w:p w14:paraId="0B0FEA53" w14:textId="48063481" w:rsidR="0068720A" w:rsidRDefault="0068720A" w:rsidP="0068720A">
      <w:pPr>
        <w:spacing w:line="276" w:lineRule="auto"/>
        <w:rPr>
          <w:rFonts w:ascii="Arial" w:hAnsi="Arial" w:cs="Arial"/>
          <w:sz w:val="24"/>
          <w:szCs w:val="24"/>
        </w:rPr>
      </w:pPr>
      <w:r>
        <w:rPr>
          <w:rFonts w:ascii="Arial" w:hAnsi="Arial" w:cs="Arial"/>
          <w:sz w:val="24"/>
          <w:szCs w:val="24"/>
        </w:rPr>
        <w:t>Iscenko et al (2016) discuss how b</w:t>
      </w:r>
      <w:r w:rsidRPr="00683544">
        <w:rPr>
          <w:rFonts w:ascii="Arial" w:hAnsi="Arial" w:cs="Arial"/>
          <w:sz w:val="24"/>
          <w:szCs w:val="24"/>
        </w:rPr>
        <w:t xml:space="preserve">ehavioural biases occur when decision making departs from the benchmark of strict rationality. </w:t>
      </w:r>
      <w:r>
        <w:rPr>
          <w:rFonts w:ascii="Arial" w:hAnsi="Arial" w:cs="Arial"/>
          <w:sz w:val="24"/>
          <w:szCs w:val="24"/>
        </w:rPr>
        <w:t xml:space="preserve">They explain that </w:t>
      </w:r>
      <w:r w:rsidRPr="00683544">
        <w:rPr>
          <w:rFonts w:ascii="Arial" w:hAnsi="Arial" w:cs="Arial"/>
          <w:sz w:val="24"/>
          <w:szCs w:val="24"/>
        </w:rPr>
        <w:t>such biases can affect people’s</w:t>
      </w:r>
      <w:r>
        <w:rPr>
          <w:rFonts w:ascii="Arial" w:hAnsi="Arial" w:cs="Arial"/>
          <w:sz w:val="24"/>
          <w:szCs w:val="24"/>
        </w:rPr>
        <w:t>/ firms</w:t>
      </w:r>
      <w:r w:rsidR="009E48B5">
        <w:rPr>
          <w:rFonts w:ascii="Arial" w:hAnsi="Arial" w:cs="Arial"/>
          <w:sz w:val="24"/>
          <w:szCs w:val="24"/>
        </w:rPr>
        <w:t>’</w:t>
      </w:r>
      <w:r w:rsidRPr="00683544">
        <w:rPr>
          <w:rFonts w:ascii="Arial" w:hAnsi="Arial" w:cs="Arial"/>
          <w:sz w:val="24"/>
          <w:szCs w:val="24"/>
        </w:rPr>
        <w:t xml:space="preserve"> preferences, their beliefs, and the way they make decisions, all of which are important for the way that people</w:t>
      </w:r>
      <w:r>
        <w:rPr>
          <w:rFonts w:ascii="Arial" w:hAnsi="Arial" w:cs="Arial"/>
          <w:sz w:val="24"/>
          <w:szCs w:val="24"/>
        </w:rPr>
        <w:t>/ firms</w:t>
      </w:r>
      <w:r w:rsidRPr="00683544">
        <w:rPr>
          <w:rFonts w:ascii="Arial" w:hAnsi="Arial" w:cs="Arial"/>
          <w:sz w:val="24"/>
          <w:szCs w:val="24"/>
        </w:rPr>
        <w:t xml:space="preserve"> respond to compliance incentives. Biases in preferences affect the way that people</w:t>
      </w:r>
      <w:r>
        <w:rPr>
          <w:rFonts w:ascii="Arial" w:hAnsi="Arial" w:cs="Arial"/>
          <w:sz w:val="24"/>
          <w:szCs w:val="24"/>
        </w:rPr>
        <w:t>/ firms</w:t>
      </w:r>
      <w:r w:rsidRPr="00683544">
        <w:rPr>
          <w:rFonts w:ascii="Arial" w:hAnsi="Arial" w:cs="Arial"/>
          <w:sz w:val="24"/>
          <w:szCs w:val="24"/>
        </w:rPr>
        <w:t xml:space="preserve"> weight the costs and benefits of </w:t>
      </w:r>
      <w:r>
        <w:rPr>
          <w:rFonts w:ascii="Arial" w:hAnsi="Arial" w:cs="Arial"/>
          <w:sz w:val="24"/>
          <w:szCs w:val="24"/>
        </w:rPr>
        <w:t>non-compliance</w:t>
      </w:r>
      <w:r w:rsidRPr="00683544">
        <w:rPr>
          <w:rFonts w:ascii="Arial" w:hAnsi="Arial" w:cs="Arial"/>
          <w:sz w:val="24"/>
          <w:szCs w:val="24"/>
        </w:rPr>
        <w:t xml:space="preserve">, with present bias increasing the perceived benefits of </w:t>
      </w:r>
      <w:r>
        <w:rPr>
          <w:rFonts w:ascii="Arial" w:hAnsi="Arial" w:cs="Arial"/>
          <w:sz w:val="24"/>
          <w:szCs w:val="24"/>
        </w:rPr>
        <w:t>non-compliance</w:t>
      </w:r>
      <w:r w:rsidRPr="00683544">
        <w:rPr>
          <w:rFonts w:ascii="Arial" w:hAnsi="Arial" w:cs="Arial"/>
          <w:sz w:val="24"/>
          <w:szCs w:val="24"/>
        </w:rPr>
        <w:t xml:space="preserve"> and endowment effects resulting in firms becoming excessively attached to existing, potentially poor, compliance processes.</w:t>
      </w:r>
    </w:p>
    <w:p w14:paraId="7C9D210E" w14:textId="77777777" w:rsidR="0068720A" w:rsidRDefault="0068720A" w:rsidP="0068720A">
      <w:pPr>
        <w:spacing w:line="276" w:lineRule="auto"/>
        <w:rPr>
          <w:rFonts w:ascii="Arial" w:hAnsi="Arial" w:cs="Arial"/>
          <w:sz w:val="24"/>
          <w:szCs w:val="24"/>
        </w:rPr>
      </w:pPr>
    </w:p>
    <w:p w14:paraId="330A0B0D" w14:textId="28959139" w:rsidR="0068720A" w:rsidRDefault="0068720A" w:rsidP="0068720A">
      <w:pPr>
        <w:spacing w:line="276" w:lineRule="auto"/>
        <w:rPr>
          <w:rFonts w:ascii="Arial" w:hAnsi="Arial" w:cs="Arial"/>
          <w:sz w:val="24"/>
          <w:szCs w:val="24"/>
        </w:rPr>
      </w:pPr>
      <w:r>
        <w:rPr>
          <w:rFonts w:ascii="Arial" w:hAnsi="Arial" w:cs="Arial"/>
          <w:sz w:val="24"/>
          <w:szCs w:val="24"/>
        </w:rPr>
        <w:t>Iscenko et al (2016) also highlight that c</w:t>
      </w:r>
      <w:r w:rsidRPr="00A5698E">
        <w:rPr>
          <w:rFonts w:ascii="Arial" w:hAnsi="Arial" w:cs="Arial"/>
          <w:sz w:val="24"/>
          <w:szCs w:val="24"/>
        </w:rPr>
        <w:t>ontextual factors help to determine the weight that people</w:t>
      </w:r>
      <w:r>
        <w:rPr>
          <w:rFonts w:ascii="Arial" w:hAnsi="Arial" w:cs="Arial"/>
          <w:sz w:val="24"/>
          <w:szCs w:val="24"/>
        </w:rPr>
        <w:t>/ firms</w:t>
      </w:r>
      <w:r w:rsidRPr="00A5698E">
        <w:rPr>
          <w:rFonts w:ascii="Arial" w:hAnsi="Arial" w:cs="Arial"/>
          <w:sz w:val="24"/>
          <w:szCs w:val="24"/>
        </w:rPr>
        <w:t xml:space="preserve"> attach to such moral considerations, and therefore affect the interaction of people’s</w:t>
      </w:r>
      <w:r>
        <w:rPr>
          <w:rFonts w:ascii="Arial" w:hAnsi="Arial" w:cs="Arial"/>
          <w:sz w:val="24"/>
          <w:szCs w:val="24"/>
        </w:rPr>
        <w:t>/ firms</w:t>
      </w:r>
      <w:r w:rsidR="009E48B5">
        <w:rPr>
          <w:rFonts w:ascii="Arial" w:hAnsi="Arial" w:cs="Arial"/>
          <w:sz w:val="24"/>
          <w:szCs w:val="24"/>
        </w:rPr>
        <w:t>’</w:t>
      </w:r>
      <w:r w:rsidRPr="00A5698E">
        <w:rPr>
          <w:rFonts w:ascii="Arial" w:hAnsi="Arial" w:cs="Arial"/>
          <w:sz w:val="24"/>
          <w:szCs w:val="24"/>
        </w:rPr>
        <w:t xml:space="preserve"> internal and external incentives. If ethical considerations are </w:t>
      </w:r>
      <w:r w:rsidR="00094EA5">
        <w:rPr>
          <w:rFonts w:ascii="Arial" w:hAnsi="Arial" w:cs="Arial"/>
          <w:sz w:val="24"/>
          <w:szCs w:val="24"/>
        </w:rPr>
        <w:t>made</w:t>
      </w:r>
      <w:r w:rsidRPr="00A5698E">
        <w:rPr>
          <w:rFonts w:ascii="Arial" w:hAnsi="Arial" w:cs="Arial"/>
          <w:sz w:val="24"/>
          <w:szCs w:val="24"/>
        </w:rPr>
        <w:t xml:space="preserve"> salient when </w:t>
      </w:r>
      <w:r>
        <w:rPr>
          <w:rFonts w:ascii="Arial" w:hAnsi="Arial" w:cs="Arial"/>
          <w:sz w:val="24"/>
          <w:szCs w:val="24"/>
        </w:rPr>
        <w:t>firms</w:t>
      </w:r>
      <w:r w:rsidRPr="00A5698E">
        <w:rPr>
          <w:rFonts w:ascii="Arial" w:hAnsi="Arial" w:cs="Arial"/>
          <w:sz w:val="24"/>
          <w:szCs w:val="24"/>
        </w:rPr>
        <w:t xml:space="preserve"> make decisions, it is more difficult to rationalise wrongdoing. For instance, making people</w:t>
      </w:r>
      <w:r>
        <w:rPr>
          <w:rFonts w:ascii="Arial" w:hAnsi="Arial" w:cs="Arial"/>
          <w:sz w:val="24"/>
          <w:szCs w:val="24"/>
        </w:rPr>
        <w:t>/ firms</w:t>
      </w:r>
      <w:r w:rsidRPr="00A5698E">
        <w:rPr>
          <w:rFonts w:ascii="Arial" w:hAnsi="Arial" w:cs="Arial"/>
          <w:sz w:val="24"/>
          <w:szCs w:val="24"/>
        </w:rPr>
        <w:t xml:space="preserve"> recall moral codes before they have the opportunity to break rules can make wrongdoing less likely</w:t>
      </w:r>
      <w:r>
        <w:rPr>
          <w:rFonts w:ascii="Arial" w:hAnsi="Arial" w:cs="Arial"/>
          <w:sz w:val="24"/>
          <w:szCs w:val="24"/>
        </w:rPr>
        <w:t xml:space="preserve"> (see Marzar, Amir and Ariely (2008))</w:t>
      </w:r>
      <w:r w:rsidRPr="00A5698E">
        <w:rPr>
          <w:rFonts w:ascii="Arial" w:hAnsi="Arial" w:cs="Arial"/>
          <w:sz w:val="24"/>
          <w:szCs w:val="24"/>
        </w:rPr>
        <w:t>.</w:t>
      </w:r>
    </w:p>
    <w:p w14:paraId="64780D2B" w14:textId="38D0D896" w:rsidR="006A39C6" w:rsidRDefault="006A39C6" w:rsidP="0013463D">
      <w:pPr>
        <w:spacing w:line="276" w:lineRule="auto"/>
        <w:rPr>
          <w:rFonts w:ascii="Arial" w:hAnsi="Arial" w:cs="Arial"/>
          <w:color w:val="FF0000"/>
          <w:sz w:val="24"/>
          <w:szCs w:val="24"/>
        </w:rPr>
      </w:pPr>
    </w:p>
    <w:p w14:paraId="3F11BED8" w14:textId="6509F80F" w:rsidR="00D357C9" w:rsidRDefault="00D357C9" w:rsidP="00F4195A">
      <w:pPr>
        <w:spacing w:after="120" w:line="276" w:lineRule="auto"/>
        <w:rPr>
          <w:rFonts w:ascii="Arial" w:hAnsi="Arial" w:cs="Arial"/>
          <w:sz w:val="24"/>
          <w:szCs w:val="24"/>
        </w:rPr>
      </w:pPr>
      <w:r w:rsidRPr="00D357C9">
        <w:rPr>
          <w:rFonts w:ascii="Arial" w:hAnsi="Arial" w:cs="Arial"/>
          <w:sz w:val="24"/>
          <w:szCs w:val="24"/>
        </w:rPr>
        <w:t xml:space="preserve">In addition to monetary incentives, reputation, can also drive </w:t>
      </w:r>
      <w:r>
        <w:rPr>
          <w:rFonts w:ascii="Arial" w:hAnsi="Arial" w:cs="Arial"/>
          <w:sz w:val="24"/>
          <w:szCs w:val="24"/>
        </w:rPr>
        <w:t>individual</w:t>
      </w:r>
      <w:r w:rsidRPr="00D357C9">
        <w:rPr>
          <w:rFonts w:ascii="Arial" w:hAnsi="Arial" w:cs="Arial"/>
          <w:sz w:val="24"/>
          <w:szCs w:val="24"/>
        </w:rPr>
        <w:t>s</w:t>
      </w:r>
      <w:r w:rsidR="003D07E2" w:rsidRPr="00D357C9">
        <w:rPr>
          <w:rFonts w:ascii="Arial" w:hAnsi="Arial" w:cs="Arial"/>
          <w:sz w:val="24"/>
          <w:szCs w:val="24"/>
        </w:rPr>
        <w:t>’</w:t>
      </w:r>
      <w:r w:rsidRPr="00D357C9">
        <w:rPr>
          <w:rFonts w:ascii="Arial" w:hAnsi="Arial" w:cs="Arial"/>
          <w:sz w:val="24"/>
          <w:szCs w:val="24"/>
        </w:rPr>
        <w:t xml:space="preserve"> behaviour</w:t>
      </w:r>
      <w:r>
        <w:rPr>
          <w:rFonts w:ascii="Arial" w:hAnsi="Arial" w:cs="Arial"/>
          <w:sz w:val="24"/>
          <w:szCs w:val="24"/>
        </w:rPr>
        <w:t xml:space="preserve"> (see Busuoic and Lodge (2015))</w:t>
      </w:r>
      <w:r w:rsidRPr="00D357C9">
        <w:rPr>
          <w:rFonts w:ascii="Arial" w:hAnsi="Arial" w:cs="Arial"/>
          <w:sz w:val="24"/>
          <w:szCs w:val="24"/>
        </w:rPr>
        <w:t xml:space="preserve">. Firms and individuals therein are concerned about their standing with their networks of audiences, which include regulators, potential employers, competitors and consumers. While in the principal-agent view firms’ private information is a benefit that they would not wish to give up, the reputational view suggests that they might do so if it enhanced their standing with their audiences. The way in which firms respond to compliance incentives will also be </w:t>
      </w:r>
      <w:r w:rsidRPr="00D357C9">
        <w:rPr>
          <w:rFonts w:ascii="Arial" w:hAnsi="Arial" w:cs="Arial"/>
          <w:sz w:val="24"/>
          <w:szCs w:val="24"/>
        </w:rPr>
        <w:lastRenderedPageBreak/>
        <w:t>subject to reputational considerations, as being seen to have engaged in wrongdoing is likely to affect firms’ and individuals’ standing with the audiences. Within this framework, reputation damage could feature as an addition to punishment in the event that wrongdoing is detected. Alternatively, if wrongdoing is known to actors other than the regulator, reputational damage could be thought of as reducing the benefits of</w:t>
      </w:r>
      <w:r>
        <w:rPr>
          <w:rFonts w:ascii="Arial" w:hAnsi="Arial" w:cs="Arial"/>
          <w:sz w:val="24"/>
          <w:szCs w:val="24"/>
        </w:rPr>
        <w:t xml:space="preserve"> non-compliance</w:t>
      </w:r>
      <w:r w:rsidRPr="00D357C9">
        <w:rPr>
          <w:rFonts w:ascii="Arial" w:hAnsi="Arial" w:cs="Arial"/>
          <w:sz w:val="24"/>
          <w:szCs w:val="24"/>
        </w:rPr>
        <w:t>.</w:t>
      </w:r>
    </w:p>
    <w:p w14:paraId="2DD80A3D" w14:textId="21F4A5AB" w:rsidR="00A26DDA" w:rsidRPr="0076477B" w:rsidRDefault="00C7274E" w:rsidP="00A26DDA">
      <w:pPr>
        <w:spacing w:line="276" w:lineRule="auto"/>
        <w:rPr>
          <w:rFonts w:ascii="Arial" w:hAnsi="Arial" w:cs="Arial"/>
          <w:sz w:val="24"/>
          <w:szCs w:val="24"/>
        </w:rPr>
      </w:pPr>
      <w:r w:rsidRPr="0076477B">
        <w:rPr>
          <w:rFonts w:ascii="Arial" w:hAnsi="Arial" w:cs="Arial"/>
          <w:sz w:val="24"/>
          <w:szCs w:val="24"/>
        </w:rPr>
        <w:t>Some studies have found that increasing the probability of detection is more effective at discouraging rule breaking than increasing punishments. The effectiveness of increasing the probability of detection also depends on the nature of the infringement, tending to be more effective for rule breaches such as tax evasion and fraud than violent crimes (see Entorf (2012)</w:t>
      </w:r>
      <w:r w:rsidR="00683544">
        <w:rPr>
          <w:rFonts w:ascii="Arial" w:hAnsi="Arial" w:cs="Arial"/>
          <w:sz w:val="24"/>
          <w:szCs w:val="24"/>
        </w:rPr>
        <w:t>)</w:t>
      </w:r>
      <w:r w:rsidRPr="0076477B">
        <w:rPr>
          <w:rFonts w:ascii="Arial" w:hAnsi="Arial" w:cs="Arial"/>
          <w:sz w:val="24"/>
          <w:szCs w:val="24"/>
        </w:rPr>
        <w:t>. Some evidence from behavioural experiments has called into question the effectiveness of both certainty and severity. These experiments suggest that people tend to break rules by a modest but consistent amount, regardless of the level of reward or the probability of detection (see Ariely (2012)</w:t>
      </w:r>
      <w:r w:rsidR="0013463D">
        <w:rPr>
          <w:rFonts w:ascii="Arial" w:hAnsi="Arial" w:cs="Arial"/>
          <w:sz w:val="24"/>
          <w:szCs w:val="24"/>
        </w:rPr>
        <w:t>)</w:t>
      </w:r>
      <w:r w:rsidRPr="0076477B">
        <w:rPr>
          <w:rFonts w:ascii="Arial" w:hAnsi="Arial" w:cs="Arial"/>
          <w:sz w:val="24"/>
          <w:szCs w:val="24"/>
        </w:rPr>
        <w:t xml:space="preserve">. </w:t>
      </w:r>
    </w:p>
    <w:p w14:paraId="4CF687B8" w14:textId="77777777" w:rsidR="00683544" w:rsidRPr="00A26DDA" w:rsidRDefault="00683544" w:rsidP="00A26DDA">
      <w:pPr>
        <w:spacing w:line="276" w:lineRule="auto"/>
        <w:rPr>
          <w:rFonts w:ascii="Arial" w:hAnsi="Arial" w:cs="Arial"/>
          <w:sz w:val="24"/>
          <w:szCs w:val="24"/>
        </w:rPr>
      </w:pPr>
    </w:p>
    <w:p w14:paraId="76736578" w14:textId="766D660D" w:rsidR="00A26DDA" w:rsidRDefault="00A26DDA" w:rsidP="00A26DDA">
      <w:pPr>
        <w:spacing w:line="276" w:lineRule="auto"/>
        <w:rPr>
          <w:rFonts w:ascii="Arial" w:hAnsi="Arial" w:cs="Arial"/>
          <w:sz w:val="24"/>
          <w:szCs w:val="24"/>
        </w:rPr>
      </w:pPr>
      <w:r w:rsidRPr="00A26DDA">
        <w:rPr>
          <w:rFonts w:ascii="Arial" w:hAnsi="Arial" w:cs="Arial"/>
          <w:sz w:val="24"/>
          <w:szCs w:val="24"/>
        </w:rPr>
        <w:t xml:space="preserve">In a detailed evaluation of several models, frameworks, and approaches to studying food safety culture in FBOs, Jespersen, Griffiths, and Wallace, (2017) present a synthesis of previous work in the food safety culture domain. This, along with other behavioural economic models (Dynamic-Value-Effort Decision-Making Model) designed to account for FBO behaviour point to the same core properties as ways of depicting food safety culture along </w:t>
      </w:r>
      <w:r w:rsidR="0068720A">
        <w:rPr>
          <w:rFonts w:ascii="Arial" w:hAnsi="Arial" w:cs="Arial"/>
          <w:sz w:val="24"/>
          <w:szCs w:val="24"/>
        </w:rPr>
        <w:t>five</w:t>
      </w:r>
      <w:r w:rsidRPr="00A26DDA">
        <w:rPr>
          <w:rFonts w:ascii="Arial" w:hAnsi="Arial" w:cs="Arial"/>
          <w:sz w:val="24"/>
          <w:szCs w:val="24"/>
        </w:rPr>
        <w:t xml:space="preserve"> core dimensions: Values &amp; Mission, People systems, Adaptability, Consistency, and Risk awareness</w:t>
      </w:r>
      <w:r w:rsidR="001B6042">
        <w:rPr>
          <w:rFonts w:ascii="Arial" w:hAnsi="Arial" w:cs="Arial"/>
          <w:sz w:val="24"/>
          <w:szCs w:val="24"/>
        </w:rPr>
        <w:t xml:space="preserve"> (</w:t>
      </w:r>
      <w:r w:rsidRPr="00A26DDA">
        <w:rPr>
          <w:rFonts w:ascii="Arial" w:hAnsi="Arial" w:cs="Arial"/>
          <w:sz w:val="24"/>
          <w:szCs w:val="24"/>
        </w:rPr>
        <w:t>see FSA report – “</w:t>
      </w:r>
      <w:r w:rsidRPr="0068720A">
        <w:rPr>
          <w:rFonts w:ascii="Arial" w:hAnsi="Arial" w:cs="Arial"/>
          <w:i/>
          <w:sz w:val="24"/>
          <w:szCs w:val="24"/>
        </w:rPr>
        <w:t>How can we make businesses mo</w:t>
      </w:r>
      <w:r w:rsidR="001B6042" w:rsidRPr="0068720A">
        <w:rPr>
          <w:rFonts w:ascii="Arial" w:hAnsi="Arial" w:cs="Arial"/>
          <w:i/>
          <w:sz w:val="24"/>
          <w:szCs w:val="24"/>
        </w:rPr>
        <w:t>re compliant?</w:t>
      </w:r>
      <w:r w:rsidR="001B6042">
        <w:rPr>
          <w:rFonts w:ascii="Arial" w:hAnsi="Arial" w:cs="Arial"/>
          <w:sz w:val="24"/>
          <w:szCs w:val="24"/>
        </w:rPr>
        <w:t>” FSA January 2018)</w:t>
      </w:r>
      <w:r w:rsidRPr="00A26DDA">
        <w:rPr>
          <w:rFonts w:ascii="Arial" w:hAnsi="Arial" w:cs="Arial"/>
          <w:sz w:val="24"/>
          <w:szCs w:val="24"/>
        </w:rPr>
        <w:t>.</w:t>
      </w:r>
    </w:p>
    <w:p w14:paraId="22736073" w14:textId="7E0FA557" w:rsidR="00A26DDA" w:rsidRDefault="00A26DDA" w:rsidP="00E70664">
      <w:pPr>
        <w:spacing w:line="276" w:lineRule="auto"/>
        <w:rPr>
          <w:rFonts w:ascii="Arial" w:hAnsi="Arial" w:cs="Arial"/>
          <w:sz w:val="24"/>
          <w:szCs w:val="24"/>
        </w:rPr>
      </w:pPr>
    </w:p>
    <w:p w14:paraId="102FCA34" w14:textId="10B68D4B" w:rsidR="00AE021E" w:rsidRDefault="008532C8" w:rsidP="00A64C00">
      <w:pPr>
        <w:spacing w:line="276" w:lineRule="auto"/>
        <w:rPr>
          <w:rFonts w:ascii="Arial" w:hAnsi="Arial" w:cs="Arial"/>
          <w:sz w:val="24"/>
          <w:szCs w:val="24"/>
        </w:rPr>
      </w:pPr>
      <w:r>
        <w:rPr>
          <w:rFonts w:ascii="Arial" w:hAnsi="Arial" w:cs="Arial"/>
          <w:sz w:val="24"/>
          <w:szCs w:val="24"/>
        </w:rPr>
        <w:t>T</w:t>
      </w:r>
      <w:r w:rsidR="00A64C00" w:rsidRPr="002F1DC6">
        <w:rPr>
          <w:rFonts w:ascii="Arial" w:hAnsi="Arial" w:cs="Arial"/>
          <w:sz w:val="24"/>
          <w:szCs w:val="24"/>
        </w:rPr>
        <w:t xml:space="preserve">he evidence </w:t>
      </w:r>
      <w:r w:rsidR="00A64C00">
        <w:rPr>
          <w:rFonts w:ascii="Arial" w:hAnsi="Arial" w:cs="Arial"/>
          <w:sz w:val="24"/>
          <w:szCs w:val="24"/>
        </w:rPr>
        <w:t>base reviewed and discussed above</w:t>
      </w:r>
      <w:r w:rsidR="00A64C00" w:rsidRPr="002F1DC6">
        <w:rPr>
          <w:rFonts w:ascii="Arial" w:hAnsi="Arial" w:cs="Arial"/>
          <w:sz w:val="24"/>
          <w:szCs w:val="24"/>
        </w:rPr>
        <w:t xml:space="preserve"> </w:t>
      </w:r>
      <w:r w:rsidR="002F1DC6" w:rsidRPr="002F1DC6">
        <w:rPr>
          <w:rFonts w:ascii="Arial" w:hAnsi="Arial" w:cs="Arial"/>
          <w:sz w:val="24"/>
          <w:szCs w:val="24"/>
        </w:rPr>
        <w:t xml:space="preserve">should be a starting point for </w:t>
      </w:r>
      <w:r>
        <w:rPr>
          <w:rFonts w:ascii="Arial" w:hAnsi="Arial" w:cs="Arial"/>
          <w:sz w:val="24"/>
          <w:szCs w:val="24"/>
        </w:rPr>
        <w:t xml:space="preserve">tenderers to build on; </w:t>
      </w:r>
      <w:r w:rsidRPr="00A64C00">
        <w:rPr>
          <w:rFonts w:ascii="Arial" w:hAnsi="Arial" w:cs="Arial"/>
          <w:sz w:val="24"/>
          <w:szCs w:val="24"/>
        </w:rPr>
        <w:t>drawing on relevant expertise</w:t>
      </w:r>
      <w:r>
        <w:rPr>
          <w:rFonts w:ascii="Arial" w:hAnsi="Arial" w:cs="Arial"/>
          <w:sz w:val="24"/>
          <w:szCs w:val="24"/>
        </w:rPr>
        <w:t xml:space="preserve">, </w:t>
      </w:r>
      <w:r w:rsidRPr="00A64C00">
        <w:rPr>
          <w:rFonts w:ascii="Arial" w:hAnsi="Arial" w:cs="Arial"/>
          <w:sz w:val="24"/>
          <w:szCs w:val="24"/>
        </w:rPr>
        <w:t>experience</w:t>
      </w:r>
      <w:r>
        <w:rPr>
          <w:rFonts w:ascii="Arial" w:hAnsi="Arial" w:cs="Arial"/>
          <w:sz w:val="24"/>
          <w:szCs w:val="24"/>
        </w:rPr>
        <w:t xml:space="preserve"> and the</w:t>
      </w:r>
      <w:r w:rsidRPr="00A64C00">
        <w:rPr>
          <w:rFonts w:ascii="Arial" w:hAnsi="Arial" w:cs="Arial"/>
          <w:sz w:val="24"/>
          <w:szCs w:val="24"/>
        </w:rPr>
        <w:t xml:space="preserve"> </w:t>
      </w:r>
      <w:r w:rsidRPr="002F1DC6">
        <w:rPr>
          <w:rFonts w:ascii="Arial" w:hAnsi="Arial" w:cs="Arial"/>
          <w:sz w:val="24"/>
          <w:szCs w:val="24"/>
        </w:rPr>
        <w:t>on best available evidence</w:t>
      </w:r>
      <w:r w:rsidR="005B273A">
        <w:rPr>
          <w:rFonts w:ascii="Arial" w:hAnsi="Arial" w:cs="Arial"/>
          <w:sz w:val="24"/>
          <w:szCs w:val="24"/>
        </w:rPr>
        <w:t xml:space="preserve"> on </w:t>
      </w:r>
      <w:r w:rsidR="005B273A" w:rsidRPr="002F1DC6">
        <w:rPr>
          <w:rFonts w:ascii="Arial" w:hAnsi="Arial" w:cs="Arial"/>
          <w:sz w:val="24"/>
          <w:szCs w:val="24"/>
        </w:rPr>
        <w:t>methodologies</w:t>
      </w:r>
      <w:r w:rsidR="005B273A">
        <w:rPr>
          <w:rFonts w:ascii="Arial" w:hAnsi="Arial" w:cs="Arial"/>
          <w:sz w:val="24"/>
          <w:szCs w:val="24"/>
        </w:rPr>
        <w:t xml:space="preserve"> and approaches </w:t>
      </w:r>
      <w:r w:rsidR="00DB2802">
        <w:rPr>
          <w:rFonts w:ascii="Arial" w:hAnsi="Arial" w:cs="Arial"/>
          <w:sz w:val="24"/>
          <w:szCs w:val="24"/>
        </w:rPr>
        <w:t xml:space="preserve">for identifying </w:t>
      </w:r>
      <w:r w:rsidR="002F1DC6" w:rsidRPr="002F1DC6">
        <w:rPr>
          <w:rFonts w:ascii="Arial" w:hAnsi="Arial" w:cs="Arial"/>
          <w:sz w:val="24"/>
          <w:szCs w:val="24"/>
        </w:rPr>
        <w:t xml:space="preserve">motivators </w:t>
      </w:r>
      <w:r w:rsidR="00DB2802">
        <w:rPr>
          <w:rFonts w:ascii="Arial" w:hAnsi="Arial" w:cs="Arial"/>
          <w:sz w:val="24"/>
          <w:szCs w:val="24"/>
        </w:rPr>
        <w:t xml:space="preserve">i.e. </w:t>
      </w:r>
      <w:r w:rsidR="002F1DC6" w:rsidRPr="002F1DC6">
        <w:rPr>
          <w:rFonts w:ascii="Arial" w:hAnsi="Arial" w:cs="Arial"/>
          <w:sz w:val="24"/>
          <w:szCs w:val="24"/>
        </w:rPr>
        <w:t xml:space="preserve">behavioural </w:t>
      </w:r>
      <w:r w:rsidR="00DB2802">
        <w:rPr>
          <w:rFonts w:ascii="Arial" w:hAnsi="Arial" w:cs="Arial"/>
          <w:sz w:val="24"/>
          <w:szCs w:val="24"/>
        </w:rPr>
        <w:t>(</w:t>
      </w:r>
      <w:r w:rsidR="002F1DC6" w:rsidRPr="002F1DC6">
        <w:rPr>
          <w:rFonts w:ascii="Arial" w:hAnsi="Arial" w:cs="Arial"/>
          <w:sz w:val="24"/>
          <w:szCs w:val="24"/>
        </w:rPr>
        <w:t>ethical, risk-based, cognitive-constraint-based) and economic incentives</w:t>
      </w:r>
      <w:r w:rsidR="00DB2802">
        <w:rPr>
          <w:rFonts w:ascii="Arial" w:hAnsi="Arial" w:cs="Arial"/>
          <w:sz w:val="24"/>
          <w:szCs w:val="24"/>
        </w:rPr>
        <w:t xml:space="preserve"> that</w:t>
      </w:r>
      <w:r w:rsidR="00242CF2">
        <w:rPr>
          <w:rFonts w:ascii="Arial" w:hAnsi="Arial" w:cs="Arial"/>
          <w:sz w:val="24"/>
          <w:szCs w:val="24"/>
        </w:rPr>
        <w:t xml:space="preserve"> influence compliance in the meat industry with respect to food safety management and </w:t>
      </w:r>
      <w:r w:rsidR="002F1DC6" w:rsidRPr="002F1DC6">
        <w:rPr>
          <w:rFonts w:ascii="Arial" w:hAnsi="Arial" w:cs="Arial"/>
          <w:sz w:val="24"/>
          <w:szCs w:val="24"/>
        </w:rPr>
        <w:t>food safety culture</w:t>
      </w:r>
      <w:r w:rsidR="00242CF2">
        <w:rPr>
          <w:rFonts w:ascii="Arial" w:hAnsi="Arial" w:cs="Arial"/>
          <w:sz w:val="24"/>
          <w:szCs w:val="24"/>
        </w:rPr>
        <w:t>.</w:t>
      </w:r>
    </w:p>
    <w:p w14:paraId="0827DAC6" w14:textId="77777777" w:rsidR="002F1DC6" w:rsidRDefault="002F1DC6" w:rsidP="00E70664">
      <w:pPr>
        <w:spacing w:line="276" w:lineRule="auto"/>
        <w:rPr>
          <w:rFonts w:ascii="Arial" w:hAnsi="Arial" w:cs="Arial"/>
          <w:sz w:val="24"/>
          <w:szCs w:val="24"/>
        </w:rPr>
      </w:pPr>
    </w:p>
    <w:p w14:paraId="48EFECE9" w14:textId="72C4A5CE" w:rsidR="002D193C" w:rsidRPr="002D193C" w:rsidRDefault="002D193C" w:rsidP="00E70664">
      <w:pPr>
        <w:spacing w:line="276" w:lineRule="auto"/>
        <w:rPr>
          <w:rFonts w:ascii="Arial" w:hAnsi="Arial" w:cs="Arial"/>
          <w:sz w:val="24"/>
          <w:szCs w:val="24"/>
          <w:u w:val="single"/>
        </w:rPr>
      </w:pPr>
      <w:r w:rsidRPr="002D193C">
        <w:rPr>
          <w:rFonts w:ascii="Arial" w:hAnsi="Arial" w:cs="Arial"/>
          <w:sz w:val="24"/>
          <w:szCs w:val="24"/>
          <w:u w:val="single"/>
        </w:rPr>
        <w:t>References</w:t>
      </w:r>
    </w:p>
    <w:p w14:paraId="7D19C47F" w14:textId="08208FBC" w:rsidR="002D193C" w:rsidRDefault="002D193C" w:rsidP="00E70664">
      <w:pPr>
        <w:spacing w:line="276" w:lineRule="auto"/>
        <w:rPr>
          <w:rFonts w:ascii="Arial" w:hAnsi="Arial" w:cs="Arial"/>
          <w:sz w:val="24"/>
          <w:szCs w:val="24"/>
        </w:rPr>
      </w:pPr>
    </w:p>
    <w:p w14:paraId="44348A14" w14:textId="6633729C" w:rsidR="005C37D2" w:rsidRDefault="005C37D2" w:rsidP="00E70664">
      <w:pPr>
        <w:spacing w:line="276" w:lineRule="auto"/>
        <w:rPr>
          <w:rFonts w:ascii="Arial" w:hAnsi="Arial" w:cs="Arial"/>
          <w:sz w:val="24"/>
          <w:szCs w:val="24"/>
        </w:rPr>
      </w:pPr>
      <w:r w:rsidRPr="005C37D2">
        <w:rPr>
          <w:rFonts w:ascii="Arial" w:hAnsi="Arial" w:cs="Arial"/>
          <w:sz w:val="24"/>
          <w:szCs w:val="24"/>
        </w:rPr>
        <w:t>Alchian, A.A., and Demsetz, H. (1972). Production, Information Costs and Economic Organization. The American Economic Review, 16(5).</w:t>
      </w:r>
    </w:p>
    <w:p w14:paraId="5EC0C627" w14:textId="77777777" w:rsidR="005C37D2" w:rsidRDefault="005C37D2" w:rsidP="00E70664">
      <w:pPr>
        <w:spacing w:line="276" w:lineRule="auto"/>
        <w:rPr>
          <w:rFonts w:ascii="Arial" w:hAnsi="Arial" w:cs="Arial"/>
          <w:sz w:val="24"/>
          <w:szCs w:val="24"/>
        </w:rPr>
      </w:pPr>
    </w:p>
    <w:p w14:paraId="6436D099" w14:textId="62327161" w:rsidR="00AA66DF" w:rsidRDefault="00AA66DF" w:rsidP="00E70664">
      <w:pPr>
        <w:spacing w:line="276" w:lineRule="auto"/>
        <w:rPr>
          <w:rFonts w:ascii="Arial" w:hAnsi="Arial" w:cs="Arial"/>
          <w:sz w:val="24"/>
          <w:szCs w:val="24"/>
        </w:rPr>
      </w:pPr>
      <w:r w:rsidRPr="00AA66DF">
        <w:rPr>
          <w:rFonts w:ascii="Arial" w:hAnsi="Arial" w:cs="Arial"/>
          <w:sz w:val="24"/>
          <w:szCs w:val="24"/>
        </w:rPr>
        <w:t>Ariely, D. (2012). The (Honest) Truth about Dishonesty. London: Harper Collins.</w:t>
      </w:r>
    </w:p>
    <w:p w14:paraId="0406BFDE" w14:textId="3BB1EE9F" w:rsidR="00AA66DF" w:rsidRDefault="00AA66DF" w:rsidP="00E70664">
      <w:pPr>
        <w:spacing w:line="276" w:lineRule="auto"/>
        <w:rPr>
          <w:rFonts w:ascii="Arial" w:hAnsi="Arial" w:cs="Arial"/>
          <w:sz w:val="24"/>
          <w:szCs w:val="24"/>
        </w:rPr>
      </w:pPr>
    </w:p>
    <w:p w14:paraId="341C2BC5" w14:textId="3FC37DF5" w:rsidR="00AA66DF" w:rsidRDefault="00AA66DF" w:rsidP="00E70664">
      <w:pPr>
        <w:spacing w:line="276" w:lineRule="auto"/>
        <w:rPr>
          <w:rFonts w:ascii="Arial" w:hAnsi="Arial" w:cs="Arial"/>
          <w:sz w:val="24"/>
          <w:szCs w:val="24"/>
        </w:rPr>
      </w:pPr>
      <w:r w:rsidRPr="00AA66DF">
        <w:rPr>
          <w:rFonts w:ascii="Arial" w:hAnsi="Arial" w:cs="Arial"/>
          <w:sz w:val="24"/>
          <w:szCs w:val="24"/>
        </w:rPr>
        <w:lastRenderedPageBreak/>
        <w:t>Busuioc, M., and Lodge, M. (2015). The reputational basis of accountability. LSE centre for analysis of risk and regulation discussion paper 78.</w:t>
      </w:r>
    </w:p>
    <w:p w14:paraId="49C3ECF4" w14:textId="2D1AA854" w:rsidR="00D4605B" w:rsidRDefault="00D4605B" w:rsidP="00E70664">
      <w:pPr>
        <w:spacing w:line="276" w:lineRule="auto"/>
        <w:rPr>
          <w:rFonts w:ascii="Arial" w:hAnsi="Arial" w:cs="Arial"/>
          <w:sz w:val="24"/>
          <w:szCs w:val="24"/>
        </w:rPr>
      </w:pPr>
    </w:p>
    <w:p w14:paraId="4C650E85" w14:textId="77777777" w:rsidR="00D4605B" w:rsidRPr="00120EDE" w:rsidRDefault="00D4605B" w:rsidP="00D4605B">
      <w:pPr>
        <w:spacing w:line="276" w:lineRule="auto"/>
        <w:rPr>
          <w:rFonts w:ascii="Arial" w:hAnsi="Arial" w:cs="Arial"/>
          <w:sz w:val="24"/>
          <w:szCs w:val="24"/>
        </w:rPr>
      </w:pPr>
      <w:r w:rsidRPr="00120EDE">
        <w:rPr>
          <w:rFonts w:ascii="Arial" w:hAnsi="Arial" w:cs="Arial"/>
          <w:sz w:val="24"/>
          <w:szCs w:val="24"/>
        </w:rPr>
        <w:t>Bra</w:t>
      </w:r>
      <w:r>
        <w:rPr>
          <w:rFonts w:ascii="Arial" w:hAnsi="Arial" w:cs="Arial"/>
          <w:sz w:val="24"/>
          <w:szCs w:val="24"/>
        </w:rPr>
        <w:t>ne Novaković, Radoslav Grujić, Dragan Vujadinović</w:t>
      </w:r>
      <w:r w:rsidRPr="00120EDE">
        <w:rPr>
          <w:rFonts w:ascii="Arial" w:hAnsi="Arial" w:cs="Arial"/>
          <w:sz w:val="24"/>
          <w:szCs w:val="24"/>
        </w:rPr>
        <w:t xml:space="preserve"> </w:t>
      </w:r>
      <w:r>
        <w:rPr>
          <w:rFonts w:ascii="Arial" w:hAnsi="Arial" w:cs="Arial"/>
          <w:sz w:val="24"/>
          <w:szCs w:val="24"/>
        </w:rPr>
        <w:t xml:space="preserve">- </w:t>
      </w:r>
      <w:r w:rsidRPr="00120EDE">
        <w:rPr>
          <w:rFonts w:ascii="Arial" w:hAnsi="Arial" w:cs="Arial"/>
          <w:i/>
          <w:sz w:val="24"/>
          <w:szCs w:val="24"/>
        </w:rPr>
        <w:t>Value Chain Analysis for Meat and Meat Products,</w:t>
      </w:r>
      <w:r>
        <w:rPr>
          <w:rFonts w:ascii="Arial" w:hAnsi="Arial" w:cs="Arial"/>
          <w:sz w:val="24"/>
          <w:szCs w:val="24"/>
        </w:rPr>
        <w:t xml:space="preserve"> </w:t>
      </w:r>
      <w:hyperlink r:id="rId15" w:history="1">
        <w:r w:rsidRPr="00BE7470">
          <w:rPr>
            <w:rStyle w:val="Hyperlink"/>
            <w:rFonts w:ascii="Arial" w:hAnsi="Arial" w:cs="Arial"/>
            <w:sz w:val="24"/>
            <w:szCs w:val="24"/>
          </w:rPr>
          <w:t>http://www.jhed.mk/filemanager/JHED%20Vol.%2012/03.%20FPP/01.%20Brane%20Novakovi%C4%87.pdf</w:t>
        </w:r>
      </w:hyperlink>
      <w:r>
        <w:rPr>
          <w:rFonts w:ascii="Arial" w:hAnsi="Arial" w:cs="Arial"/>
          <w:sz w:val="24"/>
          <w:szCs w:val="24"/>
        </w:rPr>
        <w:t xml:space="preserve"> </w:t>
      </w:r>
      <w:r w:rsidRPr="00120EDE">
        <w:rPr>
          <w:rFonts w:ascii="Arial" w:hAnsi="Arial" w:cs="Arial"/>
          <w:sz w:val="24"/>
          <w:szCs w:val="24"/>
        </w:rPr>
        <w:t xml:space="preserve"> </w:t>
      </w:r>
    </w:p>
    <w:p w14:paraId="72B85D9A" w14:textId="77777777" w:rsidR="00D4605B" w:rsidRDefault="00D4605B" w:rsidP="00E70664">
      <w:pPr>
        <w:spacing w:line="276" w:lineRule="auto"/>
        <w:rPr>
          <w:rFonts w:ascii="Arial" w:hAnsi="Arial" w:cs="Arial"/>
          <w:sz w:val="24"/>
          <w:szCs w:val="24"/>
        </w:rPr>
      </w:pPr>
    </w:p>
    <w:p w14:paraId="77F2D44F" w14:textId="439F1C01" w:rsidR="00AA66DF" w:rsidRDefault="00AA66DF" w:rsidP="00AA66DF">
      <w:pPr>
        <w:spacing w:line="276" w:lineRule="auto"/>
        <w:rPr>
          <w:rFonts w:ascii="Arial" w:hAnsi="Arial" w:cs="Arial"/>
          <w:sz w:val="24"/>
          <w:szCs w:val="24"/>
        </w:rPr>
      </w:pPr>
      <w:r w:rsidRPr="00AA66DF">
        <w:rPr>
          <w:rFonts w:ascii="Arial" w:hAnsi="Arial" w:cs="Arial"/>
          <w:sz w:val="24"/>
          <w:szCs w:val="24"/>
        </w:rPr>
        <w:t>Entorf, H. (2012). Certainty and Severity of Sanctions in Classical and Behavioural Models of Deterrence: A Survey. IZA Discussion Paper 6516.</w:t>
      </w:r>
    </w:p>
    <w:p w14:paraId="4A0239C4" w14:textId="77777777" w:rsidR="00AA66DF" w:rsidRPr="00AA66DF" w:rsidRDefault="00AA66DF" w:rsidP="00AA66DF">
      <w:pPr>
        <w:spacing w:line="276" w:lineRule="auto"/>
        <w:rPr>
          <w:rFonts w:ascii="Arial" w:hAnsi="Arial" w:cs="Arial"/>
          <w:sz w:val="24"/>
          <w:szCs w:val="24"/>
        </w:rPr>
      </w:pPr>
    </w:p>
    <w:p w14:paraId="416C29C8" w14:textId="39C7E2FF" w:rsidR="00AA66DF" w:rsidRDefault="00AA66DF" w:rsidP="00AA66DF">
      <w:pPr>
        <w:spacing w:line="276" w:lineRule="auto"/>
        <w:rPr>
          <w:rFonts w:ascii="Arial" w:hAnsi="Arial" w:cs="Arial"/>
          <w:sz w:val="24"/>
          <w:szCs w:val="24"/>
        </w:rPr>
      </w:pPr>
      <w:r w:rsidRPr="00AA66DF">
        <w:rPr>
          <w:rFonts w:ascii="Arial" w:hAnsi="Arial" w:cs="Arial"/>
          <w:sz w:val="24"/>
          <w:szCs w:val="24"/>
        </w:rPr>
        <w:t>Erta, K., Hunt, S, Iscenko, Z., and Brambley, W. (2013). Applying behavioural economics at the Financial Conduct Authority. Financial Conduct Authority Occasional Paper No.1.</w:t>
      </w:r>
    </w:p>
    <w:p w14:paraId="23AEC63E" w14:textId="69FA83D6" w:rsidR="002D193C" w:rsidRPr="00120EDE" w:rsidRDefault="002D193C" w:rsidP="00120EDE">
      <w:pPr>
        <w:spacing w:line="276" w:lineRule="auto"/>
        <w:rPr>
          <w:rFonts w:ascii="Arial" w:hAnsi="Arial" w:cs="Arial"/>
          <w:sz w:val="24"/>
          <w:szCs w:val="24"/>
        </w:rPr>
      </w:pPr>
    </w:p>
    <w:p w14:paraId="674FAEBA" w14:textId="5E59AE58" w:rsidR="007E2031" w:rsidRDefault="00D4605B" w:rsidP="00D4605B">
      <w:pPr>
        <w:spacing w:line="276" w:lineRule="auto"/>
        <w:rPr>
          <w:rFonts w:ascii="Arial" w:hAnsi="Arial" w:cs="Arial"/>
          <w:sz w:val="24"/>
          <w:szCs w:val="24"/>
        </w:rPr>
      </w:pPr>
      <w:r w:rsidRPr="00D4605B">
        <w:rPr>
          <w:rFonts w:ascii="Arial" w:hAnsi="Arial" w:cs="Arial"/>
          <w:sz w:val="24"/>
          <w:szCs w:val="24"/>
        </w:rPr>
        <w:t>Fama, E.F. (1980). Agency Problems and the Theory of the Firm. The Journal of Political Economy 88(2).</w:t>
      </w:r>
    </w:p>
    <w:p w14:paraId="62D2FD85" w14:textId="00B90C41" w:rsidR="00D21BC9" w:rsidRDefault="00D21BC9" w:rsidP="00D21BC9">
      <w:pPr>
        <w:spacing w:line="276" w:lineRule="auto"/>
        <w:rPr>
          <w:rFonts w:ascii="Arial" w:hAnsi="Arial" w:cs="Arial"/>
          <w:sz w:val="24"/>
          <w:szCs w:val="24"/>
        </w:rPr>
      </w:pPr>
      <w:r>
        <w:rPr>
          <w:rFonts w:ascii="Arial" w:hAnsi="Arial" w:cs="Arial"/>
          <w:sz w:val="24"/>
          <w:szCs w:val="24"/>
        </w:rPr>
        <w:t>.</w:t>
      </w:r>
    </w:p>
    <w:p w14:paraId="31825709" w14:textId="4C292EB8" w:rsidR="00D21BC9" w:rsidRDefault="00D21BC9" w:rsidP="00C803C7">
      <w:pPr>
        <w:spacing w:line="276" w:lineRule="auto"/>
        <w:rPr>
          <w:rFonts w:ascii="Arial" w:hAnsi="Arial" w:cs="Arial"/>
          <w:sz w:val="24"/>
          <w:szCs w:val="24"/>
        </w:rPr>
      </w:pPr>
      <w:r w:rsidRPr="00D21BC9">
        <w:rPr>
          <w:rFonts w:ascii="Arial" w:hAnsi="Arial" w:cs="Arial"/>
          <w:sz w:val="24"/>
          <w:szCs w:val="24"/>
        </w:rPr>
        <w:t>Iscenko</w:t>
      </w:r>
      <w:r>
        <w:rPr>
          <w:rFonts w:ascii="Arial" w:hAnsi="Arial" w:cs="Arial"/>
          <w:sz w:val="24"/>
          <w:szCs w:val="24"/>
        </w:rPr>
        <w:t>, Z.</w:t>
      </w:r>
      <w:r w:rsidRPr="00D21BC9">
        <w:rPr>
          <w:rFonts w:ascii="Arial" w:hAnsi="Arial" w:cs="Arial"/>
          <w:sz w:val="24"/>
          <w:szCs w:val="24"/>
        </w:rPr>
        <w:t>, Pickard</w:t>
      </w:r>
      <w:r>
        <w:rPr>
          <w:rFonts w:ascii="Arial" w:hAnsi="Arial" w:cs="Arial"/>
          <w:sz w:val="24"/>
          <w:szCs w:val="24"/>
        </w:rPr>
        <w:t>, C., Smart, L. and</w:t>
      </w:r>
      <w:r w:rsidRPr="00D21BC9">
        <w:rPr>
          <w:rFonts w:ascii="Arial" w:hAnsi="Arial" w:cs="Arial"/>
          <w:sz w:val="24"/>
          <w:szCs w:val="24"/>
        </w:rPr>
        <w:t xml:space="preserve"> Vasas</w:t>
      </w:r>
      <w:r>
        <w:rPr>
          <w:rFonts w:ascii="Arial" w:hAnsi="Arial" w:cs="Arial"/>
          <w:sz w:val="24"/>
          <w:szCs w:val="24"/>
        </w:rPr>
        <w:t xml:space="preserve">, Z. (2016). </w:t>
      </w:r>
      <w:r w:rsidRPr="00D21BC9">
        <w:rPr>
          <w:rFonts w:ascii="Arial" w:hAnsi="Arial" w:cs="Arial"/>
          <w:sz w:val="24"/>
          <w:szCs w:val="24"/>
        </w:rPr>
        <w:t>Behaviour and Compliance in</w:t>
      </w:r>
      <w:r>
        <w:rPr>
          <w:rFonts w:ascii="Arial" w:hAnsi="Arial" w:cs="Arial"/>
          <w:sz w:val="24"/>
          <w:szCs w:val="24"/>
        </w:rPr>
        <w:t xml:space="preserve"> </w:t>
      </w:r>
      <w:r w:rsidRPr="00D21BC9">
        <w:rPr>
          <w:rFonts w:ascii="Arial" w:hAnsi="Arial" w:cs="Arial"/>
          <w:sz w:val="24"/>
          <w:szCs w:val="24"/>
        </w:rPr>
        <w:t>Organisations</w:t>
      </w:r>
      <w:r w:rsidR="00C803C7">
        <w:rPr>
          <w:rFonts w:ascii="Arial" w:hAnsi="Arial" w:cs="Arial"/>
          <w:sz w:val="24"/>
          <w:szCs w:val="24"/>
        </w:rPr>
        <w:t xml:space="preserve">, </w:t>
      </w:r>
      <w:r w:rsidR="00C803C7" w:rsidRPr="00C803C7">
        <w:rPr>
          <w:rFonts w:ascii="Arial" w:hAnsi="Arial" w:cs="Arial"/>
          <w:sz w:val="24"/>
          <w:szCs w:val="24"/>
        </w:rPr>
        <w:t>Occasional</w:t>
      </w:r>
      <w:r w:rsidR="00C803C7">
        <w:rPr>
          <w:rFonts w:ascii="Arial" w:hAnsi="Arial" w:cs="Arial"/>
          <w:sz w:val="24"/>
          <w:szCs w:val="24"/>
        </w:rPr>
        <w:t xml:space="preserve"> </w:t>
      </w:r>
      <w:r w:rsidR="00C803C7" w:rsidRPr="00C803C7">
        <w:rPr>
          <w:rFonts w:ascii="Arial" w:hAnsi="Arial" w:cs="Arial"/>
          <w:sz w:val="24"/>
          <w:szCs w:val="24"/>
        </w:rPr>
        <w:t>Paper 24</w:t>
      </w:r>
      <w:r w:rsidR="00C803C7">
        <w:rPr>
          <w:rFonts w:ascii="Arial" w:hAnsi="Arial" w:cs="Arial"/>
          <w:sz w:val="24"/>
          <w:szCs w:val="24"/>
        </w:rPr>
        <w:t>.</w:t>
      </w:r>
    </w:p>
    <w:p w14:paraId="4E967919" w14:textId="333FF960" w:rsidR="00D4605B" w:rsidRDefault="00D4605B" w:rsidP="00D4605B">
      <w:pPr>
        <w:spacing w:line="276" w:lineRule="auto"/>
        <w:rPr>
          <w:rFonts w:ascii="Arial" w:hAnsi="Arial" w:cs="Arial"/>
          <w:sz w:val="24"/>
          <w:szCs w:val="24"/>
        </w:rPr>
      </w:pPr>
    </w:p>
    <w:p w14:paraId="384E9EFC" w14:textId="13E5E93E" w:rsidR="00D4605B" w:rsidRDefault="00A01275" w:rsidP="00D4605B">
      <w:pPr>
        <w:spacing w:line="276" w:lineRule="auto"/>
        <w:rPr>
          <w:rFonts w:ascii="Arial" w:hAnsi="Arial" w:cs="Arial"/>
          <w:sz w:val="24"/>
          <w:szCs w:val="24"/>
        </w:rPr>
      </w:pPr>
      <w:r w:rsidRPr="00A01275">
        <w:rPr>
          <w:rFonts w:ascii="Arial" w:hAnsi="Arial" w:cs="Arial"/>
          <w:sz w:val="24"/>
          <w:szCs w:val="24"/>
        </w:rPr>
        <w:t>Jespersen, L., Griffiths, M., &amp; Wallace, C. A. (2017). Comparative analysis of existing food safety culture evaluation systems. Food Control, 79, 371-</w:t>
      </w:r>
      <w:r w:rsidR="00520686" w:rsidRPr="00A01275">
        <w:rPr>
          <w:rFonts w:ascii="Arial" w:hAnsi="Arial" w:cs="Arial"/>
          <w:sz w:val="24"/>
          <w:szCs w:val="24"/>
        </w:rPr>
        <w:t>379.</w:t>
      </w:r>
    </w:p>
    <w:p w14:paraId="1E501FB4" w14:textId="22C8506B" w:rsidR="00D4605B" w:rsidRDefault="00D4605B" w:rsidP="00D4605B">
      <w:pPr>
        <w:spacing w:line="276" w:lineRule="auto"/>
        <w:rPr>
          <w:rFonts w:ascii="Arial" w:hAnsi="Arial" w:cs="Arial"/>
          <w:sz w:val="24"/>
          <w:szCs w:val="24"/>
        </w:rPr>
      </w:pPr>
    </w:p>
    <w:p w14:paraId="09315B38" w14:textId="69342C1E" w:rsidR="00D4605B" w:rsidRDefault="00D4605B" w:rsidP="00D4605B">
      <w:pPr>
        <w:spacing w:line="276" w:lineRule="auto"/>
        <w:rPr>
          <w:rFonts w:ascii="Arial" w:hAnsi="Arial" w:cs="Arial"/>
          <w:sz w:val="24"/>
          <w:szCs w:val="24"/>
        </w:rPr>
      </w:pPr>
      <w:r w:rsidRPr="00D4605B">
        <w:rPr>
          <w:rFonts w:ascii="Arial" w:hAnsi="Arial" w:cs="Arial"/>
          <w:sz w:val="24"/>
          <w:szCs w:val="24"/>
        </w:rPr>
        <w:t>Laffont, J.-J., and Tirole, J. (1993). A theory of incentives in procurement and regulation. Cambridge, MA: MIT Press.</w:t>
      </w:r>
    </w:p>
    <w:p w14:paraId="118D612E" w14:textId="77777777" w:rsidR="00D4605B" w:rsidRPr="00D4605B" w:rsidRDefault="00D4605B" w:rsidP="00D4605B">
      <w:pPr>
        <w:spacing w:line="276" w:lineRule="auto"/>
        <w:rPr>
          <w:rFonts w:ascii="Arial" w:hAnsi="Arial" w:cs="Arial"/>
          <w:sz w:val="24"/>
          <w:szCs w:val="24"/>
        </w:rPr>
      </w:pPr>
    </w:p>
    <w:p w14:paraId="79C1EFDC" w14:textId="3568F84A" w:rsidR="00D4605B" w:rsidRDefault="00D4605B" w:rsidP="00D4605B">
      <w:pPr>
        <w:spacing w:line="276" w:lineRule="auto"/>
        <w:rPr>
          <w:rFonts w:ascii="Arial" w:hAnsi="Arial" w:cs="Arial"/>
          <w:sz w:val="24"/>
          <w:szCs w:val="24"/>
        </w:rPr>
      </w:pPr>
      <w:r w:rsidRPr="00D4605B">
        <w:rPr>
          <w:rFonts w:ascii="Arial" w:hAnsi="Arial" w:cs="Arial"/>
          <w:sz w:val="24"/>
          <w:szCs w:val="24"/>
        </w:rPr>
        <w:t>Mazar, N., Amir, O., and Ariely, D. (2008). The Dishonesty of Honest People: A Theory of Self-Concept Maintenance. Journal of Marketing Research, XLV, 633-644.</w:t>
      </w:r>
    </w:p>
    <w:p w14:paraId="3550A835" w14:textId="77777777" w:rsidR="00F64730" w:rsidRPr="00F64730" w:rsidRDefault="00F64730" w:rsidP="00E70664">
      <w:pPr>
        <w:spacing w:line="276" w:lineRule="auto"/>
        <w:rPr>
          <w:rFonts w:ascii="Arial" w:hAnsi="Arial" w:cs="Arial"/>
          <w:b/>
          <w:sz w:val="24"/>
          <w:szCs w:val="24"/>
        </w:rPr>
      </w:pPr>
    </w:p>
    <w:p w14:paraId="7251CCB9" w14:textId="77777777" w:rsidR="00F64730" w:rsidRPr="00F64730" w:rsidRDefault="00F64730" w:rsidP="00E70664">
      <w:pPr>
        <w:spacing w:line="276" w:lineRule="auto"/>
        <w:rPr>
          <w:rFonts w:ascii="Arial" w:hAnsi="Arial" w:cs="Arial"/>
          <w:b/>
          <w:sz w:val="24"/>
          <w:szCs w:val="24"/>
        </w:rPr>
      </w:pPr>
      <w:r w:rsidRPr="00F64730">
        <w:rPr>
          <w:rFonts w:ascii="Arial" w:hAnsi="Arial" w:cs="Arial"/>
          <w:b/>
          <w:sz w:val="24"/>
          <w:szCs w:val="24"/>
        </w:rPr>
        <w:t>Deliverables</w:t>
      </w:r>
    </w:p>
    <w:p w14:paraId="50D97F76" w14:textId="665F08D3" w:rsidR="00F64730" w:rsidRDefault="00F64730" w:rsidP="00E70664">
      <w:pPr>
        <w:spacing w:line="276" w:lineRule="auto"/>
        <w:rPr>
          <w:rFonts w:ascii="Arial" w:hAnsi="Arial" w:cs="Arial"/>
          <w:b/>
          <w:sz w:val="24"/>
          <w:szCs w:val="24"/>
        </w:rPr>
      </w:pPr>
    </w:p>
    <w:p w14:paraId="4AEF34D1" w14:textId="2071D2A9" w:rsidR="00F64730" w:rsidRDefault="00F64730" w:rsidP="00232EDF">
      <w:pPr>
        <w:spacing w:line="276" w:lineRule="auto"/>
        <w:rPr>
          <w:rFonts w:ascii="Arial" w:hAnsi="Arial" w:cs="Arial"/>
          <w:sz w:val="24"/>
          <w:szCs w:val="24"/>
        </w:rPr>
      </w:pPr>
      <w:r w:rsidRPr="00F64730">
        <w:rPr>
          <w:rFonts w:ascii="Arial" w:hAnsi="Arial" w:cs="Arial"/>
          <w:b/>
          <w:sz w:val="24"/>
          <w:szCs w:val="24"/>
        </w:rPr>
        <w:t>Output 1:</w:t>
      </w:r>
      <w:r w:rsidRPr="00F64730">
        <w:rPr>
          <w:rFonts w:ascii="Arial" w:hAnsi="Arial" w:cs="Arial"/>
          <w:sz w:val="24"/>
          <w:szCs w:val="24"/>
        </w:rPr>
        <w:t xml:space="preserve"> </w:t>
      </w:r>
      <w:r w:rsidR="00AA1B71" w:rsidRPr="00AA1B71">
        <w:rPr>
          <w:rFonts w:ascii="Arial" w:hAnsi="Arial" w:cs="Arial"/>
          <w:sz w:val="24"/>
          <w:szCs w:val="24"/>
        </w:rPr>
        <w:t>A literature review exploring behavioural and social factors, and how they dynamically interact with economic factors in the UK meat industry This should directly address the core question: What are the relationships between incentives and compliance in an organisational context such as the meat industry?</w:t>
      </w:r>
    </w:p>
    <w:p w14:paraId="7CC6D468" w14:textId="77777777" w:rsidR="00E90864" w:rsidRPr="00F64730" w:rsidRDefault="00E90864" w:rsidP="00232EDF">
      <w:pPr>
        <w:spacing w:line="276" w:lineRule="auto"/>
        <w:rPr>
          <w:rFonts w:ascii="Arial" w:hAnsi="Arial" w:cs="Arial"/>
          <w:sz w:val="24"/>
          <w:szCs w:val="24"/>
        </w:rPr>
      </w:pPr>
    </w:p>
    <w:p w14:paraId="11BC2F1D" w14:textId="47FCDBC9" w:rsidR="00560F0F" w:rsidRDefault="00E90864" w:rsidP="00E90864">
      <w:pPr>
        <w:spacing w:line="276" w:lineRule="auto"/>
        <w:rPr>
          <w:rFonts w:ascii="Arial" w:hAnsi="Arial" w:cs="Arial"/>
          <w:sz w:val="24"/>
          <w:szCs w:val="24"/>
        </w:rPr>
      </w:pPr>
      <w:r w:rsidRPr="00F64730">
        <w:rPr>
          <w:rFonts w:ascii="Arial" w:hAnsi="Arial" w:cs="Arial"/>
          <w:b/>
          <w:sz w:val="24"/>
          <w:szCs w:val="24"/>
        </w:rPr>
        <w:t xml:space="preserve">Output </w:t>
      </w:r>
      <w:r>
        <w:rPr>
          <w:rFonts w:ascii="Arial" w:hAnsi="Arial" w:cs="Arial"/>
          <w:b/>
          <w:sz w:val="24"/>
          <w:szCs w:val="24"/>
        </w:rPr>
        <w:t>2:</w:t>
      </w:r>
      <w:r>
        <w:rPr>
          <w:rFonts w:ascii="Arial" w:hAnsi="Arial" w:cs="Arial"/>
          <w:sz w:val="24"/>
          <w:szCs w:val="24"/>
        </w:rPr>
        <w:t xml:space="preserve"> </w:t>
      </w:r>
      <w:r w:rsidR="00C654A0">
        <w:rPr>
          <w:rFonts w:ascii="Arial" w:hAnsi="Arial" w:cs="Arial"/>
          <w:sz w:val="24"/>
          <w:szCs w:val="24"/>
        </w:rPr>
        <w:t xml:space="preserve">Schematic mapping of </w:t>
      </w:r>
      <w:r w:rsidR="00C654A0" w:rsidRPr="00C654A0">
        <w:rPr>
          <w:rFonts w:ascii="Arial" w:hAnsi="Arial" w:cs="Arial"/>
          <w:sz w:val="24"/>
          <w:szCs w:val="24"/>
        </w:rPr>
        <w:t>the entire eco-system for the UK meat trade showing the dynamics, interactions and interdependencies between sectors</w:t>
      </w:r>
      <w:r w:rsidR="00447107">
        <w:rPr>
          <w:rFonts w:ascii="Arial" w:hAnsi="Arial" w:cs="Arial"/>
          <w:sz w:val="24"/>
          <w:szCs w:val="24"/>
        </w:rPr>
        <w:t>, institutions</w:t>
      </w:r>
      <w:r w:rsidR="00C654A0" w:rsidRPr="00C654A0">
        <w:rPr>
          <w:rFonts w:ascii="Arial" w:hAnsi="Arial" w:cs="Arial"/>
          <w:sz w:val="24"/>
          <w:szCs w:val="24"/>
        </w:rPr>
        <w:t xml:space="preserve"> and stakeholders</w:t>
      </w:r>
      <w:r w:rsidR="00C654A0">
        <w:rPr>
          <w:rFonts w:ascii="Arial" w:hAnsi="Arial" w:cs="Arial"/>
          <w:sz w:val="24"/>
          <w:szCs w:val="24"/>
        </w:rPr>
        <w:t xml:space="preserve"> in relation to the supply chain, value chain and regulatory system.</w:t>
      </w:r>
      <w:r w:rsidR="00560F0F" w:rsidRPr="00560F0F">
        <w:t xml:space="preserve"> </w:t>
      </w:r>
    </w:p>
    <w:p w14:paraId="344BEE7F" w14:textId="77777777" w:rsidR="00560F0F" w:rsidRDefault="00560F0F" w:rsidP="00E90864">
      <w:pPr>
        <w:spacing w:line="276" w:lineRule="auto"/>
        <w:rPr>
          <w:rFonts w:ascii="Arial" w:hAnsi="Arial" w:cs="Arial"/>
          <w:sz w:val="24"/>
          <w:szCs w:val="24"/>
        </w:rPr>
      </w:pPr>
    </w:p>
    <w:p w14:paraId="7F2DFA76" w14:textId="2C11EDC8" w:rsidR="00F64730" w:rsidRDefault="00560F0F" w:rsidP="00E90864">
      <w:pPr>
        <w:spacing w:line="276" w:lineRule="auto"/>
        <w:rPr>
          <w:rFonts w:ascii="Arial" w:hAnsi="Arial" w:cs="Arial"/>
          <w:sz w:val="24"/>
          <w:szCs w:val="24"/>
        </w:rPr>
      </w:pPr>
      <w:r w:rsidRPr="00F64730">
        <w:rPr>
          <w:rFonts w:ascii="Arial" w:hAnsi="Arial" w:cs="Arial"/>
          <w:b/>
          <w:sz w:val="24"/>
          <w:szCs w:val="24"/>
        </w:rPr>
        <w:t xml:space="preserve">Output </w:t>
      </w:r>
      <w:r>
        <w:rPr>
          <w:rFonts w:ascii="Arial" w:hAnsi="Arial" w:cs="Arial"/>
          <w:b/>
          <w:sz w:val="24"/>
          <w:szCs w:val="24"/>
        </w:rPr>
        <w:t>3</w:t>
      </w:r>
      <w:r w:rsidRPr="00F64730">
        <w:rPr>
          <w:rFonts w:ascii="Arial" w:hAnsi="Arial" w:cs="Arial"/>
          <w:b/>
          <w:sz w:val="24"/>
          <w:szCs w:val="24"/>
        </w:rPr>
        <w:t>:</w:t>
      </w:r>
      <w:r w:rsidRPr="00F64730">
        <w:rPr>
          <w:rFonts w:ascii="Arial" w:hAnsi="Arial" w:cs="Arial"/>
          <w:sz w:val="24"/>
          <w:szCs w:val="24"/>
        </w:rPr>
        <w:t xml:space="preserve"> </w:t>
      </w:r>
      <w:r w:rsidRPr="00560F0F">
        <w:rPr>
          <w:rFonts w:ascii="Arial" w:hAnsi="Arial" w:cs="Arial"/>
          <w:sz w:val="24"/>
          <w:szCs w:val="24"/>
        </w:rPr>
        <w:t xml:space="preserve">Comparative </w:t>
      </w:r>
      <w:r>
        <w:rPr>
          <w:rFonts w:ascii="Arial" w:hAnsi="Arial" w:cs="Arial"/>
          <w:sz w:val="24"/>
          <w:szCs w:val="24"/>
        </w:rPr>
        <w:t>a</w:t>
      </w:r>
      <w:r w:rsidRPr="00560F0F">
        <w:rPr>
          <w:rFonts w:ascii="Arial" w:hAnsi="Arial" w:cs="Arial"/>
          <w:sz w:val="24"/>
          <w:szCs w:val="24"/>
        </w:rPr>
        <w:t>nalysis</w:t>
      </w:r>
      <w:r>
        <w:rPr>
          <w:rFonts w:ascii="Arial" w:hAnsi="Arial" w:cs="Arial"/>
          <w:sz w:val="24"/>
          <w:szCs w:val="24"/>
        </w:rPr>
        <w:t xml:space="preserve"> of </w:t>
      </w:r>
      <w:r w:rsidRPr="00560F0F">
        <w:rPr>
          <w:rFonts w:ascii="Arial" w:hAnsi="Arial" w:cs="Arial"/>
          <w:sz w:val="24"/>
          <w:szCs w:val="24"/>
        </w:rPr>
        <w:t>compliance levels</w:t>
      </w:r>
      <w:r w:rsidR="00C77BC8">
        <w:rPr>
          <w:rFonts w:ascii="Arial" w:hAnsi="Arial" w:cs="Arial"/>
          <w:sz w:val="24"/>
          <w:szCs w:val="24"/>
        </w:rPr>
        <w:t xml:space="preserve"> in meat hygiene official controls </w:t>
      </w:r>
      <w:r w:rsidRPr="00560F0F">
        <w:rPr>
          <w:rFonts w:ascii="Arial" w:hAnsi="Arial" w:cs="Arial"/>
          <w:sz w:val="24"/>
          <w:szCs w:val="24"/>
        </w:rPr>
        <w:t>by sector and scale</w:t>
      </w:r>
      <w:r w:rsidR="00C77BC8">
        <w:rPr>
          <w:rFonts w:ascii="Arial" w:hAnsi="Arial" w:cs="Arial"/>
          <w:sz w:val="24"/>
          <w:szCs w:val="24"/>
        </w:rPr>
        <w:t>/ size</w:t>
      </w:r>
      <w:r w:rsidRPr="00560F0F">
        <w:rPr>
          <w:rFonts w:ascii="Arial" w:hAnsi="Arial" w:cs="Arial"/>
          <w:sz w:val="24"/>
          <w:szCs w:val="24"/>
        </w:rPr>
        <w:t xml:space="preserve"> of </w:t>
      </w:r>
      <w:r w:rsidR="00C77BC8">
        <w:rPr>
          <w:rFonts w:ascii="Arial" w:hAnsi="Arial" w:cs="Arial"/>
          <w:sz w:val="24"/>
          <w:szCs w:val="24"/>
        </w:rPr>
        <w:t xml:space="preserve">FBO </w:t>
      </w:r>
      <w:r w:rsidRPr="00560F0F">
        <w:rPr>
          <w:rFonts w:ascii="Arial" w:hAnsi="Arial" w:cs="Arial"/>
          <w:sz w:val="24"/>
          <w:szCs w:val="24"/>
        </w:rPr>
        <w:t>operation</w:t>
      </w:r>
      <w:r w:rsidR="00C77BC8">
        <w:rPr>
          <w:rFonts w:ascii="Arial" w:hAnsi="Arial" w:cs="Arial"/>
          <w:sz w:val="24"/>
          <w:szCs w:val="24"/>
        </w:rPr>
        <w:t>s</w:t>
      </w:r>
      <w:r>
        <w:rPr>
          <w:rFonts w:ascii="Arial" w:hAnsi="Arial" w:cs="Arial"/>
          <w:sz w:val="24"/>
          <w:szCs w:val="24"/>
        </w:rPr>
        <w:t>.</w:t>
      </w:r>
    </w:p>
    <w:p w14:paraId="5B8F1560" w14:textId="77777777" w:rsidR="00E90864" w:rsidRDefault="00E90864" w:rsidP="00E90864">
      <w:pPr>
        <w:spacing w:line="276" w:lineRule="auto"/>
        <w:rPr>
          <w:rFonts w:ascii="Arial" w:hAnsi="Arial" w:cs="Arial"/>
          <w:b/>
          <w:sz w:val="24"/>
          <w:szCs w:val="24"/>
        </w:rPr>
      </w:pPr>
    </w:p>
    <w:p w14:paraId="55CA1B61" w14:textId="59EA1C67" w:rsidR="00F64730" w:rsidRPr="00F64730" w:rsidRDefault="00F64730" w:rsidP="00232EDF">
      <w:pPr>
        <w:spacing w:line="276" w:lineRule="auto"/>
        <w:rPr>
          <w:rFonts w:ascii="Arial" w:hAnsi="Arial" w:cs="Arial"/>
          <w:sz w:val="24"/>
          <w:szCs w:val="24"/>
        </w:rPr>
      </w:pPr>
      <w:r w:rsidRPr="00F64730">
        <w:rPr>
          <w:rFonts w:ascii="Arial" w:hAnsi="Arial" w:cs="Arial"/>
          <w:b/>
          <w:sz w:val="24"/>
          <w:szCs w:val="24"/>
        </w:rPr>
        <w:t xml:space="preserve">Output </w:t>
      </w:r>
      <w:r w:rsidR="00560F0F">
        <w:rPr>
          <w:rFonts w:ascii="Arial" w:hAnsi="Arial" w:cs="Arial"/>
          <w:b/>
          <w:sz w:val="24"/>
          <w:szCs w:val="24"/>
        </w:rPr>
        <w:t>4</w:t>
      </w:r>
      <w:r w:rsidRPr="00F64730">
        <w:rPr>
          <w:rFonts w:ascii="Arial" w:hAnsi="Arial" w:cs="Arial"/>
          <w:b/>
          <w:sz w:val="24"/>
          <w:szCs w:val="24"/>
        </w:rPr>
        <w:t>:</w:t>
      </w:r>
      <w:r w:rsidRPr="00F64730">
        <w:rPr>
          <w:rFonts w:ascii="Arial" w:hAnsi="Arial" w:cs="Arial"/>
          <w:sz w:val="24"/>
          <w:szCs w:val="24"/>
        </w:rPr>
        <w:t xml:space="preserve"> A draft final report with key findings, including outputs from any workshops/interviews. FSA’s preferred reporting format is 1:3:25, where 1 refers to a one-page project summary, 3 refers to the executive summary and 25 refers to the full report (excluding annexes). Tenders are asked to comment on this format, </w:t>
      </w:r>
      <w:r w:rsidR="00520686" w:rsidRPr="00F64730">
        <w:rPr>
          <w:rFonts w:ascii="Arial" w:hAnsi="Arial" w:cs="Arial"/>
          <w:sz w:val="24"/>
          <w:szCs w:val="24"/>
        </w:rPr>
        <w:t>if</w:t>
      </w:r>
      <w:r w:rsidRPr="00F64730">
        <w:rPr>
          <w:rFonts w:ascii="Arial" w:hAnsi="Arial" w:cs="Arial"/>
          <w:sz w:val="24"/>
          <w:szCs w:val="24"/>
        </w:rPr>
        <w:t xml:space="preserve"> the format is not suitable for the research being proposed. FSA expects all reports to include a project summary and executive summary. The report should contain an executive summary and be provided in electronic format (word).</w:t>
      </w:r>
    </w:p>
    <w:p w14:paraId="397E71BF" w14:textId="77777777" w:rsidR="00F64730" w:rsidRDefault="00F64730" w:rsidP="00E70664">
      <w:pPr>
        <w:spacing w:line="276" w:lineRule="auto"/>
        <w:ind w:left="720"/>
        <w:rPr>
          <w:rFonts w:ascii="Arial" w:hAnsi="Arial" w:cs="Arial"/>
          <w:b/>
          <w:sz w:val="24"/>
          <w:szCs w:val="24"/>
        </w:rPr>
      </w:pPr>
    </w:p>
    <w:p w14:paraId="458946D5" w14:textId="2AB86A07" w:rsidR="00F64730" w:rsidRPr="00F64730" w:rsidRDefault="00F64730" w:rsidP="00232EDF">
      <w:pPr>
        <w:spacing w:line="276" w:lineRule="auto"/>
        <w:rPr>
          <w:rFonts w:ascii="Arial" w:hAnsi="Arial" w:cs="Arial"/>
          <w:sz w:val="24"/>
          <w:szCs w:val="24"/>
        </w:rPr>
      </w:pPr>
      <w:r w:rsidRPr="00F64730">
        <w:rPr>
          <w:rFonts w:ascii="Arial" w:hAnsi="Arial" w:cs="Arial"/>
          <w:b/>
          <w:sz w:val="24"/>
          <w:szCs w:val="24"/>
        </w:rPr>
        <w:t xml:space="preserve">Output </w:t>
      </w:r>
      <w:r w:rsidR="00560F0F">
        <w:rPr>
          <w:rFonts w:ascii="Arial" w:hAnsi="Arial" w:cs="Arial"/>
          <w:b/>
          <w:sz w:val="24"/>
          <w:szCs w:val="24"/>
        </w:rPr>
        <w:t>5</w:t>
      </w:r>
      <w:r w:rsidRPr="00F64730">
        <w:rPr>
          <w:rFonts w:ascii="Arial" w:hAnsi="Arial" w:cs="Arial"/>
          <w:b/>
          <w:sz w:val="24"/>
          <w:szCs w:val="24"/>
        </w:rPr>
        <w:t>:</w:t>
      </w:r>
      <w:r w:rsidRPr="00F64730">
        <w:rPr>
          <w:rFonts w:ascii="Arial" w:hAnsi="Arial" w:cs="Arial"/>
          <w:sz w:val="24"/>
          <w:szCs w:val="24"/>
        </w:rPr>
        <w:t xml:space="preserve"> Agreed final report using the 1:3:25 format as stated above </w:t>
      </w:r>
      <w:r w:rsidR="007A17A8">
        <w:rPr>
          <w:rFonts w:ascii="Arial" w:hAnsi="Arial" w:cs="Arial"/>
          <w:sz w:val="24"/>
          <w:szCs w:val="24"/>
        </w:rPr>
        <w:t>(excluding annexes)</w:t>
      </w:r>
      <w:r w:rsidRPr="00F64730">
        <w:rPr>
          <w:rFonts w:ascii="Arial" w:hAnsi="Arial" w:cs="Arial"/>
          <w:sz w:val="24"/>
          <w:szCs w:val="24"/>
        </w:rPr>
        <w:t>. The report should contain a project summary, an executive summary, full report, and be provided in e</w:t>
      </w:r>
      <w:r w:rsidR="00560F0F">
        <w:rPr>
          <w:rFonts w:ascii="Arial" w:hAnsi="Arial" w:cs="Arial"/>
          <w:sz w:val="24"/>
          <w:szCs w:val="24"/>
        </w:rPr>
        <w:t>lectronic format (word and PDF):</w:t>
      </w:r>
    </w:p>
    <w:p w14:paraId="3E6F371D" w14:textId="77777777" w:rsidR="00F64730" w:rsidRPr="00F64730" w:rsidRDefault="00F64730" w:rsidP="00E70664">
      <w:pPr>
        <w:pStyle w:val="ListParagraph"/>
        <w:numPr>
          <w:ilvl w:val="0"/>
          <w:numId w:val="28"/>
        </w:numPr>
        <w:spacing w:line="276" w:lineRule="auto"/>
        <w:ind w:left="1440"/>
        <w:rPr>
          <w:rFonts w:ascii="Arial" w:hAnsi="Arial" w:cs="Arial"/>
          <w:sz w:val="24"/>
          <w:szCs w:val="24"/>
        </w:rPr>
      </w:pPr>
      <w:r w:rsidRPr="00F64730">
        <w:rPr>
          <w:rFonts w:ascii="Arial" w:hAnsi="Arial" w:cs="Arial"/>
          <w:sz w:val="24"/>
          <w:szCs w:val="24"/>
        </w:rPr>
        <w:t xml:space="preserve">The executive summary should refrain from simply bulleting the points in the main report, but should consider what the findings mean in a wider policy context; </w:t>
      </w:r>
    </w:p>
    <w:p w14:paraId="7105463C" w14:textId="19BF5627" w:rsidR="00F64730" w:rsidRPr="00F64730" w:rsidRDefault="00F64730" w:rsidP="00D97340">
      <w:pPr>
        <w:pStyle w:val="ListParagraph"/>
        <w:numPr>
          <w:ilvl w:val="0"/>
          <w:numId w:val="28"/>
        </w:numPr>
        <w:spacing w:line="276" w:lineRule="auto"/>
        <w:ind w:left="1418"/>
        <w:rPr>
          <w:rFonts w:ascii="Arial" w:hAnsi="Arial" w:cs="Arial"/>
          <w:sz w:val="24"/>
          <w:szCs w:val="24"/>
        </w:rPr>
      </w:pPr>
      <w:r w:rsidRPr="00F64730">
        <w:rPr>
          <w:rFonts w:ascii="Arial" w:hAnsi="Arial" w:cs="Arial"/>
          <w:sz w:val="24"/>
          <w:szCs w:val="24"/>
        </w:rPr>
        <w:t xml:space="preserve">The main body of the report should include </w:t>
      </w:r>
      <w:r w:rsidR="00D97340">
        <w:rPr>
          <w:rFonts w:ascii="Arial" w:hAnsi="Arial" w:cs="Arial"/>
          <w:sz w:val="24"/>
          <w:szCs w:val="24"/>
        </w:rPr>
        <w:t xml:space="preserve">a </w:t>
      </w:r>
      <w:r w:rsidRPr="00F64730">
        <w:rPr>
          <w:rFonts w:ascii="Arial" w:hAnsi="Arial" w:cs="Arial"/>
          <w:sz w:val="24"/>
          <w:szCs w:val="24"/>
        </w:rPr>
        <w:t>detailed</w:t>
      </w:r>
      <w:r w:rsidR="00D97340">
        <w:rPr>
          <w:rFonts w:ascii="Arial" w:hAnsi="Arial" w:cs="Arial"/>
          <w:sz w:val="24"/>
          <w:szCs w:val="24"/>
        </w:rPr>
        <w:t xml:space="preserve"> assessment of the UK </w:t>
      </w:r>
      <w:r w:rsidR="00D97340" w:rsidRPr="00D97340">
        <w:rPr>
          <w:rFonts w:ascii="Arial" w:hAnsi="Arial" w:cs="Arial"/>
          <w:sz w:val="24"/>
          <w:szCs w:val="24"/>
        </w:rPr>
        <w:t xml:space="preserve">meat industry </w:t>
      </w:r>
      <w:r w:rsidR="00D97340">
        <w:rPr>
          <w:rFonts w:ascii="Arial" w:hAnsi="Arial" w:cs="Arial"/>
          <w:sz w:val="24"/>
          <w:szCs w:val="24"/>
        </w:rPr>
        <w:t xml:space="preserve">in its operation </w:t>
      </w:r>
      <w:r w:rsidR="00D97340" w:rsidRPr="00D97340">
        <w:rPr>
          <w:rFonts w:ascii="Arial" w:hAnsi="Arial" w:cs="Arial"/>
          <w:sz w:val="24"/>
          <w:szCs w:val="24"/>
        </w:rPr>
        <w:t>across the whole supply chain</w:t>
      </w:r>
      <w:r w:rsidR="00D97340">
        <w:rPr>
          <w:rFonts w:ascii="Arial" w:hAnsi="Arial" w:cs="Arial"/>
          <w:sz w:val="24"/>
          <w:szCs w:val="24"/>
        </w:rPr>
        <w:t xml:space="preserve"> in addressing each of the research questions. </w:t>
      </w:r>
    </w:p>
    <w:p w14:paraId="7264669A" w14:textId="77777777" w:rsidR="00F64730" w:rsidRPr="00F64730" w:rsidRDefault="00F64730" w:rsidP="00E70664">
      <w:pPr>
        <w:pStyle w:val="ListParagraph"/>
        <w:numPr>
          <w:ilvl w:val="0"/>
          <w:numId w:val="28"/>
        </w:numPr>
        <w:spacing w:line="276" w:lineRule="auto"/>
        <w:ind w:left="1440"/>
        <w:rPr>
          <w:rFonts w:ascii="Arial" w:hAnsi="Arial" w:cs="Arial"/>
          <w:sz w:val="24"/>
          <w:szCs w:val="24"/>
        </w:rPr>
      </w:pPr>
      <w:r w:rsidRPr="00F64730">
        <w:rPr>
          <w:rFonts w:ascii="Arial" w:hAnsi="Arial" w:cs="Arial"/>
          <w:sz w:val="24"/>
          <w:szCs w:val="24"/>
        </w:rPr>
        <w:t xml:space="preserve">PowerPoint presentation summarising the key research findings and recommendations; and </w:t>
      </w:r>
    </w:p>
    <w:p w14:paraId="10C11710" w14:textId="77777777" w:rsidR="00F64730" w:rsidRPr="00F64730" w:rsidRDefault="00F64730" w:rsidP="00E70664">
      <w:pPr>
        <w:pStyle w:val="ListParagraph"/>
        <w:numPr>
          <w:ilvl w:val="0"/>
          <w:numId w:val="28"/>
        </w:numPr>
        <w:spacing w:line="276" w:lineRule="auto"/>
        <w:ind w:left="1440"/>
        <w:rPr>
          <w:rFonts w:ascii="Arial" w:hAnsi="Arial" w:cs="Arial"/>
          <w:sz w:val="24"/>
          <w:szCs w:val="24"/>
        </w:rPr>
      </w:pPr>
      <w:r w:rsidRPr="00F64730">
        <w:rPr>
          <w:rFonts w:ascii="Arial" w:hAnsi="Arial" w:cs="Arial"/>
          <w:sz w:val="24"/>
          <w:szCs w:val="24"/>
        </w:rPr>
        <w:t>Electronic files of the underpinning data, including the modelling tool.</w:t>
      </w:r>
    </w:p>
    <w:p w14:paraId="5A9E70B1" w14:textId="77777777" w:rsidR="00F64730" w:rsidRPr="00F64730" w:rsidRDefault="00F64730" w:rsidP="00E70664">
      <w:pPr>
        <w:spacing w:line="276" w:lineRule="auto"/>
        <w:rPr>
          <w:rFonts w:ascii="Arial" w:hAnsi="Arial" w:cs="Arial"/>
          <w:sz w:val="24"/>
          <w:szCs w:val="24"/>
        </w:rPr>
      </w:pPr>
    </w:p>
    <w:p w14:paraId="6093785E" w14:textId="68D5C67E" w:rsidR="00F64730" w:rsidRPr="00F64730" w:rsidRDefault="00F64730" w:rsidP="00E70664">
      <w:pPr>
        <w:spacing w:line="276" w:lineRule="auto"/>
        <w:rPr>
          <w:rFonts w:ascii="Arial" w:hAnsi="Arial" w:cs="Arial"/>
          <w:sz w:val="24"/>
          <w:szCs w:val="24"/>
        </w:rPr>
      </w:pPr>
      <w:r w:rsidRPr="00F64730">
        <w:rPr>
          <w:rFonts w:ascii="Arial" w:hAnsi="Arial" w:cs="Arial"/>
          <w:sz w:val="24"/>
          <w:szCs w:val="24"/>
        </w:rPr>
        <w:t>Usually reports require two rounds of substantive comments by FSA officials</w:t>
      </w:r>
      <w:r w:rsidR="00BC1AFF">
        <w:rPr>
          <w:rFonts w:ascii="Arial" w:hAnsi="Arial" w:cs="Arial"/>
          <w:sz w:val="24"/>
          <w:szCs w:val="24"/>
        </w:rPr>
        <w:t xml:space="preserve"> for clarification</w:t>
      </w:r>
      <w:r w:rsidRPr="00F64730">
        <w:rPr>
          <w:rFonts w:ascii="Arial" w:hAnsi="Arial" w:cs="Arial"/>
          <w:sz w:val="24"/>
          <w:szCs w:val="24"/>
        </w:rPr>
        <w:t xml:space="preserve"> (and any other parties involved in the project as appropriate) and a final round to finalise minor outstanding comments. Unless otherwise agreed, the project manager will co-ordinate comments and provide them to the contractor and all responses will be recorded. The final report will be subject to external peer review, following which further amendments may be required. Contractors should agree the timetable for reporting and publication with the project officer but should note that FSA normally expect </w:t>
      </w:r>
      <w:r w:rsidR="00E34D8C" w:rsidRPr="00F64730">
        <w:rPr>
          <w:rFonts w:ascii="Arial" w:hAnsi="Arial" w:cs="Arial"/>
          <w:sz w:val="24"/>
          <w:szCs w:val="24"/>
        </w:rPr>
        <w:t>t</w:t>
      </w:r>
      <w:r w:rsidR="00E34D8C">
        <w:rPr>
          <w:rFonts w:ascii="Arial" w:hAnsi="Arial" w:cs="Arial"/>
          <w:sz w:val="24"/>
          <w:szCs w:val="24"/>
        </w:rPr>
        <w:t xml:space="preserve">hree </w:t>
      </w:r>
      <w:r w:rsidRPr="00F64730">
        <w:rPr>
          <w:rFonts w:ascii="Arial" w:hAnsi="Arial" w:cs="Arial"/>
          <w:sz w:val="24"/>
          <w:szCs w:val="24"/>
        </w:rPr>
        <w:t>weeks to provide a co-ordinated response per round of substantive comments. Please confirm in your proposal how you will meet FSA’s requirements for reporting.</w:t>
      </w:r>
    </w:p>
    <w:p w14:paraId="5F8748EA" w14:textId="77777777" w:rsidR="00F64730" w:rsidRDefault="00F64730" w:rsidP="00E70664">
      <w:pPr>
        <w:spacing w:line="276" w:lineRule="auto"/>
        <w:rPr>
          <w:rFonts w:ascii="Arial" w:hAnsi="Arial" w:cs="Arial"/>
          <w:sz w:val="24"/>
          <w:szCs w:val="24"/>
        </w:rPr>
      </w:pPr>
    </w:p>
    <w:p w14:paraId="147DAB48" w14:textId="695040D1" w:rsidR="00F64730" w:rsidRDefault="00F64730" w:rsidP="00E70664">
      <w:pPr>
        <w:spacing w:line="276" w:lineRule="auto"/>
        <w:rPr>
          <w:b/>
        </w:rPr>
      </w:pPr>
      <w:r w:rsidRPr="00F64730">
        <w:rPr>
          <w:rFonts w:ascii="Arial" w:hAnsi="Arial" w:cs="Arial"/>
          <w:sz w:val="24"/>
          <w:szCs w:val="24"/>
        </w:rPr>
        <w:t xml:space="preserve">The Agency is committed to openness and transparency. As well as the final project report being published on the Food Standards Agency website (www.food.gov.uk), we encourage contractors to publish their work in peer reviewed scientific publications wherever possible. Also, in line with the Government’s Transparency </w:t>
      </w:r>
      <w:r w:rsidRPr="00F64730">
        <w:rPr>
          <w:rFonts w:ascii="Arial" w:hAnsi="Arial" w:cs="Arial"/>
          <w:sz w:val="24"/>
          <w:szCs w:val="24"/>
        </w:rPr>
        <w:lastRenderedPageBreak/>
        <w:t xml:space="preserve">Agenda which aims to encourage more open access to data held by government, the Agency is developing a policy on the release of underpinning data from </w:t>
      </w:r>
      <w:r w:rsidR="00520686" w:rsidRPr="00F64730">
        <w:rPr>
          <w:rFonts w:ascii="Arial" w:hAnsi="Arial" w:cs="Arial"/>
          <w:sz w:val="24"/>
          <w:szCs w:val="24"/>
        </w:rPr>
        <w:t>all</w:t>
      </w:r>
      <w:r w:rsidRPr="00F64730">
        <w:rPr>
          <w:rFonts w:ascii="Arial" w:hAnsi="Arial" w:cs="Arial"/>
          <w:sz w:val="24"/>
          <w:szCs w:val="24"/>
        </w:rPr>
        <w:t xml:space="preserve"> its science- and evidence-gathering projects. Underpinning data should also be published in an open, accessible, and re-usable format, such that the data can be made available to future researchers and the maximum benefit is derived from it. The Agency has established the key principles for release of underpinning data that will be applied to all new science- and evidence-gathering projects which we would expect contractors to comply with. These can be found at </w:t>
      </w:r>
      <w:hyperlink r:id="rId16" w:history="1">
        <w:r w:rsidRPr="00F64730">
          <w:rPr>
            <w:rStyle w:val="Hyperlink"/>
            <w:rFonts w:ascii="Arial" w:hAnsi="Arial" w:cs="Arial"/>
            <w:sz w:val="24"/>
            <w:szCs w:val="24"/>
          </w:rPr>
          <w:t>http://www.food.gov.uk/about-us/data-and-policies/underpinning-data</w:t>
        </w:r>
      </w:hyperlink>
    </w:p>
    <w:p w14:paraId="409A7A16" w14:textId="77777777" w:rsidR="00335A6A" w:rsidRDefault="00335A6A" w:rsidP="002238F9">
      <w:pPr>
        <w:spacing w:after="120" w:line="240" w:lineRule="auto"/>
        <w:rPr>
          <w:rFonts w:ascii="Arial" w:hAnsi="Arial" w:cs="Arial"/>
          <w:b/>
          <w:color w:val="008000"/>
          <w:sz w:val="24"/>
          <w:szCs w:val="24"/>
          <w:highlight w:val="yellow"/>
        </w:rPr>
      </w:pPr>
    </w:p>
    <w:p w14:paraId="409A7A2E" w14:textId="34DB15AA" w:rsidR="00B95826" w:rsidRPr="00335A6A" w:rsidRDefault="003D130A" w:rsidP="00B95826">
      <w:pPr>
        <w:pStyle w:val="Default"/>
        <w:spacing w:after="195"/>
        <w:rPr>
          <w:rFonts w:ascii="Arial" w:hAnsi="Arial" w:cs="Arial"/>
          <w:i/>
          <w:color w:val="auto"/>
        </w:rPr>
      </w:pPr>
      <w:r w:rsidRPr="00335A6A">
        <w:rPr>
          <w:rFonts w:ascii="Arial" w:hAnsi="Arial" w:cs="Arial"/>
          <w:i/>
          <w:color w:val="auto"/>
        </w:rPr>
        <w:t>A</w:t>
      </w:r>
      <w:r w:rsidR="00B95826" w:rsidRPr="00335A6A">
        <w:rPr>
          <w:rFonts w:ascii="Arial" w:hAnsi="Arial" w:cs="Arial"/>
          <w:i/>
          <w:color w:val="auto"/>
        </w:rPr>
        <w:t xml:space="preserve">s required on a project by project </w:t>
      </w:r>
      <w:r w:rsidR="00520686" w:rsidRPr="00335A6A">
        <w:rPr>
          <w:rFonts w:ascii="Arial" w:hAnsi="Arial" w:cs="Arial"/>
          <w:i/>
          <w:color w:val="auto"/>
        </w:rPr>
        <w:t>base UKAS</w:t>
      </w:r>
      <w:r w:rsidR="00B95826" w:rsidRPr="00335A6A">
        <w:rPr>
          <w:rFonts w:ascii="Arial" w:hAnsi="Arial" w:cs="Arial"/>
          <w:i/>
          <w:color w:val="auto"/>
        </w:rPr>
        <w:t xml:space="preserve"> accreditation, ISO 9001 etc. </w:t>
      </w:r>
    </w:p>
    <w:p w14:paraId="409A7A2F" w14:textId="4FDBE026" w:rsidR="003D130A" w:rsidRDefault="007C14EF" w:rsidP="00495B0F">
      <w:pPr>
        <w:spacing w:line="240" w:lineRule="auto"/>
        <w:jc w:val="both"/>
        <w:rPr>
          <w:rFonts w:ascii="Arial" w:hAnsi="Arial" w:cs="Arial"/>
          <w:i/>
          <w:sz w:val="24"/>
          <w:szCs w:val="24"/>
        </w:rPr>
      </w:pPr>
      <w:r w:rsidRPr="00335A6A">
        <w:rPr>
          <w:rFonts w:ascii="Arial" w:hAnsi="Arial" w:cs="Arial"/>
          <w:i/>
          <w:sz w:val="24"/>
          <w:szCs w:val="24"/>
        </w:rPr>
        <w:t>Q</w:t>
      </w:r>
      <w:r w:rsidR="00495B0F" w:rsidRPr="00335A6A">
        <w:rPr>
          <w:rFonts w:ascii="Arial" w:hAnsi="Arial" w:cs="Arial"/>
          <w:i/>
          <w:sz w:val="24"/>
          <w:szCs w:val="24"/>
        </w:rPr>
        <w:t>uality management consideration</w:t>
      </w:r>
      <w:r w:rsidR="003D130A" w:rsidRPr="00335A6A">
        <w:rPr>
          <w:rFonts w:ascii="Arial" w:hAnsi="Arial" w:cs="Arial"/>
          <w:i/>
          <w:sz w:val="24"/>
          <w:szCs w:val="24"/>
        </w:rPr>
        <w:t>s</w:t>
      </w:r>
      <w:r w:rsidR="00495B0F" w:rsidRPr="00335A6A">
        <w:rPr>
          <w:rFonts w:ascii="Arial" w:hAnsi="Arial" w:cs="Arial"/>
          <w:i/>
          <w:sz w:val="24"/>
          <w:szCs w:val="24"/>
        </w:rPr>
        <w:t xml:space="preserve"> should be given</w:t>
      </w:r>
      <w:r w:rsidR="003D130A" w:rsidRPr="00335A6A">
        <w:rPr>
          <w:rFonts w:ascii="Arial" w:hAnsi="Arial" w:cs="Arial"/>
          <w:i/>
          <w:sz w:val="24"/>
          <w:szCs w:val="24"/>
        </w:rPr>
        <w:t xml:space="preserve"> </w:t>
      </w:r>
      <w:r w:rsidR="00495B0F" w:rsidRPr="00335A6A">
        <w:rPr>
          <w:rFonts w:ascii="Arial" w:hAnsi="Arial" w:cs="Arial"/>
          <w:i/>
          <w:sz w:val="24"/>
          <w:szCs w:val="24"/>
        </w:rPr>
        <w:t xml:space="preserve">as to whether any </w:t>
      </w:r>
      <w:r w:rsidR="00063AF6" w:rsidRPr="00335A6A">
        <w:rPr>
          <w:rFonts w:ascii="Arial" w:hAnsi="Arial" w:cs="Arial"/>
          <w:i/>
          <w:sz w:val="24"/>
          <w:szCs w:val="24"/>
        </w:rPr>
        <w:t>particular standards</w:t>
      </w:r>
      <w:r w:rsidR="00495B0F" w:rsidRPr="00335A6A">
        <w:rPr>
          <w:rFonts w:ascii="Arial" w:hAnsi="Arial" w:cs="Arial"/>
          <w:i/>
          <w:sz w:val="24"/>
          <w:szCs w:val="24"/>
        </w:rPr>
        <w:t xml:space="preserve"> need to be met</w:t>
      </w:r>
      <w:r w:rsidRPr="00335A6A">
        <w:rPr>
          <w:rFonts w:ascii="Arial" w:hAnsi="Arial" w:cs="Arial"/>
          <w:i/>
          <w:sz w:val="24"/>
          <w:szCs w:val="24"/>
        </w:rPr>
        <w:t xml:space="preserve">. </w:t>
      </w:r>
      <w:r w:rsidR="00495B0F" w:rsidRPr="00335A6A">
        <w:rPr>
          <w:rFonts w:ascii="Arial" w:hAnsi="Arial" w:cs="Arial"/>
          <w:i/>
          <w:sz w:val="24"/>
          <w:szCs w:val="24"/>
        </w:rPr>
        <w:t xml:space="preserve"> </w:t>
      </w:r>
    </w:p>
    <w:p w14:paraId="4132F203" w14:textId="77777777" w:rsidR="00560F0F" w:rsidRPr="00335A6A" w:rsidRDefault="00560F0F" w:rsidP="00495B0F">
      <w:pPr>
        <w:spacing w:line="240" w:lineRule="auto"/>
        <w:jc w:val="both"/>
        <w:rPr>
          <w:rFonts w:ascii="Arial" w:hAnsi="Arial" w:cs="Arial"/>
          <w:i/>
          <w:sz w:val="24"/>
          <w:szCs w:val="24"/>
        </w:rPr>
      </w:pPr>
    </w:p>
    <w:p w14:paraId="409A7A30" w14:textId="77777777" w:rsidR="003D130A" w:rsidRPr="00335A6A" w:rsidRDefault="003D130A" w:rsidP="00495B0F">
      <w:pPr>
        <w:spacing w:line="240" w:lineRule="auto"/>
        <w:jc w:val="both"/>
        <w:rPr>
          <w:rFonts w:ascii="Arial" w:hAnsi="Arial" w:cs="Arial"/>
          <w:i/>
          <w:sz w:val="24"/>
          <w:szCs w:val="24"/>
        </w:rPr>
      </w:pPr>
      <w:r w:rsidRPr="00335A6A">
        <w:rPr>
          <w:rFonts w:ascii="Arial" w:hAnsi="Arial" w:cs="Arial"/>
          <w:i/>
          <w:sz w:val="24"/>
          <w:szCs w:val="24"/>
        </w:rPr>
        <w:t xml:space="preserve">Please list all specific requirements and insert any specific links </w:t>
      </w:r>
    </w:p>
    <w:p w14:paraId="409A7A31" w14:textId="77777777" w:rsidR="00495B0F" w:rsidRPr="00335A6A" w:rsidRDefault="00495B0F" w:rsidP="00495B0F">
      <w:pPr>
        <w:spacing w:line="240" w:lineRule="auto"/>
        <w:jc w:val="both"/>
        <w:rPr>
          <w:rFonts w:ascii="Arial" w:hAnsi="Arial" w:cs="Arial"/>
          <w:i/>
          <w:sz w:val="24"/>
          <w:szCs w:val="24"/>
        </w:rPr>
      </w:pPr>
      <w:r w:rsidRPr="00335A6A">
        <w:rPr>
          <w:rFonts w:ascii="Arial" w:hAnsi="Arial" w:cs="Arial"/>
          <w:i/>
          <w:sz w:val="24"/>
          <w:szCs w:val="24"/>
        </w:rPr>
        <w:t>Examples of standards can be found at:</w:t>
      </w:r>
    </w:p>
    <w:p w14:paraId="409A7A32" w14:textId="77777777" w:rsidR="00495B0F" w:rsidRPr="00335A6A" w:rsidRDefault="00C66EDB" w:rsidP="00495B0F">
      <w:pPr>
        <w:spacing w:line="240" w:lineRule="auto"/>
        <w:jc w:val="both"/>
        <w:rPr>
          <w:rFonts w:ascii="Arial" w:hAnsi="Arial" w:cs="Arial"/>
          <w:i/>
          <w:sz w:val="24"/>
          <w:szCs w:val="24"/>
        </w:rPr>
      </w:pPr>
      <w:hyperlink r:id="rId17" w:history="1">
        <w:r w:rsidR="00495B0F" w:rsidRPr="00335A6A">
          <w:rPr>
            <w:rStyle w:val="Hyperlink"/>
            <w:rFonts w:ascii="Arial" w:hAnsi="Arial" w:cs="Arial"/>
            <w:i/>
            <w:color w:val="auto"/>
            <w:sz w:val="24"/>
            <w:szCs w:val="24"/>
          </w:rPr>
          <w:t>http://www.iso.org/iso/home/standards.htm</w:t>
        </w:r>
      </w:hyperlink>
    </w:p>
    <w:p w14:paraId="409A7A33" w14:textId="77777777" w:rsidR="00495B0F" w:rsidRPr="00335A6A" w:rsidRDefault="00495B0F" w:rsidP="00495B0F">
      <w:pPr>
        <w:spacing w:line="240" w:lineRule="auto"/>
        <w:jc w:val="both"/>
        <w:rPr>
          <w:rFonts w:ascii="Arial" w:hAnsi="Arial" w:cs="Arial"/>
          <w:i/>
          <w:sz w:val="24"/>
          <w:szCs w:val="24"/>
        </w:rPr>
      </w:pPr>
    </w:p>
    <w:p w14:paraId="409A7A34" w14:textId="77777777" w:rsidR="00495B0F" w:rsidRPr="00335A6A" w:rsidRDefault="00893DCB" w:rsidP="00495B0F">
      <w:pPr>
        <w:spacing w:line="240" w:lineRule="auto"/>
        <w:jc w:val="both"/>
        <w:rPr>
          <w:rFonts w:ascii="Arial" w:hAnsi="Arial" w:cs="Arial"/>
          <w:i/>
          <w:sz w:val="24"/>
          <w:szCs w:val="24"/>
        </w:rPr>
      </w:pPr>
      <w:r>
        <w:rPr>
          <w:rFonts w:ascii="Arial" w:hAnsi="Arial" w:cs="Arial"/>
          <w:i/>
          <w:sz w:val="24"/>
          <w:szCs w:val="24"/>
        </w:rPr>
        <w:t xml:space="preserve">If the project includes any </w:t>
      </w:r>
      <w:r w:rsidR="00495B0F" w:rsidRPr="00335A6A">
        <w:rPr>
          <w:rFonts w:ascii="Arial" w:hAnsi="Arial" w:cs="Arial"/>
          <w:i/>
          <w:sz w:val="24"/>
          <w:szCs w:val="24"/>
        </w:rPr>
        <w:t>mathematical modelling</w:t>
      </w:r>
      <w:r>
        <w:rPr>
          <w:rFonts w:ascii="Arial" w:hAnsi="Arial" w:cs="Arial"/>
          <w:i/>
          <w:sz w:val="24"/>
          <w:szCs w:val="24"/>
        </w:rPr>
        <w:t>,</w:t>
      </w:r>
      <w:r w:rsidR="00495B0F" w:rsidRPr="00335A6A">
        <w:rPr>
          <w:rFonts w:ascii="Arial" w:hAnsi="Arial" w:cs="Arial"/>
          <w:i/>
          <w:sz w:val="24"/>
          <w:szCs w:val="24"/>
        </w:rPr>
        <w:t xml:space="preserve"> </w:t>
      </w:r>
      <w:r w:rsidR="00BC4907">
        <w:rPr>
          <w:rFonts w:ascii="Arial" w:hAnsi="Arial" w:cs="Arial"/>
          <w:i/>
          <w:sz w:val="24"/>
          <w:szCs w:val="24"/>
        </w:rPr>
        <w:t xml:space="preserve">the </w:t>
      </w:r>
      <w:r>
        <w:rPr>
          <w:rFonts w:ascii="Arial" w:hAnsi="Arial" w:cs="Arial"/>
          <w:i/>
          <w:sz w:val="24"/>
          <w:szCs w:val="24"/>
        </w:rPr>
        <w:t xml:space="preserve">quality </w:t>
      </w:r>
      <w:r w:rsidR="00BC4907">
        <w:rPr>
          <w:rFonts w:ascii="Arial" w:hAnsi="Arial" w:cs="Arial"/>
          <w:i/>
          <w:sz w:val="24"/>
          <w:szCs w:val="24"/>
        </w:rPr>
        <w:t>assurance considerations</w:t>
      </w:r>
      <w:r>
        <w:rPr>
          <w:rFonts w:ascii="Arial" w:hAnsi="Arial" w:cs="Arial"/>
          <w:i/>
          <w:sz w:val="24"/>
          <w:szCs w:val="24"/>
        </w:rPr>
        <w:t xml:space="preserve"> need to include how the work </w:t>
      </w:r>
      <w:r w:rsidR="00495B0F" w:rsidRPr="00335A6A">
        <w:rPr>
          <w:rFonts w:ascii="Arial" w:hAnsi="Arial" w:cs="Arial"/>
          <w:i/>
          <w:sz w:val="24"/>
          <w:szCs w:val="24"/>
        </w:rPr>
        <w:t xml:space="preserve">will meet </w:t>
      </w:r>
      <w:r>
        <w:rPr>
          <w:rFonts w:ascii="Arial" w:hAnsi="Arial" w:cs="Arial"/>
          <w:i/>
          <w:sz w:val="24"/>
          <w:szCs w:val="24"/>
        </w:rPr>
        <w:t xml:space="preserve">the </w:t>
      </w:r>
      <w:r w:rsidR="00495B0F" w:rsidRPr="00335A6A">
        <w:rPr>
          <w:rFonts w:ascii="Arial" w:hAnsi="Arial" w:cs="Arial"/>
          <w:i/>
          <w:sz w:val="24"/>
          <w:szCs w:val="24"/>
        </w:rPr>
        <w:t>standards in the Aqua Book:</w:t>
      </w:r>
    </w:p>
    <w:p w14:paraId="409A7A35" w14:textId="77777777" w:rsidR="00495B0F" w:rsidRPr="00335A6A" w:rsidRDefault="00495B0F" w:rsidP="00495B0F">
      <w:pPr>
        <w:spacing w:line="240" w:lineRule="auto"/>
        <w:jc w:val="both"/>
        <w:rPr>
          <w:rFonts w:ascii="Arial" w:hAnsi="Arial" w:cs="Arial"/>
          <w:i/>
          <w:sz w:val="24"/>
          <w:szCs w:val="24"/>
        </w:rPr>
      </w:pPr>
    </w:p>
    <w:p w14:paraId="409A7A36" w14:textId="77777777" w:rsidR="00495B0F" w:rsidRPr="00335A6A" w:rsidRDefault="00C66EDB" w:rsidP="00495B0F">
      <w:pPr>
        <w:spacing w:line="240" w:lineRule="auto"/>
        <w:jc w:val="both"/>
        <w:rPr>
          <w:rFonts w:ascii="Arial" w:hAnsi="Arial" w:cs="Arial"/>
          <w:i/>
          <w:sz w:val="24"/>
          <w:szCs w:val="24"/>
        </w:rPr>
      </w:pPr>
      <w:hyperlink r:id="rId18" w:history="1">
        <w:r w:rsidR="00495B0F" w:rsidRPr="00335A6A">
          <w:rPr>
            <w:rStyle w:val="Hyperlink"/>
            <w:rFonts w:ascii="Arial" w:hAnsi="Arial" w:cs="Arial"/>
            <w:i/>
            <w:color w:val="auto"/>
            <w:sz w:val="24"/>
            <w:szCs w:val="24"/>
          </w:rPr>
          <w:t>https://www.gov.uk/government/publications/the-aqua-book-guidance-on-producing-quality-analysis-for-government</w:t>
        </w:r>
      </w:hyperlink>
    </w:p>
    <w:p w14:paraId="409A7A37" w14:textId="77777777" w:rsidR="00495B0F" w:rsidRPr="00335A6A" w:rsidRDefault="00495B0F" w:rsidP="00495B0F">
      <w:pPr>
        <w:spacing w:line="240" w:lineRule="auto"/>
        <w:jc w:val="both"/>
        <w:rPr>
          <w:rFonts w:ascii="Arial" w:hAnsi="Arial" w:cs="Arial"/>
          <w:i/>
          <w:sz w:val="24"/>
          <w:szCs w:val="24"/>
        </w:rPr>
      </w:pPr>
    </w:p>
    <w:p w14:paraId="409A7A38" w14:textId="77777777" w:rsidR="001D0E8E" w:rsidRPr="00335A6A" w:rsidRDefault="003D130A" w:rsidP="001D0E8E">
      <w:pPr>
        <w:spacing w:line="240" w:lineRule="auto"/>
        <w:jc w:val="both"/>
        <w:rPr>
          <w:rFonts w:ascii="Arial" w:hAnsi="Arial" w:cs="Arial"/>
          <w:i/>
          <w:sz w:val="24"/>
          <w:szCs w:val="24"/>
        </w:rPr>
      </w:pPr>
      <w:r w:rsidRPr="00335A6A">
        <w:rPr>
          <w:rFonts w:ascii="Arial" w:hAnsi="Arial" w:cs="Arial"/>
          <w:i/>
          <w:sz w:val="24"/>
          <w:szCs w:val="24"/>
        </w:rPr>
        <w:t xml:space="preserve">Will </w:t>
      </w:r>
      <w:r w:rsidR="00063AF6" w:rsidRPr="00335A6A">
        <w:rPr>
          <w:rFonts w:ascii="Arial" w:hAnsi="Arial" w:cs="Arial"/>
          <w:i/>
          <w:sz w:val="24"/>
          <w:szCs w:val="24"/>
        </w:rPr>
        <w:t>the ‘</w:t>
      </w:r>
      <w:hyperlink r:id="rId19" w:history="1">
        <w:r w:rsidR="00063AF6" w:rsidRPr="0046512C">
          <w:rPr>
            <w:rStyle w:val="Hyperlink"/>
            <w:rFonts w:ascii="Arial" w:hAnsi="Arial" w:cs="Arial"/>
            <w:i/>
            <w:sz w:val="24"/>
            <w:szCs w:val="24"/>
          </w:rPr>
          <w:t>Joint</w:t>
        </w:r>
        <w:r w:rsidR="001D0E8E" w:rsidRPr="0046512C">
          <w:rPr>
            <w:rStyle w:val="Hyperlink"/>
            <w:rFonts w:ascii="Arial" w:hAnsi="Arial" w:cs="Arial"/>
            <w:i/>
            <w:sz w:val="24"/>
            <w:szCs w:val="24"/>
          </w:rPr>
          <w:t xml:space="preserve"> Code of Practice for Research</w:t>
        </w:r>
        <w:r w:rsidRPr="0046512C">
          <w:rPr>
            <w:rStyle w:val="Hyperlink"/>
            <w:rFonts w:ascii="Arial" w:hAnsi="Arial" w:cs="Arial"/>
            <w:i/>
            <w:sz w:val="24"/>
            <w:szCs w:val="24"/>
          </w:rPr>
          <w:t>’</w:t>
        </w:r>
      </w:hyperlink>
      <w:r w:rsidRPr="00335A6A">
        <w:rPr>
          <w:rFonts w:ascii="Arial" w:hAnsi="Arial" w:cs="Arial"/>
          <w:i/>
          <w:sz w:val="24"/>
          <w:szCs w:val="24"/>
        </w:rPr>
        <w:t xml:space="preserve"> appl</w:t>
      </w:r>
      <w:r w:rsidR="00335A6A">
        <w:rPr>
          <w:rFonts w:ascii="Arial" w:hAnsi="Arial" w:cs="Arial"/>
          <w:i/>
          <w:sz w:val="24"/>
          <w:szCs w:val="24"/>
        </w:rPr>
        <w:t>y</w:t>
      </w:r>
      <w:r w:rsidRPr="00335A6A">
        <w:rPr>
          <w:rFonts w:ascii="Arial" w:hAnsi="Arial" w:cs="Arial"/>
          <w:i/>
          <w:sz w:val="24"/>
          <w:szCs w:val="24"/>
        </w:rPr>
        <w:t xml:space="preserve"> to </w:t>
      </w:r>
      <w:r w:rsidR="00063AF6" w:rsidRPr="00335A6A">
        <w:rPr>
          <w:rFonts w:ascii="Arial" w:hAnsi="Arial" w:cs="Arial"/>
          <w:i/>
          <w:sz w:val="24"/>
          <w:szCs w:val="24"/>
        </w:rPr>
        <w:t>your project</w:t>
      </w:r>
      <w:r w:rsidRPr="00335A6A">
        <w:rPr>
          <w:rFonts w:ascii="Arial" w:hAnsi="Arial" w:cs="Arial"/>
          <w:i/>
          <w:sz w:val="24"/>
          <w:szCs w:val="24"/>
        </w:rPr>
        <w:t xml:space="preserve">? </w:t>
      </w:r>
      <w:r w:rsidR="001D0E8E" w:rsidRPr="00335A6A">
        <w:rPr>
          <w:rFonts w:ascii="Arial" w:hAnsi="Arial" w:cs="Arial"/>
          <w:i/>
          <w:sz w:val="24"/>
          <w:szCs w:val="24"/>
        </w:rPr>
        <w:t xml:space="preserve"> </w:t>
      </w:r>
    </w:p>
    <w:p w14:paraId="409A7A39" w14:textId="77777777" w:rsidR="001D0E8E" w:rsidRPr="00335A6A" w:rsidRDefault="001D0E8E" w:rsidP="001D0E8E">
      <w:pPr>
        <w:spacing w:line="240" w:lineRule="auto"/>
        <w:jc w:val="both"/>
        <w:rPr>
          <w:rFonts w:ascii="Arial" w:hAnsi="Arial" w:cs="Arial"/>
          <w:i/>
          <w:sz w:val="24"/>
          <w:szCs w:val="24"/>
        </w:rPr>
      </w:pPr>
    </w:p>
    <w:p w14:paraId="409A7A3A" w14:textId="77777777" w:rsidR="001D0E8E" w:rsidRPr="005068B0" w:rsidRDefault="001D0E8E" w:rsidP="001D0E8E">
      <w:pPr>
        <w:spacing w:line="240" w:lineRule="auto"/>
        <w:jc w:val="both"/>
        <w:rPr>
          <w:rFonts w:ascii="Arial" w:hAnsi="Arial" w:cs="Arial"/>
          <w:color w:val="FF0000"/>
          <w:sz w:val="24"/>
          <w:szCs w:val="24"/>
        </w:rPr>
      </w:pPr>
      <w:r w:rsidRPr="00335A6A">
        <w:rPr>
          <w:rFonts w:ascii="Arial" w:hAnsi="Arial" w:cs="Arial"/>
          <w:i/>
          <w:sz w:val="24"/>
          <w:szCs w:val="24"/>
        </w:rPr>
        <w:t>https://www.gov.uk/government/publications/joint-code-of-practice-for-research-jcopr</w:t>
      </w:r>
      <w:r w:rsidRPr="00335A6A">
        <w:rPr>
          <w:rFonts w:ascii="Arial" w:hAnsi="Arial" w:cs="Arial"/>
          <w:sz w:val="24"/>
          <w:szCs w:val="24"/>
        </w:rPr>
        <w:t xml:space="preserve"> </w:t>
      </w:r>
    </w:p>
    <w:p w14:paraId="409A7A3B" w14:textId="77777777" w:rsidR="001D0E8E" w:rsidRPr="005068B0" w:rsidRDefault="001D0E8E" w:rsidP="001D0E8E">
      <w:pPr>
        <w:spacing w:line="240" w:lineRule="auto"/>
        <w:jc w:val="both"/>
        <w:rPr>
          <w:rFonts w:ascii="Arial" w:hAnsi="Arial" w:cs="Arial"/>
          <w:color w:val="FF0000"/>
          <w:sz w:val="24"/>
          <w:szCs w:val="24"/>
        </w:rPr>
      </w:pPr>
    </w:p>
    <w:p w14:paraId="66334E6A" w14:textId="77777777" w:rsidR="00E70664" w:rsidRPr="00E70664" w:rsidRDefault="00E70664" w:rsidP="00E70664">
      <w:pPr>
        <w:rPr>
          <w:rFonts w:ascii="Arial" w:hAnsi="Arial" w:cs="Arial"/>
          <w:b/>
          <w:sz w:val="24"/>
          <w:szCs w:val="24"/>
        </w:rPr>
      </w:pPr>
      <w:r w:rsidRPr="00E70664">
        <w:rPr>
          <w:rFonts w:ascii="Arial" w:hAnsi="Arial" w:cs="Arial"/>
          <w:b/>
          <w:sz w:val="24"/>
          <w:szCs w:val="24"/>
        </w:rPr>
        <w:t>Timings</w:t>
      </w:r>
    </w:p>
    <w:p w14:paraId="595424EE" w14:textId="77777777" w:rsidR="00E70664" w:rsidRPr="00E70664" w:rsidRDefault="00E70664" w:rsidP="00E70664">
      <w:pPr>
        <w:spacing w:line="240" w:lineRule="auto"/>
        <w:rPr>
          <w:rFonts w:ascii="Arial" w:hAnsi="Arial" w:cs="Arial"/>
          <w:sz w:val="24"/>
          <w:szCs w:val="24"/>
        </w:rPr>
      </w:pPr>
      <w:r w:rsidRPr="00E70664">
        <w:rPr>
          <w:rFonts w:ascii="Arial" w:hAnsi="Arial" w:cs="Arial"/>
          <w:sz w:val="24"/>
          <w:szCs w:val="24"/>
        </w:rPr>
        <w:t>Suggested research components and reporting timescales are as follows:</w:t>
      </w:r>
    </w:p>
    <w:p w14:paraId="0C1991EF" w14:textId="77777777" w:rsidR="00E70664" w:rsidRPr="00E70664" w:rsidRDefault="00E70664" w:rsidP="00E70664">
      <w:pPr>
        <w:pStyle w:val="ListParagraph"/>
        <w:spacing w:line="240" w:lineRule="auto"/>
        <w:ind w:left="792"/>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2217"/>
      </w:tblGrid>
      <w:tr w:rsidR="00E70664" w:rsidRPr="00E70664" w14:paraId="1CC9BBDF" w14:textId="77777777" w:rsidTr="008A5BD7">
        <w:trPr>
          <w:trHeight w:val="601"/>
        </w:trPr>
        <w:tc>
          <w:tcPr>
            <w:tcW w:w="6691" w:type="dxa"/>
            <w:tcBorders>
              <w:top w:val="single" w:sz="4" w:space="0" w:color="auto"/>
              <w:left w:val="single" w:sz="4" w:space="0" w:color="auto"/>
              <w:bottom w:val="single" w:sz="4" w:space="0" w:color="auto"/>
              <w:right w:val="nil"/>
            </w:tcBorders>
            <w:shd w:val="clear" w:color="auto" w:fill="1EA635"/>
            <w:vAlign w:val="center"/>
          </w:tcPr>
          <w:p w14:paraId="4C003EA3" w14:textId="77777777" w:rsidR="00E70664" w:rsidRPr="00E70664" w:rsidRDefault="00E70664" w:rsidP="00AD7EE0">
            <w:pPr>
              <w:spacing w:before="100" w:beforeAutospacing="1" w:after="100" w:afterAutospacing="1" w:line="312" w:lineRule="auto"/>
              <w:rPr>
                <w:rFonts w:ascii="Arial" w:hAnsi="Arial" w:cs="Arial"/>
                <w:b/>
                <w:color w:val="FFFFFF" w:themeColor="background1"/>
                <w:sz w:val="24"/>
                <w:szCs w:val="24"/>
              </w:rPr>
            </w:pPr>
            <w:r w:rsidRPr="00E70664">
              <w:rPr>
                <w:rFonts w:ascii="Arial" w:hAnsi="Arial" w:cs="Arial"/>
                <w:b/>
                <w:color w:val="FFFFFF" w:themeColor="background1"/>
                <w:sz w:val="24"/>
                <w:szCs w:val="24"/>
              </w:rPr>
              <w:t>TABLE 2. REPORTING TIMESCALE</w:t>
            </w:r>
          </w:p>
        </w:tc>
        <w:tc>
          <w:tcPr>
            <w:tcW w:w="2217" w:type="dxa"/>
            <w:tcBorders>
              <w:top w:val="single" w:sz="4" w:space="0" w:color="auto"/>
              <w:left w:val="nil"/>
              <w:bottom w:val="single" w:sz="4" w:space="0" w:color="auto"/>
              <w:right w:val="single" w:sz="4" w:space="0" w:color="auto"/>
            </w:tcBorders>
            <w:shd w:val="clear" w:color="auto" w:fill="1EA635"/>
            <w:vAlign w:val="center"/>
          </w:tcPr>
          <w:p w14:paraId="406FD1A0" w14:textId="77777777" w:rsidR="00E70664" w:rsidRPr="00E70664" w:rsidRDefault="00E70664" w:rsidP="00AD7EE0">
            <w:pPr>
              <w:spacing w:before="100" w:beforeAutospacing="1" w:after="100" w:afterAutospacing="1" w:line="312" w:lineRule="auto"/>
              <w:rPr>
                <w:rFonts w:ascii="Arial" w:hAnsi="Arial" w:cs="Arial"/>
                <w:b/>
                <w:color w:val="FFFFFF" w:themeColor="background1"/>
                <w:sz w:val="24"/>
                <w:szCs w:val="24"/>
              </w:rPr>
            </w:pPr>
          </w:p>
        </w:tc>
      </w:tr>
      <w:tr w:rsidR="00E70664" w:rsidRPr="00E70664" w14:paraId="442EAAA3" w14:textId="77777777" w:rsidTr="008A5BD7">
        <w:trPr>
          <w:trHeight w:val="567"/>
        </w:trPr>
        <w:tc>
          <w:tcPr>
            <w:tcW w:w="6691" w:type="dxa"/>
            <w:tcBorders>
              <w:top w:val="single" w:sz="4" w:space="0" w:color="auto"/>
              <w:left w:val="single" w:sz="4" w:space="0" w:color="auto"/>
              <w:bottom w:val="single" w:sz="4" w:space="0" w:color="auto"/>
              <w:right w:val="single" w:sz="4" w:space="0" w:color="auto"/>
            </w:tcBorders>
            <w:shd w:val="clear" w:color="auto" w:fill="1EA635"/>
            <w:vAlign w:val="center"/>
            <w:hideMark/>
          </w:tcPr>
          <w:p w14:paraId="02391E33" w14:textId="77777777" w:rsidR="00E70664" w:rsidRPr="00E70664" w:rsidRDefault="00E70664" w:rsidP="00AD7EE0">
            <w:pPr>
              <w:spacing w:before="100" w:beforeAutospacing="1" w:after="100" w:afterAutospacing="1" w:line="312" w:lineRule="auto"/>
              <w:rPr>
                <w:rFonts w:ascii="Arial" w:hAnsi="Arial" w:cs="Arial"/>
                <w:b/>
                <w:color w:val="FFFFFF" w:themeColor="background1"/>
                <w:sz w:val="24"/>
                <w:szCs w:val="24"/>
              </w:rPr>
            </w:pPr>
            <w:r w:rsidRPr="00E70664">
              <w:rPr>
                <w:rFonts w:ascii="Arial" w:hAnsi="Arial" w:cs="Arial"/>
                <w:b/>
                <w:color w:val="FFFFFF" w:themeColor="background1"/>
                <w:sz w:val="24"/>
                <w:szCs w:val="24"/>
              </w:rPr>
              <w:t>Action</w:t>
            </w:r>
          </w:p>
        </w:tc>
        <w:tc>
          <w:tcPr>
            <w:tcW w:w="2217" w:type="dxa"/>
            <w:tcBorders>
              <w:top w:val="single" w:sz="4" w:space="0" w:color="auto"/>
              <w:left w:val="single" w:sz="4" w:space="0" w:color="auto"/>
              <w:bottom w:val="single" w:sz="4" w:space="0" w:color="auto"/>
              <w:right w:val="single" w:sz="4" w:space="0" w:color="auto"/>
            </w:tcBorders>
            <w:shd w:val="clear" w:color="auto" w:fill="1EA635"/>
            <w:vAlign w:val="center"/>
            <w:hideMark/>
          </w:tcPr>
          <w:p w14:paraId="6448493E" w14:textId="77777777" w:rsidR="00E70664" w:rsidRPr="00E70664" w:rsidRDefault="00E70664" w:rsidP="00AD7EE0">
            <w:pPr>
              <w:spacing w:before="100" w:beforeAutospacing="1" w:after="100" w:afterAutospacing="1" w:line="312" w:lineRule="auto"/>
              <w:rPr>
                <w:rFonts w:ascii="Arial" w:hAnsi="Arial" w:cs="Arial"/>
                <w:b/>
                <w:color w:val="FFFFFF" w:themeColor="background1"/>
                <w:sz w:val="24"/>
                <w:szCs w:val="24"/>
              </w:rPr>
            </w:pPr>
            <w:r w:rsidRPr="00E70664">
              <w:rPr>
                <w:rFonts w:ascii="Arial" w:hAnsi="Arial" w:cs="Arial"/>
                <w:b/>
                <w:color w:val="FFFFFF" w:themeColor="background1"/>
                <w:sz w:val="24"/>
                <w:szCs w:val="24"/>
              </w:rPr>
              <w:t>Timing</w:t>
            </w:r>
          </w:p>
        </w:tc>
      </w:tr>
      <w:tr w:rsidR="00E70664" w:rsidRPr="00E70664" w14:paraId="0990824D" w14:textId="77777777" w:rsidTr="008A5BD7">
        <w:tc>
          <w:tcPr>
            <w:tcW w:w="6691" w:type="dxa"/>
            <w:tcBorders>
              <w:top w:val="single" w:sz="4" w:space="0" w:color="auto"/>
              <w:left w:val="single" w:sz="4" w:space="0" w:color="auto"/>
              <w:bottom w:val="single" w:sz="4" w:space="0" w:color="auto"/>
              <w:right w:val="single" w:sz="4" w:space="0" w:color="auto"/>
            </w:tcBorders>
            <w:vAlign w:val="center"/>
          </w:tcPr>
          <w:p w14:paraId="4D551B43" w14:textId="77777777" w:rsidR="00E70664" w:rsidRPr="00E70664" w:rsidRDefault="00E70664" w:rsidP="00AD7EE0">
            <w:pPr>
              <w:rPr>
                <w:rStyle w:val="A1"/>
                <w:rFonts w:ascii="Arial" w:hAnsi="Arial" w:cs="Arial"/>
                <w:sz w:val="24"/>
                <w:szCs w:val="24"/>
              </w:rPr>
            </w:pPr>
            <w:r w:rsidRPr="00E70664">
              <w:rPr>
                <w:rStyle w:val="A1"/>
                <w:rFonts w:ascii="Arial" w:hAnsi="Arial" w:cs="Arial"/>
                <w:sz w:val="24"/>
                <w:szCs w:val="24"/>
              </w:rPr>
              <w:t>Project Start</w:t>
            </w:r>
          </w:p>
        </w:tc>
        <w:tc>
          <w:tcPr>
            <w:tcW w:w="2217" w:type="dxa"/>
            <w:tcBorders>
              <w:top w:val="single" w:sz="4" w:space="0" w:color="auto"/>
              <w:left w:val="single" w:sz="4" w:space="0" w:color="auto"/>
              <w:bottom w:val="single" w:sz="4" w:space="0" w:color="auto"/>
              <w:right w:val="single" w:sz="4" w:space="0" w:color="auto"/>
            </w:tcBorders>
            <w:vAlign w:val="center"/>
          </w:tcPr>
          <w:p w14:paraId="5503B055" w14:textId="6F3AC62A" w:rsidR="00E70664" w:rsidRPr="00E70664" w:rsidRDefault="001E4136" w:rsidP="00AD7EE0">
            <w:pPr>
              <w:spacing w:line="276" w:lineRule="auto"/>
              <w:rPr>
                <w:rFonts w:ascii="Arial" w:hAnsi="Arial" w:cs="Arial"/>
                <w:sz w:val="24"/>
                <w:szCs w:val="24"/>
              </w:rPr>
            </w:pPr>
            <w:r>
              <w:rPr>
                <w:rFonts w:ascii="Arial" w:hAnsi="Arial" w:cs="Arial"/>
                <w:sz w:val="24"/>
                <w:szCs w:val="24"/>
              </w:rPr>
              <w:t>September</w:t>
            </w:r>
            <w:r w:rsidR="00E70664" w:rsidRPr="00E70664">
              <w:rPr>
                <w:rFonts w:ascii="Arial" w:hAnsi="Arial" w:cs="Arial"/>
                <w:sz w:val="24"/>
                <w:szCs w:val="24"/>
              </w:rPr>
              <w:t xml:space="preserve"> 2018</w:t>
            </w:r>
          </w:p>
        </w:tc>
      </w:tr>
      <w:tr w:rsidR="00E70664" w:rsidRPr="00E70664" w14:paraId="5651213B" w14:textId="77777777" w:rsidTr="008A5BD7">
        <w:tc>
          <w:tcPr>
            <w:tcW w:w="6691" w:type="dxa"/>
            <w:tcBorders>
              <w:top w:val="single" w:sz="4" w:space="0" w:color="auto"/>
              <w:left w:val="single" w:sz="4" w:space="0" w:color="auto"/>
              <w:bottom w:val="single" w:sz="4" w:space="0" w:color="auto"/>
              <w:right w:val="single" w:sz="4" w:space="0" w:color="auto"/>
            </w:tcBorders>
            <w:vAlign w:val="center"/>
          </w:tcPr>
          <w:p w14:paraId="07E37A26" w14:textId="55B4E362" w:rsidR="00E70664" w:rsidRPr="00E70664" w:rsidRDefault="00E70664" w:rsidP="00AD7EE0">
            <w:pPr>
              <w:rPr>
                <w:rStyle w:val="A1"/>
                <w:rFonts w:ascii="Arial" w:hAnsi="Arial" w:cs="Arial"/>
                <w:sz w:val="24"/>
                <w:szCs w:val="24"/>
              </w:rPr>
            </w:pPr>
            <w:r w:rsidRPr="00E70664">
              <w:rPr>
                <w:rStyle w:val="A1"/>
                <w:rFonts w:ascii="Arial" w:hAnsi="Arial" w:cs="Arial"/>
                <w:sz w:val="24"/>
                <w:szCs w:val="24"/>
              </w:rPr>
              <w:t xml:space="preserve">Output 1: Literature Review </w:t>
            </w:r>
          </w:p>
        </w:tc>
        <w:tc>
          <w:tcPr>
            <w:tcW w:w="2217" w:type="dxa"/>
            <w:tcBorders>
              <w:top w:val="single" w:sz="4" w:space="0" w:color="auto"/>
              <w:left w:val="single" w:sz="4" w:space="0" w:color="auto"/>
              <w:bottom w:val="single" w:sz="4" w:space="0" w:color="auto"/>
              <w:right w:val="single" w:sz="4" w:space="0" w:color="auto"/>
            </w:tcBorders>
            <w:vAlign w:val="center"/>
          </w:tcPr>
          <w:p w14:paraId="3CD1C3CB" w14:textId="18605400" w:rsidR="00E70664" w:rsidRPr="00E70664" w:rsidRDefault="001E4136" w:rsidP="00AD7EE0">
            <w:pPr>
              <w:spacing w:line="276" w:lineRule="auto"/>
              <w:rPr>
                <w:rStyle w:val="A1"/>
                <w:rFonts w:ascii="Arial" w:hAnsi="Arial" w:cs="Arial"/>
                <w:sz w:val="24"/>
                <w:szCs w:val="24"/>
              </w:rPr>
            </w:pPr>
            <w:r>
              <w:rPr>
                <w:rStyle w:val="A1"/>
                <w:rFonts w:ascii="Arial" w:hAnsi="Arial" w:cs="Arial"/>
                <w:sz w:val="24"/>
                <w:szCs w:val="24"/>
              </w:rPr>
              <w:t>October</w:t>
            </w:r>
            <w:r w:rsidR="00E70664" w:rsidRPr="00E70664">
              <w:rPr>
                <w:rStyle w:val="A1"/>
                <w:rFonts w:ascii="Arial" w:hAnsi="Arial" w:cs="Arial"/>
                <w:sz w:val="24"/>
                <w:szCs w:val="24"/>
              </w:rPr>
              <w:t xml:space="preserve"> 2018</w:t>
            </w:r>
          </w:p>
        </w:tc>
      </w:tr>
      <w:tr w:rsidR="00E70664" w:rsidRPr="00E70664" w14:paraId="4835671A" w14:textId="77777777" w:rsidTr="008A5BD7">
        <w:tc>
          <w:tcPr>
            <w:tcW w:w="6691" w:type="dxa"/>
            <w:tcBorders>
              <w:top w:val="single" w:sz="4" w:space="0" w:color="auto"/>
              <w:left w:val="single" w:sz="4" w:space="0" w:color="auto"/>
              <w:bottom w:val="single" w:sz="4" w:space="0" w:color="auto"/>
              <w:right w:val="single" w:sz="4" w:space="0" w:color="auto"/>
            </w:tcBorders>
            <w:vAlign w:val="center"/>
          </w:tcPr>
          <w:p w14:paraId="0174B026" w14:textId="66733D5D" w:rsidR="00E70664" w:rsidRPr="00E70664" w:rsidRDefault="008A5BD7" w:rsidP="00AD7EE0">
            <w:pPr>
              <w:rPr>
                <w:rStyle w:val="A1"/>
                <w:rFonts w:ascii="Arial" w:hAnsi="Arial" w:cs="Arial"/>
                <w:sz w:val="24"/>
                <w:szCs w:val="24"/>
              </w:rPr>
            </w:pPr>
            <w:r w:rsidRPr="008A5BD7">
              <w:rPr>
                <w:rStyle w:val="A1"/>
                <w:rFonts w:ascii="Arial" w:hAnsi="Arial" w:cs="Arial"/>
                <w:sz w:val="24"/>
                <w:szCs w:val="24"/>
              </w:rPr>
              <w:t>Output 2: Schematic mapping of the entire eco-system for the UK meat trade</w:t>
            </w:r>
          </w:p>
        </w:tc>
        <w:tc>
          <w:tcPr>
            <w:tcW w:w="2217" w:type="dxa"/>
            <w:tcBorders>
              <w:top w:val="single" w:sz="4" w:space="0" w:color="auto"/>
              <w:left w:val="single" w:sz="4" w:space="0" w:color="auto"/>
              <w:bottom w:val="single" w:sz="4" w:space="0" w:color="auto"/>
              <w:right w:val="single" w:sz="4" w:space="0" w:color="auto"/>
            </w:tcBorders>
            <w:vAlign w:val="center"/>
          </w:tcPr>
          <w:p w14:paraId="749661DE" w14:textId="0C34CB03" w:rsidR="00E70664" w:rsidRPr="00E70664" w:rsidRDefault="001E4136" w:rsidP="00AD7EE0">
            <w:pPr>
              <w:spacing w:line="276" w:lineRule="auto"/>
              <w:rPr>
                <w:rFonts w:ascii="Arial" w:hAnsi="Arial" w:cs="Arial"/>
                <w:sz w:val="24"/>
                <w:szCs w:val="24"/>
              </w:rPr>
            </w:pPr>
            <w:r>
              <w:rPr>
                <w:rFonts w:ascii="Arial" w:hAnsi="Arial" w:cs="Arial"/>
                <w:sz w:val="24"/>
                <w:szCs w:val="24"/>
              </w:rPr>
              <w:t>November</w:t>
            </w:r>
            <w:r w:rsidR="00E70664" w:rsidRPr="00E70664">
              <w:rPr>
                <w:rFonts w:ascii="Arial" w:hAnsi="Arial" w:cs="Arial"/>
                <w:sz w:val="24"/>
                <w:szCs w:val="24"/>
              </w:rPr>
              <w:t xml:space="preserve"> 2018</w:t>
            </w:r>
          </w:p>
        </w:tc>
      </w:tr>
      <w:tr w:rsidR="00E70664" w:rsidRPr="00E70664" w14:paraId="0848EFA3" w14:textId="77777777" w:rsidTr="008A5BD7">
        <w:tc>
          <w:tcPr>
            <w:tcW w:w="6691" w:type="dxa"/>
            <w:tcBorders>
              <w:top w:val="single" w:sz="4" w:space="0" w:color="auto"/>
              <w:left w:val="single" w:sz="4" w:space="0" w:color="auto"/>
              <w:bottom w:val="single" w:sz="4" w:space="0" w:color="auto"/>
              <w:right w:val="single" w:sz="4" w:space="0" w:color="auto"/>
            </w:tcBorders>
            <w:vAlign w:val="center"/>
          </w:tcPr>
          <w:p w14:paraId="43C13393" w14:textId="108D0373" w:rsidR="00E70664" w:rsidRPr="00E70664" w:rsidRDefault="008A5BD7" w:rsidP="00AD7EE0">
            <w:pPr>
              <w:rPr>
                <w:rStyle w:val="A1"/>
                <w:rFonts w:ascii="Arial" w:hAnsi="Arial" w:cs="Arial"/>
                <w:sz w:val="24"/>
                <w:szCs w:val="24"/>
              </w:rPr>
            </w:pPr>
            <w:r w:rsidRPr="008A5BD7">
              <w:rPr>
                <w:rStyle w:val="A1"/>
                <w:rFonts w:ascii="Arial" w:hAnsi="Arial" w:cs="Arial"/>
                <w:sz w:val="24"/>
                <w:szCs w:val="24"/>
              </w:rPr>
              <w:t xml:space="preserve">Output 3: Comparative analysis </w:t>
            </w:r>
          </w:p>
        </w:tc>
        <w:tc>
          <w:tcPr>
            <w:tcW w:w="2217" w:type="dxa"/>
            <w:tcBorders>
              <w:top w:val="single" w:sz="4" w:space="0" w:color="auto"/>
              <w:left w:val="single" w:sz="4" w:space="0" w:color="auto"/>
              <w:bottom w:val="single" w:sz="4" w:space="0" w:color="auto"/>
              <w:right w:val="single" w:sz="4" w:space="0" w:color="auto"/>
            </w:tcBorders>
            <w:vAlign w:val="center"/>
          </w:tcPr>
          <w:p w14:paraId="65E47427" w14:textId="73BE147E" w:rsidR="00E70664" w:rsidRPr="00E70664" w:rsidRDefault="001E4136" w:rsidP="00AD7EE0">
            <w:pPr>
              <w:spacing w:line="276" w:lineRule="auto"/>
              <w:rPr>
                <w:rStyle w:val="A1"/>
                <w:rFonts w:ascii="Arial" w:hAnsi="Arial" w:cs="Arial"/>
                <w:sz w:val="24"/>
                <w:szCs w:val="24"/>
              </w:rPr>
            </w:pPr>
            <w:r>
              <w:rPr>
                <w:rStyle w:val="A1"/>
                <w:rFonts w:ascii="Arial" w:hAnsi="Arial" w:cs="Arial"/>
                <w:sz w:val="24"/>
                <w:szCs w:val="24"/>
              </w:rPr>
              <w:t>December</w:t>
            </w:r>
            <w:r w:rsidR="00E70664" w:rsidRPr="00E70664">
              <w:rPr>
                <w:rStyle w:val="A1"/>
                <w:rFonts w:ascii="Arial" w:hAnsi="Arial" w:cs="Arial"/>
                <w:sz w:val="24"/>
                <w:szCs w:val="24"/>
              </w:rPr>
              <w:t xml:space="preserve"> 2019</w:t>
            </w:r>
          </w:p>
        </w:tc>
      </w:tr>
      <w:tr w:rsidR="00E70664" w:rsidRPr="00E70664" w14:paraId="60E0938B" w14:textId="77777777" w:rsidTr="008A5BD7">
        <w:tc>
          <w:tcPr>
            <w:tcW w:w="6691" w:type="dxa"/>
            <w:tcBorders>
              <w:top w:val="single" w:sz="4" w:space="0" w:color="auto"/>
              <w:left w:val="single" w:sz="4" w:space="0" w:color="auto"/>
              <w:bottom w:val="single" w:sz="4" w:space="0" w:color="auto"/>
              <w:right w:val="single" w:sz="4" w:space="0" w:color="auto"/>
            </w:tcBorders>
            <w:vAlign w:val="center"/>
          </w:tcPr>
          <w:p w14:paraId="7E086C65" w14:textId="77777777" w:rsidR="00E70664" w:rsidRPr="00E70664" w:rsidRDefault="00E70664" w:rsidP="00AD7EE0">
            <w:pPr>
              <w:rPr>
                <w:rStyle w:val="A1"/>
                <w:rFonts w:ascii="Arial" w:hAnsi="Arial" w:cs="Arial"/>
                <w:sz w:val="24"/>
                <w:szCs w:val="24"/>
              </w:rPr>
            </w:pPr>
            <w:r w:rsidRPr="00E70664">
              <w:rPr>
                <w:rStyle w:val="A1"/>
                <w:rFonts w:ascii="Arial" w:hAnsi="Arial" w:cs="Arial"/>
                <w:sz w:val="24"/>
                <w:szCs w:val="24"/>
              </w:rPr>
              <w:t>Output 4: Draft final report</w:t>
            </w:r>
          </w:p>
        </w:tc>
        <w:tc>
          <w:tcPr>
            <w:tcW w:w="2217" w:type="dxa"/>
            <w:tcBorders>
              <w:top w:val="single" w:sz="4" w:space="0" w:color="auto"/>
              <w:left w:val="single" w:sz="4" w:space="0" w:color="auto"/>
              <w:bottom w:val="single" w:sz="4" w:space="0" w:color="auto"/>
              <w:right w:val="single" w:sz="4" w:space="0" w:color="auto"/>
            </w:tcBorders>
            <w:vAlign w:val="center"/>
          </w:tcPr>
          <w:p w14:paraId="243358C0" w14:textId="60D54405" w:rsidR="00E70664" w:rsidRPr="00E70664" w:rsidRDefault="001E4136" w:rsidP="00AD7EE0">
            <w:pPr>
              <w:spacing w:line="276" w:lineRule="auto"/>
              <w:rPr>
                <w:rStyle w:val="A1"/>
                <w:rFonts w:ascii="Arial" w:hAnsi="Arial" w:cs="Arial"/>
                <w:sz w:val="24"/>
                <w:szCs w:val="24"/>
              </w:rPr>
            </w:pPr>
            <w:r>
              <w:rPr>
                <w:rStyle w:val="A1"/>
                <w:rFonts w:ascii="Arial" w:hAnsi="Arial" w:cs="Arial"/>
                <w:sz w:val="24"/>
                <w:szCs w:val="24"/>
              </w:rPr>
              <w:t>January</w:t>
            </w:r>
            <w:r w:rsidR="00E70664" w:rsidRPr="00E70664">
              <w:rPr>
                <w:rStyle w:val="A1"/>
                <w:rFonts w:ascii="Arial" w:hAnsi="Arial" w:cs="Arial"/>
                <w:sz w:val="24"/>
                <w:szCs w:val="24"/>
              </w:rPr>
              <w:t xml:space="preserve"> 2019</w:t>
            </w:r>
          </w:p>
        </w:tc>
      </w:tr>
      <w:tr w:rsidR="00E70664" w:rsidRPr="00E70664" w14:paraId="045A3E9B" w14:textId="77777777" w:rsidTr="008A5BD7">
        <w:tc>
          <w:tcPr>
            <w:tcW w:w="6691" w:type="dxa"/>
            <w:tcBorders>
              <w:top w:val="single" w:sz="4" w:space="0" w:color="auto"/>
              <w:left w:val="single" w:sz="4" w:space="0" w:color="auto"/>
              <w:bottom w:val="single" w:sz="4" w:space="0" w:color="auto"/>
              <w:right w:val="single" w:sz="4" w:space="0" w:color="auto"/>
            </w:tcBorders>
            <w:vAlign w:val="center"/>
          </w:tcPr>
          <w:p w14:paraId="22891483" w14:textId="77777777" w:rsidR="00E70664" w:rsidRPr="00E70664" w:rsidRDefault="00E70664" w:rsidP="00AD7EE0">
            <w:pPr>
              <w:rPr>
                <w:rStyle w:val="A1"/>
                <w:rFonts w:ascii="Arial" w:hAnsi="Arial" w:cs="Arial"/>
                <w:sz w:val="24"/>
                <w:szCs w:val="24"/>
              </w:rPr>
            </w:pPr>
            <w:r w:rsidRPr="00E70664">
              <w:rPr>
                <w:rStyle w:val="A1"/>
                <w:rFonts w:ascii="Arial" w:hAnsi="Arial" w:cs="Arial"/>
                <w:sz w:val="24"/>
                <w:szCs w:val="24"/>
              </w:rPr>
              <w:t>Output 5: Agreed final report</w:t>
            </w:r>
          </w:p>
        </w:tc>
        <w:tc>
          <w:tcPr>
            <w:tcW w:w="2217" w:type="dxa"/>
            <w:tcBorders>
              <w:top w:val="single" w:sz="4" w:space="0" w:color="auto"/>
              <w:left w:val="single" w:sz="4" w:space="0" w:color="auto"/>
              <w:bottom w:val="single" w:sz="4" w:space="0" w:color="auto"/>
              <w:right w:val="single" w:sz="4" w:space="0" w:color="auto"/>
            </w:tcBorders>
            <w:vAlign w:val="center"/>
          </w:tcPr>
          <w:p w14:paraId="7FE4B755" w14:textId="6E284EFA" w:rsidR="00E70664" w:rsidRPr="00E70664" w:rsidRDefault="001E4136" w:rsidP="00AD7EE0">
            <w:pPr>
              <w:spacing w:line="276" w:lineRule="auto"/>
              <w:rPr>
                <w:rStyle w:val="A1"/>
                <w:rFonts w:ascii="Arial" w:hAnsi="Arial" w:cs="Arial"/>
                <w:sz w:val="24"/>
                <w:szCs w:val="24"/>
              </w:rPr>
            </w:pPr>
            <w:r>
              <w:rPr>
                <w:rStyle w:val="A1"/>
                <w:rFonts w:ascii="Arial" w:hAnsi="Arial" w:cs="Arial"/>
                <w:sz w:val="24"/>
                <w:szCs w:val="24"/>
              </w:rPr>
              <w:t>February</w:t>
            </w:r>
            <w:r w:rsidR="00E70664" w:rsidRPr="00E70664">
              <w:rPr>
                <w:rStyle w:val="A1"/>
                <w:rFonts w:ascii="Arial" w:hAnsi="Arial" w:cs="Arial"/>
                <w:sz w:val="24"/>
                <w:szCs w:val="24"/>
              </w:rPr>
              <w:t xml:space="preserve"> 2019</w:t>
            </w:r>
          </w:p>
        </w:tc>
      </w:tr>
    </w:tbl>
    <w:p w14:paraId="15206434" w14:textId="77777777" w:rsidR="00E70664" w:rsidRPr="00E70664" w:rsidRDefault="00E70664" w:rsidP="00E70664">
      <w:pPr>
        <w:spacing w:line="276" w:lineRule="auto"/>
        <w:rPr>
          <w:rFonts w:ascii="Arial" w:hAnsi="Arial" w:cs="Arial"/>
          <w:sz w:val="24"/>
          <w:szCs w:val="24"/>
        </w:rPr>
      </w:pPr>
    </w:p>
    <w:p w14:paraId="16B0D298" w14:textId="3808C49C" w:rsidR="00E70664" w:rsidRPr="00E70664" w:rsidRDefault="00E70664" w:rsidP="00E70664">
      <w:pPr>
        <w:spacing w:line="276" w:lineRule="auto"/>
        <w:rPr>
          <w:rFonts w:ascii="Arial" w:hAnsi="Arial" w:cs="Arial"/>
          <w:sz w:val="24"/>
          <w:szCs w:val="24"/>
        </w:rPr>
      </w:pPr>
      <w:r w:rsidRPr="00E70664">
        <w:rPr>
          <w:rFonts w:ascii="Arial" w:hAnsi="Arial" w:cs="Arial"/>
          <w:sz w:val="24"/>
          <w:szCs w:val="24"/>
        </w:rPr>
        <w:t xml:space="preserve">Tenderers must provide a proposed timetable </w:t>
      </w:r>
      <w:r w:rsidR="00520686" w:rsidRPr="00E70664">
        <w:rPr>
          <w:rFonts w:ascii="Arial" w:hAnsi="Arial" w:cs="Arial"/>
          <w:sz w:val="24"/>
          <w:szCs w:val="24"/>
        </w:rPr>
        <w:t>including,</w:t>
      </w:r>
      <w:r w:rsidRPr="00E70664">
        <w:rPr>
          <w:rFonts w:ascii="Arial" w:hAnsi="Arial" w:cs="Arial"/>
          <w:sz w:val="24"/>
          <w:szCs w:val="24"/>
        </w:rPr>
        <w:t xml:space="preserve"> dates for outputs and other key dates as appropriate. Critical dates must be marked accordingly. The timetable must allow sufficient time for the Agency to comment on draft research materials including questionnaires, approach letters, etc. and sufficient time for reporting as detailed above. The timetable should also include indicative dates for a start-up meeting and any interim meetings where necessary.</w:t>
      </w:r>
    </w:p>
    <w:p w14:paraId="188BD16F" w14:textId="77777777" w:rsidR="00E70664" w:rsidRPr="00E70664" w:rsidRDefault="00E70664" w:rsidP="00E70664">
      <w:pPr>
        <w:spacing w:line="276" w:lineRule="auto"/>
        <w:rPr>
          <w:rFonts w:ascii="Arial" w:hAnsi="Arial" w:cs="Arial"/>
          <w:b/>
          <w:sz w:val="24"/>
          <w:szCs w:val="24"/>
        </w:rPr>
      </w:pPr>
    </w:p>
    <w:p w14:paraId="46EE5C5A" w14:textId="77777777" w:rsidR="00E70664" w:rsidRPr="00E70664" w:rsidRDefault="00E70664" w:rsidP="00E70664">
      <w:pPr>
        <w:spacing w:line="276" w:lineRule="auto"/>
        <w:rPr>
          <w:rFonts w:ascii="Arial" w:hAnsi="Arial" w:cs="Arial"/>
          <w:b/>
          <w:sz w:val="24"/>
          <w:szCs w:val="24"/>
        </w:rPr>
      </w:pPr>
      <w:r w:rsidRPr="00E70664">
        <w:rPr>
          <w:rFonts w:ascii="Arial" w:hAnsi="Arial" w:cs="Arial"/>
          <w:b/>
          <w:sz w:val="24"/>
          <w:szCs w:val="24"/>
        </w:rPr>
        <w:t xml:space="preserve">Personnel </w:t>
      </w:r>
    </w:p>
    <w:p w14:paraId="4159B80B" w14:textId="4FD3B416" w:rsidR="00E70664" w:rsidRDefault="00E70664" w:rsidP="00E70664">
      <w:pPr>
        <w:spacing w:line="276" w:lineRule="auto"/>
        <w:rPr>
          <w:rFonts w:ascii="Arial" w:hAnsi="Arial" w:cs="Arial"/>
          <w:sz w:val="24"/>
          <w:szCs w:val="24"/>
        </w:rPr>
      </w:pPr>
      <w:r w:rsidRPr="00E70664">
        <w:rPr>
          <w:rFonts w:ascii="Arial" w:hAnsi="Arial" w:cs="Arial"/>
          <w:sz w:val="24"/>
          <w:szCs w:val="24"/>
        </w:rPr>
        <w:t xml:space="preserve">Details of all key personnel who will be working on this project must be given.  Should any element of this project be subcontracted, this must also be stated in proposals with details of subcontracted companies, their key personnel and working arrangements with subcontractors.  Tenderers should demonstrate previous experience of successful delivery of similar projects. </w:t>
      </w:r>
    </w:p>
    <w:p w14:paraId="07B0862A" w14:textId="77777777" w:rsidR="008A5BD7" w:rsidRPr="00E70664" w:rsidRDefault="008A5BD7" w:rsidP="00E70664">
      <w:pPr>
        <w:spacing w:line="276" w:lineRule="auto"/>
        <w:rPr>
          <w:rFonts w:ascii="Arial" w:hAnsi="Arial" w:cs="Arial"/>
          <w:sz w:val="24"/>
          <w:szCs w:val="24"/>
        </w:rPr>
      </w:pPr>
    </w:p>
    <w:p w14:paraId="29F6658C" w14:textId="77777777" w:rsidR="00E70664" w:rsidRPr="00E70664" w:rsidRDefault="00E70664" w:rsidP="00E70664">
      <w:pPr>
        <w:spacing w:line="276" w:lineRule="auto"/>
        <w:rPr>
          <w:rFonts w:ascii="Arial" w:hAnsi="Arial" w:cs="Arial"/>
          <w:sz w:val="24"/>
          <w:szCs w:val="24"/>
        </w:rPr>
      </w:pPr>
      <w:r w:rsidRPr="00E70664">
        <w:rPr>
          <w:rFonts w:ascii="Arial" w:hAnsi="Arial" w:cs="Arial"/>
          <w:sz w:val="24"/>
          <w:szCs w:val="24"/>
        </w:rPr>
        <w:t>The tenderer will be required to appoint a Contract Manager (generally the named Principal Investigator) who will be fully accountable for the delivery of the project against the contract. They will be required to liaise closely with the Agency’s nominated project officer.</w:t>
      </w:r>
    </w:p>
    <w:p w14:paraId="4E65B6EC" w14:textId="77777777" w:rsidR="00E70664" w:rsidRDefault="00E70664" w:rsidP="00E70664">
      <w:pPr>
        <w:spacing w:line="276" w:lineRule="auto"/>
        <w:rPr>
          <w:rFonts w:ascii="Arial" w:hAnsi="Arial" w:cs="Arial"/>
          <w:b/>
          <w:sz w:val="24"/>
          <w:szCs w:val="24"/>
        </w:rPr>
      </w:pPr>
    </w:p>
    <w:p w14:paraId="6CA286BF" w14:textId="1AB5E02C" w:rsidR="00E70664" w:rsidRPr="00E70664" w:rsidRDefault="00E70664" w:rsidP="00E70664">
      <w:pPr>
        <w:spacing w:line="276" w:lineRule="auto"/>
        <w:rPr>
          <w:rFonts w:ascii="Arial" w:hAnsi="Arial" w:cs="Arial"/>
          <w:b/>
          <w:sz w:val="24"/>
          <w:szCs w:val="24"/>
        </w:rPr>
      </w:pPr>
      <w:r w:rsidRPr="00E70664">
        <w:rPr>
          <w:rFonts w:ascii="Arial" w:hAnsi="Arial" w:cs="Arial"/>
          <w:b/>
          <w:sz w:val="24"/>
          <w:szCs w:val="24"/>
        </w:rPr>
        <w:t>Data issues</w:t>
      </w:r>
    </w:p>
    <w:p w14:paraId="321833E4" w14:textId="79CF0058" w:rsidR="00E70664" w:rsidRPr="00E70664" w:rsidRDefault="00E70664" w:rsidP="00E70664">
      <w:pPr>
        <w:spacing w:line="276" w:lineRule="auto"/>
        <w:rPr>
          <w:rFonts w:ascii="Arial" w:hAnsi="Arial" w:cs="Arial"/>
          <w:sz w:val="24"/>
          <w:szCs w:val="24"/>
        </w:rPr>
      </w:pPr>
      <w:r w:rsidRPr="00E70664">
        <w:rPr>
          <w:rFonts w:ascii="Arial" w:hAnsi="Arial" w:cs="Arial"/>
          <w:sz w:val="24"/>
          <w:szCs w:val="24"/>
        </w:rPr>
        <w:t>Tenderers are asked to respond to each of these sections in relation to this project, this information is in addition to that submitted for the framework. In doing so FSA would draw particular attention to the Framework Standard Terms and Conditions on data security and the commissioning authority’s role as the ‘data controller’ and the contractor’s role as the ‘data processor’.</w:t>
      </w:r>
    </w:p>
    <w:p w14:paraId="33B60D56" w14:textId="77777777" w:rsidR="00E70664" w:rsidRDefault="00E70664" w:rsidP="00E70664">
      <w:pPr>
        <w:spacing w:line="276" w:lineRule="auto"/>
        <w:rPr>
          <w:rFonts w:ascii="Arial" w:hAnsi="Arial" w:cs="Arial"/>
          <w:i/>
          <w:sz w:val="24"/>
          <w:szCs w:val="24"/>
        </w:rPr>
      </w:pPr>
    </w:p>
    <w:p w14:paraId="658B77E2" w14:textId="4567A1C6" w:rsidR="00E70664" w:rsidRPr="00E70664" w:rsidRDefault="00E70664" w:rsidP="00E70664">
      <w:pPr>
        <w:spacing w:line="276" w:lineRule="auto"/>
        <w:rPr>
          <w:rFonts w:ascii="Arial" w:hAnsi="Arial" w:cs="Arial"/>
          <w:i/>
          <w:sz w:val="24"/>
          <w:szCs w:val="24"/>
        </w:rPr>
      </w:pPr>
      <w:r w:rsidRPr="00E70664">
        <w:rPr>
          <w:rFonts w:ascii="Arial" w:hAnsi="Arial" w:cs="Arial"/>
          <w:i/>
          <w:sz w:val="24"/>
          <w:szCs w:val="24"/>
        </w:rPr>
        <w:t>Dataset for analysis</w:t>
      </w:r>
    </w:p>
    <w:p w14:paraId="328312F0" w14:textId="77777777" w:rsidR="00E70664" w:rsidRPr="00E70664" w:rsidRDefault="00E70664" w:rsidP="00E70664">
      <w:pPr>
        <w:spacing w:line="276" w:lineRule="auto"/>
        <w:rPr>
          <w:rFonts w:ascii="Arial" w:hAnsi="Arial" w:cs="Arial"/>
          <w:sz w:val="24"/>
          <w:szCs w:val="24"/>
        </w:rPr>
      </w:pPr>
      <w:r w:rsidRPr="00E70664">
        <w:rPr>
          <w:rFonts w:ascii="Arial" w:hAnsi="Arial" w:cs="Arial"/>
          <w:sz w:val="24"/>
          <w:szCs w:val="24"/>
        </w:rPr>
        <w:t>The Agency requires a fully documented non-anonymised dataset which it can use for its own analysis and research purposes. We will also require sufficient documentation (including syntax of main and derived variables) to allow Agency analysts and external researchers to replicate analysis included in the outputs. The dataset will require encrypted identifiers for each record, with a separate file to link these to names and contact details – which would be held securely by the Agency. Tenderers must set out what documentation they would provide to accompany the dataset.</w:t>
      </w:r>
    </w:p>
    <w:p w14:paraId="3FB64810" w14:textId="77777777" w:rsidR="00E70664" w:rsidRDefault="00E70664" w:rsidP="00E70664">
      <w:pPr>
        <w:spacing w:line="276" w:lineRule="auto"/>
        <w:rPr>
          <w:rFonts w:ascii="Arial" w:hAnsi="Arial" w:cs="Arial"/>
          <w:i/>
          <w:sz w:val="24"/>
          <w:szCs w:val="24"/>
        </w:rPr>
      </w:pPr>
    </w:p>
    <w:p w14:paraId="697A4200" w14:textId="7CFE37F9" w:rsidR="00E70664" w:rsidRPr="00E70664" w:rsidRDefault="00E70664" w:rsidP="00E70664">
      <w:pPr>
        <w:spacing w:line="276" w:lineRule="auto"/>
        <w:rPr>
          <w:rFonts w:ascii="Arial" w:hAnsi="Arial" w:cs="Arial"/>
          <w:i/>
          <w:sz w:val="24"/>
          <w:szCs w:val="24"/>
        </w:rPr>
      </w:pPr>
      <w:r w:rsidRPr="00E70664">
        <w:rPr>
          <w:rFonts w:ascii="Arial" w:hAnsi="Arial" w:cs="Arial"/>
          <w:i/>
          <w:sz w:val="24"/>
          <w:szCs w:val="24"/>
        </w:rPr>
        <w:t>Data security</w:t>
      </w:r>
    </w:p>
    <w:p w14:paraId="1242D86A" w14:textId="77777777" w:rsidR="00E70664" w:rsidRPr="00E70664" w:rsidRDefault="00E70664" w:rsidP="00E70664">
      <w:pPr>
        <w:spacing w:line="276" w:lineRule="auto"/>
        <w:rPr>
          <w:rFonts w:ascii="Arial" w:hAnsi="Arial" w:cs="Arial"/>
          <w:sz w:val="24"/>
          <w:szCs w:val="24"/>
        </w:rPr>
      </w:pPr>
      <w:r w:rsidRPr="00E70664">
        <w:rPr>
          <w:rFonts w:ascii="Arial" w:hAnsi="Arial" w:cs="Arial"/>
          <w:sz w:val="24"/>
          <w:szCs w:val="24"/>
        </w:rPr>
        <w:t xml:space="preserve">Please refer to the Framework Standard Terms and Conditions on data security and outline in your tender any specific issues related to this project. The successful </w:t>
      </w:r>
      <w:r w:rsidRPr="00E70664">
        <w:rPr>
          <w:rFonts w:ascii="Arial" w:hAnsi="Arial" w:cs="Arial"/>
          <w:sz w:val="24"/>
          <w:szCs w:val="24"/>
        </w:rPr>
        <w:lastRenderedPageBreak/>
        <w:t xml:space="preserve">tenderer will be asked to complete a Data Security Questionnaire which will be reviewed by the FSA data security team and will form part of the contract. </w:t>
      </w:r>
    </w:p>
    <w:p w14:paraId="297508E4" w14:textId="77777777" w:rsidR="00E70664" w:rsidRPr="00E70664" w:rsidRDefault="00E70664" w:rsidP="00E70664">
      <w:pPr>
        <w:pStyle w:val="ListParagraph"/>
        <w:spacing w:line="276" w:lineRule="auto"/>
        <w:ind w:left="66"/>
        <w:rPr>
          <w:rFonts w:ascii="Arial" w:hAnsi="Arial" w:cs="Arial"/>
          <w:sz w:val="24"/>
          <w:szCs w:val="24"/>
        </w:rPr>
      </w:pPr>
    </w:p>
    <w:p w14:paraId="09E2D704" w14:textId="77777777" w:rsidR="00E70664" w:rsidRPr="00E70664" w:rsidRDefault="00E70664" w:rsidP="00E70664">
      <w:pPr>
        <w:spacing w:line="276" w:lineRule="auto"/>
        <w:rPr>
          <w:rFonts w:ascii="Arial" w:hAnsi="Arial" w:cs="Arial"/>
          <w:i/>
          <w:sz w:val="24"/>
          <w:szCs w:val="24"/>
        </w:rPr>
      </w:pPr>
      <w:r w:rsidRPr="00E70664">
        <w:rPr>
          <w:rFonts w:ascii="Arial" w:hAnsi="Arial" w:cs="Arial"/>
          <w:i/>
          <w:sz w:val="24"/>
          <w:szCs w:val="24"/>
        </w:rPr>
        <w:t>Data permissions and referencing</w:t>
      </w:r>
    </w:p>
    <w:p w14:paraId="5E5F732B" w14:textId="77777777" w:rsidR="00E70664" w:rsidRPr="00E70664" w:rsidRDefault="00E70664" w:rsidP="00E70664">
      <w:pPr>
        <w:spacing w:line="276" w:lineRule="auto"/>
        <w:rPr>
          <w:rFonts w:ascii="Arial" w:hAnsi="Arial" w:cs="Arial"/>
          <w:b/>
          <w:sz w:val="24"/>
          <w:szCs w:val="24"/>
        </w:rPr>
      </w:pPr>
      <w:r w:rsidRPr="00E70664">
        <w:rPr>
          <w:rFonts w:ascii="Arial" w:hAnsi="Arial" w:cs="Arial"/>
          <w:sz w:val="24"/>
          <w:szCs w:val="24"/>
        </w:rPr>
        <w:t xml:space="preserve">Contractors are responsible for ensuring that all necessary permissions are acquired for the use of data, visuals, or other materials throughout the life of the project that are subject to copyright law, and that the materials are used in accordance with the permissions that have been secured. Contractors are also responsible for ensuring suitable referencing of materials in all project outputs including project data.  </w:t>
      </w:r>
    </w:p>
    <w:p w14:paraId="50717010" w14:textId="77777777" w:rsidR="00E70664" w:rsidRDefault="00E70664" w:rsidP="00E70664">
      <w:pPr>
        <w:spacing w:line="276" w:lineRule="auto"/>
        <w:rPr>
          <w:rFonts w:ascii="Arial" w:hAnsi="Arial" w:cs="Arial"/>
          <w:b/>
          <w:sz w:val="24"/>
          <w:szCs w:val="24"/>
        </w:rPr>
      </w:pPr>
    </w:p>
    <w:p w14:paraId="0ED213BD" w14:textId="59D1608A" w:rsidR="00E70664" w:rsidRPr="00E70664" w:rsidRDefault="00E70664" w:rsidP="00E70664">
      <w:pPr>
        <w:spacing w:line="276" w:lineRule="auto"/>
        <w:rPr>
          <w:rFonts w:ascii="Arial" w:hAnsi="Arial" w:cs="Arial"/>
          <w:b/>
          <w:sz w:val="24"/>
          <w:szCs w:val="24"/>
        </w:rPr>
      </w:pPr>
      <w:r w:rsidRPr="00E70664">
        <w:rPr>
          <w:rFonts w:ascii="Arial" w:hAnsi="Arial" w:cs="Arial"/>
          <w:b/>
          <w:sz w:val="24"/>
          <w:szCs w:val="24"/>
        </w:rPr>
        <w:t>Ethics</w:t>
      </w:r>
    </w:p>
    <w:p w14:paraId="2C4BE858" w14:textId="77777777" w:rsidR="00E70664" w:rsidRPr="00E70664" w:rsidRDefault="00E70664" w:rsidP="00E70664">
      <w:pPr>
        <w:spacing w:line="276" w:lineRule="auto"/>
        <w:rPr>
          <w:rFonts w:ascii="Arial" w:hAnsi="Arial" w:cs="Arial"/>
          <w:sz w:val="24"/>
          <w:szCs w:val="24"/>
        </w:rPr>
      </w:pPr>
      <w:r w:rsidRPr="00E70664">
        <w:rPr>
          <w:rFonts w:ascii="Arial" w:hAnsi="Arial" w:cs="Arial"/>
          <w:sz w:val="24"/>
          <w:szCs w:val="24"/>
        </w:rPr>
        <w:t>Tenderers are asked to identify the ethical concerns for this project and how these issues would be addressed.</w:t>
      </w:r>
    </w:p>
    <w:p w14:paraId="771D31A9" w14:textId="77777777" w:rsidR="00E70664" w:rsidRPr="00E70664" w:rsidRDefault="00E70664" w:rsidP="00E70664">
      <w:pPr>
        <w:spacing w:line="276" w:lineRule="auto"/>
        <w:rPr>
          <w:rFonts w:ascii="Arial" w:hAnsi="Arial" w:cs="Arial"/>
          <w:b/>
          <w:sz w:val="24"/>
          <w:szCs w:val="24"/>
        </w:rPr>
      </w:pPr>
    </w:p>
    <w:p w14:paraId="36071B5A" w14:textId="77777777" w:rsidR="00E70664" w:rsidRPr="00E70664" w:rsidRDefault="00E70664" w:rsidP="00E70664">
      <w:pPr>
        <w:spacing w:line="276" w:lineRule="auto"/>
        <w:rPr>
          <w:rFonts w:ascii="Arial" w:hAnsi="Arial" w:cs="Arial"/>
          <w:b/>
          <w:sz w:val="24"/>
          <w:szCs w:val="24"/>
        </w:rPr>
      </w:pPr>
      <w:r w:rsidRPr="00E70664">
        <w:rPr>
          <w:rFonts w:ascii="Arial" w:hAnsi="Arial" w:cs="Arial"/>
          <w:b/>
          <w:sz w:val="24"/>
          <w:szCs w:val="24"/>
        </w:rPr>
        <w:t>Cost</w:t>
      </w:r>
    </w:p>
    <w:p w14:paraId="49B12862" w14:textId="77777777" w:rsidR="00E70664" w:rsidRPr="00E70664" w:rsidRDefault="00E70664" w:rsidP="00E70664">
      <w:pPr>
        <w:spacing w:line="276" w:lineRule="auto"/>
        <w:rPr>
          <w:rFonts w:ascii="Arial" w:hAnsi="Arial" w:cs="Arial"/>
          <w:sz w:val="24"/>
          <w:szCs w:val="24"/>
        </w:rPr>
      </w:pPr>
      <w:r w:rsidRPr="00E70664">
        <w:rPr>
          <w:rFonts w:ascii="Arial" w:hAnsi="Arial" w:cs="Arial"/>
          <w:sz w:val="24"/>
          <w:szCs w:val="24"/>
        </w:rPr>
        <w:t xml:space="preserve">The proposal must identify all anticipated costs of conducting the work, providing a cost breakdown of staff involvement and days dedicated to the project for each staff member, and all other associated overheads and expenses. </w:t>
      </w:r>
    </w:p>
    <w:p w14:paraId="2C670587" w14:textId="77777777" w:rsidR="00E70664" w:rsidRPr="00E70664" w:rsidRDefault="00E70664" w:rsidP="00E70664">
      <w:pPr>
        <w:pStyle w:val="ListParagraph"/>
        <w:spacing w:line="276" w:lineRule="auto"/>
        <w:ind w:left="432"/>
        <w:rPr>
          <w:rFonts w:ascii="Arial" w:hAnsi="Arial" w:cs="Arial"/>
          <w:sz w:val="24"/>
          <w:szCs w:val="24"/>
        </w:rPr>
      </w:pPr>
    </w:p>
    <w:p w14:paraId="074BE24A" w14:textId="77777777" w:rsidR="00E70664" w:rsidRPr="00E70664" w:rsidRDefault="00E70664" w:rsidP="00E70664">
      <w:pPr>
        <w:spacing w:line="276" w:lineRule="auto"/>
        <w:rPr>
          <w:rFonts w:ascii="Arial" w:hAnsi="Arial" w:cs="Arial"/>
          <w:sz w:val="24"/>
          <w:szCs w:val="24"/>
        </w:rPr>
      </w:pPr>
      <w:r w:rsidRPr="00E70664">
        <w:rPr>
          <w:rFonts w:ascii="Arial" w:hAnsi="Arial" w:cs="Arial"/>
          <w:sz w:val="24"/>
          <w:szCs w:val="24"/>
        </w:rPr>
        <w:t>Examples of the costs which should be included in the cost breakdown, in addition to the main analysis, include:</w:t>
      </w:r>
    </w:p>
    <w:p w14:paraId="0534E6FC" w14:textId="77777777" w:rsidR="00E70664" w:rsidRPr="00E70664" w:rsidRDefault="00E70664" w:rsidP="00E70664">
      <w:pPr>
        <w:pStyle w:val="ListParagraph"/>
        <w:numPr>
          <w:ilvl w:val="0"/>
          <w:numId w:val="30"/>
        </w:numPr>
        <w:spacing w:line="276" w:lineRule="auto"/>
        <w:rPr>
          <w:rFonts w:ascii="Arial" w:hAnsi="Arial" w:cs="Arial"/>
          <w:sz w:val="24"/>
          <w:szCs w:val="24"/>
        </w:rPr>
      </w:pPr>
      <w:r w:rsidRPr="00E70664">
        <w:rPr>
          <w:rFonts w:ascii="Arial" w:hAnsi="Arial" w:cs="Arial"/>
          <w:sz w:val="24"/>
          <w:szCs w:val="24"/>
        </w:rPr>
        <w:t>The charge for presentations and meetings</w:t>
      </w:r>
    </w:p>
    <w:p w14:paraId="598E0A91" w14:textId="77777777" w:rsidR="00E70664" w:rsidRPr="00E70664" w:rsidRDefault="00E70664" w:rsidP="00E70664">
      <w:pPr>
        <w:pStyle w:val="ListParagraph"/>
        <w:numPr>
          <w:ilvl w:val="0"/>
          <w:numId w:val="30"/>
        </w:numPr>
        <w:spacing w:line="276" w:lineRule="auto"/>
        <w:rPr>
          <w:rFonts w:ascii="Arial" w:hAnsi="Arial" w:cs="Arial"/>
          <w:sz w:val="24"/>
          <w:szCs w:val="24"/>
        </w:rPr>
      </w:pPr>
      <w:r w:rsidRPr="00E70664">
        <w:rPr>
          <w:rFonts w:ascii="Arial" w:hAnsi="Arial" w:cs="Arial"/>
          <w:sz w:val="24"/>
          <w:szCs w:val="24"/>
        </w:rPr>
        <w:t>Costs for delivering workshops</w:t>
      </w:r>
    </w:p>
    <w:p w14:paraId="39383F48" w14:textId="77777777" w:rsidR="00E70664" w:rsidRPr="00E70664" w:rsidRDefault="00E70664" w:rsidP="00E70664">
      <w:pPr>
        <w:pStyle w:val="ListParagraph"/>
        <w:numPr>
          <w:ilvl w:val="0"/>
          <w:numId w:val="30"/>
        </w:numPr>
        <w:spacing w:line="276" w:lineRule="auto"/>
        <w:rPr>
          <w:rFonts w:ascii="Arial" w:hAnsi="Arial" w:cs="Arial"/>
          <w:sz w:val="24"/>
          <w:szCs w:val="24"/>
        </w:rPr>
      </w:pPr>
      <w:r w:rsidRPr="00E70664">
        <w:rPr>
          <w:rFonts w:ascii="Arial" w:hAnsi="Arial" w:cs="Arial"/>
          <w:sz w:val="24"/>
          <w:szCs w:val="24"/>
        </w:rPr>
        <w:t>A breakdown for any proposed sub-contractor involvement (if relevant)</w:t>
      </w:r>
    </w:p>
    <w:p w14:paraId="3DE0887F" w14:textId="77777777" w:rsidR="00E70664" w:rsidRPr="00E70664" w:rsidRDefault="00E70664" w:rsidP="00E70664">
      <w:pPr>
        <w:pStyle w:val="ListParagraph"/>
        <w:numPr>
          <w:ilvl w:val="0"/>
          <w:numId w:val="30"/>
        </w:numPr>
        <w:spacing w:line="276" w:lineRule="auto"/>
        <w:rPr>
          <w:rFonts w:ascii="Arial" w:hAnsi="Arial" w:cs="Arial"/>
          <w:sz w:val="24"/>
          <w:szCs w:val="24"/>
        </w:rPr>
      </w:pPr>
      <w:r w:rsidRPr="00E70664">
        <w:rPr>
          <w:rFonts w:ascii="Arial" w:hAnsi="Arial" w:cs="Arial"/>
          <w:sz w:val="24"/>
          <w:szCs w:val="24"/>
        </w:rPr>
        <w:t>Any costs associated with making data available for further use (e.g. archiving)</w:t>
      </w:r>
    </w:p>
    <w:p w14:paraId="69E133B8" w14:textId="77777777" w:rsidR="00E70664" w:rsidRPr="00E70664" w:rsidRDefault="00E70664" w:rsidP="00E70664">
      <w:pPr>
        <w:pStyle w:val="ListParagraph"/>
        <w:numPr>
          <w:ilvl w:val="0"/>
          <w:numId w:val="30"/>
        </w:numPr>
        <w:spacing w:line="276" w:lineRule="auto"/>
        <w:rPr>
          <w:rFonts w:ascii="Arial" w:hAnsi="Arial" w:cs="Arial"/>
          <w:sz w:val="24"/>
          <w:szCs w:val="24"/>
        </w:rPr>
      </w:pPr>
      <w:r w:rsidRPr="00E70664">
        <w:rPr>
          <w:rFonts w:ascii="Arial" w:hAnsi="Arial" w:cs="Arial"/>
          <w:sz w:val="24"/>
          <w:szCs w:val="24"/>
        </w:rPr>
        <w:t>Access to other datasets, as necessary</w:t>
      </w:r>
    </w:p>
    <w:p w14:paraId="7F8A13E6" w14:textId="77777777" w:rsidR="00E70664" w:rsidRPr="00E70664" w:rsidRDefault="00E70664" w:rsidP="00E70664">
      <w:pPr>
        <w:spacing w:line="276" w:lineRule="auto"/>
        <w:rPr>
          <w:rFonts w:ascii="Arial" w:hAnsi="Arial" w:cs="Arial"/>
          <w:sz w:val="24"/>
          <w:szCs w:val="24"/>
        </w:rPr>
      </w:pPr>
    </w:p>
    <w:p w14:paraId="6F2A5AA2" w14:textId="77777777" w:rsidR="00E70664" w:rsidRPr="00E70664" w:rsidRDefault="00E70664" w:rsidP="00E70664">
      <w:pPr>
        <w:spacing w:line="276" w:lineRule="auto"/>
        <w:rPr>
          <w:rFonts w:ascii="Arial" w:hAnsi="Arial" w:cs="Arial"/>
          <w:sz w:val="24"/>
          <w:szCs w:val="24"/>
        </w:rPr>
      </w:pPr>
      <w:r w:rsidRPr="00E70664">
        <w:rPr>
          <w:rFonts w:ascii="Arial" w:hAnsi="Arial" w:cs="Arial"/>
          <w:sz w:val="24"/>
          <w:szCs w:val="24"/>
        </w:rPr>
        <w:t xml:space="preserve">Costs should be provided exclusive of VAT and should clearly state whether VAT will be charged. </w:t>
      </w:r>
    </w:p>
    <w:p w14:paraId="46E3F143" w14:textId="77777777" w:rsidR="00E70664" w:rsidRPr="00E70664" w:rsidRDefault="00E70664" w:rsidP="00E70664">
      <w:pPr>
        <w:pStyle w:val="ListParagraph"/>
        <w:spacing w:line="276" w:lineRule="auto"/>
        <w:ind w:left="432"/>
        <w:rPr>
          <w:rFonts w:ascii="Arial" w:hAnsi="Arial" w:cs="Arial"/>
          <w:sz w:val="24"/>
          <w:szCs w:val="24"/>
        </w:rPr>
      </w:pPr>
    </w:p>
    <w:p w14:paraId="31AB6D49" w14:textId="77777777" w:rsidR="00E70664" w:rsidRPr="00E70664" w:rsidRDefault="00E70664" w:rsidP="00E70664">
      <w:pPr>
        <w:spacing w:line="276" w:lineRule="auto"/>
        <w:rPr>
          <w:rFonts w:ascii="Arial" w:hAnsi="Arial" w:cs="Arial"/>
          <w:sz w:val="24"/>
          <w:szCs w:val="24"/>
        </w:rPr>
      </w:pPr>
      <w:r w:rsidRPr="00E70664">
        <w:rPr>
          <w:rFonts w:ascii="Arial" w:hAnsi="Arial" w:cs="Arial"/>
          <w:sz w:val="24"/>
          <w:szCs w:val="24"/>
        </w:rPr>
        <w:t xml:space="preserve">Payments will be made against key milestones and a 20% retention will be held against delivery of the final report. A proposed payment schedule is required, please use the template provided. </w:t>
      </w:r>
    </w:p>
    <w:p w14:paraId="409A7A3C" w14:textId="77777777" w:rsidR="00063AF6" w:rsidRDefault="00063AF6" w:rsidP="002238F9">
      <w:pPr>
        <w:spacing w:after="120" w:line="240" w:lineRule="auto"/>
        <w:rPr>
          <w:rFonts w:ascii="Arial" w:hAnsi="Arial" w:cs="Arial"/>
          <w:b/>
          <w:sz w:val="24"/>
          <w:szCs w:val="24"/>
        </w:rPr>
      </w:pPr>
    </w:p>
    <w:p w14:paraId="409A7A3D" w14:textId="77777777" w:rsidR="002C7657" w:rsidRDefault="002C7657" w:rsidP="002238F9">
      <w:pPr>
        <w:spacing w:line="240" w:lineRule="auto"/>
        <w:rPr>
          <w:rFonts w:ascii="Arial" w:hAnsi="Arial" w:cs="Arial"/>
          <w:sz w:val="24"/>
          <w:szCs w:val="24"/>
        </w:rPr>
      </w:pPr>
      <w:r w:rsidRPr="00D0386E">
        <w:rPr>
          <w:rFonts w:ascii="Arial" w:hAnsi="Arial" w:cs="Arial"/>
          <w:sz w:val="24"/>
          <w:szCs w:val="24"/>
        </w:rPr>
        <w:br w:type="page"/>
      </w:r>
    </w:p>
    <w:p w14:paraId="409A7A3E" w14:textId="77777777" w:rsidR="002C7657" w:rsidRPr="00BE3C10" w:rsidRDefault="00BD62A9" w:rsidP="002238F9">
      <w:pPr>
        <w:pStyle w:val="ListParagraph"/>
        <w:numPr>
          <w:ilvl w:val="0"/>
          <w:numId w:val="23"/>
        </w:numPr>
        <w:spacing w:line="240" w:lineRule="auto"/>
        <w:ind w:left="426" w:hanging="426"/>
        <w:rPr>
          <w:rFonts w:ascii="Arial" w:hAnsi="Arial" w:cs="Arial"/>
          <w:b/>
          <w:sz w:val="24"/>
          <w:szCs w:val="24"/>
        </w:rPr>
      </w:pPr>
      <w:r w:rsidRPr="00BE3C10">
        <w:rPr>
          <w:rFonts w:ascii="Arial" w:hAnsi="Arial" w:cs="Arial"/>
          <w:b/>
          <w:sz w:val="24"/>
          <w:szCs w:val="24"/>
        </w:rPr>
        <w:lastRenderedPageBreak/>
        <w:t>PROCUREMENT</w:t>
      </w:r>
      <w:r w:rsidR="002C7657" w:rsidRPr="00BE3C10">
        <w:rPr>
          <w:rFonts w:ascii="Arial" w:hAnsi="Arial" w:cs="Arial"/>
          <w:b/>
          <w:sz w:val="24"/>
          <w:szCs w:val="24"/>
        </w:rPr>
        <w:t xml:space="preserve"> TIMETABLE</w:t>
      </w:r>
    </w:p>
    <w:p w14:paraId="409A7A3F" w14:textId="77777777" w:rsidR="009B4A42" w:rsidRPr="00BE3C10" w:rsidRDefault="002C7657" w:rsidP="002238F9">
      <w:pPr>
        <w:spacing w:line="240" w:lineRule="auto"/>
        <w:jc w:val="both"/>
        <w:rPr>
          <w:rFonts w:ascii="Arial" w:hAnsi="Arial" w:cs="Arial"/>
          <w:sz w:val="24"/>
          <w:szCs w:val="24"/>
        </w:rPr>
      </w:pPr>
      <w:r w:rsidRPr="00BE3C10">
        <w:rPr>
          <w:rFonts w:ascii="Arial" w:hAnsi="Arial" w:cs="Arial"/>
          <w:sz w:val="24"/>
          <w:szCs w:val="24"/>
        </w:rPr>
        <w:t xml:space="preserve">Table 1 details an </w:t>
      </w:r>
      <w:r w:rsidRPr="004D3042">
        <w:rPr>
          <w:rFonts w:ascii="Arial" w:hAnsi="Arial" w:cs="Arial"/>
          <w:b/>
          <w:sz w:val="24"/>
          <w:szCs w:val="24"/>
        </w:rPr>
        <w:t>estimated</w:t>
      </w:r>
      <w:r w:rsidRPr="00BE3C10">
        <w:rPr>
          <w:rFonts w:ascii="Arial" w:hAnsi="Arial" w:cs="Arial"/>
          <w:sz w:val="24"/>
          <w:szCs w:val="24"/>
        </w:rPr>
        <w:t xml:space="preserve"> project timetable for the project</w:t>
      </w:r>
      <w:r w:rsidR="002A6CEA" w:rsidRPr="00BE3C10">
        <w:rPr>
          <w:rFonts w:ascii="Arial" w:hAnsi="Arial" w:cs="Arial"/>
          <w:sz w:val="24"/>
          <w:szCs w:val="24"/>
        </w:rPr>
        <w:t>.</w:t>
      </w:r>
      <w:r w:rsidR="00452B59">
        <w:rPr>
          <w:rFonts w:ascii="Arial" w:hAnsi="Arial" w:cs="Arial"/>
          <w:sz w:val="24"/>
          <w:szCs w:val="24"/>
        </w:rPr>
        <w:t xml:space="preserve">  T</w:t>
      </w:r>
      <w:r w:rsidR="002A6CEA" w:rsidRPr="00BE3C10">
        <w:rPr>
          <w:rFonts w:ascii="Arial" w:hAnsi="Arial" w:cs="Arial"/>
          <w:sz w:val="24"/>
          <w:szCs w:val="24"/>
        </w:rPr>
        <w:t>enderers should however be aware that the Agency needs to acquire the evidence outlined in this ITT in a timely manner and you should justify your timings in your work plan.</w:t>
      </w:r>
    </w:p>
    <w:p w14:paraId="409A7A40" w14:textId="77777777" w:rsidR="002C7657" w:rsidRPr="00BE3C10" w:rsidRDefault="002C7657" w:rsidP="002238F9">
      <w:pPr>
        <w:spacing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6379"/>
      </w:tblGrid>
      <w:tr w:rsidR="00BD26A7" w:rsidRPr="00BE3C10" w14:paraId="409A7A42" w14:textId="77777777" w:rsidTr="00403F93">
        <w:trPr>
          <w:trHeight w:val="599"/>
        </w:trPr>
        <w:tc>
          <w:tcPr>
            <w:tcW w:w="9180" w:type="dxa"/>
            <w:gridSpan w:val="2"/>
            <w:shd w:val="clear" w:color="auto" w:fill="339933"/>
          </w:tcPr>
          <w:p w14:paraId="409A7A41" w14:textId="77777777" w:rsidR="00BD26A7" w:rsidRPr="00BE3C10" w:rsidRDefault="008C29EF" w:rsidP="002238F9">
            <w:pPr>
              <w:pStyle w:val="BodyText1"/>
              <w:spacing w:before="120"/>
              <w:ind w:firstLine="0"/>
              <w:jc w:val="both"/>
              <w:rPr>
                <w:rFonts w:cs="Arial"/>
                <w:b/>
                <w:color w:val="FFFFFF"/>
                <w:sz w:val="24"/>
                <w:szCs w:val="24"/>
              </w:rPr>
            </w:pPr>
            <w:r w:rsidRPr="00BE3C10">
              <w:rPr>
                <w:rFonts w:cs="Arial"/>
                <w:b/>
                <w:color w:val="FFFFFF"/>
                <w:sz w:val="24"/>
                <w:szCs w:val="24"/>
              </w:rPr>
              <w:t>TABLE 1. ESTIMATED PROJECT TIMETABLE</w:t>
            </w:r>
          </w:p>
        </w:tc>
      </w:tr>
      <w:tr w:rsidR="00BD26A7" w:rsidRPr="00BE3C10" w14:paraId="409A7A45" w14:textId="77777777" w:rsidTr="00403F93">
        <w:tc>
          <w:tcPr>
            <w:tcW w:w="2660" w:type="dxa"/>
            <w:shd w:val="clear" w:color="auto" w:fill="339933"/>
          </w:tcPr>
          <w:p w14:paraId="409A7A43" w14:textId="77777777" w:rsidR="00BD26A7" w:rsidRPr="00BE3C10" w:rsidRDefault="008C29EF" w:rsidP="002238F9">
            <w:pPr>
              <w:pStyle w:val="BodyText1"/>
              <w:spacing w:before="120"/>
              <w:jc w:val="both"/>
              <w:rPr>
                <w:rFonts w:cs="Arial"/>
                <w:b/>
                <w:color w:val="FFFFFF"/>
                <w:sz w:val="24"/>
                <w:szCs w:val="24"/>
              </w:rPr>
            </w:pPr>
            <w:r w:rsidRPr="00BE3C10">
              <w:rPr>
                <w:rFonts w:cs="Arial"/>
                <w:b/>
                <w:color w:val="FFFFFF"/>
                <w:sz w:val="24"/>
                <w:szCs w:val="24"/>
              </w:rPr>
              <w:t>EXPECTED DATE</w:t>
            </w:r>
          </w:p>
        </w:tc>
        <w:tc>
          <w:tcPr>
            <w:tcW w:w="6520" w:type="dxa"/>
            <w:shd w:val="clear" w:color="auto" w:fill="339933"/>
          </w:tcPr>
          <w:p w14:paraId="409A7A44" w14:textId="77777777" w:rsidR="00BD26A7" w:rsidRPr="00BE3C10" w:rsidRDefault="008C29EF" w:rsidP="002238F9">
            <w:pPr>
              <w:pStyle w:val="BodyText1"/>
              <w:spacing w:before="120"/>
              <w:ind w:firstLine="0"/>
              <w:jc w:val="both"/>
              <w:rPr>
                <w:rFonts w:cs="Arial"/>
                <w:b/>
                <w:color w:val="FFFFFF"/>
                <w:sz w:val="24"/>
                <w:szCs w:val="24"/>
              </w:rPr>
            </w:pPr>
            <w:r w:rsidRPr="00BE3C10">
              <w:rPr>
                <w:rFonts w:cs="Arial"/>
                <w:b/>
                <w:color w:val="FFFFFF"/>
                <w:sz w:val="24"/>
                <w:szCs w:val="24"/>
              </w:rPr>
              <w:t xml:space="preserve">INVITATION TO (ITT) TENDER </w:t>
            </w:r>
          </w:p>
        </w:tc>
      </w:tr>
      <w:tr w:rsidR="002A6CEA" w:rsidRPr="00BE3C10" w14:paraId="409A7A48" w14:textId="77777777" w:rsidTr="00E70664">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rPr>
          <w:trHeight w:val="388"/>
        </w:trPr>
        <w:tc>
          <w:tcPr>
            <w:tcW w:w="2660" w:type="dxa"/>
            <w:tcBorders>
              <w:top w:val="single" w:sz="8" w:space="0" w:color="4F81BD"/>
              <w:left w:val="single" w:sz="8" w:space="0" w:color="4F81BD"/>
              <w:bottom w:val="single" w:sz="8" w:space="0" w:color="4F81BD"/>
              <w:right w:val="single" w:sz="8" w:space="0" w:color="4F81BD"/>
            </w:tcBorders>
          </w:tcPr>
          <w:p w14:paraId="409A7A46" w14:textId="5A2B9892" w:rsidR="002A6CEA" w:rsidRPr="00E70664" w:rsidRDefault="005A67D2" w:rsidP="002238F9">
            <w:pPr>
              <w:spacing w:line="240" w:lineRule="auto"/>
              <w:rPr>
                <w:rFonts w:ascii="Arial" w:hAnsi="Arial" w:cs="Arial"/>
                <w:sz w:val="24"/>
                <w:szCs w:val="24"/>
              </w:rPr>
            </w:pPr>
            <w:r>
              <w:rPr>
                <w:rFonts w:ascii="Arial" w:hAnsi="Arial" w:cs="Arial"/>
                <w:sz w:val="24"/>
                <w:szCs w:val="24"/>
              </w:rPr>
              <w:t>2</w:t>
            </w:r>
            <w:r w:rsidRPr="005A67D2">
              <w:rPr>
                <w:rFonts w:ascii="Arial" w:hAnsi="Arial" w:cs="Arial"/>
                <w:sz w:val="24"/>
                <w:szCs w:val="24"/>
                <w:vertAlign w:val="superscript"/>
              </w:rPr>
              <w:t>nd</w:t>
            </w:r>
            <w:r>
              <w:rPr>
                <w:rFonts w:ascii="Arial" w:hAnsi="Arial" w:cs="Arial"/>
                <w:sz w:val="24"/>
                <w:szCs w:val="24"/>
              </w:rPr>
              <w:t xml:space="preserve"> </w:t>
            </w:r>
            <w:r w:rsidR="00520686">
              <w:rPr>
                <w:rFonts w:ascii="Arial" w:hAnsi="Arial" w:cs="Arial"/>
                <w:sz w:val="24"/>
                <w:szCs w:val="24"/>
              </w:rPr>
              <w:t>Ju</w:t>
            </w:r>
            <w:r>
              <w:rPr>
                <w:rFonts w:ascii="Arial" w:hAnsi="Arial" w:cs="Arial"/>
                <w:sz w:val="24"/>
                <w:szCs w:val="24"/>
              </w:rPr>
              <w:t>ly</w:t>
            </w:r>
            <w:r w:rsidR="00520686">
              <w:rPr>
                <w:rFonts w:ascii="Arial" w:hAnsi="Arial" w:cs="Arial"/>
                <w:sz w:val="24"/>
                <w:szCs w:val="24"/>
              </w:rPr>
              <w:t xml:space="preserve"> </w:t>
            </w:r>
            <w:r w:rsidR="00520686" w:rsidRPr="00E70664">
              <w:rPr>
                <w:rFonts w:ascii="Arial" w:hAnsi="Arial" w:cs="Arial"/>
                <w:sz w:val="24"/>
                <w:szCs w:val="24"/>
              </w:rPr>
              <w:t>2018</w:t>
            </w:r>
          </w:p>
        </w:tc>
        <w:tc>
          <w:tcPr>
            <w:tcW w:w="6520" w:type="dxa"/>
            <w:tcBorders>
              <w:top w:val="single" w:sz="8" w:space="0" w:color="4F81BD"/>
              <w:left w:val="single" w:sz="8" w:space="0" w:color="4F81BD"/>
              <w:bottom w:val="single" w:sz="8" w:space="0" w:color="4F81BD"/>
              <w:right w:val="single" w:sz="8" w:space="0" w:color="4F81BD"/>
            </w:tcBorders>
            <w:vAlign w:val="center"/>
          </w:tcPr>
          <w:p w14:paraId="409A7A47"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 xml:space="preserve">Invitation to Tender (ITT) issued by the Agency </w:t>
            </w:r>
          </w:p>
        </w:tc>
      </w:tr>
      <w:tr w:rsidR="002A6CEA" w:rsidRPr="00BE3C10" w14:paraId="409A7A4B" w14:textId="77777777" w:rsidTr="00E70664">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rPr>
          <w:trHeight w:val="408"/>
        </w:trPr>
        <w:tc>
          <w:tcPr>
            <w:tcW w:w="2660" w:type="dxa"/>
            <w:tcBorders>
              <w:top w:val="single" w:sz="8" w:space="0" w:color="4F81BD"/>
              <w:bottom w:val="single" w:sz="8" w:space="0" w:color="4F81BD"/>
              <w:right w:val="single" w:sz="8" w:space="0" w:color="4F81BD"/>
            </w:tcBorders>
          </w:tcPr>
          <w:p w14:paraId="409A7A49" w14:textId="434CB1DB" w:rsidR="002A6CEA" w:rsidRPr="00E70664" w:rsidRDefault="00C97122" w:rsidP="002238F9">
            <w:pPr>
              <w:spacing w:line="240" w:lineRule="auto"/>
              <w:rPr>
                <w:rFonts w:ascii="Arial" w:hAnsi="Arial" w:cs="Arial"/>
                <w:sz w:val="24"/>
                <w:szCs w:val="24"/>
              </w:rPr>
            </w:pPr>
            <w:r>
              <w:rPr>
                <w:rFonts w:ascii="Arial" w:hAnsi="Arial" w:cs="Arial"/>
                <w:sz w:val="24"/>
                <w:szCs w:val="24"/>
              </w:rPr>
              <w:t>2</w:t>
            </w:r>
            <w:r w:rsidRPr="005A67D2">
              <w:rPr>
                <w:rFonts w:ascii="Arial" w:hAnsi="Arial" w:cs="Arial"/>
                <w:sz w:val="24"/>
                <w:szCs w:val="24"/>
                <w:vertAlign w:val="superscript"/>
              </w:rPr>
              <w:t>nd</w:t>
            </w:r>
            <w:r>
              <w:rPr>
                <w:rFonts w:ascii="Arial" w:hAnsi="Arial" w:cs="Arial"/>
                <w:sz w:val="24"/>
                <w:szCs w:val="24"/>
              </w:rPr>
              <w:t xml:space="preserve"> July </w:t>
            </w:r>
            <w:r w:rsidR="00E70664" w:rsidRPr="00E70664">
              <w:rPr>
                <w:rFonts w:ascii="Arial" w:hAnsi="Arial" w:cs="Arial"/>
                <w:sz w:val="24"/>
                <w:szCs w:val="24"/>
              </w:rPr>
              <w:t>2018</w:t>
            </w:r>
          </w:p>
        </w:tc>
        <w:tc>
          <w:tcPr>
            <w:tcW w:w="6520" w:type="dxa"/>
            <w:tcBorders>
              <w:top w:val="single" w:sz="8" w:space="0" w:color="4F81BD"/>
              <w:bottom w:val="single" w:sz="8" w:space="0" w:color="4F81BD"/>
              <w:right w:val="single" w:sz="8" w:space="0" w:color="4F81BD"/>
            </w:tcBorders>
            <w:vAlign w:val="center"/>
          </w:tcPr>
          <w:p w14:paraId="409A7A4A"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ITT Clarification period opens*</w:t>
            </w:r>
          </w:p>
        </w:tc>
      </w:tr>
      <w:tr w:rsidR="002A6CEA" w:rsidRPr="00BE3C10" w14:paraId="409A7A4E" w14:textId="77777777" w:rsidTr="00E70664">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rPr>
          <w:trHeight w:val="400"/>
        </w:trPr>
        <w:tc>
          <w:tcPr>
            <w:tcW w:w="2660" w:type="dxa"/>
            <w:tcBorders>
              <w:top w:val="single" w:sz="8" w:space="0" w:color="4F81BD"/>
              <w:bottom w:val="single" w:sz="8" w:space="0" w:color="4F81BD"/>
              <w:right w:val="single" w:sz="8" w:space="0" w:color="4F81BD"/>
            </w:tcBorders>
          </w:tcPr>
          <w:p w14:paraId="409A7A4C" w14:textId="609EA263" w:rsidR="002A6CEA" w:rsidRPr="00E70664" w:rsidRDefault="00C97122" w:rsidP="002238F9">
            <w:pPr>
              <w:spacing w:line="240" w:lineRule="auto"/>
              <w:rPr>
                <w:rFonts w:ascii="Arial" w:hAnsi="Arial" w:cs="Arial"/>
                <w:sz w:val="24"/>
                <w:szCs w:val="24"/>
              </w:rPr>
            </w:pPr>
            <w:r>
              <w:rPr>
                <w:rFonts w:ascii="Arial" w:hAnsi="Arial" w:cs="Arial"/>
                <w:sz w:val="24"/>
                <w:szCs w:val="24"/>
              </w:rPr>
              <w:t>16</w:t>
            </w:r>
            <w:r w:rsidR="00E70664" w:rsidRPr="00E70664">
              <w:rPr>
                <w:rFonts w:ascii="Arial" w:hAnsi="Arial" w:cs="Arial"/>
                <w:sz w:val="24"/>
                <w:szCs w:val="24"/>
                <w:vertAlign w:val="superscript"/>
              </w:rPr>
              <w:t>th</w:t>
            </w:r>
            <w:r w:rsidR="00E70664" w:rsidRPr="00E70664">
              <w:rPr>
                <w:rFonts w:ascii="Arial" w:hAnsi="Arial" w:cs="Arial"/>
                <w:sz w:val="24"/>
                <w:szCs w:val="24"/>
              </w:rPr>
              <w:t xml:space="preserve"> </w:t>
            </w:r>
            <w:r w:rsidR="006F7C9A">
              <w:rPr>
                <w:rFonts w:ascii="Arial" w:hAnsi="Arial" w:cs="Arial"/>
                <w:sz w:val="24"/>
                <w:szCs w:val="24"/>
              </w:rPr>
              <w:t>Ju</w:t>
            </w:r>
            <w:r>
              <w:rPr>
                <w:rFonts w:ascii="Arial" w:hAnsi="Arial" w:cs="Arial"/>
                <w:sz w:val="24"/>
                <w:szCs w:val="24"/>
              </w:rPr>
              <w:t>ly</w:t>
            </w:r>
            <w:r w:rsidR="00E70664" w:rsidRPr="00E70664">
              <w:rPr>
                <w:rFonts w:ascii="Arial" w:hAnsi="Arial" w:cs="Arial"/>
                <w:sz w:val="24"/>
                <w:szCs w:val="24"/>
              </w:rPr>
              <w:t xml:space="preserve"> 2018</w:t>
            </w:r>
          </w:p>
        </w:tc>
        <w:tc>
          <w:tcPr>
            <w:tcW w:w="6520" w:type="dxa"/>
            <w:tcBorders>
              <w:top w:val="single" w:sz="8" w:space="0" w:color="4F81BD"/>
              <w:bottom w:val="single" w:sz="8" w:space="0" w:color="4F81BD"/>
              <w:right w:val="single" w:sz="8" w:space="0" w:color="4F81BD"/>
            </w:tcBorders>
            <w:vAlign w:val="center"/>
          </w:tcPr>
          <w:p w14:paraId="409A7A4D"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ITT Clarification period closes**</w:t>
            </w:r>
          </w:p>
        </w:tc>
      </w:tr>
      <w:tr w:rsidR="002A6CEA" w:rsidRPr="00BE3C10" w14:paraId="409A7A51" w14:textId="77777777" w:rsidTr="00E70664">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rPr>
          <w:trHeight w:val="421"/>
        </w:trPr>
        <w:tc>
          <w:tcPr>
            <w:tcW w:w="2660" w:type="dxa"/>
            <w:tcBorders>
              <w:top w:val="single" w:sz="8" w:space="0" w:color="4F81BD"/>
              <w:bottom w:val="single" w:sz="8" w:space="0" w:color="4F81BD"/>
              <w:right w:val="single" w:sz="8" w:space="0" w:color="4F81BD"/>
            </w:tcBorders>
          </w:tcPr>
          <w:p w14:paraId="409A7A4F" w14:textId="6CB589BD" w:rsidR="002A6CEA" w:rsidRPr="00E70664" w:rsidRDefault="008E536F" w:rsidP="006B3F91">
            <w:pPr>
              <w:spacing w:line="240" w:lineRule="auto"/>
              <w:rPr>
                <w:rFonts w:ascii="Arial" w:hAnsi="Arial" w:cs="Arial"/>
                <w:sz w:val="24"/>
                <w:szCs w:val="24"/>
              </w:rPr>
            </w:pPr>
            <w:r>
              <w:rPr>
                <w:rFonts w:ascii="Arial" w:hAnsi="Arial" w:cs="Arial"/>
                <w:sz w:val="24"/>
                <w:szCs w:val="24"/>
              </w:rPr>
              <w:t>3</w:t>
            </w:r>
            <w:r w:rsidR="00C97122">
              <w:rPr>
                <w:rFonts w:ascii="Arial" w:hAnsi="Arial" w:cs="Arial"/>
                <w:sz w:val="24"/>
                <w:szCs w:val="24"/>
              </w:rPr>
              <w:t>0</w:t>
            </w:r>
            <w:r w:rsidR="00E70664" w:rsidRPr="00E70664">
              <w:rPr>
                <w:rFonts w:ascii="Arial" w:hAnsi="Arial" w:cs="Arial"/>
                <w:sz w:val="24"/>
                <w:szCs w:val="24"/>
                <w:vertAlign w:val="superscript"/>
              </w:rPr>
              <w:t>th</w:t>
            </w:r>
            <w:r w:rsidR="00E70664" w:rsidRPr="00E70664">
              <w:rPr>
                <w:rFonts w:ascii="Arial" w:hAnsi="Arial" w:cs="Arial"/>
                <w:sz w:val="24"/>
                <w:szCs w:val="24"/>
              </w:rPr>
              <w:t xml:space="preserve"> </w:t>
            </w:r>
            <w:r>
              <w:rPr>
                <w:rFonts w:ascii="Arial" w:hAnsi="Arial" w:cs="Arial"/>
                <w:sz w:val="24"/>
                <w:szCs w:val="24"/>
              </w:rPr>
              <w:t>July</w:t>
            </w:r>
            <w:r w:rsidRPr="00E70664">
              <w:rPr>
                <w:rFonts w:ascii="Arial" w:hAnsi="Arial" w:cs="Arial"/>
                <w:sz w:val="24"/>
                <w:szCs w:val="24"/>
              </w:rPr>
              <w:t xml:space="preserve"> </w:t>
            </w:r>
            <w:r w:rsidR="00E70664" w:rsidRPr="00E70664">
              <w:rPr>
                <w:rFonts w:ascii="Arial" w:hAnsi="Arial" w:cs="Arial"/>
                <w:sz w:val="24"/>
                <w:szCs w:val="24"/>
              </w:rPr>
              <w:t>2018</w:t>
            </w:r>
          </w:p>
        </w:tc>
        <w:tc>
          <w:tcPr>
            <w:tcW w:w="6520" w:type="dxa"/>
            <w:tcBorders>
              <w:top w:val="single" w:sz="8" w:space="0" w:color="4F81BD"/>
              <w:bottom w:val="single" w:sz="8" w:space="0" w:color="4F81BD"/>
              <w:right w:val="single" w:sz="8" w:space="0" w:color="4F81BD"/>
            </w:tcBorders>
            <w:vAlign w:val="center"/>
          </w:tcPr>
          <w:p w14:paraId="409A7A50"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Closing date for submission of ITT responses</w:t>
            </w:r>
            <w:r w:rsidR="004D3042">
              <w:rPr>
                <w:rFonts w:ascii="Arial" w:hAnsi="Arial" w:cs="Arial"/>
                <w:bCs/>
                <w:sz w:val="24"/>
                <w:szCs w:val="24"/>
              </w:rPr>
              <w:t>***</w:t>
            </w:r>
          </w:p>
        </w:tc>
      </w:tr>
      <w:tr w:rsidR="002A6CEA" w:rsidRPr="00BE3C10" w14:paraId="409A7A55" w14:textId="77777777" w:rsidTr="00E70664">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rPr>
          <w:trHeight w:val="398"/>
        </w:trPr>
        <w:tc>
          <w:tcPr>
            <w:tcW w:w="2660" w:type="dxa"/>
            <w:tcBorders>
              <w:top w:val="single" w:sz="8" w:space="0" w:color="4F81BD"/>
              <w:left w:val="single" w:sz="8" w:space="0" w:color="4F81BD"/>
              <w:bottom w:val="single" w:sz="8" w:space="0" w:color="4F81BD"/>
              <w:right w:val="single" w:sz="8" w:space="0" w:color="4F81BD"/>
            </w:tcBorders>
          </w:tcPr>
          <w:p w14:paraId="409A7A52" w14:textId="10623CB5" w:rsidR="002A6CEA" w:rsidRPr="00E70664" w:rsidRDefault="00E273B8" w:rsidP="007E75B7">
            <w:pPr>
              <w:spacing w:line="240" w:lineRule="auto"/>
              <w:rPr>
                <w:rFonts w:ascii="Arial" w:hAnsi="Arial" w:cs="Arial"/>
                <w:sz w:val="24"/>
                <w:szCs w:val="24"/>
              </w:rPr>
            </w:pPr>
            <w:r>
              <w:rPr>
                <w:rFonts w:ascii="Arial" w:hAnsi="Arial" w:cs="Arial"/>
                <w:sz w:val="24"/>
                <w:szCs w:val="24"/>
              </w:rPr>
              <w:t>20</w:t>
            </w:r>
            <w:r w:rsidRPr="00E70664">
              <w:rPr>
                <w:rFonts w:ascii="Arial" w:hAnsi="Arial" w:cs="Arial"/>
                <w:sz w:val="24"/>
                <w:szCs w:val="24"/>
                <w:vertAlign w:val="superscript"/>
              </w:rPr>
              <w:t>th</w:t>
            </w:r>
            <w:r w:rsidRPr="00E70664">
              <w:rPr>
                <w:rFonts w:ascii="Arial" w:hAnsi="Arial" w:cs="Arial"/>
                <w:sz w:val="24"/>
                <w:szCs w:val="24"/>
              </w:rPr>
              <w:t xml:space="preserve"> </w:t>
            </w:r>
            <w:r w:rsidR="00E70664" w:rsidRPr="00E70664">
              <w:rPr>
                <w:rFonts w:ascii="Arial" w:hAnsi="Arial" w:cs="Arial"/>
                <w:sz w:val="24"/>
                <w:szCs w:val="24"/>
              </w:rPr>
              <w:t>Ju</w:t>
            </w:r>
            <w:r w:rsidR="006F7C9A">
              <w:rPr>
                <w:rFonts w:ascii="Arial" w:hAnsi="Arial" w:cs="Arial"/>
                <w:sz w:val="24"/>
                <w:szCs w:val="24"/>
              </w:rPr>
              <w:t>ly</w:t>
            </w:r>
            <w:r w:rsidR="00E70664" w:rsidRPr="00E70664">
              <w:rPr>
                <w:rFonts w:ascii="Arial" w:hAnsi="Arial" w:cs="Arial"/>
                <w:sz w:val="24"/>
                <w:szCs w:val="24"/>
              </w:rPr>
              <w:t xml:space="preserve"> 2018</w:t>
            </w:r>
          </w:p>
        </w:tc>
        <w:tc>
          <w:tcPr>
            <w:tcW w:w="6520" w:type="dxa"/>
            <w:tcBorders>
              <w:top w:val="single" w:sz="8" w:space="0" w:color="4F81BD"/>
              <w:left w:val="single" w:sz="8" w:space="0" w:color="4F81BD"/>
              <w:bottom w:val="single" w:sz="8" w:space="0" w:color="4F81BD"/>
              <w:right w:val="single" w:sz="8" w:space="0" w:color="4F81BD"/>
            </w:tcBorders>
            <w:vAlign w:val="center"/>
          </w:tcPr>
          <w:p w14:paraId="409A7A53"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 xml:space="preserve">Evaluation of ITT responses </w:t>
            </w:r>
          </w:p>
          <w:p w14:paraId="409A7A54" w14:textId="77777777" w:rsidR="002A6CEA" w:rsidRPr="00BE3C10" w:rsidRDefault="002A6CEA" w:rsidP="000F2AF9">
            <w:pPr>
              <w:spacing w:line="240" w:lineRule="auto"/>
              <w:rPr>
                <w:rFonts w:ascii="Arial" w:hAnsi="Arial" w:cs="Arial"/>
                <w:bCs/>
                <w:sz w:val="24"/>
                <w:szCs w:val="24"/>
              </w:rPr>
            </w:pPr>
          </w:p>
        </w:tc>
      </w:tr>
      <w:tr w:rsidR="002A6CEA" w:rsidRPr="00BE3C10" w14:paraId="409A7A58" w14:textId="77777777" w:rsidTr="000F2AF9">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60" w:type="dxa"/>
            <w:tcBorders>
              <w:top w:val="single" w:sz="8" w:space="0" w:color="4F81BD"/>
              <w:bottom w:val="single" w:sz="8" w:space="0" w:color="4F81BD"/>
              <w:right w:val="single" w:sz="8" w:space="0" w:color="4F81BD"/>
            </w:tcBorders>
          </w:tcPr>
          <w:p w14:paraId="409A7A56" w14:textId="24F0439A" w:rsidR="002A6CEA" w:rsidRPr="00E70664" w:rsidRDefault="00C97122" w:rsidP="002238F9">
            <w:pPr>
              <w:spacing w:line="240" w:lineRule="auto"/>
              <w:rPr>
                <w:rFonts w:ascii="Arial" w:hAnsi="Arial" w:cs="Arial"/>
                <w:sz w:val="24"/>
                <w:szCs w:val="24"/>
              </w:rPr>
            </w:pPr>
            <w:r>
              <w:rPr>
                <w:rFonts w:ascii="Arial" w:hAnsi="Arial" w:cs="Arial"/>
                <w:sz w:val="24"/>
                <w:szCs w:val="24"/>
              </w:rPr>
              <w:t>6</w:t>
            </w:r>
            <w:r w:rsidR="00E273B8" w:rsidRPr="00E70664">
              <w:rPr>
                <w:rFonts w:ascii="Arial" w:hAnsi="Arial" w:cs="Arial"/>
                <w:sz w:val="24"/>
                <w:szCs w:val="24"/>
                <w:vertAlign w:val="superscript"/>
              </w:rPr>
              <w:t>th</w:t>
            </w:r>
            <w:r w:rsidR="00E273B8" w:rsidRPr="00E70664">
              <w:rPr>
                <w:rFonts w:ascii="Arial" w:hAnsi="Arial" w:cs="Arial"/>
                <w:sz w:val="24"/>
                <w:szCs w:val="24"/>
              </w:rPr>
              <w:t xml:space="preserve"> </w:t>
            </w:r>
            <w:r>
              <w:rPr>
                <w:rFonts w:ascii="Arial" w:hAnsi="Arial" w:cs="Arial"/>
                <w:sz w:val="24"/>
                <w:szCs w:val="24"/>
              </w:rPr>
              <w:t xml:space="preserve">August </w:t>
            </w:r>
            <w:r w:rsidR="00E70664" w:rsidRPr="00E70664">
              <w:rPr>
                <w:rFonts w:ascii="Arial" w:hAnsi="Arial" w:cs="Arial"/>
                <w:sz w:val="24"/>
                <w:szCs w:val="24"/>
              </w:rPr>
              <w:t>2018</w:t>
            </w:r>
          </w:p>
        </w:tc>
        <w:tc>
          <w:tcPr>
            <w:tcW w:w="6520" w:type="dxa"/>
            <w:tcBorders>
              <w:top w:val="single" w:sz="8" w:space="0" w:color="4F81BD"/>
              <w:bottom w:val="single" w:sz="8" w:space="0" w:color="4F81BD"/>
              <w:right w:val="single" w:sz="8" w:space="0" w:color="4F81BD"/>
            </w:tcBorders>
            <w:vAlign w:val="center"/>
          </w:tcPr>
          <w:p w14:paraId="409A7A57"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 xml:space="preserve">Tenderers contacted with points raised by appraisers for clarification on their </w:t>
            </w:r>
            <w:r w:rsidR="004D3042">
              <w:rPr>
                <w:rFonts w:ascii="Arial" w:hAnsi="Arial" w:cs="Arial"/>
                <w:bCs/>
                <w:sz w:val="24"/>
                <w:szCs w:val="24"/>
              </w:rPr>
              <w:t>tender</w:t>
            </w:r>
            <w:r w:rsidR="0022563C" w:rsidRPr="00BE3C10">
              <w:rPr>
                <w:rFonts w:ascii="Arial" w:hAnsi="Arial" w:cs="Arial"/>
                <w:bCs/>
                <w:sz w:val="24"/>
                <w:szCs w:val="24"/>
              </w:rPr>
              <w:t>,</w:t>
            </w:r>
            <w:r w:rsidRPr="00BE3C10">
              <w:rPr>
                <w:rFonts w:ascii="Arial" w:hAnsi="Arial" w:cs="Arial"/>
                <w:bCs/>
                <w:sz w:val="24"/>
                <w:szCs w:val="24"/>
              </w:rPr>
              <w:t xml:space="preserve"> </w:t>
            </w:r>
            <w:r w:rsidR="009B4A42" w:rsidRPr="00BE3C10">
              <w:rPr>
                <w:rFonts w:ascii="Arial" w:hAnsi="Arial" w:cs="Arial"/>
                <w:bCs/>
                <w:sz w:val="24"/>
                <w:szCs w:val="24"/>
              </w:rPr>
              <w:t>with 2 weeks to respond</w:t>
            </w:r>
          </w:p>
        </w:tc>
      </w:tr>
      <w:tr w:rsidR="002A6CEA" w:rsidRPr="00BE3C10" w14:paraId="409A7A5B" w14:textId="77777777" w:rsidTr="000F2AF9">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60" w:type="dxa"/>
            <w:tcBorders>
              <w:top w:val="single" w:sz="8" w:space="0" w:color="4F81BD"/>
              <w:left w:val="single" w:sz="8" w:space="0" w:color="4F81BD"/>
              <w:bottom w:val="single" w:sz="8" w:space="0" w:color="4F81BD"/>
              <w:right w:val="single" w:sz="8" w:space="0" w:color="4F81BD"/>
            </w:tcBorders>
          </w:tcPr>
          <w:p w14:paraId="409A7A59" w14:textId="4BD84EC4" w:rsidR="002A6CEA" w:rsidRPr="00E70664" w:rsidRDefault="004342BB" w:rsidP="000B577A">
            <w:pPr>
              <w:spacing w:line="240" w:lineRule="auto"/>
              <w:rPr>
                <w:rFonts w:ascii="Arial" w:hAnsi="Arial" w:cs="Arial"/>
                <w:sz w:val="24"/>
                <w:szCs w:val="24"/>
              </w:rPr>
            </w:pPr>
            <w:r>
              <w:rPr>
                <w:rFonts w:ascii="Arial" w:hAnsi="Arial" w:cs="Arial"/>
                <w:sz w:val="24"/>
                <w:szCs w:val="24"/>
              </w:rPr>
              <w:t>2</w:t>
            </w:r>
            <w:r w:rsidR="00E273B8">
              <w:rPr>
                <w:rFonts w:ascii="Arial" w:hAnsi="Arial" w:cs="Arial"/>
                <w:sz w:val="24"/>
                <w:szCs w:val="24"/>
              </w:rPr>
              <w:t>0</w:t>
            </w:r>
            <w:r w:rsidR="00E273B8" w:rsidRPr="006F7C9A">
              <w:rPr>
                <w:rFonts w:ascii="Arial" w:hAnsi="Arial" w:cs="Arial"/>
                <w:sz w:val="24"/>
                <w:szCs w:val="24"/>
                <w:vertAlign w:val="superscript"/>
              </w:rPr>
              <w:t>th</w:t>
            </w:r>
            <w:r w:rsidR="00E273B8">
              <w:rPr>
                <w:rFonts w:ascii="Arial" w:hAnsi="Arial" w:cs="Arial"/>
                <w:sz w:val="24"/>
                <w:szCs w:val="24"/>
              </w:rPr>
              <w:t xml:space="preserve"> August</w:t>
            </w:r>
            <w:r w:rsidR="00E273B8" w:rsidRPr="00E70664">
              <w:rPr>
                <w:rFonts w:ascii="Arial" w:hAnsi="Arial" w:cs="Arial"/>
                <w:sz w:val="24"/>
                <w:szCs w:val="24"/>
              </w:rPr>
              <w:t xml:space="preserve"> </w:t>
            </w:r>
            <w:r w:rsidR="00E70664" w:rsidRPr="00E70664">
              <w:rPr>
                <w:rFonts w:ascii="Arial" w:hAnsi="Arial" w:cs="Arial"/>
                <w:sz w:val="24"/>
                <w:szCs w:val="24"/>
              </w:rPr>
              <w:t>2018</w:t>
            </w:r>
          </w:p>
        </w:tc>
        <w:tc>
          <w:tcPr>
            <w:tcW w:w="6520" w:type="dxa"/>
            <w:tcBorders>
              <w:top w:val="single" w:sz="8" w:space="0" w:color="4F81BD"/>
              <w:left w:val="single" w:sz="8" w:space="0" w:color="4F81BD"/>
              <w:bottom w:val="single" w:sz="8" w:space="0" w:color="4F81BD"/>
              <w:right w:val="single" w:sz="8" w:space="0" w:color="4F81BD"/>
            </w:tcBorders>
            <w:vAlign w:val="center"/>
          </w:tcPr>
          <w:p w14:paraId="409A7A5A"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Appraisal panel meeting held to consider clarified ITT responses</w:t>
            </w:r>
          </w:p>
        </w:tc>
      </w:tr>
      <w:tr w:rsidR="002A6CEA" w:rsidRPr="00BE3C10" w14:paraId="409A7A5E" w14:textId="77777777" w:rsidTr="000F2AF9">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60" w:type="dxa"/>
            <w:tcBorders>
              <w:top w:val="single" w:sz="8" w:space="0" w:color="4F81BD"/>
              <w:bottom w:val="single" w:sz="8" w:space="0" w:color="4F81BD"/>
              <w:right w:val="single" w:sz="8" w:space="0" w:color="4F81BD"/>
            </w:tcBorders>
          </w:tcPr>
          <w:p w14:paraId="409A7A5C" w14:textId="73D83F88" w:rsidR="002A6CEA" w:rsidRPr="00E70664" w:rsidRDefault="00C032B7" w:rsidP="000B577A">
            <w:pPr>
              <w:spacing w:line="240" w:lineRule="auto"/>
              <w:rPr>
                <w:rFonts w:ascii="Arial" w:hAnsi="Arial" w:cs="Arial"/>
                <w:sz w:val="24"/>
                <w:szCs w:val="24"/>
              </w:rPr>
            </w:pPr>
            <w:r>
              <w:rPr>
                <w:rFonts w:ascii="Arial" w:hAnsi="Arial" w:cs="Arial"/>
                <w:sz w:val="24"/>
                <w:szCs w:val="24"/>
              </w:rPr>
              <w:t>3</w:t>
            </w:r>
            <w:r w:rsidRPr="00C032B7">
              <w:rPr>
                <w:rFonts w:ascii="Arial" w:hAnsi="Arial" w:cs="Arial"/>
                <w:sz w:val="24"/>
                <w:szCs w:val="24"/>
                <w:vertAlign w:val="superscript"/>
              </w:rPr>
              <w:t>rd</w:t>
            </w:r>
            <w:r>
              <w:rPr>
                <w:rFonts w:ascii="Arial" w:hAnsi="Arial" w:cs="Arial"/>
                <w:sz w:val="24"/>
                <w:szCs w:val="24"/>
              </w:rPr>
              <w:t xml:space="preserve"> September</w:t>
            </w:r>
            <w:r w:rsidR="00E70664" w:rsidRPr="00E70664">
              <w:rPr>
                <w:rFonts w:ascii="Arial" w:hAnsi="Arial" w:cs="Arial"/>
                <w:sz w:val="24"/>
                <w:szCs w:val="24"/>
              </w:rPr>
              <w:t xml:space="preserve"> 2018</w:t>
            </w:r>
            <w:r w:rsidR="002A6CEA" w:rsidRPr="00E70664">
              <w:rPr>
                <w:rFonts w:ascii="Arial" w:hAnsi="Arial" w:cs="Arial"/>
                <w:sz w:val="24"/>
                <w:szCs w:val="24"/>
              </w:rPr>
              <w:t xml:space="preserve"> </w:t>
            </w:r>
          </w:p>
        </w:tc>
        <w:tc>
          <w:tcPr>
            <w:tcW w:w="6520" w:type="dxa"/>
            <w:tcBorders>
              <w:top w:val="single" w:sz="8" w:space="0" w:color="4F81BD"/>
              <w:bottom w:val="single" w:sz="8" w:space="0" w:color="4F81BD"/>
              <w:right w:val="single" w:sz="8" w:space="0" w:color="4F81BD"/>
            </w:tcBorders>
            <w:vAlign w:val="center"/>
          </w:tcPr>
          <w:p w14:paraId="409A7A5D"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Tenderers notified of outcome of appraisal and preferred Tenderer (or Tenderers) identified</w:t>
            </w:r>
          </w:p>
        </w:tc>
      </w:tr>
      <w:tr w:rsidR="002A6CEA" w:rsidRPr="00BE3C10" w14:paraId="409A7A62" w14:textId="77777777" w:rsidTr="000F2AF9">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60" w:type="dxa"/>
            <w:tcBorders>
              <w:top w:val="single" w:sz="8" w:space="0" w:color="4F81BD"/>
              <w:left w:val="single" w:sz="8" w:space="0" w:color="4F81BD"/>
              <w:bottom w:val="single" w:sz="8" w:space="0" w:color="4F81BD"/>
              <w:right w:val="single" w:sz="8" w:space="0" w:color="4F81BD"/>
            </w:tcBorders>
          </w:tcPr>
          <w:p w14:paraId="409A7A5F" w14:textId="18090FAE" w:rsidR="002A6CEA" w:rsidRPr="00E70664" w:rsidRDefault="00C032B7" w:rsidP="002238F9">
            <w:pPr>
              <w:spacing w:line="240" w:lineRule="auto"/>
              <w:rPr>
                <w:rFonts w:ascii="Arial" w:hAnsi="Arial" w:cs="Arial"/>
                <w:sz w:val="24"/>
                <w:szCs w:val="24"/>
              </w:rPr>
            </w:pPr>
            <w:r>
              <w:rPr>
                <w:rFonts w:ascii="Arial" w:hAnsi="Arial" w:cs="Arial"/>
                <w:sz w:val="24"/>
                <w:szCs w:val="24"/>
              </w:rPr>
              <w:t>10</w:t>
            </w:r>
            <w:r w:rsidR="00E273B8" w:rsidRPr="00812E15">
              <w:rPr>
                <w:rFonts w:ascii="Arial" w:hAnsi="Arial" w:cs="Arial"/>
                <w:sz w:val="24"/>
                <w:szCs w:val="24"/>
                <w:vertAlign w:val="superscript"/>
              </w:rPr>
              <w:t>th</w:t>
            </w:r>
            <w:r w:rsidR="00E273B8">
              <w:rPr>
                <w:rFonts w:ascii="Arial" w:hAnsi="Arial" w:cs="Arial"/>
                <w:sz w:val="24"/>
                <w:szCs w:val="24"/>
              </w:rPr>
              <w:t xml:space="preserve"> </w:t>
            </w:r>
            <w:r>
              <w:rPr>
                <w:rFonts w:ascii="Arial" w:hAnsi="Arial" w:cs="Arial"/>
                <w:sz w:val="24"/>
                <w:szCs w:val="24"/>
              </w:rPr>
              <w:t xml:space="preserve">September </w:t>
            </w:r>
            <w:r w:rsidR="00E70664" w:rsidRPr="00E70664">
              <w:rPr>
                <w:rFonts w:ascii="Arial" w:hAnsi="Arial" w:cs="Arial"/>
                <w:sz w:val="24"/>
                <w:szCs w:val="24"/>
              </w:rPr>
              <w:t>2018</w:t>
            </w:r>
          </w:p>
        </w:tc>
        <w:tc>
          <w:tcPr>
            <w:tcW w:w="6520" w:type="dxa"/>
            <w:tcBorders>
              <w:top w:val="single" w:sz="8" w:space="0" w:color="4F81BD"/>
              <w:left w:val="single" w:sz="8" w:space="0" w:color="4F81BD"/>
              <w:bottom w:val="single" w:sz="8" w:space="0" w:color="4F81BD"/>
              <w:right w:val="single" w:sz="8" w:space="0" w:color="4F81BD"/>
            </w:tcBorders>
            <w:vAlign w:val="center"/>
          </w:tcPr>
          <w:p w14:paraId="409A7A60"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Contract awarded and signed</w:t>
            </w:r>
          </w:p>
          <w:p w14:paraId="409A7A61" w14:textId="77777777" w:rsidR="002A6CEA" w:rsidRPr="00BE3C10" w:rsidRDefault="002A6CEA" w:rsidP="000F2AF9">
            <w:pPr>
              <w:spacing w:line="240" w:lineRule="auto"/>
              <w:rPr>
                <w:rFonts w:ascii="Arial" w:hAnsi="Arial" w:cs="Arial"/>
                <w:bCs/>
                <w:sz w:val="24"/>
                <w:szCs w:val="24"/>
              </w:rPr>
            </w:pPr>
          </w:p>
        </w:tc>
      </w:tr>
      <w:tr w:rsidR="002A6CEA" w:rsidRPr="00BE3C10" w14:paraId="409A7A65" w14:textId="77777777" w:rsidTr="007276C8">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60" w:type="dxa"/>
            <w:tcBorders>
              <w:top w:val="single" w:sz="8" w:space="0" w:color="4F81BD"/>
              <w:bottom w:val="single" w:sz="8" w:space="0" w:color="4F81BD"/>
              <w:right w:val="single" w:sz="8" w:space="0" w:color="4F81BD"/>
            </w:tcBorders>
            <w:vAlign w:val="center"/>
          </w:tcPr>
          <w:p w14:paraId="409A7A63" w14:textId="6DF78B45" w:rsidR="002A6CEA" w:rsidRPr="00E70664" w:rsidRDefault="00C032B7" w:rsidP="00D11B46">
            <w:pPr>
              <w:spacing w:line="240" w:lineRule="auto"/>
              <w:rPr>
                <w:rFonts w:ascii="Arial" w:hAnsi="Arial" w:cs="Arial"/>
                <w:sz w:val="24"/>
                <w:szCs w:val="24"/>
              </w:rPr>
            </w:pPr>
            <w:r>
              <w:rPr>
                <w:rFonts w:ascii="Arial" w:hAnsi="Arial" w:cs="Arial"/>
                <w:sz w:val="24"/>
                <w:szCs w:val="24"/>
              </w:rPr>
              <w:t>17</w:t>
            </w:r>
            <w:r w:rsidR="00E70664" w:rsidRPr="00E70664">
              <w:rPr>
                <w:rFonts w:ascii="Arial" w:hAnsi="Arial" w:cs="Arial"/>
                <w:sz w:val="24"/>
                <w:szCs w:val="24"/>
                <w:vertAlign w:val="superscript"/>
              </w:rPr>
              <w:t>th</w:t>
            </w:r>
            <w:r w:rsidR="00E70664" w:rsidRPr="00E70664">
              <w:rPr>
                <w:rFonts w:ascii="Arial" w:hAnsi="Arial" w:cs="Arial"/>
                <w:sz w:val="24"/>
                <w:szCs w:val="24"/>
              </w:rPr>
              <w:t xml:space="preserve"> </w:t>
            </w:r>
            <w:r>
              <w:rPr>
                <w:rFonts w:ascii="Arial" w:hAnsi="Arial" w:cs="Arial"/>
                <w:sz w:val="24"/>
                <w:szCs w:val="24"/>
              </w:rPr>
              <w:t xml:space="preserve">September </w:t>
            </w:r>
            <w:r w:rsidR="00E70664" w:rsidRPr="00E70664">
              <w:rPr>
                <w:rFonts w:ascii="Arial" w:hAnsi="Arial" w:cs="Arial"/>
                <w:sz w:val="24"/>
                <w:szCs w:val="24"/>
              </w:rPr>
              <w:t>2018</w:t>
            </w:r>
          </w:p>
        </w:tc>
        <w:tc>
          <w:tcPr>
            <w:tcW w:w="6520" w:type="dxa"/>
            <w:tcBorders>
              <w:top w:val="single" w:sz="8" w:space="0" w:color="4F81BD"/>
              <w:bottom w:val="single" w:sz="8" w:space="0" w:color="4F81BD"/>
              <w:right w:val="single" w:sz="8" w:space="0" w:color="4F81BD"/>
            </w:tcBorders>
            <w:vAlign w:val="center"/>
          </w:tcPr>
          <w:p w14:paraId="409A7A64"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 xml:space="preserve">Project </w:t>
            </w:r>
            <w:r w:rsidR="000B577A">
              <w:rPr>
                <w:rFonts w:ascii="Arial" w:hAnsi="Arial" w:cs="Arial"/>
                <w:bCs/>
                <w:sz w:val="24"/>
                <w:szCs w:val="24"/>
              </w:rPr>
              <w:t xml:space="preserve">initiation meeting takes place and project </w:t>
            </w:r>
            <w:r w:rsidRPr="00BE3C10">
              <w:rPr>
                <w:rFonts w:ascii="Arial" w:hAnsi="Arial" w:cs="Arial"/>
                <w:bCs/>
                <w:sz w:val="24"/>
                <w:szCs w:val="24"/>
              </w:rPr>
              <w:t>commences</w:t>
            </w:r>
            <w:r w:rsidR="000B577A">
              <w:rPr>
                <w:rFonts w:ascii="Arial" w:hAnsi="Arial" w:cs="Arial"/>
                <w:bCs/>
                <w:sz w:val="24"/>
                <w:szCs w:val="24"/>
              </w:rPr>
              <w:t xml:space="preserve">  </w:t>
            </w:r>
          </w:p>
        </w:tc>
      </w:tr>
      <w:tr w:rsidR="00D22286" w:rsidRPr="00BE3C10" w14:paraId="409A7A68" w14:textId="77777777" w:rsidTr="00E70664">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rPr>
          <w:trHeight w:val="518"/>
        </w:trPr>
        <w:tc>
          <w:tcPr>
            <w:tcW w:w="2660" w:type="dxa"/>
            <w:tcBorders>
              <w:top w:val="single" w:sz="8" w:space="0" w:color="4F81BD"/>
              <w:bottom w:val="single" w:sz="8" w:space="0" w:color="4F81BD"/>
              <w:right w:val="single" w:sz="8" w:space="0" w:color="4F81BD"/>
            </w:tcBorders>
          </w:tcPr>
          <w:p w14:paraId="409A7A66" w14:textId="182E9E49" w:rsidR="00D22286" w:rsidRPr="00E70664" w:rsidRDefault="00E273B8" w:rsidP="002238F9">
            <w:pPr>
              <w:spacing w:line="240" w:lineRule="auto"/>
              <w:rPr>
                <w:rFonts w:ascii="Arial" w:hAnsi="Arial" w:cs="Arial"/>
                <w:sz w:val="24"/>
                <w:szCs w:val="24"/>
              </w:rPr>
            </w:pPr>
            <w:r>
              <w:rPr>
                <w:rFonts w:ascii="Arial" w:hAnsi="Arial" w:cs="Arial"/>
                <w:sz w:val="24"/>
                <w:szCs w:val="24"/>
              </w:rPr>
              <w:t>21</w:t>
            </w:r>
            <w:r w:rsidRPr="008546F8">
              <w:rPr>
                <w:rFonts w:ascii="Arial" w:hAnsi="Arial" w:cs="Arial"/>
                <w:sz w:val="24"/>
                <w:szCs w:val="24"/>
                <w:vertAlign w:val="superscript"/>
              </w:rPr>
              <w:t>st</w:t>
            </w:r>
            <w:r>
              <w:rPr>
                <w:rFonts w:ascii="Arial" w:hAnsi="Arial" w:cs="Arial"/>
                <w:sz w:val="24"/>
                <w:szCs w:val="24"/>
              </w:rPr>
              <w:t xml:space="preserve"> </w:t>
            </w:r>
            <w:r w:rsidR="00C032B7">
              <w:rPr>
                <w:rFonts w:ascii="Arial" w:hAnsi="Arial" w:cs="Arial"/>
                <w:sz w:val="24"/>
                <w:szCs w:val="24"/>
              </w:rPr>
              <w:t>March</w:t>
            </w:r>
            <w:r>
              <w:rPr>
                <w:rFonts w:ascii="Arial" w:hAnsi="Arial" w:cs="Arial"/>
                <w:sz w:val="24"/>
                <w:szCs w:val="24"/>
              </w:rPr>
              <w:t xml:space="preserve"> </w:t>
            </w:r>
            <w:r w:rsidR="00E70664" w:rsidRPr="00E70664">
              <w:rPr>
                <w:rFonts w:ascii="Arial" w:hAnsi="Arial" w:cs="Arial"/>
                <w:sz w:val="24"/>
                <w:szCs w:val="24"/>
              </w:rPr>
              <w:t>2019</w:t>
            </w:r>
          </w:p>
        </w:tc>
        <w:tc>
          <w:tcPr>
            <w:tcW w:w="6520" w:type="dxa"/>
            <w:tcBorders>
              <w:top w:val="single" w:sz="8" w:space="0" w:color="4F81BD"/>
              <w:bottom w:val="single" w:sz="8" w:space="0" w:color="4F81BD"/>
              <w:right w:val="single" w:sz="8" w:space="0" w:color="4F81BD"/>
            </w:tcBorders>
            <w:vAlign w:val="center"/>
          </w:tcPr>
          <w:p w14:paraId="409A7A67" w14:textId="77777777" w:rsidR="00D22286" w:rsidRPr="00BE3C10" w:rsidRDefault="00D22286" w:rsidP="000F2AF9">
            <w:pPr>
              <w:spacing w:line="240" w:lineRule="auto"/>
              <w:rPr>
                <w:rFonts w:ascii="Arial" w:hAnsi="Arial" w:cs="Arial"/>
                <w:bCs/>
                <w:sz w:val="24"/>
                <w:szCs w:val="24"/>
              </w:rPr>
            </w:pPr>
            <w:r w:rsidRPr="00BE3C10">
              <w:rPr>
                <w:rFonts w:ascii="Arial" w:hAnsi="Arial" w:cs="Arial"/>
                <w:bCs/>
                <w:sz w:val="24"/>
                <w:szCs w:val="24"/>
              </w:rPr>
              <w:t>Latest date for submission of final report to FSA</w:t>
            </w:r>
          </w:p>
        </w:tc>
      </w:tr>
    </w:tbl>
    <w:p w14:paraId="409A7A69" w14:textId="77777777" w:rsidR="002A6CEA" w:rsidRPr="00BE3C10" w:rsidRDefault="002A6CEA" w:rsidP="002238F9">
      <w:pPr>
        <w:spacing w:line="240" w:lineRule="auto"/>
        <w:rPr>
          <w:rFonts w:ascii="Arial" w:hAnsi="Arial" w:cs="Arial"/>
          <w:sz w:val="24"/>
          <w:szCs w:val="24"/>
        </w:rPr>
      </w:pPr>
    </w:p>
    <w:p w14:paraId="409A7A6A" w14:textId="230C91B5" w:rsidR="002A6CEA" w:rsidRPr="00BE3C10" w:rsidRDefault="002A6CEA" w:rsidP="002238F9">
      <w:pPr>
        <w:spacing w:line="240" w:lineRule="auto"/>
        <w:rPr>
          <w:rFonts w:ascii="Arial" w:hAnsi="Arial" w:cs="Arial"/>
          <w:sz w:val="20"/>
          <w:szCs w:val="20"/>
        </w:rPr>
      </w:pPr>
      <w:r w:rsidRPr="00BE3C10">
        <w:rPr>
          <w:rFonts w:ascii="Arial" w:hAnsi="Arial" w:cs="Arial"/>
          <w:sz w:val="20"/>
          <w:szCs w:val="20"/>
        </w:rPr>
        <w:t xml:space="preserve">* If a Tenderer wishes to raise any points of clarification over the procurement process, the actual project objectives or any other query these must be raised through the </w:t>
      </w:r>
      <w:r w:rsidR="0059167A">
        <w:rPr>
          <w:rFonts w:ascii="Arial" w:hAnsi="Arial" w:cs="Arial"/>
          <w:sz w:val="20"/>
          <w:szCs w:val="20"/>
        </w:rPr>
        <w:t>ECMS</w:t>
      </w:r>
      <w:r w:rsidR="004D3042">
        <w:rPr>
          <w:rFonts w:ascii="Arial" w:hAnsi="Arial" w:cs="Arial"/>
          <w:sz w:val="20"/>
          <w:szCs w:val="20"/>
        </w:rPr>
        <w:t xml:space="preserve"> by the date specified</w:t>
      </w:r>
      <w:r w:rsidRPr="00BE3C10">
        <w:rPr>
          <w:rFonts w:ascii="Arial" w:hAnsi="Arial" w:cs="Arial"/>
          <w:sz w:val="20"/>
          <w:szCs w:val="20"/>
        </w:rPr>
        <w:t xml:space="preserve">.  </w:t>
      </w:r>
    </w:p>
    <w:p w14:paraId="409A7A6B" w14:textId="77777777" w:rsidR="002A6CEA" w:rsidRDefault="002A6CEA" w:rsidP="002238F9">
      <w:pPr>
        <w:spacing w:line="240" w:lineRule="auto"/>
        <w:rPr>
          <w:rFonts w:ascii="Arial" w:hAnsi="Arial" w:cs="Arial"/>
          <w:sz w:val="20"/>
          <w:szCs w:val="20"/>
        </w:rPr>
      </w:pPr>
      <w:r w:rsidRPr="00BE3C10">
        <w:rPr>
          <w:rFonts w:ascii="Arial" w:hAnsi="Arial" w:cs="Arial"/>
          <w:sz w:val="20"/>
          <w:szCs w:val="20"/>
        </w:rPr>
        <w:t>** Queries will not be answered after this date.</w:t>
      </w:r>
    </w:p>
    <w:p w14:paraId="409A7A6C" w14:textId="5FB2A79C" w:rsidR="004D3042" w:rsidRDefault="004D3042" w:rsidP="002238F9">
      <w:pPr>
        <w:spacing w:line="240" w:lineRule="auto"/>
        <w:rPr>
          <w:rFonts w:ascii="Arial" w:hAnsi="Arial" w:cs="Arial"/>
          <w:sz w:val="20"/>
          <w:szCs w:val="20"/>
        </w:rPr>
      </w:pPr>
      <w:r>
        <w:rPr>
          <w:rFonts w:ascii="Arial" w:hAnsi="Arial" w:cs="Arial"/>
          <w:sz w:val="20"/>
          <w:szCs w:val="20"/>
        </w:rPr>
        <w:t xml:space="preserve">*** Submissions must be uploaded onto the </w:t>
      </w:r>
      <w:r w:rsidR="0059167A">
        <w:rPr>
          <w:rFonts w:ascii="Arial" w:hAnsi="Arial" w:cs="Arial"/>
          <w:sz w:val="20"/>
          <w:szCs w:val="20"/>
        </w:rPr>
        <w:t>ECMS</w:t>
      </w:r>
      <w:r>
        <w:rPr>
          <w:rFonts w:ascii="Arial" w:hAnsi="Arial" w:cs="Arial"/>
          <w:sz w:val="20"/>
          <w:szCs w:val="20"/>
        </w:rPr>
        <w:t xml:space="preserve"> before the closing date and time. </w:t>
      </w:r>
    </w:p>
    <w:p w14:paraId="409A7A6D" w14:textId="77777777" w:rsidR="000B577A" w:rsidRPr="00BE3C10" w:rsidRDefault="007276C8" w:rsidP="002238F9">
      <w:pPr>
        <w:spacing w:line="240" w:lineRule="auto"/>
        <w:rPr>
          <w:rFonts w:ascii="Arial" w:hAnsi="Arial" w:cs="Arial"/>
          <w:sz w:val="20"/>
          <w:szCs w:val="20"/>
        </w:rPr>
      </w:pPr>
      <w:r>
        <w:rPr>
          <w:rFonts w:ascii="Arial" w:hAnsi="Arial" w:cs="Arial"/>
          <w:sz w:val="20"/>
          <w:szCs w:val="20"/>
        </w:rPr>
        <w:t>§ These</w:t>
      </w:r>
      <w:r w:rsidR="000B577A">
        <w:rPr>
          <w:rFonts w:ascii="Arial" w:hAnsi="Arial" w:cs="Arial"/>
          <w:sz w:val="20"/>
          <w:szCs w:val="20"/>
        </w:rPr>
        <w:t xml:space="preserve"> stages are optional</w:t>
      </w:r>
    </w:p>
    <w:p w14:paraId="288FA155" w14:textId="77777777" w:rsidR="00F67B9A" w:rsidRDefault="00F67B9A" w:rsidP="002238F9">
      <w:pPr>
        <w:spacing w:line="240" w:lineRule="auto"/>
        <w:jc w:val="both"/>
        <w:rPr>
          <w:rFonts w:ascii="Arial" w:hAnsi="Arial" w:cs="Arial"/>
          <w:b/>
          <w:sz w:val="24"/>
          <w:szCs w:val="24"/>
        </w:rPr>
      </w:pPr>
    </w:p>
    <w:p w14:paraId="409A7A6E" w14:textId="57490D4A" w:rsidR="002A6CEA" w:rsidRDefault="002A6CEA" w:rsidP="002238F9">
      <w:pPr>
        <w:spacing w:line="240" w:lineRule="auto"/>
        <w:jc w:val="both"/>
        <w:rPr>
          <w:rFonts w:ascii="Arial" w:hAnsi="Arial" w:cs="Arial"/>
          <w:b/>
          <w:sz w:val="24"/>
          <w:szCs w:val="24"/>
        </w:rPr>
      </w:pPr>
      <w:r w:rsidRPr="00BE3C10">
        <w:rPr>
          <w:rFonts w:ascii="Arial" w:hAnsi="Arial" w:cs="Arial"/>
          <w:b/>
          <w:sz w:val="24"/>
          <w:szCs w:val="24"/>
        </w:rPr>
        <w:t>Further Information</w:t>
      </w:r>
    </w:p>
    <w:p w14:paraId="409A7A6F" w14:textId="77777777" w:rsidR="00850E61" w:rsidRPr="00BE3C10" w:rsidRDefault="00850E61" w:rsidP="002238F9">
      <w:pPr>
        <w:spacing w:line="240" w:lineRule="auto"/>
        <w:jc w:val="both"/>
        <w:rPr>
          <w:rFonts w:ascii="Arial" w:hAnsi="Arial" w:cs="Arial"/>
          <w:b/>
          <w:sz w:val="24"/>
          <w:szCs w:val="24"/>
        </w:rPr>
      </w:pPr>
    </w:p>
    <w:p w14:paraId="16142F01" w14:textId="3655CCF3" w:rsidR="00702205" w:rsidRDefault="0097788E" w:rsidP="00702205">
      <w:pPr>
        <w:spacing w:line="240" w:lineRule="auto"/>
        <w:jc w:val="both"/>
        <w:rPr>
          <w:rFonts w:ascii="Arial" w:hAnsi="Arial" w:cs="Arial"/>
          <w:sz w:val="24"/>
          <w:szCs w:val="24"/>
        </w:rPr>
      </w:pPr>
      <w:r w:rsidRPr="00BE3C10">
        <w:rPr>
          <w:rFonts w:ascii="Arial" w:hAnsi="Arial" w:cs="Arial"/>
          <w:sz w:val="24"/>
          <w:szCs w:val="24"/>
        </w:rPr>
        <w:t>For any technical queries</w:t>
      </w:r>
      <w:r w:rsidR="00702205">
        <w:rPr>
          <w:rFonts w:ascii="Arial" w:hAnsi="Arial" w:cs="Arial"/>
          <w:sz w:val="24"/>
          <w:szCs w:val="24"/>
        </w:rPr>
        <w:t xml:space="preserve"> or</w:t>
      </w:r>
      <w:r w:rsidR="002A6CEA" w:rsidRPr="00BE3C10">
        <w:rPr>
          <w:rFonts w:ascii="Arial" w:hAnsi="Arial" w:cs="Arial"/>
          <w:sz w:val="24"/>
          <w:szCs w:val="24"/>
        </w:rPr>
        <w:t xml:space="preserve"> </w:t>
      </w:r>
      <w:r w:rsidR="00C0273D">
        <w:rPr>
          <w:rFonts w:ascii="Arial" w:hAnsi="Arial" w:cs="Arial"/>
          <w:sz w:val="24"/>
          <w:szCs w:val="24"/>
        </w:rPr>
        <w:t>issues</w:t>
      </w:r>
      <w:r w:rsidRPr="00BE3C10">
        <w:rPr>
          <w:rFonts w:ascii="Arial" w:hAnsi="Arial" w:cs="Arial"/>
          <w:sz w:val="24"/>
          <w:szCs w:val="24"/>
        </w:rPr>
        <w:t xml:space="preserve"> regarding the use of </w:t>
      </w:r>
      <w:r w:rsidR="00063AF6" w:rsidRPr="00BE3C10">
        <w:rPr>
          <w:rFonts w:ascii="Arial" w:hAnsi="Arial" w:cs="Arial"/>
          <w:sz w:val="24"/>
          <w:szCs w:val="24"/>
        </w:rPr>
        <w:t>E</w:t>
      </w:r>
      <w:r w:rsidR="00FB6CBC">
        <w:rPr>
          <w:rFonts w:ascii="Arial" w:hAnsi="Arial" w:cs="Arial"/>
          <w:sz w:val="24"/>
          <w:szCs w:val="24"/>
        </w:rPr>
        <w:t>CMS</w:t>
      </w:r>
      <w:r w:rsidRPr="00BE3C10">
        <w:rPr>
          <w:rFonts w:ascii="Arial" w:hAnsi="Arial" w:cs="Arial"/>
          <w:sz w:val="24"/>
          <w:szCs w:val="24"/>
        </w:rPr>
        <w:t xml:space="preserve"> </w:t>
      </w:r>
      <w:r w:rsidR="002A6CEA" w:rsidRPr="00BE3C10">
        <w:rPr>
          <w:rFonts w:ascii="Arial" w:hAnsi="Arial" w:cs="Arial"/>
          <w:sz w:val="24"/>
          <w:szCs w:val="24"/>
        </w:rPr>
        <w:t xml:space="preserve">please </w:t>
      </w:r>
      <w:r w:rsidR="00702205">
        <w:rPr>
          <w:rFonts w:ascii="Arial" w:hAnsi="Arial" w:cs="Arial"/>
          <w:sz w:val="24"/>
          <w:szCs w:val="24"/>
        </w:rPr>
        <w:t>contact the</w:t>
      </w:r>
      <w:r w:rsidR="00702205" w:rsidRPr="00702205">
        <w:rPr>
          <w:rFonts w:ascii="Arial" w:hAnsi="Arial" w:cs="Arial"/>
          <w:sz w:val="24"/>
          <w:szCs w:val="24"/>
        </w:rPr>
        <w:t xml:space="preserve"> eSourcing Helpdesk:</w:t>
      </w:r>
    </w:p>
    <w:p w14:paraId="26EA2E28" w14:textId="77777777" w:rsidR="00702205" w:rsidRPr="00702205" w:rsidRDefault="00702205" w:rsidP="00702205">
      <w:pPr>
        <w:spacing w:line="240" w:lineRule="auto"/>
        <w:jc w:val="both"/>
        <w:rPr>
          <w:rFonts w:ascii="Arial" w:hAnsi="Arial" w:cs="Arial"/>
          <w:sz w:val="24"/>
          <w:szCs w:val="24"/>
        </w:rPr>
      </w:pPr>
    </w:p>
    <w:p w14:paraId="1F5C0724" w14:textId="77777777" w:rsidR="00702205" w:rsidRPr="00702205" w:rsidRDefault="00702205" w:rsidP="00702205">
      <w:pPr>
        <w:spacing w:line="240" w:lineRule="auto"/>
        <w:jc w:val="both"/>
        <w:rPr>
          <w:rFonts w:ascii="Arial" w:hAnsi="Arial" w:cs="Arial"/>
          <w:sz w:val="24"/>
          <w:szCs w:val="24"/>
        </w:rPr>
      </w:pPr>
      <w:r w:rsidRPr="00702205">
        <w:rPr>
          <w:rFonts w:ascii="Arial" w:hAnsi="Arial" w:cs="Arial"/>
          <w:sz w:val="24"/>
          <w:szCs w:val="24"/>
        </w:rPr>
        <w:t>Phone: 0800 368 4850</w:t>
      </w:r>
    </w:p>
    <w:p w14:paraId="409A7A70" w14:textId="288AB863" w:rsidR="002A6CEA" w:rsidRDefault="00702205" w:rsidP="00702205">
      <w:pPr>
        <w:spacing w:line="240" w:lineRule="auto"/>
        <w:jc w:val="both"/>
        <w:rPr>
          <w:rFonts w:ascii="Arial" w:hAnsi="Arial" w:cs="Arial"/>
          <w:sz w:val="24"/>
          <w:szCs w:val="24"/>
        </w:rPr>
      </w:pPr>
      <w:r w:rsidRPr="00702205">
        <w:rPr>
          <w:rFonts w:ascii="Arial" w:hAnsi="Arial" w:cs="Arial"/>
          <w:sz w:val="24"/>
          <w:szCs w:val="24"/>
        </w:rPr>
        <w:t>Email: help@bravosolution.co.uk</w:t>
      </w:r>
      <w:r>
        <w:rPr>
          <w:rFonts w:ascii="Arial" w:hAnsi="Arial" w:cs="Arial"/>
          <w:sz w:val="24"/>
          <w:szCs w:val="24"/>
        </w:rPr>
        <w:t xml:space="preserve"> </w:t>
      </w:r>
      <w:r w:rsidR="002A6CEA" w:rsidRPr="00BE3C10">
        <w:rPr>
          <w:rFonts w:ascii="Arial" w:hAnsi="Arial" w:cs="Arial"/>
          <w:sz w:val="24"/>
          <w:szCs w:val="24"/>
        </w:rPr>
        <w:t xml:space="preserve">. </w:t>
      </w:r>
    </w:p>
    <w:p w14:paraId="2C7F654D" w14:textId="77777777" w:rsidR="00702205" w:rsidRDefault="00702205" w:rsidP="002238F9">
      <w:pPr>
        <w:spacing w:line="240" w:lineRule="auto"/>
        <w:jc w:val="both"/>
        <w:rPr>
          <w:rFonts w:ascii="Arial" w:hAnsi="Arial" w:cs="Arial"/>
          <w:sz w:val="24"/>
          <w:szCs w:val="24"/>
        </w:rPr>
      </w:pPr>
    </w:p>
    <w:p w14:paraId="69402D85" w14:textId="481F551C" w:rsidR="00702205" w:rsidRPr="00BE3C10" w:rsidRDefault="00702205" w:rsidP="00702205">
      <w:pPr>
        <w:spacing w:line="240" w:lineRule="auto"/>
        <w:jc w:val="both"/>
        <w:rPr>
          <w:rFonts w:ascii="Arial" w:hAnsi="Arial" w:cs="Arial"/>
          <w:sz w:val="24"/>
          <w:szCs w:val="24"/>
        </w:rPr>
      </w:pPr>
      <w:r w:rsidRPr="00BE3C10">
        <w:rPr>
          <w:rFonts w:ascii="Arial" w:hAnsi="Arial" w:cs="Arial"/>
          <w:sz w:val="24"/>
          <w:szCs w:val="24"/>
        </w:rPr>
        <w:t>For any points of clarification regarding th</w:t>
      </w:r>
      <w:r>
        <w:rPr>
          <w:rFonts w:ascii="Arial" w:hAnsi="Arial" w:cs="Arial"/>
          <w:sz w:val="24"/>
          <w:szCs w:val="24"/>
        </w:rPr>
        <w:t xml:space="preserve">is specification </w:t>
      </w:r>
      <w:r w:rsidRPr="00BE3C10">
        <w:rPr>
          <w:rFonts w:ascii="Arial" w:hAnsi="Arial" w:cs="Arial"/>
          <w:sz w:val="24"/>
          <w:szCs w:val="24"/>
        </w:rPr>
        <w:t xml:space="preserve">or the </w:t>
      </w:r>
      <w:r w:rsidR="00C0273D">
        <w:rPr>
          <w:rFonts w:ascii="Arial" w:hAnsi="Arial" w:cs="Arial"/>
          <w:sz w:val="24"/>
          <w:szCs w:val="24"/>
        </w:rPr>
        <w:t xml:space="preserve">FSA’s </w:t>
      </w:r>
      <w:r w:rsidRPr="00BE3C10">
        <w:rPr>
          <w:rFonts w:ascii="Arial" w:hAnsi="Arial" w:cs="Arial"/>
          <w:sz w:val="24"/>
          <w:szCs w:val="24"/>
        </w:rPr>
        <w:t xml:space="preserve">procurement procedures please </w:t>
      </w:r>
      <w:r>
        <w:rPr>
          <w:rFonts w:ascii="Arial" w:hAnsi="Arial" w:cs="Arial"/>
          <w:sz w:val="24"/>
          <w:szCs w:val="24"/>
        </w:rPr>
        <w:t>submit</w:t>
      </w:r>
      <w:r w:rsidRPr="00BE3C10">
        <w:rPr>
          <w:rFonts w:ascii="Arial" w:hAnsi="Arial" w:cs="Arial"/>
          <w:sz w:val="24"/>
          <w:szCs w:val="24"/>
        </w:rPr>
        <w:t xml:space="preserve"> through </w:t>
      </w:r>
      <w:r>
        <w:rPr>
          <w:rFonts w:ascii="Arial" w:hAnsi="Arial" w:cs="Arial"/>
          <w:sz w:val="24"/>
          <w:szCs w:val="24"/>
        </w:rPr>
        <w:t>ECMS</w:t>
      </w:r>
      <w:r w:rsidRPr="00BE3C10">
        <w:rPr>
          <w:rFonts w:ascii="Arial" w:hAnsi="Arial" w:cs="Arial"/>
          <w:sz w:val="24"/>
          <w:szCs w:val="24"/>
        </w:rPr>
        <w:t xml:space="preserve">. </w:t>
      </w:r>
    </w:p>
    <w:p w14:paraId="409A7A71" w14:textId="77777777" w:rsidR="0091438C" w:rsidRPr="00BE3C10" w:rsidRDefault="0091438C" w:rsidP="002238F9">
      <w:pPr>
        <w:spacing w:line="240" w:lineRule="auto"/>
        <w:jc w:val="both"/>
        <w:rPr>
          <w:rFonts w:ascii="Arial" w:hAnsi="Arial" w:cs="Arial"/>
          <w:b/>
          <w:sz w:val="24"/>
          <w:szCs w:val="24"/>
        </w:rPr>
      </w:pPr>
    </w:p>
    <w:p w14:paraId="409A7A72" w14:textId="77777777" w:rsidR="0091438C" w:rsidRPr="00BE3C10" w:rsidRDefault="0091438C" w:rsidP="002238F9">
      <w:pPr>
        <w:spacing w:line="240" w:lineRule="auto"/>
        <w:jc w:val="both"/>
        <w:rPr>
          <w:rFonts w:ascii="Arial" w:hAnsi="Arial" w:cs="Arial"/>
          <w:b/>
          <w:sz w:val="24"/>
          <w:szCs w:val="24"/>
        </w:rPr>
      </w:pPr>
    </w:p>
    <w:p w14:paraId="409A7A73" w14:textId="77777777" w:rsidR="002A6CEA" w:rsidRPr="00BE3C10" w:rsidRDefault="002A6CEA" w:rsidP="002238F9">
      <w:pPr>
        <w:spacing w:line="240" w:lineRule="auto"/>
        <w:jc w:val="both"/>
        <w:rPr>
          <w:rFonts w:ascii="Arial" w:hAnsi="Arial" w:cs="Arial"/>
          <w:b/>
          <w:sz w:val="24"/>
          <w:szCs w:val="24"/>
        </w:rPr>
      </w:pPr>
      <w:r w:rsidRPr="00BE3C10">
        <w:rPr>
          <w:rFonts w:ascii="Arial" w:hAnsi="Arial" w:cs="Arial"/>
          <w:b/>
          <w:sz w:val="24"/>
          <w:szCs w:val="24"/>
        </w:rPr>
        <w:t xml:space="preserve">Closing </w:t>
      </w:r>
      <w:r w:rsidR="0097788E" w:rsidRPr="00BE3C10">
        <w:rPr>
          <w:rFonts w:ascii="Arial" w:hAnsi="Arial" w:cs="Arial"/>
          <w:b/>
          <w:sz w:val="24"/>
          <w:szCs w:val="24"/>
        </w:rPr>
        <w:t>D</w:t>
      </w:r>
      <w:r w:rsidRPr="00BE3C10">
        <w:rPr>
          <w:rFonts w:ascii="Arial" w:hAnsi="Arial" w:cs="Arial"/>
          <w:b/>
          <w:sz w:val="24"/>
          <w:szCs w:val="24"/>
        </w:rPr>
        <w:t>ate</w:t>
      </w:r>
    </w:p>
    <w:p w14:paraId="409A7A74" w14:textId="2ED7CBAA" w:rsidR="002A6CEA" w:rsidRPr="00BE3C10" w:rsidRDefault="004D3042" w:rsidP="002238F9">
      <w:pPr>
        <w:spacing w:after="120" w:line="240" w:lineRule="auto"/>
        <w:jc w:val="both"/>
        <w:rPr>
          <w:rFonts w:ascii="Arial" w:hAnsi="Arial" w:cs="Arial"/>
          <w:b/>
          <w:sz w:val="24"/>
          <w:szCs w:val="24"/>
        </w:rPr>
      </w:pPr>
      <w:r>
        <w:rPr>
          <w:rFonts w:ascii="Arial" w:hAnsi="Arial" w:cs="Arial"/>
          <w:sz w:val="24"/>
          <w:szCs w:val="24"/>
        </w:rPr>
        <w:t>Tender</w:t>
      </w:r>
      <w:r w:rsidR="007D53FE">
        <w:rPr>
          <w:rFonts w:ascii="Arial" w:hAnsi="Arial" w:cs="Arial"/>
          <w:sz w:val="24"/>
          <w:szCs w:val="24"/>
        </w:rPr>
        <w:t>s should be submitted on</w:t>
      </w:r>
      <w:r w:rsidR="002A6CEA" w:rsidRPr="00BE3C10">
        <w:rPr>
          <w:rFonts w:ascii="Arial" w:hAnsi="Arial" w:cs="Arial"/>
          <w:sz w:val="24"/>
          <w:szCs w:val="24"/>
        </w:rPr>
        <w:t xml:space="preserve"> </w:t>
      </w:r>
      <w:r w:rsidR="00063AF6" w:rsidRPr="00BE3C10">
        <w:rPr>
          <w:rFonts w:ascii="Arial" w:hAnsi="Arial" w:cs="Arial"/>
          <w:sz w:val="24"/>
          <w:szCs w:val="24"/>
        </w:rPr>
        <w:t>E</w:t>
      </w:r>
      <w:r w:rsidR="00FB6CBC">
        <w:rPr>
          <w:rFonts w:ascii="Arial" w:hAnsi="Arial" w:cs="Arial"/>
          <w:sz w:val="24"/>
          <w:szCs w:val="24"/>
        </w:rPr>
        <w:t>CMS</w:t>
      </w:r>
      <w:r w:rsidR="002A6CEA" w:rsidRPr="00BE3C10">
        <w:rPr>
          <w:rFonts w:ascii="Arial" w:hAnsi="Arial" w:cs="Arial"/>
          <w:sz w:val="24"/>
          <w:szCs w:val="24"/>
        </w:rPr>
        <w:t xml:space="preserve"> </w:t>
      </w:r>
      <w:r w:rsidR="002A6CEA" w:rsidRPr="00BE3C10">
        <w:rPr>
          <w:rFonts w:ascii="Arial" w:hAnsi="Arial" w:cs="Arial"/>
          <w:b/>
          <w:sz w:val="24"/>
          <w:szCs w:val="24"/>
        </w:rPr>
        <w:t xml:space="preserve">by </w:t>
      </w:r>
      <w:r w:rsidR="00452B59">
        <w:rPr>
          <w:rFonts w:ascii="Arial" w:hAnsi="Arial" w:cs="Arial"/>
          <w:b/>
          <w:sz w:val="24"/>
          <w:szCs w:val="24"/>
        </w:rPr>
        <w:t xml:space="preserve">the date specified on </w:t>
      </w:r>
      <w:r w:rsidR="00063AF6">
        <w:rPr>
          <w:rFonts w:ascii="Arial" w:hAnsi="Arial" w:cs="Arial"/>
          <w:b/>
          <w:sz w:val="24"/>
          <w:szCs w:val="24"/>
        </w:rPr>
        <w:t>E</w:t>
      </w:r>
      <w:r w:rsidR="00FB6CBC">
        <w:rPr>
          <w:rFonts w:ascii="Arial" w:hAnsi="Arial" w:cs="Arial"/>
          <w:b/>
          <w:sz w:val="24"/>
          <w:szCs w:val="24"/>
        </w:rPr>
        <w:t>CMS</w:t>
      </w:r>
      <w:r w:rsidR="00452B59">
        <w:rPr>
          <w:rFonts w:ascii="Arial" w:hAnsi="Arial" w:cs="Arial"/>
          <w:b/>
          <w:sz w:val="24"/>
          <w:szCs w:val="24"/>
        </w:rPr>
        <w:t>.</w:t>
      </w:r>
    </w:p>
    <w:p w14:paraId="409A7A75" w14:textId="77777777" w:rsidR="008B6F0F" w:rsidRPr="00BE3C10" w:rsidRDefault="004D3042" w:rsidP="002238F9">
      <w:pPr>
        <w:spacing w:after="120" w:line="240" w:lineRule="auto"/>
        <w:jc w:val="both"/>
        <w:rPr>
          <w:rFonts w:ascii="Arial" w:hAnsi="Arial" w:cs="Arial"/>
          <w:sz w:val="24"/>
        </w:rPr>
      </w:pPr>
      <w:r>
        <w:rPr>
          <w:rFonts w:ascii="Arial" w:hAnsi="Arial" w:cs="Arial"/>
          <w:b/>
          <w:sz w:val="24"/>
          <w:szCs w:val="24"/>
        </w:rPr>
        <w:t>Tender</w:t>
      </w:r>
      <w:r w:rsidR="0097788E" w:rsidRPr="00BE3C10">
        <w:rPr>
          <w:rFonts w:ascii="Arial" w:hAnsi="Arial" w:cs="Arial"/>
          <w:b/>
          <w:sz w:val="24"/>
          <w:szCs w:val="24"/>
        </w:rPr>
        <w:t>s</w:t>
      </w:r>
      <w:r w:rsidR="002A6CEA" w:rsidRPr="00BE3C10">
        <w:rPr>
          <w:rFonts w:ascii="Arial" w:hAnsi="Arial" w:cs="Arial"/>
          <w:b/>
          <w:sz w:val="24"/>
          <w:szCs w:val="24"/>
        </w:rPr>
        <w:t xml:space="preserve"> received after this </w:t>
      </w:r>
      <w:r w:rsidR="009B4A42" w:rsidRPr="00BE3C10">
        <w:rPr>
          <w:rFonts w:ascii="Arial" w:hAnsi="Arial" w:cs="Arial"/>
          <w:b/>
          <w:sz w:val="24"/>
          <w:szCs w:val="24"/>
        </w:rPr>
        <w:t xml:space="preserve">time </w:t>
      </w:r>
      <w:r w:rsidR="002A6CEA" w:rsidRPr="00BE3C10">
        <w:rPr>
          <w:rFonts w:ascii="Arial" w:hAnsi="Arial" w:cs="Arial"/>
          <w:b/>
          <w:sz w:val="24"/>
          <w:szCs w:val="24"/>
        </w:rPr>
        <w:t>will not be considered or evaluated</w:t>
      </w:r>
      <w:r w:rsidR="000365DB" w:rsidRPr="00BE3C10">
        <w:rPr>
          <w:rFonts w:ascii="Arial" w:hAnsi="Arial" w:cs="Arial"/>
          <w:b/>
          <w:sz w:val="24"/>
          <w:szCs w:val="24"/>
        </w:rPr>
        <w:t>.</w:t>
      </w:r>
      <w:r w:rsidR="008B6F0F" w:rsidRPr="00BE3C10">
        <w:rPr>
          <w:rFonts w:ascii="Arial" w:hAnsi="Arial" w:cs="Arial"/>
          <w:sz w:val="24"/>
        </w:rPr>
        <w:t xml:space="preserve"> </w:t>
      </w:r>
      <w:r w:rsidR="000365DB" w:rsidRPr="00BE3C10">
        <w:rPr>
          <w:rFonts w:ascii="Arial" w:hAnsi="Arial" w:cs="Arial"/>
          <w:b/>
          <w:sz w:val="24"/>
          <w:szCs w:val="24"/>
        </w:rPr>
        <w:t>Please allow sufficient time to upload your tender and all supporting evidence before the closing date.</w:t>
      </w:r>
    </w:p>
    <w:p w14:paraId="409A7A76" w14:textId="77777777" w:rsidR="0097788E" w:rsidRPr="00BE3C10" w:rsidRDefault="002A6CEA" w:rsidP="002238F9">
      <w:pPr>
        <w:spacing w:after="120" w:line="240" w:lineRule="auto"/>
        <w:jc w:val="both"/>
        <w:rPr>
          <w:rFonts w:ascii="Arial" w:hAnsi="Arial" w:cs="Arial"/>
          <w:sz w:val="24"/>
          <w:szCs w:val="24"/>
        </w:rPr>
      </w:pPr>
      <w:r w:rsidRPr="00BE3C10">
        <w:rPr>
          <w:rFonts w:ascii="Arial" w:hAnsi="Arial" w:cs="Arial"/>
          <w:sz w:val="24"/>
          <w:szCs w:val="24"/>
        </w:rPr>
        <w:t xml:space="preserve"> </w:t>
      </w:r>
    </w:p>
    <w:p w14:paraId="409A7A77" w14:textId="36071CB4" w:rsidR="0097788E" w:rsidRPr="007D53FE" w:rsidRDefault="0097788E" w:rsidP="002238F9">
      <w:pPr>
        <w:spacing w:after="120" w:line="240" w:lineRule="auto"/>
        <w:jc w:val="both"/>
        <w:rPr>
          <w:rFonts w:ascii="Arial" w:hAnsi="Arial" w:cs="Arial"/>
          <w:b/>
          <w:sz w:val="24"/>
          <w:szCs w:val="24"/>
        </w:rPr>
      </w:pPr>
      <w:r w:rsidRPr="007D53FE">
        <w:rPr>
          <w:rFonts w:ascii="Arial" w:hAnsi="Arial" w:cs="Arial"/>
          <w:b/>
          <w:sz w:val="24"/>
          <w:szCs w:val="24"/>
        </w:rPr>
        <w:t xml:space="preserve">Notification of Submission of </w:t>
      </w:r>
      <w:r w:rsidR="004D3042" w:rsidRPr="007D53FE">
        <w:rPr>
          <w:rFonts w:ascii="Arial" w:hAnsi="Arial" w:cs="Arial"/>
          <w:b/>
          <w:sz w:val="24"/>
          <w:szCs w:val="24"/>
        </w:rPr>
        <w:t>Tender</w:t>
      </w:r>
      <w:r w:rsidR="00C11196" w:rsidRPr="007D53FE">
        <w:rPr>
          <w:rFonts w:ascii="Arial" w:hAnsi="Arial" w:cs="Arial"/>
          <w:b/>
          <w:sz w:val="24"/>
          <w:szCs w:val="24"/>
        </w:rPr>
        <w:t xml:space="preserve"> </w:t>
      </w:r>
    </w:p>
    <w:p w14:paraId="409A7A78" w14:textId="1DCD012A" w:rsidR="0097788E" w:rsidRPr="00BE3C10" w:rsidRDefault="002A6CEA" w:rsidP="002238F9">
      <w:pPr>
        <w:spacing w:after="120" w:line="240" w:lineRule="auto"/>
        <w:jc w:val="both"/>
        <w:rPr>
          <w:rFonts w:ascii="Arial" w:hAnsi="Arial" w:cs="Arial"/>
          <w:sz w:val="24"/>
          <w:szCs w:val="24"/>
        </w:rPr>
      </w:pPr>
      <w:r w:rsidRPr="00BE3C10">
        <w:rPr>
          <w:rFonts w:ascii="Arial" w:hAnsi="Arial" w:cs="Arial"/>
          <w:sz w:val="24"/>
          <w:szCs w:val="24"/>
        </w:rPr>
        <w:t xml:space="preserve">On successfully submitting your tender you should </w:t>
      </w:r>
      <w:r w:rsidR="009B4A42" w:rsidRPr="00BE3C10">
        <w:rPr>
          <w:rFonts w:ascii="Arial" w:hAnsi="Arial" w:cs="Arial"/>
          <w:sz w:val="24"/>
          <w:szCs w:val="24"/>
        </w:rPr>
        <w:t xml:space="preserve">see a popup box appear on the screen indicating that your </w:t>
      </w:r>
      <w:r w:rsidR="004D3042">
        <w:rPr>
          <w:rFonts w:ascii="Arial" w:hAnsi="Arial" w:cs="Arial"/>
          <w:sz w:val="24"/>
          <w:szCs w:val="24"/>
        </w:rPr>
        <w:t>tender</w:t>
      </w:r>
      <w:r w:rsidR="009B4A42" w:rsidRPr="00BE3C10">
        <w:rPr>
          <w:rFonts w:ascii="Arial" w:hAnsi="Arial" w:cs="Arial"/>
          <w:sz w:val="24"/>
          <w:szCs w:val="24"/>
        </w:rPr>
        <w:t xml:space="preserve"> has been successfully </w:t>
      </w:r>
      <w:r w:rsidR="00EA179C" w:rsidRPr="00BE3C10">
        <w:rPr>
          <w:rFonts w:ascii="Arial" w:hAnsi="Arial" w:cs="Arial"/>
          <w:sz w:val="24"/>
          <w:szCs w:val="24"/>
        </w:rPr>
        <w:t>submitted</w:t>
      </w:r>
      <w:r w:rsidR="007D53FE">
        <w:rPr>
          <w:rFonts w:ascii="Arial" w:hAnsi="Arial" w:cs="Arial"/>
          <w:sz w:val="24"/>
          <w:szCs w:val="24"/>
        </w:rPr>
        <w:t>.</w:t>
      </w:r>
      <w:r w:rsidR="00EA179C" w:rsidRPr="00BE3C10">
        <w:rPr>
          <w:rFonts w:ascii="Arial" w:hAnsi="Arial" w:cs="Arial"/>
          <w:sz w:val="24"/>
          <w:szCs w:val="24"/>
        </w:rPr>
        <w:t xml:space="preserve"> </w:t>
      </w:r>
      <w:r w:rsidR="009B4A42" w:rsidRPr="00BE3C10">
        <w:rPr>
          <w:rFonts w:ascii="Arial" w:hAnsi="Arial" w:cs="Arial"/>
          <w:sz w:val="24"/>
          <w:szCs w:val="24"/>
        </w:rPr>
        <w:t xml:space="preserve">In </w:t>
      </w:r>
      <w:r w:rsidR="00520686" w:rsidRPr="00BE3C10">
        <w:rPr>
          <w:rFonts w:ascii="Arial" w:hAnsi="Arial" w:cs="Arial"/>
          <w:sz w:val="24"/>
          <w:szCs w:val="24"/>
        </w:rPr>
        <w:t>addition,</w:t>
      </w:r>
      <w:r w:rsidR="009B4A42" w:rsidRPr="00BE3C10">
        <w:rPr>
          <w:rFonts w:ascii="Arial" w:hAnsi="Arial" w:cs="Arial"/>
          <w:sz w:val="24"/>
          <w:szCs w:val="24"/>
        </w:rPr>
        <w:t xml:space="preserve"> you will </w:t>
      </w:r>
      <w:r w:rsidRPr="00BE3C10">
        <w:rPr>
          <w:rFonts w:ascii="Arial" w:hAnsi="Arial" w:cs="Arial"/>
          <w:sz w:val="24"/>
          <w:szCs w:val="24"/>
        </w:rPr>
        <w:t xml:space="preserve">receive an automatic email from </w:t>
      </w:r>
      <w:r w:rsidR="00063AF6" w:rsidRPr="00BE3C10">
        <w:rPr>
          <w:rFonts w:ascii="Arial" w:hAnsi="Arial" w:cs="Arial"/>
          <w:sz w:val="24"/>
          <w:szCs w:val="24"/>
        </w:rPr>
        <w:t>E</w:t>
      </w:r>
      <w:r w:rsidR="007D53FE">
        <w:rPr>
          <w:rFonts w:ascii="Arial" w:hAnsi="Arial" w:cs="Arial"/>
          <w:sz w:val="24"/>
          <w:szCs w:val="24"/>
        </w:rPr>
        <w:t>CMS</w:t>
      </w:r>
      <w:r w:rsidRPr="00BE3C10">
        <w:rPr>
          <w:rFonts w:ascii="Arial" w:hAnsi="Arial" w:cs="Arial"/>
          <w:sz w:val="24"/>
          <w:szCs w:val="24"/>
        </w:rPr>
        <w:t xml:space="preserve"> with a reference </w:t>
      </w:r>
      <w:r w:rsidR="007D53FE">
        <w:rPr>
          <w:rFonts w:ascii="Arial" w:hAnsi="Arial" w:cs="Arial"/>
          <w:sz w:val="24"/>
          <w:szCs w:val="24"/>
        </w:rPr>
        <w:t>code</w:t>
      </w:r>
      <w:r w:rsidRPr="00BE3C10">
        <w:rPr>
          <w:rFonts w:ascii="Arial" w:hAnsi="Arial" w:cs="Arial"/>
          <w:sz w:val="24"/>
          <w:szCs w:val="24"/>
        </w:rPr>
        <w:t xml:space="preserve">.  </w:t>
      </w:r>
    </w:p>
    <w:p w14:paraId="409A7A79" w14:textId="77777777" w:rsidR="00FD2661" w:rsidRPr="00BE3C10" w:rsidRDefault="00FD2661" w:rsidP="002238F9">
      <w:pPr>
        <w:pStyle w:val="Heading1"/>
        <w:numPr>
          <w:ilvl w:val="0"/>
          <w:numId w:val="23"/>
        </w:numPr>
        <w:pBdr>
          <w:bottom w:val="none" w:sz="0" w:space="0" w:color="auto"/>
        </w:pBdr>
        <w:tabs>
          <w:tab w:val="left" w:pos="-709"/>
        </w:tabs>
        <w:ind w:left="426" w:hanging="426"/>
        <w:rPr>
          <w:rFonts w:ascii="Arial" w:hAnsi="Arial"/>
          <w:color w:val="auto"/>
        </w:rPr>
      </w:pPr>
      <w:r w:rsidRPr="00BE3C10">
        <w:rPr>
          <w:rFonts w:ascii="Arial" w:hAnsi="Arial"/>
          <w:color w:val="auto"/>
        </w:rPr>
        <w:t>EVALUATION OF TENDERS</w:t>
      </w:r>
    </w:p>
    <w:p w14:paraId="409A7A7A" w14:textId="77777777" w:rsidR="00FD2661" w:rsidRPr="00BE3C10" w:rsidRDefault="00FD2661" w:rsidP="002238F9">
      <w:pPr>
        <w:pStyle w:val="Heading1"/>
        <w:pBdr>
          <w:bottom w:val="none" w:sz="0" w:space="0" w:color="auto"/>
        </w:pBdr>
        <w:tabs>
          <w:tab w:val="left" w:pos="-709"/>
        </w:tabs>
        <w:jc w:val="both"/>
        <w:rPr>
          <w:rFonts w:ascii="Arial" w:hAnsi="Arial"/>
          <w:b w:val="0"/>
          <w:color w:val="auto"/>
        </w:rPr>
      </w:pPr>
      <w:r w:rsidRPr="00BE3C10">
        <w:rPr>
          <w:rFonts w:ascii="Arial" w:hAnsi="Arial"/>
          <w:b w:val="0"/>
          <w:color w:val="auto"/>
        </w:rPr>
        <w:t>The Tenderers Application consists of the:</w:t>
      </w:r>
    </w:p>
    <w:p w14:paraId="409A7A7B" w14:textId="77777777" w:rsidR="00FD2661" w:rsidRPr="00BE3C10" w:rsidRDefault="00FD2661" w:rsidP="002238F9">
      <w:pPr>
        <w:pStyle w:val="Heading1"/>
        <w:numPr>
          <w:ilvl w:val="0"/>
          <w:numId w:val="21"/>
        </w:numPr>
        <w:pBdr>
          <w:bottom w:val="none" w:sz="0" w:space="0" w:color="auto"/>
        </w:pBdr>
        <w:tabs>
          <w:tab w:val="left" w:pos="-709"/>
        </w:tabs>
        <w:jc w:val="both"/>
        <w:rPr>
          <w:rFonts w:ascii="Arial" w:hAnsi="Arial"/>
          <w:b w:val="0"/>
          <w:color w:val="auto"/>
        </w:rPr>
      </w:pPr>
      <w:r w:rsidRPr="00BE3C10">
        <w:rPr>
          <w:rFonts w:ascii="Arial" w:hAnsi="Arial"/>
          <w:b w:val="0"/>
          <w:color w:val="auto"/>
        </w:rPr>
        <w:t>Technical envelope (80% of overall value), in which applicants should detail the approach, the work plan and thei</w:t>
      </w:r>
      <w:r w:rsidR="00303D99" w:rsidRPr="00BE3C10">
        <w:rPr>
          <w:rFonts w:ascii="Arial" w:hAnsi="Arial"/>
          <w:b w:val="0"/>
          <w:color w:val="auto"/>
        </w:rPr>
        <w:t>r ability to undertake the work</w:t>
      </w:r>
      <w:r w:rsidR="00E06893" w:rsidRPr="00BE3C10">
        <w:rPr>
          <w:rFonts w:ascii="Arial" w:hAnsi="Arial"/>
          <w:b w:val="0"/>
          <w:color w:val="auto"/>
        </w:rPr>
        <w:t>, and</w:t>
      </w:r>
    </w:p>
    <w:p w14:paraId="409A7A7C" w14:textId="77777777" w:rsidR="00FD2661" w:rsidRPr="00BE3C10" w:rsidRDefault="00FD2661" w:rsidP="002238F9">
      <w:pPr>
        <w:pStyle w:val="Heading1"/>
        <w:numPr>
          <w:ilvl w:val="0"/>
          <w:numId w:val="21"/>
        </w:numPr>
        <w:pBdr>
          <w:bottom w:val="none" w:sz="0" w:space="0" w:color="auto"/>
        </w:pBdr>
        <w:tabs>
          <w:tab w:val="left" w:pos="-709"/>
        </w:tabs>
        <w:jc w:val="both"/>
        <w:rPr>
          <w:rFonts w:ascii="Arial" w:hAnsi="Arial"/>
          <w:b w:val="0"/>
          <w:color w:val="auto"/>
        </w:rPr>
      </w:pPr>
      <w:r w:rsidRPr="00BE3C10">
        <w:rPr>
          <w:rFonts w:ascii="Arial" w:hAnsi="Arial"/>
          <w:b w:val="0"/>
          <w:color w:val="auto"/>
        </w:rPr>
        <w:t>Financial envelope (20% of overall value), in which applicants should outline all costs to conduct the proposed work</w:t>
      </w:r>
      <w:r w:rsidR="00FB59D5" w:rsidRPr="00BE3C10">
        <w:rPr>
          <w:rFonts w:ascii="Arial" w:hAnsi="Arial"/>
          <w:b w:val="0"/>
          <w:color w:val="auto"/>
        </w:rPr>
        <w:t>,</w:t>
      </w:r>
      <w:r w:rsidRPr="00BE3C10">
        <w:rPr>
          <w:rFonts w:ascii="Arial" w:hAnsi="Arial"/>
          <w:b w:val="0"/>
          <w:color w:val="auto"/>
        </w:rPr>
        <w:t xml:space="preserve"> and </w:t>
      </w:r>
    </w:p>
    <w:p w14:paraId="409A7A7D" w14:textId="77777777" w:rsidR="00FD2661" w:rsidRPr="00BE3C10" w:rsidRDefault="00914856" w:rsidP="002238F9">
      <w:pPr>
        <w:pStyle w:val="Heading1"/>
        <w:numPr>
          <w:ilvl w:val="0"/>
          <w:numId w:val="21"/>
        </w:numPr>
        <w:pBdr>
          <w:bottom w:val="none" w:sz="0" w:space="0" w:color="auto"/>
        </w:pBdr>
        <w:tabs>
          <w:tab w:val="left" w:pos="-709"/>
        </w:tabs>
        <w:jc w:val="both"/>
        <w:rPr>
          <w:rFonts w:ascii="Arial" w:hAnsi="Arial"/>
          <w:b w:val="0"/>
          <w:color w:val="auto"/>
        </w:rPr>
      </w:pPr>
      <w:r w:rsidRPr="00BE3C10">
        <w:rPr>
          <w:rFonts w:ascii="Arial" w:hAnsi="Arial"/>
          <w:b w:val="0"/>
          <w:color w:val="auto"/>
        </w:rPr>
        <w:t>A</w:t>
      </w:r>
      <w:r>
        <w:rPr>
          <w:rFonts w:ascii="Arial" w:hAnsi="Arial"/>
          <w:b w:val="0"/>
          <w:color w:val="auto"/>
        </w:rPr>
        <w:t xml:space="preserve">ny </w:t>
      </w:r>
      <w:r w:rsidR="00FD2661" w:rsidRPr="00BE3C10">
        <w:rPr>
          <w:rFonts w:ascii="Arial" w:hAnsi="Arial"/>
          <w:b w:val="0"/>
          <w:color w:val="auto"/>
        </w:rPr>
        <w:t>other re</w:t>
      </w:r>
      <w:r>
        <w:rPr>
          <w:rFonts w:ascii="Arial" w:hAnsi="Arial"/>
          <w:b w:val="0"/>
          <w:color w:val="auto"/>
        </w:rPr>
        <w:t>levant supporting information</w:t>
      </w:r>
    </w:p>
    <w:p w14:paraId="2C927C42" w14:textId="15F42830" w:rsidR="007D53FE" w:rsidRPr="00E70664" w:rsidRDefault="00FD2661" w:rsidP="00E70664">
      <w:pPr>
        <w:pStyle w:val="Heading1"/>
        <w:pBdr>
          <w:bottom w:val="none" w:sz="0" w:space="0" w:color="auto"/>
        </w:pBdr>
        <w:tabs>
          <w:tab w:val="left" w:pos="-709"/>
        </w:tabs>
        <w:jc w:val="both"/>
        <w:rPr>
          <w:rFonts w:ascii="Arial" w:hAnsi="Arial"/>
          <w:b w:val="0"/>
          <w:color w:val="auto"/>
        </w:rPr>
      </w:pPr>
      <w:r w:rsidRPr="00BE3C10">
        <w:rPr>
          <w:rFonts w:ascii="Arial" w:hAnsi="Arial"/>
          <w:b w:val="0"/>
          <w:color w:val="auto"/>
        </w:rPr>
        <w:t xml:space="preserve">Tenders will be evaluated by FSA internal appraisers and external experts using a numerical system.  The table below shows the weightings that have been allocated to each section </w:t>
      </w:r>
      <w:r w:rsidR="0066233A">
        <w:rPr>
          <w:rFonts w:ascii="Arial" w:hAnsi="Arial"/>
          <w:b w:val="0"/>
          <w:color w:val="auto"/>
        </w:rPr>
        <w:t xml:space="preserve">of the application form </w:t>
      </w:r>
      <w:r w:rsidRPr="00BE3C10">
        <w:rPr>
          <w:rFonts w:ascii="Arial" w:hAnsi="Arial"/>
          <w:b w:val="0"/>
          <w:color w:val="auto"/>
        </w:rPr>
        <w:t xml:space="preserve">and </w:t>
      </w:r>
      <w:r w:rsidR="0066233A">
        <w:rPr>
          <w:rFonts w:ascii="Arial" w:hAnsi="Arial"/>
          <w:b w:val="0"/>
          <w:color w:val="auto"/>
        </w:rPr>
        <w:t xml:space="preserve">these </w:t>
      </w:r>
      <w:r w:rsidRPr="00BE3C10">
        <w:rPr>
          <w:rFonts w:ascii="Arial" w:hAnsi="Arial"/>
          <w:b w:val="0"/>
          <w:color w:val="auto"/>
        </w:rPr>
        <w:t xml:space="preserve">will be used by the appraisers: </w:t>
      </w:r>
    </w:p>
    <w:p w14:paraId="409A7A85" w14:textId="77777777" w:rsidR="00523751" w:rsidRPr="00523751" w:rsidRDefault="00523751" w:rsidP="00523751">
      <w:pPr>
        <w:rPr>
          <w:lang w:val="en-US" w:bidi="en-US"/>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7"/>
        <w:gridCol w:w="2488"/>
      </w:tblGrid>
      <w:tr w:rsidR="00FD2661" w:rsidRPr="00BE3C10" w14:paraId="409A7A87" w14:textId="77777777" w:rsidTr="00B6276E">
        <w:trPr>
          <w:trHeight w:val="599"/>
        </w:trPr>
        <w:tc>
          <w:tcPr>
            <w:tcW w:w="5000" w:type="pct"/>
            <w:gridSpan w:val="2"/>
            <w:shd w:val="clear" w:color="auto" w:fill="339933"/>
          </w:tcPr>
          <w:p w14:paraId="409A7A86" w14:textId="77777777" w:rsidR="00FD2661" w:rsidRPr="00BE3C10" w:rsidRDefault="00FD2661" w:rsidP="004D3042">
            <w:pPr>
              <w:pStyle w:val="BodyText1"/>
              <w:spacing w:before="120"/>
              <w:ind w:firstLine="0"/>
              <w:jc w:val="both"/>
              <w:rPr>
                <w:rFonts w:cs="Arial"/>
                <w:b/>
                <w:color w:val="FFFFFF"/>
                <w:sz w:val="24"/>
                <w:szCs w:val="24"/>
              </w:rPr>
            </w:pPr>
            <w:r w:rsidRPr="00BE3C10">
              <w:rPr>
                <w:rFonts w:cs="Arial"/>
                <w:b/>
                <w:color w:val="FFFFFF"/>
                <w:sz w:val="24"/>
                <w:szCs w:val="24"/>
              </w:rPr>
              <w:t xml:space="preserve">TABLE 2. </w:t>
            </w:r>
            <w:r w:rsidR="004D3042">
              <w:rPr>
                <w:rFonts w:cs="Arial"/>
                <w:b/>
                <w:color w:val="FFFFFF"/>
                <w:sz w:val="24"/>
                <w:szCs w:val="24"/>
              </w:rPr>
              <w:t>E</w:t>
            </w:r>
            <w:r w:rsidRPr="00BE3C10">
              <w:rPr>
                <w:rFonts w:cs="Arial"/>
                <w:b/>
                <w:color w:val="FFFFFF"/>
                <w:sz w:val="24"/>
                <w:szCs w:val="24"/>
              </w:rPr>
              <w:t>VALUATION CRITERIA FOR SELECTION OF SUCCESSFUL TENDERER</w:t>
            </w:r>
          </w:p>
        </w:tc>
      </w:tr>
      <w:tr w:rsidR="00FD2661" w:rsidRPr="00BE3C10" w14:paraId="409A7A8A" w14:textId="77777777" w:rsidTr="00B6276E">
        <w:tc>
          <w:tcPr>
            <w:tcW w:w="3611" w:type="pct"/>
            <w:shd w:val="clear" w:color="auto" w:fill="339933"/>
          </w:tcPr>
          <w:p w14:paraId="409A7A88" w14:textId="77777777" w:rsidR="00FD2661" w:rsidRPr="00BE3C10" w:rsidRDefault="004D3042" w:rsidP="002238F9">
            <w:pPr>
              <w:pStyle w:val="BodyText1"/>
              <w:spacing w:before="120"/>
              <w:jc w:val="both"/>
              <w:rPr>
                <w:rFonts w:cs="Arial"/>
                <w:b/>
                <w:color w:val="FFFFFF"/>
                <w:sz w:val="24"/>
                <w:szCs w:val="24"/>
              </w:rPr>
            </w:pPr>
            <w:r>
              <w:rPr>
                <w:rFonts w:cs="Arial"/>
                <w:b/>
                <w:color w:val="FFFFFF"/>
                <w:sz w:val="24"/>
                <w:szCs w:val="24"/>
              </w:rPr>
              <w:t>CRITERIA</w:t>
            </w:r>
          </w:p>
        </w:tc>
        <w:tc>
          <w:tcPr>
            <w:tcW w:w="1389" w:type="pct"/>
            <w:shd w:val="clear" w:color="auto" w:fill="339933"/>
          </w:tcPr>
          <w:p w14:paraId="409A7A89" w14:textId="77777777" w:rsidR="00FD2661" w:rsidRPr="00BE3C10" w:rsidRDefault="00FD2661" w:rsidP="002238F9">
            <w:pPr>
              <w:pStyle w:val="BodyText1"/>
              <w:spacing w:before="120"/>
              <w:ind w:firstLine="0"/>
              <w:jc w:val="center"/>
              <w:rPr>
                <w:rFonts w:cs="Arial"/>
                <w:b/>
                <w:color w:val="FFFFFF"/>
                <w:sz w:val="24"/>
                <w:szCs w:val="24"/>
              </w:rPr>
            </w:pPr>
            <w:r w:rsidRPr="00BE3C10">
              <w:rPr>
                <w:rFonts w:cs="Arial"/>
                <w:b/>
                <w:color w:val="FFFFFF"/>
                <w:sz w:val="24"/>
                <w:szCs w:val="24"/>
              </w:rPr>
              <w:t>PERCENTAGE WEIGHTINGS</w:t>
            </w:r>
          </w:p>
        </w:tc>
      </w:tr>
      <w:tr w:rsidR="00FD2661" w:rsidRPr="00BE3C10" w14:paraId="409A7A8D" w14:textId="77777777" w:rsidTr="00B6276E">
        <w:tc>
          <w:tcPr>
            <w:tcW w:w="3611" w:type="pct"/>
            <w:shd w:val="clear" w:color="auto" w:fill="E4F8E4"/>
          </w:tcPr>
          <w:p w14:paraId="409A7A8B" w14:textId="77777777" w:rsidR="00FD2661" w:rsidRPr="00BE3C10" w:rsidRDefault="00FD2661" w:rsidP="002238F9">
            <w:pPr>
              <w:pStyle w:val="BodyText1"/>
              <w:spacing w:before="120"/>
              <w:ind w:firstLine="0"/>
              <w:jc w:val="both"/>
              <w:rPr>
                <w:rFonts w:cs="Arial"/>
                <w:color w:val="000000"/>
                <w:sz w:val="24"/>
                <w:szCs w:val="24"/>
              </w:rPr>
            </w:pPr>
            <w:r w:rsidRPr="00BE3C10">
              <w:rPr>
                <w:rFonts w:cs="Arial"/>
                <w:color w:val="000000"/>
                <w:sz w:val="24"/>
                <w:szCs w:val="24"/>
              </w:rPr>
              <w:t xml:space="preserve">TECHNICAL CRITERIA – </w:t>
            </w:r>
            <w:r w:rsidRPr="004D3042">
              <w:rPr>
                <w:rFonts w:cs="Arial"/>
                <w:b/>
                <w:color w:val="000000"/>
                <w:sz w:val="24"/>
                <w:szCs w:val="24"/>
              </w:rPr>
              <w:t>80% overall Value</w:t>
            </w:r>
          </w:p>
        </w:tc>
        <w:tc>
          <w:tcPr>
            <w:tcW w:w="1389" w:type="pct"/>
            <w:shd w:val="clear" w:color="auto" w:fill="E4F8E4"/>
          </w:tcPr>
          <w:p w14:paraId="409A7A8C" w14:textId="77777777" w:rsidR="00FD2661" w:rsidRPr="00BE3C10" w:rsidRDefault="00FD2661" w:rsidP="002238F9">
            <w:pPr>
              <w:pStyle w:val="BodyText1"/>
              <w:spacing w:before="120"/>
              <w:jc w:val="both"/>
              <w:rPr>
                <w:rFonts w:cs="Arial"/>
                <w:color w:val="000000"/>
                <w:sz w:val="24"/>
                <w:szCs w:val="24"/>
              </w:rPr>
            </w:pPr>
            <w:r w:rsidRPr="00BE3C10">
              <w:rPr>
                <w:rFonts w:cs="Arial"/>
                <w:color w:val="000000"/>
                <w:sz w:val="24"/>
                <w:szCs w:val="24"/>
              </w:rPr>
              <w:t>Made up of</w:t>
            </w:r>
          </w:p>
        </w:tc>
      </w:tr>
      <w:tr w:rsidR="00FD2661" w:rsidRPr="00BE3C10" w14:paraId="409A7A90" w14:textId="77777777" w:rsidTr="009749D1">
        <w:trPr>
          <w:trHeight w:val="365"/>
        </w:trPr>
        <w:tc>
          <w:tcPr>
            <w:tcW w:w="3611" w:type="pct"/>
            <w:shd w:val="clear" w:color="auto" w:fill="E4F8E4"/>
            <w:vAlign w:val="center"/>
          </w:tcPr>
          <w:p w14:paraId="409A7A8E" w14:textId="2BA2F351" w:rsidR="00FD2661" w:rsidRPr="006F7C96" w:rsidRDefault="004D3042" w:rsidP="00285AEA">
            <w:pPr>
              <w:pStyle w:val="ListParagraph"/>
              <w:numPr>
                <w:ilvl w:val="0"/>
                <w:numId w:val="24"/>
              </w:numPr>
              <w:spacing w:line="240" w:lineRule="auto"/>
              <w:rPr>
                <w:rFonts w:ascii="Arial" w:hAnsi="Arial" w:cs="Arial"/>
                <w:sz w:val="24"/>
                <w:szCs w:val="24"/>
                <w:lang w:eastAsia="en-GB"/>
              </w:rPr>
            </w:pPr>
            <w:r>
              <w:rPr>
                <w:rFonts w:ascii="Arial" w:hAnsi="Arial" w:cs="Arial"/>
                <w:sz w:val="24"/>
                <w:szCs w:val="24"/>
                <w:lang w:eastAsia="en-GB"/>
              </w:rPr>
              <w:t>Tender</w:t>
            </w:r>
            <w:r w:rsidR="006F7C96">
              <w:rPr>
                <w:rFonts w:ascii="Arial" w:hAnsi="Arial" w:cs="Arial"/>
                <w:sz w:val="24"/>
                <w:szCs w:val="24"/>
                <w:lang w:eastAsia="en-GB"/>
              </w:rPr>
              <w:t xml:space="preserve"> summary and o</w:t>
            </w:r>
            <w:r w:rsidR="00FD2661" w:rsidRPr="006F7C96">
              <w:rPr>
                <w:rFonts w:ascii="Arial" w:hAnsi="Arial" w:cs="Arial"/>
                <w:sz w:val="24"/>
                <w:szCs w:val="24"/>
                <w:lang w:eastAsia="en-GB"/>
              </w:rPr>
              <w:t>bjectives</w:t>
            </w:r>
            <w:r w:rsidR="00285AEA">
              <w:rPr>
                <w:rFonts w:ascii="Arial" w:hAnsi="Arial" w:cs="Arial"/>
                <w:sz w:val="24"/>
                <w:szCs w:val="24"/>
                <w:lang w:eastAsia="en-GB"/>
              </w:rPr>
              <w:t xml:space="preserve"> and the approach</w:t>
            </w:r>
            <w:r w:rsidR="00285AEA" w:rsidRPr="00285AEA">
              <w:rPr>
                <w:rFonts w:ascii="Arial" w:hAnsi="Arial" w:cs="Arial"/>
                <w:sz w:val="24"/>
                <w:szCs w:val="24"/>
                <w:lang w:eastAsia="en-GB"/>
              </w:rPr>
              <w:t>/scope of work, including innovation</w:t>
            </w:r>
          </w:p>
        </w:tc>
        <w:tc>
          <w:tcPr>
            <w:tcW w:w="1389" w:type="pct"/>
            <w:shd w:val="clear" w:color="auto" w:fill="E4F8E4"/>
          </w:tcPr>
          <w:p w14:paraId="409A7A8F" w14:textId="011B552A" w:rsidR="00FD2661" w:rsidRPr="00BE3C10" w:rsidRDefault="00285AEA" w:rsidP="002238F9">
            <w:pPr>
              <w:pStyle w:val="BodyText1"/>
              <w:spacing w:before="120"/>
              <w:ind w:left="33" w:firstLine="0"/>
              <w:jc w:val="center"/>
              <w:rPr>
                <w:rFonts w:cs="Arial"/>
                <w:color w:val="000000"/>
                <w:sz w:val="24"/>
                <w:szCs w:val="24"/>
              </w:rPr>
            </w:pPr>
            <w:r>
              <w:rPr>
                <w:rFonts w:cs="Arial"/>
                <w:color w:val="000000"/>
                <w:sz w:val="24"/>
                <w:szCs w:val="24"/>
              </w:rPr>
              <w:t>3</w:t>
            </w:r>
            <w:r w:rsidR="00FD2661" w:rsidRPr="00BE3C10">
              <w:rPr>
                <w:rFonts w:cs="Arial"/>
                <w:color w:val="000000"/>
                <w:sz w:val="24"/>
                <w:szCs w:val="24"/>
              </w:rPr>
              <w:t>0%</w:t>
            </w:r>
          </w:p>
        </w:tc>
      </w:tr>
      <w:tr w:rsidR="00FD2661" w:rsidRPr="00BE3C10" w14:paraId="409A7A96" w14:textId="77777777" w:rsidTr="00B6276E">
        <w:tc>
          <w:tcPr>
            <w:tcW w:w="3611" w:type="pct"/>
            <w:shd w:val="clear" w:color="auto" w:fill="E4F8E4"/>
            <w:vAlign w:val="center"/>
          </w:tcPr>
          <w:p w14:paraId="409A7A94" w14:textId="77777777" w:rsidR="00FD2661" w:rsidRPr="006F7C96" w:rsidRDefault="006B3F91" w:rsidP="006F7C96">
            <w:pPr>
              <w:pStyle w:val="ListParagraph"/>
              <w:numPr>
                <w:ilvl w:val="0"/>
                <w:numId w:val="24"/>
              </w:numPr>
              <w:spacing w:line="240" w:lineRule="auto"/>
              <w:jc w:val="both"/>
              <w:rPr>
                <w:rFonts w:ascii="Arial" w:hAnsi="Arial" w:cs="Arial"/>
                <w:sz w:val="24"/>
                <w:szCs w:val="24"/>
                <w:lang w:eastAsia="en-GB"/>
              </w:rPr>
            </w:pPr>
            <w:r>
              <w:rPr>
                <w:rFonts w:ascii="Arial" w:hAnsi="Arial" w:cs="Arial"/>
                <w:sz w:val="24"/>
                <w:szCs w:val="24"/>
                <w:lang w:eastAsia="en-GB"/>
              </w:rPr>
              <w:t xml:space="preserve"> The</w:t>
            </w:r>
            <w:r w:rsidR="006F7C96">
              <w:rPr>
                <w:rFonts w:ascii="Arial" w:hAnsi="Arial" w:cs="Arial"/>
                <w:sz w:val="24"/>
                <w:szCs w:val="24"/>
                <w:lang w:eastAsia="en-GB"/>
              </w:rPr>
              <w:t xml:space="preserve"> plan and deliverables</w:t>
            </w:r>
          </w:p>
        </w:tc>
        <w:tc>
          <w:tcPr>
            <w:tcW w:w="1389" w:type="pct"/>
            <w:shd w:val="clear" w:color="auto" w:fill="E4F8E4"/>
          </w:tcPr>
          <w:p w14:paraId="409A7A95" w14:textId="77777777" w:rsidR="00FD2661" w:rsidRPr="00BE3C10" w:rsidRDefault="006F7C96" w:rsidP="002238F9">
            <w:pPr>
              <w:pStyle w:val="BodyText1"/>
              <w:spacing w:before="120"/>
              <w:ind w:left="33" w:firstLine="0"/>
              <w:jc w:val="center"/>
              <w:rPr>
                <w:rFonts w:cs="Arial"/>
                <w:color w:val="000000"/>
                <w:sz w:val="24"/>
                <w:szCs w:val="24"/>
              </w:rPr>
            </w:pPr>
            <w:r>
              <w:rPr>
                <w:rFonts w:cs="Arial"/>
                <w:color w:val="000000"/>
                <w:sz w:val="24"/>
                <w:szCs w:val="24"/>
              </w:rPr>
              <w:t>1</w:t>
            </w:r>
            <w:r w:rsidR="00FD2661" w:rsidRPr="00BE3C10">
              <w:rPr>
                <w:rFonts w:cs="Arial"/>
                <w:color w:val="000000"/>
                <w:sz w:val="24"/>
                <w:szCs w:val="24"/>
              </w:rPr>
              <w:t>0%</w:t>
            </w:r>
          </w:p>
        </w:tc>
      </w:tr>
      <w:tr w:rsidR="00FD2661" w:rsidRPr="00BE3C10" w14:paraId="409A7A99" w14:textId="77777777" w:rsidTr="00B6276E">
        <w:tc>
          <w:tcPr>
            <w:tcW w:w="3611" w:type="pct"/>
            <w:shd w:val="clear" w:color="auto" w:fill="E4F8E4"/>
            <w:vAlign w:val="center"/>
          </w:tcPr>
          <w:p w14:paraId="409A7A97" w14:textId="77777777" w:rsidR="00FD2661" w:rsidRPr="006F7C96" w:rsidRDefault="006F7C96" w:rsidP="006F7C96">
            <w:pPr>
              <w:pStyle w:val="ListParagraph"/>
              <w:numPr>
                <w:ilvl w:val="0"/>
                <w:numId w:val="24"/>
              </w:numPr>
              <w:spacing w:line="240" w:lineRule="auto"/>
              <w:jc w:val="both"/>
              <w:rPr>
                <w:rFonts w:ascii="Arial" w:hAnsi="Arial" w:cs="Arial"/>
                <w:color w:val="000000"/>
                <w:sz w:val="24"/>
                <w:szCs w:val="24"/>
              </w:rPr>
            </w:pPr>
            <w:r>
              <w:rPr>
                <w:rFonts w:ascii="Arial" w:hAnsi="Arial" w:cs="Arial"/>
                <w:sz w:val="24"/>
                <w:szCs w:val="24"/>
                <w:lang w:eastAsia="en-GB"/>
              </w:rPr>
              <w:t xml:space="preserve"> </w:t>
            </w:r>
            <w:r w:rsidR="00FD2661" w:rsidRPr="006F7C96">
              <w:rPr>
                <w:rFonts w:ascii="Arial" w:hAnsi="Arial" w:cs="Arial"/>
                <w:sz w:val="24"/>
                <w:szCs w:val="24"/>
                <w:lang w:eastAsia="en-GB"/>
              </w:rPr>
              <w:t xml:space="preserve">Organisational experience, expertise and </w:t>
            </w:r>
            <w:r>
              <w:rPr>
                <w:rFonts w:ascii="Arial" w:hAnsi="Arial" w:cs="Arial"/>
                <w:sz w:val="24"/>
                <w:szCs w:val="24"/>
                <w:lang w:eastAsia="en-GB"/>
              </w:rPr>
              <w:t>staff effort</w:t>
            </w:r>
          </w:p>
        </w:tc>
        <w:tc>
          <w:tcPr>
            <w:tcW w:w="1389" w:type="pct"/>
            <w:shd w:val="clear" w:color="auto" w:fill="E4F8E4"/>
          </w:tcPr>
          <w:p w14:paraId="409A7A98" w14:textId="77777777" w:rsidR="00FD2661" w:rsidRPr="00BE3C10" w:rsidRDefault="00FD2661" w:rsidP="002238F9">
            <w:pPr>
              <w:pStyle w:val="BodyText1"/>
              <w:spacing w:before="120"/>
              <w:ind w:left="33" w:firstLine="0"/>
              <w:jc w:val="center"/>
              <w:rPr>
                <w:rFonts w:cs="Arial"/>
                <w:color w:val="000000"/>
                <w:sz w:val="24"/>
                <w:szCs w:val="24"/>
              </w:rPr>
            </w:pPr>
            <w:r w:rsidRPr="00BE3C10">
              <w:rPr>
                <w:rFonts w:cs="Arial"/>
                <w:color w:val="000000"/>
                <w:sz w:val="24"/>
                <w:szCs w:val="24"/>
              </w:rPr>
              <w:t>15%</w:t>
            </w:r>
          </w:p>
        </w:tc>
      </w:tr>
      <w:tr w:rsidR="00FD2661" w:rsidRPr="00BE3C10" w14:paraId="409A7A9C" w14:textId="77777777" w:rsidTr="00B6276E">
        <w:tc>
          <w:tcPr>
            <w:tcW w:w="3611" w:type="pct"/>
            <w:shd w:val="clear" w:color="auto" w:fill="E4F8E4"/>
          </w:tcPr>
          <w:p w14:paraId="409A7A9A" w14:textId="77777777" w:rsidR="00FD2661" w:rsidRPr="00BE3C10" w:rsidRDefault="006F7C96" w:rsidP="006F7C96">
            <w:pPr>
              <w:pStyle w:val="BodyText1"/>
              <w:numPr>
                <w:ilvl w:val="0"/>
                <w:numId w:val="24"/>
              </w:numPr>
              <w:spacing w:before="120"/>
              <w:jc w:val="both"/>
              <w:rPr>
                <w:rFonts w:cs="Arial"/>
                <w:color w:val="000000"/>
                <w:sz w:val="24"/>
                <w:szCs w:val="24"/>
              </w:rPr>
            </w:pPr>
            <w:r>
              <w:rPr>
                <w:rFonts w:cs="Arial"/>
                <w:sz w:val="24"/>
                <w:szCs w:val="24"/>
                <w:lang w:eastAsia="en-GB"/>
              </w:rPr>
              <w:t xml:space="preserve"> </w:t>
            </w:r>
            <w:r w:rsidR="00FD2661" w:rsidRPr="00BE3C10">
              <w:rPr>
                <w:rFonts w:cs="Arial"/>
                <w:sz w:val="24"/>
                <w:szCs w:val="24"/>
                <w:lang w:eastAsia="en-GB"/>
              </w:rPr>
              <w:t>Project management</w:t>
            </w:r>
          </w:p>
        </w:tc>
        <w:tc>
          <w:tcPr>
            <w:tcW w:w="1389" w:type="pct"/>
            <w:shd w:val="clear" w:color="auto" w:fill="E4F8E4"/>
          </w:tcPr>
          <w:p w14:paraId="409A7A9B" w14:textId="77777777" w:rsidR="00FD2661" w:rsidRPr="00BE3C10" w:rsidRDefault="00FD2661" w:rsidP="006F7C96">
            <w:pPr>
              <w:pStyle w:val="BodyText1"/>
              <w:spacing w:before="120"/>
              <w:ind w:left="33" w:firstLine="0"/>
              <w:jc w:val="center"/>
              <w:rPr>
                <w:rFonts w:cs="Arial"/>
                <w:color w:val="000000"/>
                <w:sz w:val="24"/>
                <w:szCs w:val="24"/>
              </w:rPr>
            </w:pPr>
            <w:r w:rsidRPr="00BE3C10">
              <w:rPr>
                <w:rFonts w:cs="Arial"/>
                <w:color w:val="000000"/>
                <w:sz w:val="24"/>
                <w:szCs w:val="24"/>
              </w:rPr>
              <w:t>1</w:t>
            </w:r>
            <w:r w:rsidR="006F7C96">
              <w:rPr>
                <w:rFonts w:cs="Arial"/>
                <w:color w:val="000000"/>
                <w:sz w:val="24"/>
                <w:szCs w:val="24"/>
              </w:rPr>
              <w:t>0</w:t>
            </w:r>
            <w:r w:rsidRPr="00BE3C10">
              <w:rPr>
                <w:rFonts w:cs="Arial"/>
                <w:color w:val="000000"/>
                <w:sz w:val="24"/>
                <w:szCs w:val="24"/>
              </w:rPr>
              <w:t>%</w:t>
            </w:r>
          </w:p>
        </w:tc>
      </w:tr>
      <w:tr w:rsidR="00FD2661" w:rsidRPr="00BE3C10" w14:paraId="409A7A9F" w14:textId="77777777" w:rsidTr="006F7C96">
        <w:tc>
          <w:tcPr>
            <w:tcW w:w="3611" w:type="pct"/>
            <w:shd w:val="clear" w:color="auto" w:fill="E4F8E4"/>
          </w:tcPr>
          <w:p w14:paraId="409A7A9D" w14:textId="77777777" w:rsidR="00FD2661" w:rsidRPr="00BE3C10" w:rsidRDefault="006F7C96" w:rsidP="006F7C96">
            <w:pPr>
              <w:pStyle w:val="BodyText1"/>
              <w:numPr>
                <w:ilvl w:val="0"/>
                <w:numId w:val="24"/>
              </w:numPr>
              <w:spacing w:before="120"/>
              <w:jc w:val="both"/>
              <w:rPr>
                <w:rFonts w:cs="Arial"/>
                <w:color w:val="000000"/>
                <w:sz w:val="24"/>
                <w:szCs w:val="24"/>
              </w:rPr>
            </w:pPr>
            <w:r>
              <w:rPr>
                <w:rFonts w:cs="Arial"/>
                <w:color w:val="000000"/>
                <w:sz w:val="24"/>
                <w:szCs w:val="24"/>
              </w:rPr>
              <w:lastRenderedPageBreak/>
              <w:t xml:space="preserve"> Risk management</w:t>
            </w:r>
          </w:p>
        </w:tc>
        <w:tc>
          <w:tcPr>
            <w:tcW w:w="1389" w:type="pct"/>
            <w:shd w:val="clear" w:color="auto" w:fill="E4F8E4"/>
            <w:vAlign w:val="center"/>
          </w:tcPr>
          <w:p w14:paraId="409A7A9E" w14:textId="77777777" w:rsidR="00FD2661" w:rsidRPr="00BE3C10" w:rsidRDefault="006F7C96" w:rsidP="006F7C96">
            <w:pPr>
              <w:pStyle w:val="BodyText1"/>
              <w:spacing w:before="120"/>
              <w:ind w:firstLine="34"/>
              <w:jc w:val="center"/>
              <w:rPr>
                <w:rFonts w:cs="Arial"/>
                <w:color w:val="000000"/>
                <w:sz w:val="24"/>
                <w:szCs w:val="24"/>
              </w:rPr>
            </w:pPr>
            <w:r>
              <w:rPr>
                <w:rFonts w:cs="Arial"/>
                <w:color w:val="000000"/>
                <w:sz w:val="24"/>
                <w:szCs w:val="24"/>
              </w:rPr>
              <w:t>5%</w:t>
            </w:r>
          </w:p>
        </w:tc>
      </w:tr>
      <w:tr w:rsidR="006F7C96" w:rsidRPr="00BE3C10" w14:paraId="409A7AA2" w14:textId="77777777" w:rsidTr="00B6276E">
        <w:tc>
          <w:tcPr>
            <w:tcW w:w="3611" w:type="pct"/>
            <w:shd w:val="clear" w:color="auto" w:fill="E4F8E4"/>
          </w:tcPr>
          <w:p w14:paraId="409A7AA0" w14:textId="4C6D58B8" w:rsidR="006F7C96" w:rsidRDefault="006F7C96" w:rsidP="00132E3A">
            <w:pPr>
              <w:pStyle w:val="BodyText1"/>
              <w:numPr>
                <w:ilvl w:val="0"/>
                <w:numId w:val="24"/>
              </w:numPr>
              <w:spacing w:before="120"/>
              <w:jc w:val="both"/>
              <w:rPr>
                <w:rFonts w:cs="Arial"/>
                <w:color w:val="000000"/>
                <w:sz w:val="24"/>
                <w:szCs w:val="24"/>
              </w:rPr>
            </w:pPr>
            <w:r>
              <w:rPr>
                <w:rFonts w:cs="Arial"/>
                <w:color w:val="000000"/>
                <w:sz w:val="24"/>
                <w:szCs w:val="24"/>
              </w:rPr>
              <w:t>Quality management</w:t>
            </w:r>
            <w:r w:rsidR="00132E3A">
              <w:rPr>
                <w:rFonts w:cs="Arial"/>
                <w:color w:val="000000"/>
                <w:sz w:val="24"/>
                <w:szCs w:val="24"/>
              </w:rPr>
              <w:t>, ethics, data p</w:t>
            </w:r>
            <w:r w:rsidR="00BC4907">
              <w:rPr>
                <w:rFonts w:cs="Arial"/>
                <w:color w:val="000000"/>
                <w:sz w:val="24"/>
                <w:szCs w:val="24"/>
              </w:rPr>
              <w:t>rotection, dissemination and sustainability</w:t>
            </w:r>
          </w:p>
        </w:tc>
        <w:tc>
          <w:tcPr>
            <w:tcW w:w="1389" w:type="pct"/>
            <w:shd w:val="clear" w:color="auto" w:fill="E4F8E4"/>
          </w:tcPr>
          <w:p w14:paraId="409A7AA1" w14:textId="77777777" w:rsidR="006F7C96" w:rsidRPr="00BE3C10" w:rsidRDefault="006F7C96" w:rsidP="006F7C96">
            <w:pPr>
              <w:pStyle w:val="BodyText1"/>
              <w:spacing w:before="120"/>
              <w:ind w:firstLine="0"/>
              <w:jc w:val="center"/>
              <w:rPr>
                <w:rFonts w:cs="Arial"/>
                <w:color w:val="000000"/>
                <w:sz w:val="24"/>
                <w:szCs w:val="24"/>
              </w:rPr>
            </w:pPr>
            <w:r w:rsidRPr="00BE3C10">
              <w:rPr>
                <w:rFonts w:cs="Arial"/>
                <w:color w:val="000000"/>
                <w:sz w:val="24"/>
                <w:szCs w:val="24"/>
              </w:rPr>
              <w:t>10%</w:t>
            </w:r>
          </w:p>
        </w:tc>
      </w:tr>
      <w:tr w:rsidR="00FD2661" w:rsidRPr="00BE3C10" w14:paraId="409A7AA5" w14:textId="77777777" w:rsidTr="00B6276E">
        <w:tc>
          <w:tcPr>
            <w:tcW w:w="3611" w:type="pct"/>
            <w:shd w:val="clear" w:color="auto" w:fill="E4F8E4"/>
          </w:tcPr>
          <w:p w14:paraId="409A7AA3" w14:textId="77777777" w:rsidR="00FD2661" w:rsidRPr="00BE3C10" w:rsidRDefault="00FD2661" w:rsidP="002238F9">
            <w:pPr>
              <w:pStyle w:val="BodyText1"/>
              <w:spacing w:before="120"/>
              <w:ind w:firstLine="0"/>
              <w:jc w:val="both"/>
              <w:rPr>
                <w:rFonts w:cs="Arial"/>
                <w:color w:val="000000"/>
                <w:sz w:val="24"/>
                <w:szCs w:val="24"/>
              </w:rPr>
            </w:pPr>
            <w:r w:rsidRPr="00BE3C10">
              <w:rPr>
                <w:rFonts w:cs="Arial"/>
                <w:color w:val="000000"/>
                <w:sz w:val="24"/>
                <w:szCs w:val="24"/>
              </w:rPr>
              <w:t xml:space="preserve">FINANCIAL CRITERIA – </w:t>
            </w:r>
            <w:r w:rsidRPr="004D3042">
              <w:rPr>
                <w:rFonts w:cs="Arial"/>
                <w:b/>
                <w:color w:val="000000"/>
                <w:sz w:val="24"/>
                <w:szCs w:val="24"/>
              </w:rPr>
              <w:t>20% overall value</w:t>
            </w:r>
          </w:p>
        </w:tc>
        <w:tc>
          <w:tcPr>
            <w:tcW w:w="1389" w:type="pct"/>
            <w:shd w:val="clear" w:color="auto" w:fill="E4F8E4"/>
          </w:tcPr>
          <w:p w14:paraId="409A7AA4" w14:textId="77777777" w:rsidR="00FD2661" w:rsidRPr="00BE3C10" w:rsidRDefault="006F7C96" w:rsidP="002238F9">
            <w:pPr>
              <w:pStyle w:val="BodyText1"/>
              <w:spacing w:before="120"/>
              <w:ind w:firstLine="0"/>
              <w:jc w:val="center"/>
              <w:rPr>
                <w:rFonts w:cs="Arial"/>
                <w:color w:val="000000"/>
                <w:sz w:val="24"/>
                <w:szCs w:val="24"/>
              </w:rPr>
            </w:pPr>
            <w:r>
              <w:rPr>
                <w:rFonts w:cs="Arial"/>
                <w:color w:val="000000"/>
                <w:sz w:val="24"/>
                <w:szCs w:val="24"/>
              </w:rPr>
              <w:t>20%</w:t>
            </w:r>
          </w:p>
        </w:tc>
      </w:tr>
    </w:tbl>
    <w:p w14:paraId="409A7AA6" w14:textId="77777777" w:rsidR="00FD2661" w:rsidRPr="00BE3C10" w:rsidRDefault="00AD2C06" w:rsidP="002238F9">
      <w:pPr>
        <w:pStyle w:val="Heading2"/>
        <w:spacing w:line="240" w:lineRule="auto"/>
        <w:rPr>
          <w:rFonts w:ascii="Arial" w:hAnsi="Arial" w:cs="Arial"/>
        </w:rPr>
      </w:pPr>
      <w:r w:rsidRPr="00BE3C10">
        <w:rPr>
          <w:rFonts w:ascii="Arial" w:hAnsi="Arial" w:cs="Arial"/>
        </w:rPr>
        <w:t xml:space="preserve">The </w:t>
      </w:r>
      <w:r w:rsidR="004D3042">
        <w:rPr>
          <w:rFonts w:ascii="Arial" w:hAnsi="Arial" w:cs="Arial"/>
        </w:rPr>
        <w:t>T</w:t>
      </w:r>
      <w:r w:rsidRPr="00BE3C10">
        <w:rPr>
          <w:rFonts w:ascii="Arial" w:hAnsi="Arial" w:cs="Arial"/>
        </w:rPr>
        <w:t xml:space="preserve">echnical </w:t>
      </w:r>
      <w:r w:rsidR="004D3042">
        <w:rPr>
          <w:rFonts w:ascii="Arial" w:hAnsi="Arial" w:cs="Arial"/>
        </w:rPr>
        <w:t>E</w:t>
      </w:r>
      <w:r w:rsidRPr="00BE3C10">
        <w:rPr>
          <w:rFonts w:ascii="Arial" w:hAnsi="Arial" w:cs="Arial"/>
        </w:rPr>
        <w:t>nvelope</w:t>
      </w:r>
    </w:p>
    <w:p w14:paraId="409A7AA7" w14:textId="77777777" w:rsidR="00FD2661" w:rsidRDefault="00FD2661" w:rsidP="002238F9">
      <w:pPr>
        <w:spacing w:line="240" w:lineRule="auto"/>
        <w:jc w:val="both"/>
        <w:rPr>
          <w:rFonts w:ascii="Arial" w:hAnsi="Arial" w:cs="Arial"/>
          <w:sz w:val="24"/>
          <w:szCs w:val="24"/>
        </w:rPr>
      </w:pPr>
      <w:r w:rsidRPr="00BE3C10">
        <w:rPr>
          <w:rFonts w:ascii="Arial" w:hAnsi="Arial" w:cs="Arial"/>
          <w:sz w:val="24"/>
          <w:szCs w:val="24"/>
        </w:rPr>
        <w:t xml:space="preserve">The Technical envelope is split in to </w:t>
      </w:r>
      <w:r w:rsidR="00E57A66">
        <w:rPr>
          <w:rFonts w:ascii="Arial" w:hAnsi="Arial" w:cs="Arial"/>
          <w:sz w:val="24"/>
          <w:szCs w:val="24"/>
        </w:rPr>
        <w:t>7</w:t>
      </w:r>
      <w:r w:rsidRPr="00BE3C10">
        <w:rPr>
          <w:rFonts w:ascii="Arial" w:hAnsi="Arial" w:cs="Arial"/>
          <w:sz w:val="24"/>
          <w:szCs w:val="24"/>
        </w:rPr>
        <w:t xml:space="preserve"> </w:t>
      </w:r>
      <w:r w:rsidR="002F0CEC">
        <w:rPr>
          <w:rFonts w:ascii="Arial" w:hAnsi="Arial" w:cs="Arial"/>
          <w:sz w:val="24"/>
          <w:szCs w:val="24"/>
        </w:rPr>
        <w:t>sections</w:t>
      </w:r>
      <w:r w:rsidRPr="00BE3C10">
        <w:rPr>
          <w:rFonts w:ascii="Arial" w:hAnsi="Arial" w:cs="Arial"/>
          <w:sz w:val="24"/>
          <w:szCs w:val="24"/>
        </w:rPr>
        <w:t xml:space="preserve"> for evaluation.</w:t>
      </w:r>
      <w:r w:rsidR="0066233A">
        <w:rPr>
          <w:rFonts w:ascii="Arial" w:hAnsi="Arial" w:cs="Arial"/>
          <w:sz w:val="24"/>
          <w:szCs w:val="24"/>
        </w:rPr>
        <w:t xml:space="preserve">  G</w:t>
      </w:r>
      <w:r w:rsidRPr="00BE3C10">
        <w:rPr>
          <w:rFonts w:ascii="Arial" w:hAnsi="Arial" w:cs="Arial"/>
          <w:sz w:val="24"/>
          <w:szCs w:val="24"/>
        </w:rPr>
        <w:t xml:space="preserve">uidance on how to complete each section is provided within </w:t>
      </w:r>
      <w:r w:rsidR="00AC1AAA">
        <w:rPr>
          <w:rFonts w:ascii="Arial" w:hAnsi="Arial" w:cs="Arial"/>
          <w:sz w:val="24"/>
          <w:szCs w:val="24"/>
        </w:rPr>
        <w:t>the actual application form</w:t>
      </w:r>
      <w:r w:rsidRPr="00BE3C10">
        <w:rPr>
          <w:rFonts w:ascii="Arial" w:hAnsi="Arial" w:cs="Arial"/>
          <w:sz w:val="24"/>
          <w:szCs w:val="24"/>
        </w:rPr>
        <w:t>.</w:t>
      </w:r>
    </w:p>
    <w:p w14:paraId="409A7AA8" w14:textId="77777777" w:rsidR="00FD2661" w:rsidRPr="00BE3C10" w:rsidRDefault="00FD2661" w:rsidP="002238F9">
      <w:pPr>
        <w:spacing w:line="240" w:lineRule="auto"/>
        <w:jc w:val="both"/>
        <w:rPr>
          <w:rFonts w:ascii="Arial" w:hAnsi="Arial" w:cs="Arial"/>
          <w:sz w:val="24"/>
          <w:szCs w:val="24"/>
        </w:rPr>
      </w:pPr>
    </w:p>
    <w:p w14:paraId="409A7AA9" w14:textId="77777777" w:rsidR="00FD2661" w:rsidRPr="00BE3C10" w:rsidRDefault="00FD2661" w:rsidP="002238F9">
      <w:pPr>
        <w:spacing w:line="240" w:lineRule="auto"/>
        <w:jc w:val="both"/>
        <w:rPr>
          <w:rFonts w:ascii="Arial" w:hAnsi="Arial" w:cs="Arial"/>
          <w:sz w:val="24"/>
          <w:szCs w:val="24"/>
        </w:rPr>
      </w:pPr>
      <w:r w:rsidRPr="00BE3C10">
        <w:rPr>
          <w:rFonts w:ascii="Arial" w:hAnsi="Arial" w:cs="Arial"/>
          <w:sz w:val="24"/>
          <w:szCs w:val="24"/>
        </w:rPr>
        <w:t xml:space="preserve">A numerical appraisal scoring system will be used to assess the information given in the Technical envelope of the </w:t>
      </w:r>
      <w:r w:rsidR="004D3042">
        <w:rPr>
          <w:rFonts w:ascii="Arial" w:hAnsi="Arial" w:cs="Arial"/>
          <w:sz w:val="24"/>
          <w:szCs w:val="24"/>
        </w:rPr>
        <w:t>tender</w:t>
      </w:r>
      <w:r w:rsidRPr="00BE3C10">
        <w:rPr>
          <w:rFonts w:ascii="Arial" w:hAnsi="Arial" w:cs="Arial"/>
          <w:sz w:val="24"/>
          <w:szCs w:val="24"/>
        </w:rPr>
        <w:t>.  Appraisers will allocate a score of 0, 30, 60, 80 or 100 to each part of the Technical envelope, depending on the quality and relevance of evidence provided.  The scores will then be subjected to the weightings given in Table 2.</w:t>
      </w:r>
    </w:p>
    <w:p w14:paraId="409A7AAA" w14:textId="77777777" w:rsidR="00FD2661" w:rsidRDefault="00FD2661" w:rsidP="002238F9">
      <w:pPr>
        <w:spacing w:line="240" w:lineRule="auto"/>
        <w:jc w:val="both"/>
        <w:rPr>
          <w:rFonts w:ascii="Arial" w:hAnsi="Arial" w:cs="Arial"/>
          <w:sz w:val="24"/>
          <w:szCs w:val="24"/>
        </w:rPr>
      </w:pPr>
    </w:p>
    <w:p w14:paraId="409A7AAB" w14:textId="77777777" w:rsidR="00FD2661" w:rsidRPr="00BE3C10" w:rsidRDefault="00FD2661" w:rsidP="002238F9">
      <w:pPr>
        <w:spacing w:line="240" w:lineRule="auto"/>
        <w:jc w:val="both"/>
        <w:rPr>
          <w:rFonts w:ascii="Arial" w:hAnsi="Arial" w:cs="Arial"/>
          <w:sz w:val="24"/>
          <w:szCs w:val="24"/>
        </w:rPr>
      </w:pPr>
      <w:r w:rsidRPr="00BE3C10">
        <w:rPr>
          <w:rFonts w:ascii="Arial" w:hAnsi="Arial" w:cs="Arial"/>
          <w:sz w:val="24"/>
          <w:szCs w:val="24"/>
        </w:rPr>
        <w:t xml:space="preserve">All </w:t>
      </w:r>
      <w:r w:rsidR="0066233A">
        <w:rPr>
          <w:rFonts w:ascii="Arial" w:hAnsi="Arial" w:cs="Arial"/>
          <w:sz w:val="24"/>
          <w:szCs w:val="24"/>
        </w:rPr>
        <w:t xml:space="preserve">technical </w:t>
      </w:r>
      <w:r w:rsidRPr="00BE3C10">
        <w:rPr>
          <w:rFonts w:ascii="Arial" w:hAnsi="Arial" w:cs="Arial"/>
          <w:sz w:val="24"/>
          <w:szCs w:val="24"/>
        </w:rPr>
        <w:t>criteria will be evaluated as follows:</w:t>
      </w:r>
    </w:p>
    <w:p w14:paraId="409A7AAC" w14:textId="77777777" w:rsidR="00FD2661" w:rsidRPr="00BE3C10" w:rsidRDefault="00FD2661" w:rsidP="002238F9">
      <w:pPr>
        <w:spacing w:line="240" w:lineRule="auto"/>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000"/>
      </w:tblGrid>
      <w:tr w:rsidR="00FD2661" w:rsidRPr="00BE3C10" w14:paraId="409A7AAF" w14:textId="77777777" w:rsidTr="009749D1">
        <w:tc>
          <w:tcPr>
            <w:tcW w:w="1134" w:type="dxa"/>
          </w:tcPr>
          <w:p w14:paraId="409A7AAD" w14:textId="77777777" w:rsidR="00FD2661" w:rsidRPr="00E57A66" w:rsidRDefault="00FD2661" w:rsidP="002238F9">
            <w:pPr>
              <w:spacing w:line="240" w:lineRule="auto"/>
              <w:jc w:val="center"/>
              <w:rPr>
                <w:rFonts w:ascii="Arial" w:hAnsi="Arial" w:cs="Arial"/>
                <w:sz w:val="24"/>
                <w:szCs w:val="24"/>
              </w:rPr>
            </w:pPr>
            <w:r w:rsidRPr="00E57A66">
              <w:rPr>
                <w:rFonts w:ascii="Arial" w:hAnsi="Arial" w:cs="Arial"/>
                <w:sz w:val="24"/>
                <w:szCs w:val="24"/>
              </w:rPr>
              <w:t>SCORE</w:t>
            </w:r>
          </w:p>
        </w:tc>
        <w:tc>
          <w:tcPr>
            <w:tcW w:w="8000" w:type="dxa"/>
          </w:tcPr>
          <w:p w14:paraId="409A7AAE" w14:textId="77777777" w:rsidR="00FD2661" w:rsidRPr="00E57A66" w:rsidRDefault="00FD2661" w:rsidP="002238F9">
            <w:pPr>
              <w:spacing w:line="240" w:lineRule="auto"/>
              <w:rPr>
                <w:rFonts w:ascii="Arial" w:hAnsi="Arial" w:cs="Arial"/>
                <w:sz w:val="24"/>
                <w:szCs w:val="24"/>
              </w:rPr>
            </w:pPr>
            <w:r w:rsidRPr="00E57A66">
              <w:rPr>
                <w:rFonts w:ascii="Arial" w:hAnsi="Arial" w:cs="Arial"/>
                <w:sz w:val="24"/>
                <w:szCs w:val="24"/>
              </w:rPr>
              <w:t xml:space="preserve">DESCRIPTION FOR SCORE OF EACH </w:t>
            </w:r>
            <w:r w:rsidR="004D3042">
              <w:rPr>
                <w:rFonts w:ascii="Arial" w:hAnsi="Arial" w:cs="Arial"/>
                <w:sz w:val="24"/>
                <w:szCs w:val="24"/>
              </w:rPr>
              <w:t>CRITERIA</w:t>
            </w:r>
          </w:p>
        </w:tc>
      </w:tr>
      <w:tr w:rsidR="00FD2661" w:rsidRPr="00BE3C10" w14:paraId="409A7AB2" w14:textId="77777777" w:rsidTr="00914856">
        <w:tc>
          <w:tcPr>
            <w:tcW w:w="1134" w:type="dxa"/>
            <w:vAlign w:val="center"/>
          </w:tcPr>
          <w:p w14:paraId="409A7AB0" w14:textId="77777777" w:rsidR="00FD2661" w:rsidRPr="00E57A66" w:rsidRDefault="00FD2661" w:rsidP="00914856">
            <w:pPr>
              <w:spacing w:line="240" w:lineRule="auto"/>
              <w:jc w:val="center"/>
              <w:rPr>
                <w:rFonts w:ascii="Arial" w:hAnsi="Arial" w:cs="Arial"/>
                <w:sz w:val="24"/>
                <w:szCs w:val="24"/>
              </w:rPr>
            </w:pPr>
            <w:r w:rsidRPr="00E57A66">
              <w:rPr>
                <w:rFonts w:ascii="Arial" w:hAnsi="Arial" w:cs="Arial"/>
                <w:sz w:val="24"/>
                <w:szCs w:val="24"/>
              </w:rPr>
              <w:t>100</w:t>
            </w:r>
          </w:p>
        </w:tc>
        <w:tc>
          <w:tcPr>
            <w:tcW w:w="8000" w:type="dxa"/>
          </w:tcPr>
          <w:p w14:paraId="409A7AB1" w14:textId="77777777" w:rsidR="00FD2661" w:rsidRPr="00E57A66" w:rsidRDefault="004D3042" w:rsidP="002238F9">
            <w:pPr>
              <w:spacing w:line="240" w:lineRule="auto"/>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fully meets</w:t>
            </w:r>
            <w:r w:rsidR="00A315B4">
              <w:rPr>
                <w:rFonts w:ascii="Arial" w:hAnsi="Arial" w:cs="Arial"/>
                <w:sz w:val="24"/>
                <w:szCs w:val="24"/>
              </w:rPr>
              <w:t xml:space="preserve"> or exceeds</w:t>
            </w:r>
            <w:r w:rsidR="00FD2661" w:rsidRPr="00E57A66">
              <w:rPr>
                <w:rFonts w:ascii="Arial" w:hAnsi="Arial" w:cs="Arial"/>
                <w:sz w:val="24"/>
                <w:szCs w:val="24"/>
              </w:rPr>
              <w:t xml:space="preserve"> the </w:t>
            </w:r>
            <w:r>
              <w:rPr>
                <w:rFonts w:ascii="Arial" w:hAnsi="Arial" w:cs="Arial"/>
                <w:sz w:val="24"/>
                <w:szCs w:val="24"/>
              </w:rPr>
              <w:t>criteria</w:t>
            </w:r>
            <w:r w:rsidR="00FD2661" w:rsidRPr="00E57A66">
              <w:rPr>
                <w:rFonts w:ascii="Arial" w:hAnsi="Arial" w:cs="Arial"/>
                <w:sz w:val="24"/>
                <w:szCs w:val="24"/>
              </w:rPr>
              <w:t xml:space="preserve"> set </w:t>
            </w:r>
          </w:p>
        </w:tc>
      </w:tr>
      <w:tr w:rsidR="00FD2661" w:rsidRPr="00BE3C10" w14:paraId="409A7AB5" w14:textId="77777777" w:rsidTr="00914856">
        <w:tc>
          <w:tcPr>
            <w:tcW w:w="1134" w:type="dxa"/>
            <w:vAlign w:val="center"/>
          </w:tcPr>
          <w:p w14:paraId="409A7AB3" w14:textId="77777777" w:rsidR="00FD2661" w:rsidRPr="00E57A66" w:rsidRDefault="00FD2661" w:rsidP="00914856">
            <w:pPr>
              <w:spacing w:line="240" w:lineRule="auto"/>
              <w:jc w:val="center"/>
              <w:rPr>
                <w:rFonts w:ascii="Arial" w:hAnsi="Arial" w:cs="Arial"/>
                <w:sz w:val="24"/>
                <w:szCs w:val="24"/>
              </w:rPr>
            </w:pPr>
            <w:r w:rsidRPr="00E57A66">
              <w:rPr>
                <w:rFonts w:ascii="Arial" w:hAnsi="Arial" w:cs="Arial"/>
                <w:sz w:val="24"/>
                <w:szCs w:val="24"/>
              </w:rPr>
              <w:t>80</w:t>
            </w:r>
          </w:p>
        </w:tc>
        <w:tc>
          <w:tcPr>
            <w:tcW w:w="8000" w:type="dxa"/>
          </w:tcPr>
          <w:p w14:paraId="409A7AB4" w14:textId="77777777" w:rsidR="00FD2661" w:rsidRPr="00E57A66" w:rsidRDefault="004D3042" w:rsidP="002238F9">
            <w:pPr>
              <w:spacing w:line="240" w:lineRule="auto"/>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would require minor modification but almost fully meets the </w:t>
            </w:r>
            <w:r>
              <w:rPr>
                <w:rFonts w:ascii="Arial" w:hAnsi="Arial" w:cs="Arial"/>
                <w:sz w:val="24"/>
                <w:szCs w:val="24"/>
              </w:rPr>
              <w:t>criteria</w:t>
            </w:r>
            <w:r w:rsidR="00FD2661" w:rsidRPr="00E57A66">
              <w:rPr>
                <w:rFonts w:ascii="Arial" w:hAnsi="Arial" w:cs="Arial"/>
                <w:sz w:val="24"/>
                <w:szCs w:val="24"/>
              </w:rPr>
              <w:t xml:space="preserve"> with only a few gaps in the evidence remaining </w:t>
            </w:r>
          </w:p>
        </w:tc>
      </w:tr>
      <w:tr w:rsidR="00FD2661" w:rsidRPr="00BE3C10" w14:paraId="409A7AB8" w14:textId="77777777" w:rsidTr="00914856">
        <w:tc>
          <w:tcPr>
            <w:tcW w:w="1134" w:type="dxa"/>
            <w:vAlign w:val="center"/>
          </w:tcPr>
          <w:p w14:paraId="409A7AB6" w14:textId="77777777" w:rsidR="00FD2661" w:rsidRPr="00E57A66" w:rsidRDefault="00FD2661" w:rsidP="00914856">
            <w:pPr>
              <w:spacing w:line="240" w:lineRule="auto"/>
              <w:jc w:val="center"/>
              <w:rPr>
                <w:rFonts w:ascii="Arial" w:hAnsi="Arial" w:cs="Arial"/>
                <w:sz w:val="24"/>
                <w:szCs w:val="24"/>
              </w:rPr>
            </w:pPr>
            <w:r w:rsidRPr="00E57A66">
              <w:rPr>
                <w:rFonts w:ascii="Arial" w:hAnsi="Arial" w:cs="Arial"/>
                <w:sz w:val="24"/>
                <w:szCs w:val="24"/>
              </w:rPr>
              <w:t>60</w:t>
            </w:r>
          </w:p>
        </w:tc>
        <w:tc>
          <w:tcPr>
            <w:tcW w:w="8000" w:type="dxa"/>
          </w:tcPr>
          <w:p w14:paraId="409A7AB7" w14:textId="77777777" w:rsidR="00FD2661" w:rsidRPr="00E57A66" w:rsidRDefault="004D3042" w:rsidP="002238F9">
            <w:pPr>
              <w:spacing w:line="240" w:lineRule="auto"/>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would require some modification but addresses most of the </w:t>
            </w:r>
            <w:r>
              <w:rPr>
                <w:rFonts w:ascii="Arial" w:hAnsi="Arial" w:cs="Arial"/>
                <w:sz w:val="24"/>
                <w:szCs w:val="24"/>
              </w:rPr>
              <w:t>criteria</w:t>
            </w:r>
            <w:r w:rsidR="00FD2661" w:rsidRPr="00E57A66">
              <w:rPr>
                <w:rFonts w:ascii="Arial" w:hAnsi="Arial" w:cs="Arial"/>
                <w:sz w:val="24"/>
                <w:szCs w:val="24"/>
              </w:rPr>
              <w:t>, but may not be detailed enough and/or has several gaps remaining</w:t>
            </w:r>
          </w:p>
        </w:tc>
      </w:tr>
      <w:tr w:rsidR="00FD2661" w:rsidRPr="00BE3C10" w14:paraId="409A7ABB" w14:textId="77777777" w:rsidTr="00914856">
        <w:tc>
          <w:tcPr>
            <w:tcW w:w="1134" w:type="dxa"/>
            <w:vAlign w:val="center"/>
          </w:tcPr>
          <w:p w14:paraId="409A7AB9" w14:textId="77777777" w:rsidR="00FD2661" w:rsidRPr="00E57A66" w:rsidRDefault="00FD2661" w:rsidP="00914856">
            <w:pPr>
              <w:spacing w:line="240" w:lineRule="auto"/>
              <w:jc w:val="center"/>
              <w:rPr>
                <w:rFonts w:ascii="Arial" w:hAnsi="Arial" w:cs="Arial"/>
                <w:sz w:val="24"/>
                <w:szCs w:val="24"/>
              </w:rPr>
            </w:pPr>
            <w:r w:rsidRPr="00E57A66">
              <w:rPr>
                <w:rFonts w:ascii="Arial" w:hAnsi="Arial" w:cs="Arial"/>
                <w:sz w:val="24"/>
                <w:szCs w:val="24"/>
              </w:rPr>
              <w:t>30</w:t>
            </w:r>
          </w:p>
        </w:tc>
        <w:tc>
          <w:tcPr>
            <w:tcW w:w="8000" w:type="dxa"/>
          </w:tcPr>
          <w:p w14:paraId="409A7ABA" w14:textId="77777777" w:rsidR="00FD2661" w:rsidRPr="00E57A66" w:rsidRDefault="004D3042" w:rsidP="002238F9">
            <w:pPr>
              <w:spacing w:line="240" w:lineRule="auto"/>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would require significant modification due to significant gaps </w:t>
            </w:r>
          </w:p>
        </w:tc>
      </w:tr>
      <w:tr w:rsidR="00FD2661" w:rsidRPr="00BE3C10" w14:paraId="409A7ABE" w14:textId="77777777" w:rsidTr="00914856">
        <w:tc>
          <w:tcPr>
            <w:tcW w:w="1134" w:type="dxa"/>
            <w:vAlign w:val="center"/>
          </w:tcPr>
          <w:p w14:paraId="409A7ABC" w14:textId="77777777" w:rsidR="00FD2661" w:rsidRPr="00E57A66" w:rsidRDefault="00FD2661" w:rsidP="00914856">
            <w:pPr>
              <w:spacing w:line="240" w:lineRule="auto"/>
              <w:jc w:val="center"/>
              <w:rPr>
                <w:rFonts w:ascii="Arial" w:hAnsi="Arial" w:cs="Arial"/>
                <w:sz w:val="24"/>
                <w:szCs w:val="24"/>
              </w:rPr>
            </w:pPr>
            <w:r w:rsidRPr="00E57A66">
              <w:rPr>
                <w:rFonts w:ascii="Arial" w:hAnsi="Arial" w:cs="Arial"/>
                <w:sz w:val="24"/>
                <w:szCs w:val="24"/>
              </w:rPr>
              <w:t>0</w:t>
            </w:r>
          </w:p>
        </w:tc>
        <w:tc>
          <w:tcPr>
            <w:tcW w:w="8000" w:type="dxa"/>
          </w:tcPr>
          <w:p w14:paraId="409A7ABD" w14:textId="77777777" w:rsidR="00FD2661" w:rsidRPr="00E57A66" w:rsidRDefault="004D3042" w:rsidP="00D54E33">
            <w:pPr>
              <w:spacing w:line="240" w:lineRule="auto"/>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does not m</w:t>
            </w:r>
            <w:r w:rsidR="00D54E33">
              <w:rPr>
                <w:rFonts w:ascii="Arial" w:hAnsi="Arial" w:cs="Arial"/>
                <w:sz w:val="24"/>
                <w:szCs w:val="24"/>
              </w:rPr>
              <w:t>eet the specification or policy</w:t>
            </w:r>
          </w:p>
        </w:tc>
      </w:tr>
    </w:tbl>
    <w:p w14:paraId="409A7ABF" w14:textId="77777777" w:rsidR="00850E61" w:rsidRDefault="00850E61" w:rsidP="002238F9">
      <w:pPr>
        <w:spacing w:line="240" w:lineRule="auto"/>
        <w:jc w:val="both"/>
        <w:rPr>
          <w:rFonts w:ascii="Arial" w:hAnsi="Arial" w:cs="Arial"/>
          <w:sz w:val="24"/>
          <w:szCs w:val="24"/>
        </w:rPr>
      </w:pPr>
    </w:p>
    <w:p w14:paraId="409A7AC0" w14:textId="77777777" w:rsidR="003554B8" w:rsidRPr="00BE3C10" w:rsidRDefault="00C23550" w:rsidP="002238F9">
      <w:pPr>
        <w:spacing w:line="240" w:lineRule="auto"/>
        <w:jc w:val="both"/>
        <w:rPr>
          <w:rFonts w:ascii="Arial" w:hAnsi="Arial" w:cs="Arial"/>
          <w:sz w:val="24"/>
          <w:szCs w:val="24"/>
        </w:rPr>
      </w:pPr>
      <w:r>
        <w:rPr>
          <w:rFonts w:ascii="Arial" w:hAnsi="Arial" w:cs="Arial"/>
          <w:sz w:val="24"/>
          <w:szCs w:val="24"/>
        </w:rPr>
        <w:t>If the applicant does not reach a minimum score of 30 in the technical evaluation they will be automatically eliminated from the process.</w:t>
      </w:r>
    </w:p>
    <w:p w14:paraId="409A7AC1" w14:textId="77777777" w:rsidR="00FD2661" w:rsidRDefault="008760A6" w:rsidP="002238F9">
      <w:pPr>
        <w:pStyle w:val="Heading2"/>
        <w:spacing w:line="240" w:lineRule="auto"/>
        <w:rPr>
          <w:rFonts w:ascii="Arial" w:hAnsi="Arial" w:cs="Arial"/>
        </w:rPr>
      </w:pPr>
      <w:r w:rsidRPr="00BE3C10">
        <w:rPr>
          <w:rFonts w:ascii="Arial" w:hAnsi="Arial" w:cs="Arial"/>
        </w:rPr>
        <w:t xml:space="preserve">The </w:t>
      </w:r>
      <w:r w:rsidR="002F0CEC">
        <w:rPr>
          <w:rFonts w:ascii="Arial" w:hAnsi="Arial" w:cs="Arial"/>
        </w:rPr>
        <w:t>F</w:t>
      </w:r>
      <w:r w:rsidRPr="00BE3C10">
        <w:rPr>
          <w:rFonts w:ascii="Arial" w:hAnsi="Arial" w:cs="Arial"/>
        </w:rPr>
        <w:t xml:space="preserve">inancial </w:t>
      </w:r>
      <w:r w:rsidR="002F0CEC">
        <w:rPr>
          <w:rFonts w:ascii="Arial" w:hAnsi="Arial" w:cs="Arial"/>
        </w:rPr>
        <w:t>E</w:t>
      </w:r>
      <w:r w:rsidRPr="00BE3C10">
        <w:rPr>
          <w:rFonts w:ascii="Arial" w:hAnsi="Arial" w:cs="Arial"/>
        </w:rPr>
        <w:t>nvelope</w:t>
      </w:r>
    </w:p>
    <w:p w14:paraId="409A7AC2" w14:textId="77777777" w:rsidR="002F0CEC" w:rsidRPr="002F0CEC" w:rsidRDefault="002F0CEC" w:rsidP="002F0CEC"/>
    <w:p w14:paraId="409A7AC3" w14:textId="77777777" w:rsidR="002F0CEC" w:rsidRDefault="002F0CEC" w:rsidP="002F0CEC">
      <w:pPr>
        <w:spacing w:line="240" w:lineRule="auto"/>
        <w:jc w:val="both"/>
        <w:rPr>
          <w:rFonts w:ascii="Arial" w:hAnsi="Arial" w:cs="Arial"/>
          <w:sz w:val="24"/>
          <w:szCs w:val="24"/>
        </w:rPr>
      </w:pPr>
      <w:r w:rsidRPr="00BE3C10">
        <w:rPr>
          <w:rFonts w:ascii="Arial" w:hAnsi="Arial" w:cs="Arial"/>
          <w:sz w:val="24"/>
          <w:szCs w:val="24"/>
        </w:rPr>
        <w:t xml:space="preserve">The </w:t>
      </w:r>
      <w:r>
        <w:rPr>
          <w:rFonts w:ascii="Arial" w:hAnsi="Arial" w:cs="Arial"/>
          <w:sz w:val="24"/>
          <w:szCs w:val="24"/>
        </w:rPr>
        <w:t>Financia</w:t>
      </w:r>
      <w:r w:rsidRPr="00BE3C10">
        <w:rPr>
          <w:rFonts w:ascii="Arial" w:hAnsi="Arial" w:cs="Arial"/>
          <w:sz w:val="24"/>
          <w:szCs w:val="24"/>
        </w:rPr>
        <w:t xml:space="preserve">l envelope is split in to </w:t>
      </w:r>
      <w:r>
        <w:rPr>
          <w:rFonts w:ascii="Arial" w:hAnsi="Arial" w:cs="Arial"/>
          <w:sz w:val="24"/>
          <w:szCs w:val="24"/>
        </w:rPr>
        <w:t>5</w:t>
      </w:r>
      <w:r w:rsidRPr="00BE3C10">
        <w:rPr>
          <w:rFonts w:ascii="Arial" w:hAnsi="Arial" w:cs="Arial"/>
          <w:sz w:val="24"/>
          <w:szCs w:val="24"/>
        </w:rPr>
        <w:t xml:space="preserve"> </w:t>
      </w:r>
      <w:r>
        <w:rPr>
          <w:rFonts w:ascii="Arial" w:hAnsi="Arial" w:cs="Arial"/>
          <w:sz w:val="24"/>
          <w:szCs w:val="24"/>
        </w:rPr>
        <w:t>sections</w:t>
      </w:r>
      <w:r w:rsidRPr="00BE3C10">
        <w:rPr>
          <w:rFonts w:ascii="Arial" w:hAnsi="Arial" w:cs="Arial"/>
          <w:sz w:val="24"/>
          <w:szCs w:val="24"/>
        </w:rPr>
        <w:t>.</w:t>
      </w:r>
      <w:r>
        <w:rPr>
          <w:rFonts w:ascii="Arial" w:hAnsi="Arial" w:cs="Arial"/>
          <w:sz w:val="24"/>
          <w:szCs w:val="24"/>
        </w:rPr>
        <w:t xml:space="preserve">  G</w:t>
      </w:r>
      <w:r w:rsidRPr="00BE3C10">
        <w:rPr>
          <w:rFonts w:ascii="Arial" w:hAnsi="Arial" w:cs="Arial"/>
          <w:sz w:val="24"/>
          <w:szCs w:val="24"/>
        </w:rPr>
        <w:t xml:space="preserve">uidance on how to complete each section is provided within </w:t>
      </w:r>
      <w:r>
        <w:rPr>
          <w:rFonts w:ascii="Arial" w:hAnsi="Arial" w:cs="Arial"/>
          <w:sz w:val="24"/>
          <w:szCs w:val="24"/>
        </w:rPr>
        <w:t>the actual application form</w:t>
      </w:r>
      <w:r w:rsidRPr="00BE3C10">
        <w:rPr>
          <w:rFonts w:ascii="Arial" w:hAnsi="Arial" w:cs="Arial"/>
          <w:sz w:val="24"/>
          <w:szCs w:val="24"/>
        </w:rPr>
        <w:t>.</w:t>
      </w:r>
    </w:p>
    <w:p w14:paraId="409A7AC4" w14:textId="77777777" w:rsidR="002F0CEC" w:rsidRPr="002F0CEC" w:rsidRDefault="002F0CEC" w:rsidP="002F0CEC"/>
    <w:p w14:paraId="409A7AC5" w14:textId="77777777" w:rsidR="00E57A66" w:rsidRPr="00E57A66" w:rsidRDefault="00E57A66" w:rsidP="00E57A66">
      <w:pPr>
        <w:spacing w:line="240" w:lineRule="auto"/>
        <w:jc w:val="both"/>
        <w:rPr>
          <w:rFonts w:ascii="Arial" w:hAnsi="Arial" w:cs="Arial"/>
          <w:sz w:val="24"/>
          <w:szCs w:val="24"/>
        </w:rPr>
      </w:pPr>
      <w:r w:rsidRPr="00E57A66">
        <w:rPr>
          <w:rFonts w:ascii="Arial" w:hAnsi="Arial" w:cs="Arial"/>
          <w:sz w:val="24"/>
          <w:szCs w:val="24"/>
        </w:rPr>
        <w:t xml:space="preserve">A numerical appraisal scoring system will be used to assess the information given in the </w:t>
      </w:r>
      <w:r w:rsidR="00063AF6">
        <w:rPr>
          <w:rFonts w:ascii="Arial" w:hAnsi="Arial" w:cs="Arial"/>
          <w:sz w:val="24"/>
          <w:szCs w:val="24"/>
        </w:rPr>
        <w:t>financial</w:t>
      </w:r>
      <w:r>
        <w:rPr>
          <w:rFonts w:ascii="Arial" w:hAnsi="Arial" w:cs="Arial"/>
          <w:sz w:val="24"/>
          <w:szCs w:val="24"/>
        </w:rPr>
        <w:t xml:space="preserve"> </w:t>
      </w:r>
      <w:r w:rsidRPr="00E57A66">
        <w:rPr>
          <w:rFonts w:ascii="Arial" w:hAnsi="Arial" w:cs="Arial"/>
          <w:sz w:val="24"/>
          <w:szCs w:val="24"/>
        </w:rPr>
        <w:t xml:space="preserve">envelope of the </w:t>
      </w:r>
      <w:r w:rsidR="004D3042">
        <w:rPr>
          <w:rFonts w:ascii="Arial" w:hAnsi="Arial" w:cs="Arial"/>
          <w:sz w:val="24"/>
          <w:szCs w:val="24"/>
        </w:rPr>
        <w:t>tender</w:t>
      </w:r>
      <w:r w:rsidRPr="00E57A66">
        <w:rPr>
          <w:rFonts w:ascii="Arial" w:hAnsi="Arial" w:cs="Arial"/>
          <w:sz w:val="24"/>
          <w:szCs w:val="24"/>
        </w:rPr>
        <w:t>.  Appraisers will allocate a score of 0, 30, 60, 80 or 100 to</w:t>
      </w:r>
      <w:r w:rsidR="002F0CEC">
        <w:rPr>
          <w:rFonts w:ascii="Arial" w:hAnsi="Arial" w:cs="Arial"/>
          <w:sz w:val="24"/>
          <w:szCs w:val="24"/>
        </w:rPr>
        <w:t xml:space="preserve"> </w:t>
      </w:r>
      <w:r w:rsidRPr="00E57A66">
        <w:rPr>
          <w:rFonts w:ascii="Arial" w:hAnsi="Arial" w:cs="Arial"/>
          <w:sz w:val="24"/>
          <w:szCs w:val="24"/>
        </w:rPr>
        <w:t xml:space="preserve">the </w:t>
      </w:r>
      <w:r w:rsidR="00063AF6">
        <w:rPr>
          <w:rFonts w:ascii="Arial" w:hAnsi="Arial" w:cs="Arial"/>
          <w:sz w:val="24"/>
          <w:szCs w:val="24"/>
        </w:rPr>
        <w:t>financial</w:t>
      </w:r>
      <w:r w:rsidRPr="00E57A66">
        <w:rPr>
          <w:rFonts w:ascii="Arial" w:hAnsi="Arial" w:cs="Arial"/>
          <w:sz w:val="24"/>
          <w:szCs w:val="24"/>
        </w:rPr>
        <w:t xml:space="preserve"> envelope, depending on the quality and relevance of evidence provided.  The scores will then be subjected to the weighting given in Table 2.</w:t>
      </w:r>
    </w:p>
    <w:p w14:paraId="409A7AC6" w14:textId="77777777" w:rsidR="00FD2661" w:rsidRPr="00BE3C10" w:rsidRDefault="00FD2661" w:rsidP="002238F9">
      <w:pPr>
        <w:pStyle w:val="FootnoteText"/>
        <w:jc w:val="both"/>
        <w:rPr>
          <w:rFonts w:ascii="Arial" w:hAnsi="Arial" w:cs="Arial"/>
          <w:b/>
          <w:sz w:val="24"/>
          <w:szCs w:val="24"/>
        </w:rPr>
      </w:pPr>
    </w:p>
    <w:p w14:paraId="05B8EC19" w14:textId="77777777" w:rsidR="00F67B9A" w:rsidRDefault="00F67B9A" w:rsidP="002238F9">
      <w:pPr>
        <w:pStyle w:val="FootnoteText"/>
        <w:jc w:val="both"/>
        <w:rPr>
          <w:rFonts w:ascii="Arial" w:hAnsi="Arial" w:cs="Arial"/>
          <w:b/>
          <w:sz w:val="24"/>
          <w:szCs w:val="24"/>
        </w:rPr>
      </w:pPr>
    </w:p>
    <w:p w14:paraId="19FFA558" w14:textId="77777777" w:rsidR="00F67B9A" w:rsidRDefault="00F67B9A" w:rsidP="002238F9">
      <w:pPr>
        <w:pStyle w:val="FootnoteText"/>
        <w:jc w:val="both"/>
        <w:rPr>
          <w:rFonts w:ascii="Arial" w:hAnsi="Arial" w:cs="Arial"/>
          <w:b/>
          <w:sz w:val="24"/>
          <w:szCs w:val="24"/>
        </w:rPr>
      </w:pPr>
    </w:p>
    <w:p w14:paraId="21DE5984" w14:textId="77777777" w:rsidR="00F67B9A" w:rsidRDefault="00F67B9A" w:rsidP="002238F9">
      <w:pPr>
        <w:pStyle w:val="FootnoteText"/>
        <w:jc w:val="both"/>
        <w:rPr>
          <w:rFonts w:ascii="Arial" w:hAnsi="Arial" w:cs="Arial"/>
          <w:b/>
          <w:sz w:val="24"/>
          <w:szCs w:val="24"/>
        </w:rPr>
      </w:pPr>
    </w:p>
    <w:p w14:paraId="409A7AC7" w14:textId="127B5E53" w:rsidR="00FD2661" w:rsidRPr="00BE3C10" w:rsidRDefault="00FD2661" w:rsidP="002238F9">
      <w:pPr>
        <w:pStyle w:val="FootnoteText"/>
        <w:jc w:val="both"/>
        <w:rPr>
          <w:rFonts w:ascii="Arial" w:hAnsi="Arial" w:cs="Arial"/>
          <w:b/>
          <w:sz w:val="24"/>
          <w:szCs w:val="24"/>
        </w:rPr>
      </w:pPr>
      <w:r w:rsidRPr="00BE3C10">
        <w:rPr>
          <w:rFonts w:ascii="Arial" w:hAnsi="Arial" w:cs="Arial"/>
          <w:b/>
          <w:sz w:val="24"/>
          <w:szCs w:val="24"/>
        </w:rPr>
        <w:lastRenderedPageBreak/>
        <w:t>Requirement for the financial envelope</w:t>
      </w:r>
    </w:p>
    <w:p w14:paraId="409A7AC8" w14:textId="77777777" w:rsidR="00FD2661" w:rsidRPr="00BE3C10" w:rsidRDefault="00FD2661" w:rsidP="002238F9">
      <w:pPr>
        <w:pStyle w:val="FootnoteText"/>
        <w:jc w:val="both"/>
        <w:rPr>
          <w:rFonts w:ascii="Arial" w:hAnsi="Arial" w:cs="Arial"/>
          <w:sz w:val="24"/>
          <w:szCs w:val="24"/>
        </w:rPr>
      </w:pPr>
      <w:r w:rsidRPr="00BE3C10">
        <w:rPr>
          <w:rFonts w:ascii="Arial" w:hAnsi="Arial" w:cs="Arial"/>
          <w:sz w:val="24"/>
          <w:szCs w:val="24"/>
        </w:rPr>
        <w:t>Please complete the Finance template provided. Costs should be quoted excluding VAT for the purpose of comparison of tenders. The Agency’s financial year runs from 1 April to 31 March. All costings should be recorded in line with this timescale.</w:t>
      </w:r>
      <w:r w:rsidRPr="00BE3C10">
        <w:rPr>
          <w:rFonts w:ascii="Arial" w:hAnsi="Arial" w:cs="Arial"/>
          <w:b/>
          <w:sz w:val="24"/>
          <w:szCs w:val="24"/>
        </w:rPr>
        <w:t xml:space="preserve"> </w:t>
      </w:r>
    </w:p>
    <w:p w14:paraId="409A7AC9" w14:textId="77777777" w:rsidR="00FD2661" w:rsidRPr="00BE3C10" w:rsidRDefault="00FD2661" w:rsidP="002238F9">
      <w:pPr>
        <w:spacing w:line="240" w:lineRule="auto"/>
        <w:jc w:val="both"/>
        <w:rPr>
          <w:rFonts w:ascii="Arial" w:hAnsi="Arial" w:cs="Arial"/>
          <w:sz w:val="24"/>
          <w:szCs w:val="24"/>
        </w:rPr>
      </w:pPr>
    </w:p>
    <w:p w14:paraId="409A7ACA" w14:textId="77777777" w:rsidR="008760A6" w:rsidRPr="00BE3C10" w:rsidRDefault="008760A6" w:rsidP="002238F9">
      <w:pPr>
        <w:spacing w:line="240" w:lineRule="auto"/>
        <w:jc w:val="both"/>
        <w:rPr>
          <w:rFonts w:ascii="Arial" w:hAnsi="Arial" w:cs="Arial"/>
          <w:b/>
          <w:sz w:val="24"/>
          <w:szCs w:val="24"/>
        </w:rPr>
      </w:pPr>
    </w:p>
    <w:p w14:paraId="409A7ACB" w14:textId="77777777" w:rsidR="00FD2661" w:rsidRDefault="00FD2661" w:rsidP="002238F9">
      <w:pPr>
        <w:spacing w:line="240" w:lineRule="auto"/>
        <w:jc w:val="both"/>
        <w:rPr>
          <w:rFonts w:ascii="Arial" w:hAnsi="Arial" w:cs="Arial"/>
          <w:b/>
          <w:sz w:val="24"/>
          <w:szCs w:val="24"/>
        </w:rPr>
      </w:pPr>
      <w:r w:rsidRPr="00BE3C10">
        <w:rPr>
          <w:rFonts w:ascii="Arial" w:hAnsi="Arial" w:cs="Arial"/>
          <w:b/>
          <w:sz w:val="24"/>
          <w:szCs w:val="24"/>
        </w:rPr>
        <w:t>Evaluation of the financial envelope</w:t>
      </w:r>
    </w:p>
    <w:p w14:paraId="409A7ACC" w14:textId="77777777" w:rsidR="00E57A66" w:rsidRDefault="00E57A66" w:rsidP="002238F9">
      <w:pPr>
        <w:spacing w:line="240" w:lineRule="auto"/>
        <w:jc w:val="both"/>
        <w:rPr>
          <w:rFonts w:ascii="Arial" w:hAnsi="Arial" w:cs="Arial"/>
          <w:b/>
          <w:sz w:val="24"/>
          <w:szCs w:val="24"/>
        </w:rPr>
      </w:pPr>
    </w:p>
    <w:p w14:paraId="409A7ACD" w14:textId="77777777" w:rsidR="00E57A66" w:rsidRPr="00E57A66" w:rsidRDefault="00E57A66" w:rsidP="00E57A66">
      <w:pPr>
        <w:spacing w:line="240" w:lineRule="auto"/>
        <w:jc w:val="both"/>
        <w:rPr>
          <w:rFonts w:ascii="Arial" w:hAnsi="Arial" w:cs="Arial"/>
          <w:b/>
          <w:sz w:val="24"/>
          <w:szCs w:val="24"/>
        </w:rPr>
      </w:pPr>
      <w:r>
        <w:rPr>
          <w:rFonts w:ascii="Arial" w:hAnsi="Arial" w:cs="Arial"/>
          <w:b/>
          <w:sz w:val="24"/>
          <w:szCs w:val="24"/>
        </w:rPr>
        <w:t>Financial</w:t>
      </w:r>
      <w:r w:rsidRPr="00E57A66">
        <w:rPr>
          <w:rFonts w:ascii="Arial" w:hAnsi="Arial" w:cs="Arial"/>
          <w:b/>
          <w:sz w:val="24"/>
          <w:szCs w:val="24"/>
        </w:rPr>
        <w:t xml:space="preserve"> </w:t>
      </w:r>
      <w:r w:rsidR="004D3042">
        <w:rPr>
          <w:rFonts w:ascii="Arial" w:hAnsi="Arial" w:cs="Arial"/>
          <w:b/>
          <w:sz w:val="24"/>
          <w:szCs w:val="24"/>
        </w:rPr>
        <w:t>criteria</w:t>
      </w:r>
      <w:r w:rsidRPr="00E57A66">
        <w:rPr>
          <w:rFonts w:ascii="Arial" w:hAnsi="Arial" w:cs="Arial"/>
          <w:b/>
          <w:sz w:val="24"/>
          <w:szCs w:val="24"/>
        </w:rPr>
        <w:t xml:space="preserve"> will be evaluated as follows:</w:t>
      </w:r>
    </w:p>
    <w:p w14:paraId="409A7ACE" w14:textId="77777777" w:rsidR="00E57A66" w:rsidRPr="00E57A66" w:rsidRDefault="00E57A66" w:rsidP="00E57A66">
      <w:pPr>
        <w:spacing w:line="240" w:lineRule="au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000"/>
      </w:tblGrid>
      <w:tr w:rsidR="00E57A66" w:rsidRPr="00E57A66" w14:paraId="409A7AD1" w14:textId="77777777" w:rsidTr="00702205">
        <w:tc>
          <w:tcPr>
            <w:tcW w:w="1134" w:type="dxa"/>
          </w:tcPr>
          <w:p w14:paraId="409A7ACF" w14:textId="77777777" w:rsidR="00E57A66" w:rsidRPr="00E57A66" w:rsidRDefault="00E57A66" w:rsidP="00E57A66">
            <w:pPr>
              <w:spacing w:line="240" w:lineRule="auto"/>
              <w:jc w:val="both"/>
              <w:rPr>
                <w:rFonts w:ascii="Arial" w:hAnsi="Arial" w:cs="Arial"/>
                <w:sz w:val="24"/>
                <w:szCs w:val="24"/>
              </w:rPr>
            </w:pPr>
            <w:r w:rsidRPr="00E57A66">
              <w:rPr>
                <w:rFonts w:ascii="Arial" w:hAnsi="Arial" w:cs="Arial"/>
                <w:sz w:val="24"/>
                <w:szCs w:val="24"/>
              </w:rPr>
              <w:t>SCORE</w:t>
            </w:r>
          </w:p>
        </w:tc>
        <w:tc>
          <w:tcPr>
            <w:tcW w:w="8000" w:type="dxa"/>
          </w:tcPr>
          <w:p w14:paraId="409A7AD0" w14:textId="77777777" w:rsidR="00E57A66" w:rsidRPr="00E57A66" w:rsidRDefault="00E57A66" w:rsidP="00E57A66">
            <w:pPr>
              <w:spacing w:line="240" w:lineRule="auto"/>
              <w:jc w:val="both"/>
              <w:rPr>
                <w:rFonts w:ascii="Arial" w:hAnsi="Arial" w:cs="Arial"/>
                <w:sz w:val="24"/>
                <w:szCs w:val="24"/>
              </w:rPr>
            </w:pPr>
            <w:r w:rsidRPr="00E57A66">
              <w:rPr>
                <w:rFonts w:ascii="Arial" w:hAnsi="Arial" w:cs="Arial"/>
                <w:sz w:val="24"/>
                <w:szCs w:val="24"/>
              </w:rPr>
              <w:t xml:space="preserve">DESCRIPTION FOR SCORE OF THE </w:t>
            </w:r>
            <w:r w:rsidR="004D3042">
              <w:rPr>
                <w:rFonts w:ascii="Arial" w:hAnsi="Arial" w:cs="Arial"/>
                <w:sz w:val="24"/>
                <w:szCs w:val="24"/>
              </w:rPr>
              <w:t>CRITERIA</w:t>
            </w:r>
          </w:p>
        </w:tc>
      </w:tr>
      <w:tr w:rsidR="00E57A66" w:rsidRPr="00E57A66" w14:paraId="409A7AD4" w14:textId="77777777" w:rsidTr="00914856">
        <w:tc>
          <w:tcPr>
            <w:tcW w:w="1134" w:type="dxa"/>
            <w:vAlign w:val="center"/>
          </w:tcPr>
          <w:p w14:paraId="409A7AD2" w14:textId="77777777" w:rsidR="00E57A66" w:rsidRPr="00E57A66" w:rsidRDefault="00E57A66" w:rsidP="00914856">
            <w:pPr>
              <w:spacing w:line="240" w:lineRule="auto"/>
              <w:jc w:val="center"/>
              <w:rPr>
                <w:rFonts w:ascii="Arial" w:hAnsi="Arial" w:cs="Arial"/>
                <w:sz w:val="24"/>
                <w:szCs w:val="24"/>
              </w:rPr>
            </w:pPr>
            <w:r w:rsidRPr="00E57A66">
              <w:rPr>
                <w:rFonts w:ascii="Arial" w:hAnsi="Arial" w:cs="Arial"/>
                <w:sz w:val="24"/>
                <w:szCs w:val="24"/>
              </w:rPr>
              <w:t>100</w:t>
            </w:r>
          </w:p>
        </w:tc>
        <w:tc>
          <w:tcPr>
            <w:tcW w:w="8000" w:type="dxa"/>
          </w:tcPr>
          <w:p w14:paraId="409A7AD3" w14:textId="51C6A834" w:rsidR="00E57A66" w:rsidRPr="00E57A66" w:rsidRDefault="00E57A66" w:rsidP="00236386">
            <w:pPr>
              <w:spacing w:line="240" w:lineRule="auto"/>
              <w:jc w:val="both"/>
              <w:rPr>
                <w:rFonts w:ascii="Arial" w:hAnsi="Arial" w:cs="Arial"/>
                <w:sz w:val="24"/>
                <w:szCs w:val="24"/>
              </w:rPr>
            </w:pPr>
            <w:r w:rsidRPr="00E57A66">
              <w:rPr>
                <w:rFonts w:ascii="Arial" w:hAnsi="Arial" w:cs="Arial"/>
                <w:sz w:val="24"/>
                <w:szCs w:val="24"/>
              </w:rPr>
              <w:t xml:space="preserve">There is full justification for the </w:t>
            </w:r>
            <w:r w:rsidR="00236386">
              <w:rPr>
                <w:rFonts w:ascii="Arial" w:hAnsi="Arial" w:cs="Arial"/>
                <w:sz w:val="24"/>
                <w:szCs w:val="24"/>
              </w:rPr>
              <w:t>costs</w:t>
            </w:r>
            <w:r w:rsidR="00FB6CBC">
              <w:rPr>
                <w:rFonts w:ascii="Arial" w:hAnsi="Arial" w:cs="Arial"/>
                <w:sz w:val="24"/>
                <w:szCs w:val="24"/>
              </w:rPr>
              <w:t xml:space="preserve"> </w:t>
            </w:r>
            <w:r w:rsidRPr="00E57A66">
              <w:rPr>
                <w:rFonts w:ascii="Arial" w:hAnsi="Arial" w:cs="Arial"/>
                <w:sz w:val="24"/>
                <w:szCs w:val="24"/>
              </w:rPr>
              <w:t xml:space="preserve">and the overall resources are appropriate.  The </w:t>
            </w:r>
            <w:r w:rsidR="004D3042">
              <w:rPr>
                <w:rFonts w:ascii="Arial" w:hAnsi="Arial" w:cs="Arial"/>
                <w:sz w:val="24"/>
                <w:szCs w:val="24"/>
              </w:rPr>
              <w:t>tender</w:t>
            </w:r>
            <w:r w:rsidRPr="00E57A66">
              <w:rPr>
                <w:rFonts w:ascii="Arial" w:hAnsi="Arial" w:cs="Arial"/>
                <w:sz w:val="24"/>
                <w:szCs w:val="24"/>
              </w:rPr>
              <w:t xml:space="preserve"> is the best value for money for the work proposed to meet the specific evidence requirement advertised</w:t>
            </w:r>
          </w:p>
        </w:tc>
      </w:tr>
      <w:tr w:rsidR="00E57A66" w:rsidRPr="00E57A66" w14:paraId="409A7AD7" w14:textId="77777777" w:rsidTr="00914856">
        <w:tc>
          <w:tcPr>
            <w:tcW w:w="1134" w:type="dxa"/>
            <w:vAlign w:val="center"/>
          </w:tcPr>
          <w:p w14:paraId="409A7AD5" w14:textId="77777777" w:rsidR="00E57A66" w:rsidRPr="00E57A66" w:rsidRDefault="00E57A66" w:rsidP="00914856">
            <w:pPr>
              <w:spacing w:line="240" w:lineRule="auto"/>
              <w:jc w:val="center"/>
              <w:rPr>
                <w:rFonts w:ascii="Arial" w:hAnsi="Arial" w:cs="Arial"/>
                <w:sz w:val="24"/>
                <w:szCs w:val="24"/>
              </w:rPr>
            </w:pPr>
            <w:r w:rsidRPr="00E57A66">
              <w:rPr>
                <w:rFonts w:ascii="Arial" w:hAnsi="Arial" w:cs="Arial"/>
                <w:sz w:val="24"/>
                <w:szCs w:val="24"/>
              </w:rPr>
              <w:t>80</w:t>
            </w:r>
          </w:p>
        </w:tc>
        <w:tc>
          <w:tcPr>
            <w:tcW w:w="8000" w:type="dxa"/>
          </w:tcPr>
          <w:p w14:paraId="409A7AD6" w14:textId="4D2FA31A" w:rsidR="00E57A66" w:rsidRPr="00E57A66" w:rsidRDefault="00E57A66" w:rsidP="00236386">
            <w:pPr>
              <w:spacing w:line="240" w:lineRule="auto"/>
              <w:jc w:val="both"/>
              <w:rPr>
                <w:rFonts w:ascii="Arial" w:hAnsi="Arial" w:cs="Arial"/>
                <w:sz w:val="24"/>
                <w:szCs w:val="24"/>
              </w:rPr>
            </w:pPr>
            <w:r w:rsidRPr="00E57A66">
              <w:rPr>
                <w:rFonts w:ascii="Arial" w:hAnsi="Arial" w:cs="Arial"/>
                <w:sz w:val="24"/>
                <w:szCs w:val="24"/>
              </w:rPr>
              <w:t xml:space="preserve">There is some justification for the </w:t>
            </w:r>
            <w:r w:rsidR="00236386">
              <w:rPr>
                <w:rFonts w:ascii="Arial" w:hAnsi="Arial" w:cs="Arial"/>
                <w:sz w:val="24"/>
                <w:szCs w:val="24"/>
              </w:rPr>
              <w:t>costs</w:t>
            </w:r>
            <w:r w:rsidR="00FB6CBC">
              <w:rPr>
                <w:rFonts w:ascii="Arial" w:hAnsi="Arial" w:cs="Arial"/>
                <w:sz w:val="24"/>
                <w:szCs w:val="24"/>
              </w:rPr>
              <w:t xml:space="preserve"> </w:t>
            </w:r>
            <w:r w:rsidRPr="00E57A66">
              <w:rPr>
                <w:rFonts w:ascii="Arial" w:hAnsi="Arial" w:cs="Arial"/>
                <w:sz w:val="24"/>
                <w:szCs w:val="24"/>
              </w:rPr>
              <w:t xml:space="preserve">and the overall resources requested.  The </w:t>
            </w:r>
            <w:r w:rsidR="004D3042">
              <w:rPr>
                <w:rFonts w:ascii="Arial" w:hAnsi="Arial" w:cs="Arial"/>
                <w:sz w:val="24"/>
                <w:szCs w:val="24"/>
              </w:rPr>
              <w:t>tender</w:t>
            </w:r>
            <w:r w:rsidRPr="00E57A66">
              <w:rPr>
                <w:rFonts w:ascii="Arial" w:hAnsi="Arial" w:cs="Arial"/>
                <w:sz w:val="24"/>
                <w:szCs w:val="24"/>
              </w:rPr>
              <w:t xml:space="preserve"> is reasonable value for money for the work proposed to meet the specific evidence requirement advertised.</w:t>
            </w:r>
          </w:p>
        </w:tc>
      </w:tr>
      <w:tr w:rsidR="00E57A66" w:rsidRPr="00E57A66" w14:paraId="409A7ADA" w14:textId="77777777" w:rsidTr="00914856">
        <w:tc>
          <w:tcPr>
            <w:tcW w:w="1134" w:type="dxa"/>
            <w:vAlign w:val="center"/>
          </w:tcPr>
          <w:p w14:paraId="409A7AD8" w14:textId="77777777" w:rsidR="00E57A66" w:rsidRPr="00E57A66" w:rsidRDefault="00E57A66" w:rsidP="00914856">
            <w:pPr>
              <w:spacing w:line="240" w:lineRule="auto"/>
              <w:jc w:val="center"/>
              <w:rPr>
                <w:rFonts w:ascii="Arial" w:hAnsi="Arial" w:cs="Arial"/>
                <w:sz w:val="24"/>
                <w:szCs w:val="24"/>
              </w:rPr>
            </w:pPr>
            <w:r w:rsidRPr="00E57A66">
              <w:rPr>
                <w:rFonts w:ascii="Arial" w:hAnsi="Arial" w:cs="Arial"/>
                <w:sz w:val="24"/>
                <w:szCs w:val="24"/>
              </w:rPr>
              <w:t>60</w:t>
            </w:r>
          </w:p>
        </w:tc>
        <w:tc>
          <w:tcPr>
            <w:tcW w:w="8000" w:type="dxa"/>
          </w:tcPr>
          <w:p w14:paraId="409A7AD9" w14:textId="77777777" w:rsidR="00E57A66" w:rsidRPr="00E57A66" w:rsidRDefault="00E57A66" w:rsidP="00E57A66">
            <w:pPr>
              <w:spacing w:line="240" w:lineRule="auto"/>
              <w:jc w:val="both"/>
              <w:rPr>
                <w:rFonts w:ascii="Arial" w:hAnsi="Arial" w:cs="Arial"/>
                <w:sz w:val="24"/>
                <w:szCs w:val="24"/>
              </w:rPr>
            </w:pPr>
            <w:r w:rsidRPr="00E57A66">
              <w:rPr>
                <w:rFonts w:ascii="Arial" w:hAnsi="Arial" w:cs="Arial"/>
                <w:sz w:val="24"/>
                <w:szCs w:val="24"/>
              </w:rPr>
              <w:t xml:space="preserve">Limited rational is given for the resources requested and/or the </w:t>
            </w:r>
            <w:r w:rsidR="004D3042">
              <w:rPr>
                <w:rFonts w:ascii="Arial" w:hAnsi="Arial" w:cs="Arial"/>
                <w:sz w:val="24"/>
                <w:szCs w:val="24"/>
              </w:rPr>
              <w:t>tender</w:t>
            </w:r>
            <w:r w:rsidRPr="00E57A66">
              <w:rPr>
                <w:rFonts w:ascii="Arial" w:hAnsi="Arial" w:cs="Arial"/>
                <w:sz w:val="24"/>
                <w:szCs w:val="24"/>
              </w:rPr>
              <w:t xml:space="preserve"> does not offer very good value for money, but is not poor value</w:t>
            </w:r>
          </w:p>
        </w:tc>
      </w:tr>
      <w:tr w:rsidR="00E57A66" w:rsidRPr="00E57A66" w14:paraId="409A7ADD" w14:textId="77777777" w:rsidTr="00914856">
        <w:tc>
          <w:tcPr>
            <w:tcW w:w="1134" w:type="dxa"/>
            <w:vAlign w:val="center"/>
          </w:tcPr>
          <w:p w14:paraId="409A7ADB" w14:textId="77777777" w:rsidR="00E57A66" w:rsidRPr="00E57A66" w:rsidRDefault="00E57A66" w:rsidP="00914856">
            <w:pPr>
              <w:spacing w:line="240" w:lineRule="auto"/>
              <w:jc w:val="center"/>
              <w:rPr>
                <w:rFonts w:ascii="Arial" w:hAnsi="Arial" w:cs="Arial"/>
                <w:sz w:val="24"/>
                <w:szCs w:val="24"/>
              </w:rPr>
            </w:pPr>
            <w:r w:rsidRPr="00E57A66">
              <w:rPr>
                <w:rFonts w:ascii="Arial" w:hAnsi="Arial" w:cs="Arial"/>
                <w:sz w:val="24"/>
                <w:szCs w:val="24"/>
              </w:rPr>
              <w:t>30</w:t>
            </w:r>
          </w:p>
        </w:tc>
        <w:tc>
          <w:tcPr>
            <w:tcW w:w="8000" w:type="dxa"/>
          </w:tcPr>
          <w:p w14:paraId="409A7ADC" w14:textId="77777777" w:rsidR="00E57A66" w:rsidRPr="00E57A66" w:rsidRDefault="00E57A66" w:rsidP="00E57A66">
            <w:pPr>
              <w:spacing w:line="240" w:lineRule="auto"/>
              <w:jc w:val="both"/>
              <w:rPr>
                <w:rFonts w:ascii="Arial" w:hAnsi="Arial" w:cs="Arial"/>
                <w:sz w:val="24"/>
                <w:szCs w:val="24"/>
              </w:rPr>
            </w:pPr>
            <w:r w:rsidRPr="00E57A66">
              <w:rPr>
                <w:rFonts w:ascii="Arial" w:hAnsi="Arial" w:cs="Arial"/>
                <w:sz w:val="24"/>
                <w:szCs w:val="24"/>
              </w:rPr>
              <w:t xml:space="preserve">The </w:t>
            </w:r>
            <w:r w:rsidR="004D3042">
              <w:rPr>
                <w:rFonts w:ascii="Arial" w:hAnsi="Arial" w:cs="Arial"/>
                <w:sz w:val="24"/>
                <w:szCs w:val="24"/>
              </w:rPr>
              <w:t>tender</w:t>
            </w:r>
            <w:r w:rsidRPr="00E57A66">
              <w:rPr>
                <w:rFonts w:ascii="Arial" w:hAnsi="Arial" w:cs="Arial"/>
                <w:sz w:val="24"/>
                <w:szCs w:val="24"/>
              </w:rPr>
              <w:t xml:space="preserve"> is relatively poor value for money with little/no justification for costs or resources requested.</w:t>
            </w:r>
          </w:p>
        </w:tc>
      </w:tr>
      <w:tr w:rsidR="00E57A66" w:rsidRPr="00E57A66" w14:paraId="409A7AE0" w14:textId="77777777" w:rsidTr="00914856">
        <w:tc>
          <w:tcPr>
            <w:tcW w:w="1134" w:type="dxa"/>
            <w:vAlign w:val="center"/>
          </w:tcPr>
          <w:p w14:paraId="409A7ADE" w14:textId="77777777" w:rsidR="00E57A66" w:rsidRPr="00E57A66" w:rsidRDefault="00E57A66" w:rsidP="00914856">
            <w:pPr>
              <w:spacing w:line="240" w:lineRule="auto"/>
              <w:jc w:val="center"/>
              <w:rPr>
                <w:rFonts w:ascii="Arial" w:hAnsi="Arial" w:cs="Arial"/>
                <w:sz w:val="24"/>
                <w:szCs w:val="24"/>
              </w:rPr>
            </w:pPr>
            <w:r w:rsidRPr="00E57A66">
              <w:rPr>
                <w:rFonts w:ascii="Arial" w:hAnsi="Arial" w:cs="Arial"/>
                <w:sz w:val="24"/>
                <w:szCs w:val="24"/>
              </w:rPr>
              <w:t>0</w:t>
            </w:r>
          </w:p>
        </w:tc>
        <w:tc>
          <w:tcPr>
            <w:tcW w:w="8000" w:type="dxa"/>
          </w:tcPr>
          <w:p w14:paraId="409A7ADF" w14:textId="77777777" w:rsidR="00E57A66" w:rsidRPr="00E57A66" w:rsidRDefault="00E57A66" w:rsidP="00E57A66">
            <w:pPr>
              <w:spacing w:line="240" w:lineRule="auto"/>
              <w:jc w:val="both"/>
              <w:rPr>
                <w:rFonts w:ascii="Arial" w:hAnsi="Arial" w:cs="Arial"/>
                <w:sz w:val="24"/>
                <w:szCs w:val="24"/>
              </w:rPr>
            </w:pPr>
            <w:r w:rsidRPr="00E57A66">
              <w:rPr>
                <w:rFonts w:ascii="Arial" w:hAnsi="Arial" w:cs="Arial"/>
                <w:sz w:val="24"/>
                <w:szCs w:val="24"/>
              </w:rPr>
              <w:t xml:space="preserve">The </w:t>
            </w:r>
            <w:r w:rsidR="004D3042">
              <w:rPr>
                <w:rFonts w:ascii="Arial" w:hAnsi="Arial" w:cs="Arial"/>
                <w:sz w:val="24"/>
                <w:szCs w:val="24"/>
              </w:rPr>
              <w:t>tender</w:t>
            </w:r>
            <w:r w:rsidRPr="00E57A66">
              <w:rPr>
                <w:rFonts w:ascii="Arial" w:hAnsi="Arial" w:cs="Arial"/>
                <w:sz w:val="24"/>
                <w:szCs w:val="24"/>
              </w:rPr>
              <w:t xml:space="preserve"> costs are not considered value for money and the applicant provided no rationale for costs or resources requested</w:t>
            </w:r>
          </w:p>
        </w:tc>
      </w:tr>
    </w:tbl>
    <w:p w14:paraId="409A7AE2" w14:textId="77777777" w:rsidR="00E57A66" w:rsidRPr="00BE3C10" w:rsidRDefault="00E57A66" w:rsidP="003E4416">
      <w:pPr>
        <w:spacing w:line="240" w:lineRule="auto"/>
        <w:rPr>
          <w:rFonts w:ascii="Arial" w:hAnsi="Arial" w:cs="Arial"/>
          <w:b/>
          <w:sz w:val="24"/>
          <w:szCs w:val="24"/>
        </w:rPr>
      </w:pPr>
    </w:p>
    <w:sectPr w:rsidR="00E57A66" w:rsidRPr="00BE3C10" w:rsidSect="00EE61FE">
      <w:headerReference w:type="default" r:id="rId20"/>
      <w:footerReference w:type="default" r:id="rId21"/>
      <w:type w:val="continuous"/>
      <w:pgSz w:w="11906" w:h="16838"/>
      <w:pgMar w:top="1105" w:right="1440"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5927F" w14:textId="77777777" w:rsidR="00A305AB" w:rsidRDefault="00A305AB" w:rsidP="00241A8F">
      <w:pPr>
        <w:spacing w:line="240" w:lineRule="auto"/>
      </w:pPr>
      <w:r>
        <w:separator/>
      </w:r>
    </w:p>
  </w:endnote>
  <w:endnote w:type="continuationSeparator" w:id="0">
    <w:p w14:paraId="3DADD1F8" w14:textId="77777777" w:rsidR="00A305AB" w:rsidRDefault="00A305AB" w:rsidP="00241A8F">
      <w:pPr>
        <w:spacing w:line="240" w:lineRule="auto"/>
      </w:pPr>
      <w:r>
        <w:continuationSeparator/>
      </w:r>
    </w:p>
  </w:endnote>
  <w:endnote w:type="continuationNotice" w:id="1">
    <w:p w14:paraId="16CAC710" w14:textId="77777777" w:rsidR="00A305AB" w:rsidRDefault="00A305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A7AF0" w14:textId="76246007" w:rsidR="00453B59" w:rsidRPr="00FB0475" w:rsidRDefault="00453B59" w:rsidP="00553417">
    <w:pPr>
      <w:pStyle w:val="Footer"/>
      <w:rPr>
        <w:rFonts w:ascii="Arial" w:hAnsi="Arial" w:cs="Arial"/>
        <w:sz w:val="20"/>
        <w:szCs w:val="20"/>
      </w:rPr>
    </w:pPr>
    <w:r>
      <w:rPr>
        <w:rFonts w:ascii="Arial" w:hAnsi="Arial" w:cs="Arial"/>
        <w:sz w:val="20"/>
        <w:szCs w:val="20"/>
      </w:rPr>
      <w:t>Specification (Rev 10/16)</w:t>
    </w:r>
    <w:r w:rsidRPr="00FB0475">
      <w:rPr>
        <w:rFonts w:ascii="Arial" w:hAnsi="Arial" w:cs="Arial"/>
        <w:b/>
        <w:color w:val="00B050"/>
        <w:sz w:val="20"/>
        <w:szCs w:val="20"/>
      </w:rPr>
      <w:t xml:space="preserve"> </w:t>
    </w:r>
    <w:r w:rsidRPr="00FB0475">
      <w:rPr>
        <w:rFonts w:ascii="Arial" w:hAnsi="Arial" w:cs="Arial"/>
        <w:sz w:val="20"/>
        <w:szCs w:val="20"/>
      </w:rPr>
      <w:tab/>
    </w:r>
    <w:r w:rsidRPr="00617ED2">
      <w:rPr>
        <w:rFonts w:ascii="Arial" w:hAnsi="Arial" w:cs="Arial"/>
        <w:sz w:val="20"/>
        <w:szCs w:val="20"/>
      </w:rPr>
      <w:fldChar w:fldCharType="begin"/>
    </w:r>
    <w:r w:rsidRPr="00617ED2">
      <w:rPr>
        <w:rFonts w:ascii="Arial" w:hAnsi="Arial" w:cs="Arial"/>
        <w:sz w:val="20"/>
        <w:szCs w:val="20"/>
      </w:rPr>
      <w:instrText xml:space="preserve"> STYLEREF  Tenderreference  \* MERGEFORMAT </w:instrText>
    </w:r>
    <w:r w:rsidRPr="00617ED2">
      <w:rPr>
        <w:rFonts w:ascii="Arial" w:hAnsi="Arial" w:cs="Arial"/>
        <w:sz w:val="20"/>
        <w:szCs w:val="20"/>
      </w:rPr>
      <w:fldChar w:fldCharType="separate"/>
    </w:r>
    <w:r w:rsidR="00C66EDB">
      <w:rPr>
        <w:rFonts w:ascii="Arial" w:hAnsi="Arial" w:cs="Arial"/>
        <w:noProof/>
        <w:sz w:val="20"/>
        <w:szCs w:val="20"/>
      </w:rPr>
      <w:t>FS301071</w:t>
    </w:r>
    <w:r w:rsidRPr="00617ED2">
      <w:rPr>
        <w:rFonts w:ascii="Arial" w:hAnsi="Arial" w:cs="Arial"/>
        <w:sz w:val="20"/>
        <w:szCs w:val="20"/>
      </w:rPr>
      <w:fldChar w:fldCharType="end"/>
    </w:r>
    <w:r w:rsidRPr="00FB0475">
      <w:rPr>
        <w:rFonts w:ascii="Arial" w:hAnsi="Arial" w:cs="Arial"/>
        <w:sz w:val="20"/>
        <w:szCs w:val="20"/>
      </w:rPr>
      <w:tab/>
      <w:t xml:space="preserve">Page </w:t>
    </w:r>
    <w:r w:rsidRPr="00FB0475">
      <w:rPr>
        <w:rFonts w:ascii="Arial" w:hAnsi="Arial" w:cs="Arial"/>
        <w:sz w:val="20"/>
        <w:szCs w:val="20"/>
      </w:rPr>
      <w:fldChar w:fldCharType="begin"/>
    </w:r>
    <w:r w:rsidRPr="00FB0475">
      <w:rPr>
        <w:rFonts w:ascii="Arial" w:hAnsi="Arial" w:cs="Arial"/>
        <w:sz w:val="20"/>
        <w:szCs w:val="20"/>
      </w:rPr>
      <w:instrText xml:space="preserve"> PAGE  \* Arabic  \* MERGEFORMAT </w:instrText>
    </w:r>
    <w:r w:rsidRPr="00FB0475">
      <w:rPr>
        <w:rFonts w:ascii="Arial" w:hAnsi="Arial" w:cs="Arial"/>
        <w:sz w:val="20"/>
        <w:szCs w:val="20"/>
      </w:rPr>
      <w:fldChar w:fldCharType="separate"/>
    </w:r>
    <w:r w:rsidR="00C66EDB">
      <w:rPr>
        <w:rFonts w:ascii="Arial" w:hAnsi="Arial" w:cs="Arial"/>
        <w:noProof/>
        <w:sz w:val="20"/>
        <w:szCs w:val="20"/>
      </w:rPr>
      <w:t>12</w:t>
    </w:r>
    <w:r w:rsidRPr="00FB0475">
      <w:rPr>
        <w:rFonts w:ascii="Arial" w:hAnsi="Arial" w:cs="Arial"/>
        <w:sz w:val="20"/>
        <w:szCs w:val="20"/>
      </w:rPr>
      <w:fldChar w:fldCharType="end"/>
    </w:r>
    <w:r w:rsidRPr="00FB0475">
      <w:rPr>
        <w:rFonts w:ascii="Arial" w:hAnsi="Arial" w:cs="Arial"/>
        <w:sz w:val="20"/>
        <w:szCs w:val="20"/>
      </w:rPr>
      <w:t xml:space="preserve"> of </w:t>
    </w:r>
    <w:r w:rsidR="00C66EDB">
      <w:fldChar w:fldCharType="begin"/>
    </w:r>
    <w:r w:rsidR="00C66EDB">
      <w:instrText xml:space="preserve"> NUMPAGES  \* Arabic  \* MERGEFORMAT </w:instrText>
    </w:r>
    <w:r w:rsidR="00C66EDB">
      <w:fldChar w:fldCharType="separate"/>
    </w:r>
    <w:r w:rsidR="00C66EDB" w:rsidRPr="00C66EDB">
      <w:rPr>
        <w:rFonts w:ascii="Arial" w:hAnsi="Arial" w:cs="Arial"/>
        <w:noProof/>
        <w:sz w:val="20"/>
        <w:szCs w:val="20"/>
      </w:rPr>
      <w:t>17</w:t>
    </w:r>
    <w:r w:rsidR="00C66EDB">
      <w:rPr>
        <w:rFonts w:ascii="Arial" w:hAnsi="Arial" w:cs="Arial"/>
        <w:noProof/>
        <w:sz w:val="20"/>
        <w:szCs w:val="20"/>
      </w:rPr>
      <w:fldChar w:fldCharType="end"/>
    </w:r>
  </w:p>
  <w:p w14:paraId="409A7AF1" w14:textId="77777777" w:rsidR="00453B59" w:rsidRDefault="00453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1D883" w14:textId="77777777" w:rsidR="00A305AB" w:rsidRDefault="00A305AB" w:rsidP="00241A8F">
      <w:pPr>
        <w:spacing w:line="240" w:lineRule="auto"/>
      </w:pPr>
      <w:r>
        <w:separator/>
      </w:r>
    </w:p>
  </w:footnote>
  <w:footnote w:type="continuationSeparator" w:id="0">
    <w:p w14:paraId="4F5DF0C5" w14:textId="77777777" w:rsidR="00A305AB" w:rsidRDefault="00A305AB" w:rsidP="00241A8F">
      <w:pPr>
        <w:spacing w:line="240" w:lineRule="auto"/>
      </w:pPr>
      <w:r>
        <w:continuationSeparator/>
      </w:r>
    </w:p>
  </w:footnote>
  <w:footnote w:type="continuationNotice" w:id="1">
    <w:p w14:paraId="7E333E75" w14:textId="77777777" w:rsidR="00A305AB" w:rsidRDefault="00A305AB">
      <w:pPr>
        <w:spacing w:line="240" w:lineRule="auto"/>
      </w:pPr>
    </w:p>
  </w:footnote>
  <w:footnote w:id="2">
    <w:p w14:paraId="15E4CE7A" w14:textId="77777777" w:rsidR="00453B59" w:rsidRPr="00440D62" w:rsidRDefault="00453B59" w:rsidP="00D725C0">
      <w:pPr>
        <w:pStyle w:val="FootnoteText"/>
        <w:rPr>
          <w:rFonts w:ascii="Arial" w:hAnsi="Arial" w:cs="Arial"/>
        </w:rPr>
      </w:pPr>
      <w:r w:rsidRPr="00440D62">
        <w:rPr>
          <w:rStyle w:val="FootnoteReference"/>
          <w:rFonts w:ascii="Arial" w:hAnsi="Arial" w:cs="Arial"/>
          <w:sz w:val="16"/>
          <w:szCs w:val="16"/>
        </w:rPr>
        <w:footnoteRef/>
      </w:r>
      <w:r>
        <w:t xml:space="preserve"> </w:t>
      </w:r>
      <w:r w:rsidRPr="00440D62">
        <w:rPr>
          <w:rFonts w:ascii="Arial" w:hAnsi="Arial" w:cs="Arial"/>
          <w:sz w:val="16"/>
          <w:szCs w:val="16"/>
        </w:rPr>
        <w:t>Meat and Meat Products (Gross Value Added (GVA) 2016 – Source: Food Statistics in your pocket 2017: Food Chain</w:t>
      </w:r>
      <w:r>
        <w:rPr>
          <w:rFonts w:ascii="Arial" w:hAnsi="Arial" w:cs="Arial"/>
          <w:sz w:val="16"/>
          <w:szCs w:val="16"/>
        </w:rPr>
        <w:t xml:space="preserve"> - </w:t>
      </w:r>
      <w:hyperlink r:id="rId1" w:history="1">
        <w:r w:rsidRPr="009A0959">
          <w:rPr>
            <w:rStyle w:val="Hyperlink"/>
            <w:rFonts w:ascii="Arial" w:hAnsi="Arial" w:cs="Arial"/>
            <w:sz w:val="16"/>
            <w:szCs w:val="16"/>
          </w:rPr>
          <w:t>https://www.gov.uk/government/publications/food-statistics-pocketbook-2017/food-statistics-in-your-pocket-2017-food-chain</w:t>
        </w:r>
      </w:hyperlink>
      <w:r>
        <w:rPr>
          <w:rFonts w:ascii="Arial" w:hAnsi="Arial" w:cs="Arial"/>
          <w:sz w:val="16"/>
          <w:szCs w:val="16"/>
        </w:rPr>
        <w:t xml:space="preserve"> </w:t>
      </w:r>
    </w:p>
  </w:footnote>
  <w:footnote w:id="3">
    <w:p w14:paraId="0917E6B2" w14:textId="4CCD2D2B" w:rsidR="00453B59" w:rsidRPr="00DD61FD" w:rsidRDefault="00453B59">
      <w:pPr>
        <w:pStyle w:val="FootnoteText"/>
        <w:rPr>
          <w:rFonts w:ascii="Arial" w:hAnsi="Arial" w:cs="Arial"/>
          <w:sz w:val="16"/>
          <w:szCs w:val="16"/>
        </w:rPr>
      </w:pPr>
      <w:r w:rsidRPr="00DD61FD">
        <w:rPr>
          <w:rStyle w:val="FootnoteReference"/>
          <w:rFonts w:ascii="Arial" w:hAnsi="Arial" w:cs="Arial"/>
          <w:sz w:val="16"/>
          <w:szCs w:val="16"/>
        </w:rPr>
        <w:footnoteRef/>
      </w:r>
      <w:r w:rsidRPr="00DD61FD">
        <w:rPr>
          <w:rFonts w:ascii="Arial" w:hAnsi="Arial" w:cs="Arial"/>
          <w:sz w:val="16"/>
          <w:szCs w:val="16"/>
        </w:rPr>
        <w:t xml:space="preserve"> BOP:EX:SA:</w:t>
      </w:r>
      <w:r>
        <w:rPr>
          <w:rFonts w:ascii="Arial" w:hAnsi="Arial" w:cs="Arial"/>
          <w:sz w:val="16"/>
          <w:szCs w:val="16"/>
        </w:rPr>
        <w:t xml:space="preserve"> </w:t>
      </w:r>
      <w:r w:rsidRPr="00DD61FD">
        <w:rPr>
          <w:rFonts w:ascii="Arial" w:hAnsi="Arial" w:cs="Arial"/>
          <w:sz w:val="16"/>
          <w:szCs w:val="16"/>
        </w:rPr>
        <w:t>Meat: SITC 01</w:t>
      </w:r>
      <w:r>
        <w:rPr>
          <w:rFonts w:ascii="Arial" w:hAnsi="Arial" w:cs="Arial"/>
          <w:sz w:val="16"/>
          <w:szCs w:val="16"/>
        </w:rPr>
        <w:t xml:space="preserve"> - </w:t>
      </w:r>
      <w:hyperlink r:id="rId2" w:history="1">
        <w:r w:rsidRPr="005C0677">
          <w:rPr>
            <w:rStyle w:val="Hyperlink"/>
            <w:rFonts w:ascii="Arial" w:hAnsi="Arial" w:cs="Arial"/>
            <w:sz w:val="16"/>
            <w:szCs w:val="16"/>
          </w:rPr>
          <w:t>https://www.ons.gov.uk/economy/nationalaccounts/balanceofpayments/timeseries/bogs/mret</w:t>
        </w:r>
      </w:hyperlink>
      <w:r>
        <w:rPr>
          <w:rFonts w:ascii="Arial" w:hAnsi="Arial" w:cs="Arial"/>
          <w:sz w:val="16"/>
          <w:szCs w:val="16"/>
        </w:rPr>
        <w:t xml:space="preserve"> </w:t>
      </w:r>
    </w:p>
  </w:footnote>
  <w:footnote w:id="4">
    <w:p w14:paraId="47F9E8DF" w14:textId="7CCB2D2C" w:rsidR="00453B59" w:rsidRDefault="00453B59">
      <w:pPr>
        <w:pStyle w:val="FootnoteText"/>
      </w:pPr>
      <w:r w:rsidRPr="00F53E49">
        <w:rPr>
          <w:rStyle w:val="FootnoteReference"/>
          <w:rFonts w:ascii="Arial" w:hAnsi="Arial" w:cs="Arial"/>
          <w:sz w:val="16"/>
          <w:szCs w:val="16"/>
        </w:rPr>
        <w:footnoteRef/>
      </w:r>
      <w:r w:rsidRPr="00F53E49">
        <w:rPr>
          <w:rFonts w:ascii="Arial" w:hAnsi="Arial" w:cs="Arial"/>
          <w:sz w:val="16"/>
          <w:szCs w:val="16"/>
        </w:rPr>
        <w:t xml:space="preserve"> Official controls are carried out in a wide range of premises and embrace a variety of functions, including inspections, approvals and certification.</w:t>
      </w:r>
      <w:r w:rsidRPr="00F53E49">
        <w:t xml:space="preserve">  </w:t>
      </w:r>
    </w:p>
  </w:footnote>
  <w:footnote w:id="5">
    <w:p w14:paraId="36351CCC" w14:textId="00E75E15" w:rsidR="00453B59" w:rsidRPr="00F53E49" w:rsidRDefault="00453B59">
      <w:pPr>
        <w:pStyle w:val="FootnoteText"/>
        <w:rPr>
          <w:rFonts w:ascii="Arial" w:hAnsi="Arial" w:cs="Arial"/>
          <w:sz w:val="16"/>
          <w:szCs w:val="16"/>
        </w:rPr>
      </w:pPr>
      <w:r w:rsidRPr="00F53E49">
        <w:rPr>
          <w:rStyle w:val="FootnoteReference"/>
          <w:rFonts w:ascii="Arial" w:hAnsi="Arial" w:cs="Arial"/>
          <w:sz w:val="16"/>
          <w:szCs w:val="16"/>
        </w:rPr>
        <w:footnoteRef/>
      </w:r>
      <w:r w:rsidRPr="00F53E49">
        <w:rPr>
          <w:rFonts w:ascii="Arial" w:hAnsi="Arial" w:cs="Arial"/>
          <w:sz w:val="16"/>
          <w:szCs w:val="16"/>
        </w:rPr>
        <w:t xml:space="preserve"> For example, the FSA is also directly responsible for the official controls on shellfish, wine and dairy. The local authority inspections of food and feed premises are official controls. However, meat official controls are different because in addition to auditing the operators’ controls they require the presence of Official Veterinarians (OVs) and Meat Hygiene Inspectors (MHIs) to carry out ante and post-mortem inspection and the verification of animal welfare controls at slaughterhouses, both required by law.</w:t>
      </w:r>
    </w:p>
  </w:footnote>
  <w:footnote w:id="6">
    <w:p w14:paraId="461FC766" w14:textId="34B96098" w:rsidR="00453B59" w:rsidRPr="00C724AF" w:rsidRDefault="00453B59">
      <w:pPr>
        <w:pStyle w:val="FootnoteText"/>
        <w:rPr>
          <w:rFonts w:ascii="Arial" w:hAnsi="Arial" w:cs="Arial"/>
          <w:sz w:val="16"/>
          <w:szCs w:val="16"/>
        </w:rPr>
      </w:pPr>
      <w:r w:rsidRPr="00C724AF">
        <w:rPr>
          <w:rStyle w:val="FootnoteReference"/>
          <w:rFonts w:ascii="Arial" w:hAnsi="Arial" w:cs="Arial"/>
          <w:sz w:val="16"/>
          <w:szCs w:val="16"/>
        </w:rPr>
        <w:footnoteRef/>
      </w:r>
      <w:r w:rsidRPr="00C724AF">
        <w:rPr>
          <w:rFonts w:ascii="Arial" w:hAnsi="Arial" w:cs="Arial"/>
          <w:sz w:val="16"/>
          <w:szCs w:val="16"/>
        </w:rPr>
        <w:t xml:space="preserve"> Regulating our Future (ROF) programme https://www.food.gov.uk/about-us/regulating-our-future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5990"/>
      <w:gridCol w:w="3036"/>
    </w:tblGrid>
    <w:tr w:rsidR="00453B59" w:rsidRPr="00685BDA" w14:paraId="409A7AE9" w14:textId="77777777" w:rsidTr="00FA7798">
      <w:trPr>
        <w:trHeight w:val="429"/>
      </w:trPr>
      <w:tc>
        <w:tcPr>
          <w:tcW w:w="6345" w:type="dxa"/>
        </w:tcPr>
        <w:p w14:paraId="409A7AE7" w14:textId="77777777" w:rsidR="00453B59" w:rsidRPr="00685BDA" w:rsidRDefault="00453B59" w:rsidP="00570218">
          <w:pPr>
            <w:ind w:right="115"/>
            <w:rPr>
              <w:rFonts w:ascii="Arial" w:hAnsi="Arial" w:cs="Arial"/>
              <w:b/>
              <w:sz w:val="28"/>
              <w:szCs w:val="28"/>
            </w:rPr>
          </w:pPr>
          <w:r>
            <w:rPr>
              <w:rFonts w:ascii="Arial" w:hAnsi="Arial" w:cs="Arial"/>
              <w:b/>
              <w:sz w:val="28"/>
              <w:szCs w:val="28"/>
            </w:rPr>
            <w:t>Schedule 2</w:t>
          </w:r>
        </w:p>
      </w:tc>
      <w:tc>
        <w:tcPr>
          <w:tcW w:w="0" w:type="auto"/>
          <w:vMerge w:val="restart"/>
        </w:tcPr>
        <w:p w14:paraId="409A7AE8" w14:textId="77777777" w:rsidR="00453B59" w:rsidRPr="00685BDA" w:rsidRDefault="00453B59" w:rsidP="00685BDA">
          <w:pPr>
            <w:ind w:right="-188"/>
            <w:rPr>
              <w:rFonts w:ascii="Arial" w:hAnsi="Arial" w:cs="Arial"/>
              <w:b/>
              <w:sz w:val="28"/>
              <w:szCs w:val="28"/>
            </w:rPr>
          </w:pPr>
          <w:r>
            <w:rPr>
              <w:noProof/>
              <w:lang w:eastAsia="en-GB"/>
            </w:rPr>
            <w:drawing>
              <wp:inline distT="0" distB="0" distL="0" distR="0" wp14:anchorId="409A7AF2" wp14:editId="409A7AF3">
                <wp:extent cx="1771650" cy="962025"/>
                <wp:effectExtent l="19050" t="0" r="0" b="0"/>
                <wp:docPr id="1" name="Picture 1" descr="F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_Master_Food_2400"/>
                        <pic:cNvPicPr>
                          <a:picLocks noChangeAspect="1" noChangeArrowheads="1"/>
                        </pic:cNvPicPr>
                      </pic:nvPicPr>
                      <pic:blipFill>
                        <a:blip r:embed="rId1"/>
                        <a:srcRect r="-4622" b="-13420"/>
                        <a:stretch>
                          <a:fillRect/>
                        </a:stretch>
                      </pic:blipFill>
                      <pic:spPr bwMode="auto">
                        <a:xfrm>
                          <a:off x="0" y="0"/>
                          <a:ext cx="1771650" cy="962025"/>
                        </a:xfrm>
                        <a:prstGeom prst="rect">
                          <a:avLst/>
                        </a:prstGeom>
                        <a:noFill/>
                        <a:ln w="9525">
                          <a:noFill/>
                          <a:miter lim="800000"/>
                          <a:headEnd/>
                          <a:tailEnd/>
                        </a:ln>
                      </pic:spPr>
                    </pic:pic>
                  </a:graphicData>
                </a:graphic>
              </wp:inline>
            </w:drawing>
          </w:r>
        </w:p>
      </w:tc>
    </w:tr>
    <w:tr w:rsidR="00453B59" w:rsidRPr="00685BDA" w14:paraId="409A7AEE" w14:textId="77777777" w:rsidTr="00FA7798">
      <w:trPr>
        <w:trHeight w:val="787"/>
      </w:trPr>
      <w:tc>
        <w:tcPr>
          <w:tcW w:w="6345" w:type="dxa"/>
        </w:tcPr>
        <w:p w14:paraId="409A7AEA" w14:textId="77777777" w:rsidR="00453B59" w:rsidRDefault="00453B59" w:rsidP="00685BDA">
          <w:pPr>
            <w:ind w:right="115"/>
            <w:rPr>
              <w:rFonts w:ascii="Arial" w:hAnsi="Arial" w:cs="Arial"/>
              <w:b/>
              <w:sz w:val="28"/>
              <w:szCs w:val="28"/>
            </w:rPr>
          </w:pPr>
        </w:p>
        <w:p w14:paraId="409A7AEB" w14:textId="77777777" w:rsidR="00453B59" w:rsidRPr="00685BDA" w:rsidRDefault="00453B59" w:rsidP="00685BDA">
          <w:pPr>
            <w:ind w:right="115"/>
            <w:rPr>
              <w:rFonts w:ascii="Arial" w:hAnsi="Arial" w:cs="Arial"/>
              <w:b/>
              <w:sz w:val="28"/>
              <w:szCs w:val="28"/>
            </w:rPr>
          </w:pPr>
          <w:r>
            <w:rPr>
              <w:rFonts w:ascii="Arial" w:hAnsi="Arial" w:cs="Arial"/>
              <w:b/>
              <w:sz w:val="28"/>
              <w:szCs w:val="28"/>
            </w:rPr>
            <w:t>SPECIFICATION</w:t>
          </w:r>
        </w:p>
        <w:p w14:paraId="409A7AEC" w14:textId="77777777" w:rsidR="00453B59" w:rsidRPr="00685BDA" w:rsidRDefault="00453B59" w:rsidP="00685BDA">
          <w:pPr>
            <w:ind w:right="115"/>
            <w:rPr>
              <w:rFonts w:ascii="Arial" w:hAnsi="Arial" w:cs="Arial"/>
              <w:b/>
              <w:sz w:val="28"/>
              <w:szCs w:val="28"/>
            </w:rPr>
          </w:pPr>
        </w:p>
      </w:tc>
      <w:tc>
        <w:tcPr>
          <w:tcW w:w="0" w:type="auto"/>
          <w:vMerge/>
        </w:tcPr>
        <w:p w14:paraId="409A7AED" w14:textId="77777777" w:rsidR="00453B59" w:rsidRPr="00F02F7C" w:rsidRDefault="00453B59" w:rsidP="00685BDA">
          <w:pPr>
            <w:ind w:right="-188"/>
          </w:pPr>
        </w:p>
      </w:tc>
    </w:tr>
  </w:tbl>
  <w:p w14:paraId="409A7AEF" w14:textId="77777777" w:rsidR="00453B59" w:rsidRDefault="00453B59" w:rsidP="000038D8">
    <w:pPr>
      <w:pStyle w:val="Header"/>
    </w:pPr>
    <w:r>
      <w:rPr>
        <w:noProof/>
        <w:lang w:eastAsia="en-GB"/>
      </w:rPr>
      <mc:AlternateContent>
        <mc:Choice Requires="wps">
          <w:drawing>
            <wp:anchor distT="0" distB="0" distL="114300" distR="114300" simplePos="0" relativeHeight="251658240" behindDoc="0" locked="0" layoutInCell="0" allowOverlap="1" wp14:anchorId="409A7AF4" wp14:editId="409A7AF5">
              <wp:simplePos x="0" y="0"/>
              <wp:positionH relativeFrom="column">
                <wp:posOffset>-9525</wp:posOffset>
              </wp:positionH>
              <wp:positionV relativeFrom="paragraph">
                <wp:posOffset>24765</wp:posOffset>
              </wp:positionV>
              <wp:extent cx="5791200" cy="0"/>
              <wp:effectExtent l="19050" t="15240" r="19050"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45C0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5pt" to="455.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" o:allowincell="f" strokecolor="green"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4AA"/>
    <w:multiLevelType w:val="hybridMultilevel"/>
    <w:tmpl w:val="EC9A55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36D1D"/>
    <w:multiLevelType w:val="hybridMultilevel"/>
    <w:tmpl w:val="8C90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C2B34"/>
    <w:multiLevelType w:val="hybridMultilevel"/>
    <w:tmpl w:val="EC9A55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11C64"/>
    <w:multiLevelType w:val="hybridMultilevel"/>
    <w:tmpl w:val="BCB060CC"/>
    <w:lvl w:ilvl="0" w:tplc="0ED68684">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03637"/>
    <w:multiLevelType w:val="hybridMultilevel"/>
    <w:tmpl w:val="B128E70C"/>
    <w:lvl w:ilvl="0" w:tplc="E1D657E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1102B"/>
    <w:multiLevelType w:val="hybridMultilevel"/>
    <w:tmpl w:val="A156E132"/>
    <w:lvl w:ilvl="0" w:tplc="C17E7202">
      <w:start w:val="1"/>
      <w:numFmt w:val="decimal"/>
      <w:lvlText w:val="%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573AB"/>
    <w:multiLevelType w:val="hybridMultilevel"/>
    <w:tmpl w:val="1BA27D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83272"/>
    <w:multiLevelType w:val="hybridMultilevel"/>
    <w:tmpl w:val="10D871B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204453C"/>
    <w:multiLevelType w:val="hybridMultilevel"/>
    <w:tmpl w:val="F294BA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BE1FAE"/>
    <w:multiLevelType w:val="hybridMultilevel"/>
    <w:tmpl w:val="32E49E52"/>
    <w:lvl w:ilvl="0" w:tplc="C4126EB8">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2D6156"/>
    <w:multiLevelType w:val="hybridMultilevel"/>
    <w:tmpl w:val="E242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0B13D1"/>
    <w:multiLevelType w:val="hybridMultilevel"/>
    <w:tmpl w:val="F27C06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3F2274"/>
    <w:multiLevelType w:val="hybridMultilevel"/>
    <w:tmpl w:val="0D44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31DAD"/>
    <w:multiLevelType w:val="hybridMultilevel"/>
    <w:tmpl w:val="EB90B66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1A78F2"/>
    <w:multiLevelType w:val="hybridMultilevel"/>
    <w:tmpl w:val="E15AD2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81045B"/>
    <w:multiLevelType w:val="hybridMultilevel"/>
    <w:tmpl w:val="DB306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517D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F639DA"/>
    <w:multiLevelType w:val="hybridMultilevel"/>
    <w:tmpl w:val="EC9A55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015774"/>
    <w:multiLevelType w:val="multilevel"/>
    <w:tmpl w:val="0E10EA26"/>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19" w15:restartNumberingAfterBreak="0">
    <w:nsid w:val="393A2029"/>
    <w:multiLevelType w:val="hybridMultilevel"/>
    <w:tmpl w:val="145A3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4A7A7C"/>
    <w:multiLevelType w:val="hybridMultilevel"/>
    <w:tmpl w:val="EC9A55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B60E8C"/>
    <w:multiLevelType w:val="hybridMultilevel"/>
    <w:tmpl w:val="B2562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A0605C"/>
    <w:multiLevelType w:val="hybridMultilevel"/>
    <w:tmpl w:val="E00E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24630B"/>
    <w:multiLevelType w:val="multilevel"/>
    <w:tmpl w:val="615688F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0227897"/>
    <w:multiLevelType w:val="hybridMultilevel"/>
    <w:tmpl w:val="B04CF052"/>
    <w:lvl w:ilvl="0" w:tplc="0F58087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8E6CA1"/>
    <w:multiLevelType w:val="hybridMultilevel"/>
    <w:tmpl w:val="4F584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C52FA6"/>
    <w:multiLevelType w:val="hybridMultilevel"/>
    <w:tmpl w:val="7A4046AA"/>
    <w:lvl w:ilvl="0" w:tplc="08090005">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FF3AE7"/>
    <w:multiLevelType w:val="hybridMultilevel"/>
    <w:tmpl w:val="CA1C2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6B2CDF"/>
    <w:multiLevelType w:val="hybridMultilevel"/>
    <w:tmpl w:val="EF0A0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9C5B44"/>
    <w:multiLevelType w:val="hybridMultilevel"/>
    <w:tmpl w:val="034A94D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2CC0378"/>
    <w:multiLevelType w:val="hybridMultilevel"/>
    <w:tmpl w:val="E1121F7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A92319"/>
    <w:multiLevelType w:val="hybridMultilevel"/>
    <w:tmpl w:val="E1121F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6E1BD9"/>
    <w:multiLevelType w:val="hybridMultilevel"/>
    <w:tmpl w:val="5552A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F04A79"/>
    <w:multiLevelType w:val="hybridMultilevel"/>
    <w:tmpl w:val="D2802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934711"/>
    <w:multiLevelType w:val="hybridMultilevel"/>
    <w:tmpl w:val="DF4CF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82678D"/>
    <w:multiLevelType w:val="hybridMultilevel"/>
    <w:tmpl w:val="D076FD7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730A92"/>
    <w:multiLevelType w:val="hybridMultilevel"/>
    <w:tmpl w:val="82F0B18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5C37B9C"/>
    <w:multiLevelType w:val="hybridMultilevel"/>
    <w:tmpl w:val="95706C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8"/>
  </w:num>
  <w:num w:numId="3">
    <w:abstractNumId w:val="1"/>
  </w:num>
  <w:num w:numId="4">
    <w:abstractNumId w:val="19"/>
  </w:num>
  <w:num w:numId="5">
    <w:abstractNumId w:val="34"/>
  </w:num>
  <w:num w:numId="6">
    <w:abstractNumId w:val="0"/>
  </w:num>
  <w:num w:numId="7">
    <w:abstractNumId w:val="7"/>
  </w:num>
  <w:num w:numId="8">
    <w:abstractNumId w:val="2"/>
  </w:num>
  <w:num w:numId="9">
    <w:abstractNumId w:val="17"/>
  </w:num>
  <w:num w:numId="10">
    <w:abstractNumId w:val="20"/>
  </w:num>
  <w:num w:numId="11">
    <w:abstractNumId w:val="31"/>
  </w:num>
  <w:num w:numId="12">
    <w:abstractNumId w:val="30"/>
  </w:num>
  <w:num w:numId="13">
    <w:abstractNumId w:val="15"/>
  </w:num>
  <w:num w:numId="14">
    <w:abstractNumId w:val="23"/>
  </w:num>
  <w:num w:numId="15">
    <w:abstractNumId w:val="16"/>
  </w:num>
  <w:num w:numId="16">
    <w:abstractNumId w:val="29"/>
  </w:num>
  <w:num w:numId="17">
    <w:abstractNumId w:val="36"/>
  </w:num>
  <w:num w:numId="18">
    <w:abstractNumId w:val="18"/>
  </w:num>
  <w:num w:numId="19">
    <w:abstractNumId w:val="13"/>
  </w:num>
  <w:num w:numId="20">
    <w:abstractNumId w:val="3"/>
  </w:num>
  <w:num w:numId="21">
    <w:abstractNumId w:val="12"/>
  </w:num>
  <w:num w:numId="22">
    <w:abstractNumId w:val="14"/>
  </w:num>
  <w:num w:numId="23">
    <w:abstractNumId w:val="9"/>
  </w:num>
  <w:num w:numId="24">
    <w:abstractNumId w:val="24"/>
  </w:num>
  <w:num w:numId="25">
    <w:abstractNumId w:val="28"/>
  </w:num>
  <w:num w:numId="26">
    <w:abstractNumId w:val="27"/>
  </w:num>
  <w:num w:numId="27">
    <w:abstractNumId w:val="33"/>
  </w:num>
  <w:num w:numId="28">
    <w:abstractNumId w:val="32"/>
  </w:num>
  <w:num w:numId="29">
    <w:abstractNumId w:val="35"/>
  </w:num>
  <w:num w:numId="30">
    <w:abstractNumId w:val="10"/>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4"/>
  </w:num>
  <w:num w:numId="34">
    <w:abstractNumId w:val="26"/>
  </w:num>
  <w:num w:numId="35">
    <w:abstractNumId w:val="22"/>
  </w:num>
  <w:num w:numId="36">
    <w:abstractNumId w:val="11"/>
  </w:num>
  <w:num w:numId="37">
    <w:abstractNumId w:val="21"/>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doNotShadeFormData/>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33"/>
    <w:rsid w:val="000006AF"/>
    <w:rsid w:val="00000EFB"/>
    <w:rsid w:val="00001ABB"/>
    <w:rsid w:val="0000351B"/>
    <w:rsid w:val="000038D8"/>
    <w:rsid w:val="0000484D"/>
    <w:rsid w:val="00011F01"/>
    <w:rsid w:val="00012922"/>
    <w:rsid w:val="00022EF1"/>
    <w:rsid w:val="00024D59"/>
    <w:rsid w:val="000252B7"/>
    <w:rsid w:val="00033D91"/>
    <w:rsid w:val="000365DB"/>
    <w:rsid w:val="00036928"/>
    <w:rsid w:val="00037026"/>
    <w:rsid w:val="00037493"/>
    <w:rsid w:val="000445F9"/>
    <w:rsid w:val="000470A7"/>
    <w:rsid w:val="00055FCA"/>
    <w:rsid w:val="00057EEC"/>
    <w:rsid w:val="000609E8"/>
    <w:rsid w:val="0006263C"/>
    <w:rsid w:val="00063AF6"/>
    <w:rsid w:val="0006509F"/>
    <w:rsid w:val="00066CCF"/>
    <w:rsid w:val="00067306"/>
    <w:rsid w:val="0006785A"/>
    <w:rsid w:val="0007130E"/>
    <w:rsid w:val="000723A9"/>
    <w:rsid w:val="000727A2"/>
    <w:rsid w:val="00074424"/>
    <w:rsid w:val="000800B9"/>
    <w:rsid w:val="00082818"/>
    <w:rsid w:val="00086EEF"/>
    <w:rsid w:val="000931EB"/>
    <w:rsid w:val="00093935"/>
    <w:rsid w:val="00094EA5"/>
    <w:rsid w:val="0009626D"/>
    <w:rsid w:val="00097C08"/>
    <w:rsid w:val="000A0214"/>
    <w:rsid w:val="000A3340"/>
    <w:rsid w:val="000A4953"/>
    <w:rsid w:val="000A5556"/>
    <w:rsid w:val="000B05EA"/>
    <w:rsid w:val="000B08E4"/>
    <w:rsid w:val="000B2A49"/>
    <w:rsid w:val="000B577A"/>
    <w:rsid w:val="000B580F"/>
    <w:rsid w:val="000C2551"/>
    <w:rsid w:val="000D1CA2"/>
    <w:rsid w:val="000D3199"/>
    <w:rsid w:val="000D6C6D"/>
    <w:rsid w:val="000D7BED"/>
    <w:rsid w:val="000E1537"/>
    <w:rsid w:val="000E201B"/>
    <w:rsid w:val="000E57B2"/>
    <w:rsid w:val="000E59BF"/>
    <w:rsid w:val="000F0042"/>
    <w:rsid w:val="000F0610"/>
    <w:rsid w:val="000F1C55"/>
    <w:rsid w:val="000F2AF9"/>
    <w:rsid w:val="000F5CB2"/>
    <w:rsid w:val="00100E49"/>
    <w:rsid w:val="00102A61"/>
    <w:rsid w:val="00104CED"/>
    <w:rsid w:val="00110F94"/>
    <w:rsid w:val="00111E8C"/>
    <w:rsid w:val="00113942"/>
    <w:rsid w:val="00116B08"/>
    <w:rsid w:val="00120EDE"/>
    <w:rsid w:val="00121AD8"/>
    <w:rsid w:val="00124481"/>
    <w:rsid w:val="00124B77"/>
    <w:rsid w:val="0012796E"/>
    <w:rsid w:val="00127AA1"/>
    <w:rsid w:val="001313FA"/>
    <w:rsid w:val="00131B84"/>
    <w:rsid w:val="00132E3A"/>
    <w:rsid w:val="001340A7"/>
    <w:rsid w:val="0013463D"/>
    <w:rsid w:val="00134848"/>
    <w:rsid w:val="00136727"/>
    <w:rsid w:val="00142B4D"/>
    <w:rsid w:val="00144833"/>
    <w:rsid w:val="001454C3"/>
    <w:rsid w:val="00152EB6"/>
    <w:rsid w:val="00153F4E"/>
    <w:rsid w:val="00154D7B"/>
    <w:rsid w:val="001569DB"/>
    <w:rsid w:val="001662E6"/>
    <w:rsid w:val="0017325C"/>
    <w:rsid w:val="0018598F"/>
    <w:rsid w:val="00192E77"/>
    <w:rsid w:val="001978A9"/>
    <w:rsid w:val="001A5D02"/>
    <w:rsid w:val="001A7981"/>
    <w:rsid w:val="001B2970"/>
    <w:rsid w:val="001B6042"/>
    <w:rsid w:val="001B7965"/>
    <w:rsid w:val="001C2A83"/>
    <w:rsid w:val="001C4D95"/>
    <w:rsid w:val="001C5977"/>
    <w:rsid w:val="001C62AA"/>
    <w:rsid w:val="001C7242"/>
    <w:rsid w:val="001D0B8F"/>
    <w:rsid w:val="001D0E8E"/>
    <w:rsid w:val="001D36F4"/>
    <w:rsid w:val="001D3E9D"/>
    <w:rsid w:val="001D66B4"/>
    <w:rsid w:val="001D772B"/>
    <w:rsid w:val="001E330F"/>
    <w:rsid w:val="001E3529"/>
    <w:rsid w:val="001E3654"/>
    <w:rsid w:val="001E3A20"/>
    <w:rsid w:val="001E3B3C"/>
    <w:rsid w:val="001E4136"/>
    <w:rsid w:val="001E6E04"/>
    <w:rsid w:val="001F0377"/>
    <w:rsid w:val="001F0DED"/>
    <w:rsid w:val="001F6096"/>
    <w:rsid w:val="002018B2"/>
    <w:rsid w:val="00204A84"/>
    <w:rsid w:val="002066D6"/>
    <w:rsid w:val="0021368B"/>
    <w:rsid w:val="002147CE"/>
    <w:rsid w:val="00215CE6"/>
    <w:rsid w:val="00215EA9"/>
    <w:rsid w:val="00222ADF"/>
    <w:rsid w:val="002238F9"/>
    <w:rsid w:val="00224955"/>
    <w:rsid w:val="00224F58"/>
    <w:rsid w:val="00225616"/>
    <w:rsid w:val="0022563C"/>
    <w:rsid w:val="00225F8B"/>
    <w:rsid w:val="00227D21"/>
    <w:rsid w:val="00227D58"/>
    <w:rsid w:val="00231ADF"/>
    <w:rsid w:val="00232EDF"/>
    <w:rsid w:val="00236386"/>
    <w:rsid w:val="00236E99"/>
    <w:rsid w:val="00241A8F"/>
    <w:rsid w:val="002420D9"/>
    <w:rsid w:val="00242CF2"/>
    <w:rsid w:val="00245176"/>
    <w:rsid w:val="0024704B"/>
    <w:rsid w:val="0025047A"/>
    <w:rsid w:val="0026216A"/>
    <w:rsid w:val="00262500"/>
    <w:rsid w:val="00264F7D"/>
    <w:rsid w:val="00267729"/>
    <w:rsid w:val="00270B2A"/>
    <w:rsid w:val="00273551"/>
    <w:rsid w:val="002748B7"/>
    <w:rsid w:val="00275AD9"/>
    <w:rsid w:val="002763CE"/>
    <w:rsid w:val="0028488D"/>
    <w:rsid w:val="00285AEA"/>
    <w:rsid w:val="00290CC8"/>
    <w:rsid w:val="00292068"/>
    <w:rsid w:val="00293047"/>
    <w:rsid w:val="00296E19"/>
    <w:rsid w:val="002A1679"/>
    <w:rsid w:val="002A1DE4"/>
    <w:rsid w:val="002A64FB"/>
    <w:rsid w:val="002A6CEA"/>
    <w:rsid w:val="002A7001"/>
    <w:rsid w:val="002B32CF"/>
    <w:rsid w:val="002B74AD"/>
    <w:rsid w:val="002C03E6"/>
    <w:rsid w:val="002C29FF"/>
    <w:rsid w:val="002C7657"/>
    <w:rsid w:val="002D193C"/>
    <w:rsid w:val="002D374F"/>
    <w:rsid w:val="002D6562"/>
    <w:rsid w:val="002E0C1F"/>
    <w:rsid w:val="002E11FA"/>
    <w:rsid w:val="002E2729"/>
    <w:rsid w:val="002F0608"/>
    <w:rsid w:val="002F0CEC"/>
    <w:rsid w:val="002F1DC6"/>
    <w:rsid w:val="002F1FF8"/>
    <w:rsid w:val="002F40AA"/>
    <w:rsid w:val="002F5984"/>
    <w:rsid w:val="002F6B82"/>
    <w:rsid w:val="002F703D"/>
    <w:rsid w:val="003005A8"/>
    <w:rsid w:val="00303D99"/>
    <w:rsid w:val="003048E7"/>
    <w:rsid w:val="0031206B"/>
    <w:rsid w:val="003157E6"/>
    <w:rsid w:val="00316E44"/>
    <w:rsid w:val="003231C6"/>
    <w:rsid w:val="00325B63"/>
    <w:rsid w:val="00327279"/>
    <w:rsid w:val="00332447"/>
    <w:rsid w:val="00335A6A"/>
    <w:rsid w:val="003412C5"/>
    <w:rsid w:val="00346D9C"/>
    <w:rsid w:val="00351F5A"/>
    <w:rsid w:val="003554B8"/>
    <w:rsid w:val="00355AEF"/>
    <w:rsid w:val="00357231"/>
    <w:rsid w:val="0035775D"/>
    <w:rsid w:val="003622BE"/>
    <w:rsid w:val="00363224"/>
    <w:rsid w:val="003632C8"/>
    <w:rsid w:val="00366412"/>
    <w:rsid w:val="0036747E"/>
    <w:rsid w:val="003708B3"/>
    <w:rsid w:val="00370B84"/>
    <w:rsid w:val="0037136D"/>
    <w:rsid w:val="00372F4C"/>
    <w:rsid w:val="003743F4"/>
    <w:rsid w:val="00375262"/>
    <w:rsid w:val="00375A96"/>
    <w:rsid w:val="0037642A"/>
    <w:rsid w:val="00376B1C"/>
    <w:rsid w:val="00377518"/>
    <w:rsid w:val="00383DAB"/>
    <w:rsid w:val="0039038E"/>
    <w:rsid w:val="003978EC"/>
    <w:rsid w:val="003A00D6"/>
    <w:rsid w:val="003A164D"/>
    <w:rsid w:val="003A4F5A"/>
    <w:rsid w:val="003A6C0F"/>
    <w:rsid w:val="003A7EBC"/>
    <w:rsid w:val="003B13D0"/>
    <w:rsid w:val="003B273C"/>
    <w:rsid w:val="003B37DC"/>
    <w:rsid w:val="003B39B6"/>
    <w:rsid w:val="003B6495"/>
    <w:rsid w:val="003C10E5"/>
    <w:rsid w:val="003D07E2"/>
    <w:rsid w:val="003D0E00"/>
    <w:rsid w:val="003D0EEE"/>
    <w:rsid w:val="003D130A"/>
    <w:rsid w:val="003D428B"/>
    <w:rsid w:val="003E1D3E"/>
    <w:rsid w:val="003E41C8"/>
    <w:rsid w:val="003E4416"/>
    <w:rsid w:val="003F0249"/>
    <w:rsid w:val="003F4EBB"/>
    <w:rsid w:val="003F7639"/>
    <w:rsid w:val="004010BB"/>
    <w:rsid w:val="00403F93"/>
    <w:rsid w:val="00405C3F"/>
    <w:rsid w:val="00407355"/>
    <w:rsid w:val="00410BBE"/>
    <w:rsid w:val="00411B77"/>
    <w:rsid w:val="00412DF8"/>
    <w:rsid w:val="00415BDC"/>
    <w:rsid w:val="00417E21"/>
    <w:rsid w:val="00421092"/>
    <w:rsid w:val="00421A63"/>
    <w:rsid w:val="0042425A"/>
    <w:rsid w:val="0043184D"/>
    <w:rsid w:val="00432039"/>
    <w:rsid w:val="00433EBE"/>
    <w:rsid w:val="00433F1B"/>
    <w:rsid w:val="004342BB"/>
    <w:rsid w:val="00440985"/>
    <w:rsid w:val="00440D62"/>
    <w:rsid w:val="0044210F"/>
    <w:rsid w:val="00442695"/>
    <w:rsid w:val="004430B5"/>
    <w:rsid w:val="004468A7"/>
    <w:rsid w:val="00447107"/>
    <w:rsid w:val="00450E34"/>
    <w:rsid w:val="004524EE"/>
    <w:rsid w:val="00452B59"/>
    <w:rsid w:val="0045385A"/>
    <w:rsid w:val="00453AAD"/>
    <w:rsid w:val="00453B59"/>
    <w:rsid w:val="00454058"/>
    <w:rsid w:val="004559A0"/>
    <w:rsid w:val="00455FC7"/>
    <w:rsid w:val="00461420"/>
    <w:rsid w:val="004631BB"/>
    <w:rsid w:val="0046327D"/>
    <w:rsid w:val="00464320"/>
    <w:rsid w:val="00464C94"/>
    <w:rsid w:val="0046512C"/>
    <w:rsid w:val="0046521F"/>
    <w:rsid w:val="004654CC"/>
    <w:rsid w:val="004654EA"/>
    <w:rsid w:val="00465615"/>
    <w:rsid w:val="00467FBF"/>
    <w:rsid w:val="00470EF0"/>
    <w:rsid w:val="00473F02"/>
    <w:rsid w:val="004822CF"/>
    <w:rsid w:val="00493BA9"/>
    <w:rsid w:val="00495B0F"/>
    <w:rsid w:val="004A1C4E"/>
    <w:rsid w:val="004A5041"/>
    <w:rsid w:val="004A7350"/>
    <w:rsid w:val="004B7966"/>
    <w:rsid w:val="004C0290"/>
    <w:rsid w:val="004C0FA3"/>
    <w:rsid w:val="004C2C6D"/>
    <w:rsid w:val="004C2F95"/>
    <w:rsid w:val="004C452F"/>
    <w:rsid w:val="004C4A8B"/>
    <w:rsid w:val="004D09EC"/>
    <w:rsid w:val="004D3042"/>
    <w:rsid w:val="004D38C5"/>
    <w:rsid w:val="004D7434"/>
    <w:rsid w:val="004E3FEE"/>
    <w:rsid w:val="004E74BC"/>
    <w:rsid w:val="004F0045"/>
    <w:rsid w:val="004F1245"/>
    <w:rsid w:val="004F309C"/>
    <w:rsid w:val="004F3819"/>
    <w:rsid w:val="004F3F24"/>
    <w:rsid w:val="0050035F"/>
    <w:rsid w:val="0050050C"/>
    <w:rsid w:val="00503960"/>
    <w:rsid w:val="00505EE4"/>
    <w:rsid w:val="00511619"/>
    <w:rsid w:val="005123EB"/>
    <w:rsid w:val="00512B85"/>
    <w:rsid w:val="005163DF"/>
    <w:rsid w:val="00517B32"/>
    <w:rsid w:val="00520686"/>
    <w:rsid w:val="0052331A"/>
    <w:rsid w:val="00523751"/>
    <w:rsid w:val="005244A7"/>
    <w:rsid w:val="00526F43"/>
    <w:rsid w:val="0053459C"/>
    <w:rsid w:val="00534A28"/>
    <w:rsid w:val="00536B12"/>
    <w:rsid w:val="00540385"/>
    <w:rsid w:val="00545D11"/>
    <w:rsid w:val="00546A8E"/>
    <w:rsid w:val="00547523"/>
    <w:rsid w:val="0054758C"/>
    <w:rsid w:val="005477CC"/>
    <w:rsid w:val="00552B44"/>
    <w:rsid w:val="00553417"/>
    <w:rsid w:val="005549A4"/>
    <w:rsid w:val="00557F5B"/>
    <w:rsid w:val="00560F0F"/>
    <w:rsid w:val="00561652"/>
    <w:rsid w:val="00563A92"/>
    <w:rsid w:val="0056731D"/>
    <w:rsid w:val="00570218"/>
    <w:rsid w:val="00570DE0"/>
    <w:rsid w:val="0057583C"/>
    <w:rsid w:val="00585F07"/>
    <w:rsid w:val="00590163"/>
    <w:rsid w:val="0059167A"/>
    <w:rsid w:val="00592D95"/>
    <w:rsid w:val="005A67D2"/>
    <w:rsid w:val="005B0071"/>
    <w:rsid w:val="005B267D"/>
    <w:rsid w:val="005B273A"/>
    <w:rsid w:val="005B28FD"/>
    <w:rsid w:val="005B2EBD"/>
    <w:rsid w:val="005C37D2"/>
    <w:rsid w:val="005C6118"/>
    <w:rsid w:val="005D139B"/>
    <w:rsid w:val="005E0B52"/>
    <w:rsid w:val="005E466F"/>
    <w:rsid w:val="005E507F"/>
    <w:rsid w:val="005E5FB3"/>
    <w:rsid w:val="005F2464"/>
    <w:rsid w:val="005F28C7"/>
    <w:rsid w:val="005F3CF5"/>
    <w:rsid w:val="005F3D88"/>
    <w:rsid w:val="005F4220"/>
    <w:rsid w:val="005F6C88"/>
    <w:rsid w:val="0060197F"/>
    <w:rsid w:val="00601BAD"/>
    <w:rsid w:val="00601F41"/>
    <w:rsid w:val="00606058"/>
    <w:rsid w:val="00606307"/>
    <w:rsid w:val="006123EF"/>
    <w:rsid w:val="00617ED2"/>
    <w:rsid w:val="006219A7"/>
    <w:rsid w:val="006221CA"/>
    <w:rsid w:val="006222C6"/>
    <w:rsid w:val="00625F63"/>
    <w:rsid w:val="006267BF"/>
    <w:rsid w:val="00630A5B"/>
    <w:rsid w:val="00630C51"/>
    <w:rsid w:val="0063435F"/>
    <w:rsid w:val="006358F6"/>
    <w:rsid w:val="006378BD"/>
    <w:rsid w:val="006409EC"/>
    <w:rsid w:val="00647B86"/>
    <w:rsid w:val="006558E7"/>
    <w:rsid w:val="006563AF"/>
    <w:rsid w:val="00662095"/>
    <w:rsid w:val="0066233A"/>
    <w:rsid w:val="0067013F"/>
    <w:rsid w:val="0067264F"/>
    <w:rsid w:val="006743DE"/>
    <w:rsid w:val="0067586F"/>
    <w:rsid w:val="00683544"/>
    <w:rsid w:val="006851FB"/>
    <w:rsid w:val="00685BDA"/>
    <w:rsid w:val="0068647E"/>
    <w:rsid w:val="0068720A"/>
    <w:rsid w:val="00690FFF"/>
    <w:rsid w:val="0069359D"/>
    <w:rsid w:val="0069702D"/>
    <w:rsid w:val="0069795F"/>
    <w:rsid w:val="006A39C6"/>
    <w:rsid w:val="006B16A4"/>
    <w:rsid w:val="006B1BEF"/>
    <w:rsid w:val="006B3543"/>
    <w:rsid w:val="006B3F91"/>
    <w:rsid w:val="006B7947"/>
    <w:rsid w:val="006C4D7F"/>
    <w:rsid w:val="006C5EA0"/>
    <w:rsid w:val="006C6296"/>
    <w:rsid w:val="006D060D"/>
    <w:rsid w:val="006D65F2"/>
    <w:rsid w:val="006D7673"/>
    <w:rsid w:val="006E202B"/>
    <w:rsid w:val="006E3C8A"/>
    <w:rsid w:val="006E4998"/>
    <w:rsid w:val="006F7C96"/>
    <w:rsid w:val="006F7C9A"/>
    <w:rsid w:val="00701182"/>
    <w:rsid w:val="00702205"/>
    <w:rsid w:val="00702D5E"/>
    <w:rsid w:val="00703372"/>
    <w:rsid w:val="00704145"/>
    <w:rsid w:val="00704863"/>
    <w:rsid w:val="007109B8"/>
    <w:rsid w:val="00711EB4"/>
    <w:rsid w:val="007168B0"/>
    <w:rsid w:val="007215D6"/>
    <w:rsid w:val="00722A03"/>
    <w:rsid w:val="0072352D"/>
    <w:rsid w:val="0072589D"/>
    <w:rsid w:val="00725F43"/>
    <w:rsid w:val="00726D3A"/>
    <w:rsid w:val="007276C8"/>
    <w:rsid w:val="00730227"/>
    <w:rsid w:val="00731C04"/>
    <w:rsid w:val="00734117"/>
    <w:rsid w:val="007345D0"/>
    <w:rsid w:val="0073796C"/>
    <w:rsid w:val="007452E2"/>
    <w:rsid w:val="00746974"/>
    <w:rsid w:val="007473C6"/>
    <w:rsid w:val="00747F44"/>
    <w:rsid w:val="00753081"/>
    <w:rsid w:val="00756ED3"/>
    <w:rsid w:val="00761450"/>
    <w:rsid w:val="007623C5"/>
    <w:rsid w:val="0076477B"/>
    <w:rsid w:val="00765087"/>
    <w:rsid w:val="00775FDC"/>
    <w:rsid w:val="00776E2A"/>
    <w:rsid w:val="00777161"/>
    <w:rsid w:val="007773F8"/>
    <w:rsid w:val="00781C21"/>
    <w:rsid w:val="00781E15"/>
    <w:rsid w:val="00783BFA"/>
    <w:rsid w:val="00783E13"/>
    <w:rsid w:val="0078540E"/>
    <w:rsid w:val="0079083F"/>
    <w:rsid w:val="00790D09"/>
    <w:rsid w:val="007923D2"/>
    <w:rsid w:val="007938AC"/>
    <w:rsid w:val="0079475A"/>
    <w:rsid w:val="007A0CF5"/>
    <w:rsid w:val="007A17A8"/>
    <w:rsid w:val="007A1F45"/>
    <w:rsid w:val="007A2CA8"/>
    <w:rsid w:val="007B405C"/>
    <w:rsid w:val="007B76E4"/>
    <w:rsid w:val="007C0E52"/>
    <w:rsid w:val="007C14EF"/>
    <w:rsid w:val="007C2555"/>
    <w:rsid w:val="007C2829"/>
    <w:rsid w:val="007C2CC0"/>
    <w:rsid w:val="007C6F8A"/>
    <w:rsid w:val="007D327C"/>
    <w:rsid w:val="007D53FE"/>
    <w:rsid w:val="007D7766"/>
    <w:rsid w:val="007E2031"/>
    <w:rsid w:val="007E23DE"/>
    <w:rsid w:val="007E2A4D"/>
    <w:rsid w:val="007E33F8"/>
    <w:rsid w:val="007E52D4"/>
    <w:rsid w:val="007E7196"/>
    <w:rsid w:val="007E75B7"/>
    <w:rsid w:val="007F1867"/>
    <w:rsid w:val="00800A66"/>
    <w:rsid w:val="008041DB"/>
    <w:rsid w:val="00804AE8"/>
    <w:rsid w:val="00806115"/>
    <w:rsid w:val="00807563"/>
    <w:rsid w:val="0081010C"/>
    <w:rsid w:val="00812E15"/>
    <w:rsid w:val="00816A9F"/>
    <w:rsid w:val="008171B7"/>
    <w:rsid w:val="00817963"/>
    <w:rsid w:val="00820951"/>
    <w:rsid w:val="00825E30"/>
    <w:rsid w:val="00825F1D"/>
    <w:rsid w:val="00826B06"/>
    <w:rsid w:val="00826F50"/>
    <w:rsid w:val="008272EF"/>
    <w:rsid w:val="00833067"/>
    <w:rsid w:val="008331BA"/>
    <w:rsid w:val="00833C0B"/>
    <w:rsid w:val="008350EE"/>
    <w:rsid w:val="008356A1"/>
    <w:rsid w:val="00840C83"/>
    <w:rsid w:val="0085087D"/>
    <w:rsid w:val="00850E61"/>
    <w:rsid w:val="00852D91"/>
    <w:rsid w:val="008532C8"/>
    <w:rsid w:val="0085465C"/>
    <w:rsid w:val="008546F8"/>
    <w:rsid w:val="00861499"/>
    <w:rsid w:val="00863228"/>
    <w:rsid w:val="008635ED"/>
    <w:rsid w:val="008648B8"/>
    <w:rsid w:val="00864C39"/>
    <w:rsid w:val="00866D9C"/>
    <w:rsid w:val="00873B28"/>
    <w:rsid w:val="008741EF"/>
    <w:rsid w:val="008760A6"/>
    <w:rsid w:val="00876A0E"/>
    <w:rsid w:val="00881C94"/>
    <w:rsid w:val="00885D5E"/>
    <w:rsid w:val="00887DF3"/>
    <w:rsid w:val="0089296A"/>
    <w:rsid w:val="00893DBD"/>
    <w:rsid w:val="00893DCB"/>
    <w:rsid w:val="00895F6D"/>
    <w:rsid w:val="008A089E"/>
    <w:rsid w:val="008A3660"/>
    <w:rsid w:val="008A5BD7"/>
    <w:rsid w:val="008B0BA9"/>
    <w:rsid w:val="008B285D"/>
    <w:rsid w:val="008B3524"/>
    <w:rsid w:val="008B4D1E"/>
    <w:rsid w:val="008B6F0F"/>
    <w:rsid w:val="008B74DE"/>
    <w:rsid w:val="008C162C"/>
    <w:rsid w:val="008C29EF"/>
    <w:rsid w:val="008C4331"/>
    <w:rsid w:val="008C46C4"/>
    <w:rsid w:val="008C6578"/>
    <w:rsid w:val="008C7DC8"/>
    <w:rsid w:val="008D1FA1"/>
    <w:rsid w:val="008D2C48"/>
    <w:rsid w:val="008D5509"/>
    <w:rsid w:val="008E4B80"/>
    <w:rsid w:val="008E536F"/>
    <w:rsid w:val="008E6A64"/>
    <w:rsid w:val="008E7C61"/>
    <w:rsid w:val="008F1439"/>
    <w:rsid w:val="008F78A1"/>
    <w:rsid w:val="00901814"/>
    <w:rsid w:val="0090404B"/>
    <w:rsid w:val="009041AB"/>
    <w:rsid w:val="00911E8F"/>
    <w:rsid w:val="009132CB"/>
    <w:rsid w:val="0091438C"/>
    <w:rsid w:val="009144D3"/>
    <w:rsid w:val="00914856"/>
    <w:rsid w:val="009151D0"/>
    <w:rsid w:val="00916045"/>
    <w:rsid w:val="00916646"/>
    <w:rsid w:val="009206A4"/>
    <w:rsid w:val="00920A65"/>
    <w:rsid w:val="00922BF6"/>
    <w:rsid w:val="00924F43"/>
    <w:rsid w:val="00941C8F"/>
    <w:rsid w:val="009420BD"/>
    <w:rsid w:val="009432B0"/>
    <w:rsid w:val="00946210"/>
    <w:rsid w:val="009504AA"/>
    <w:rsid w:val="009544E5"/>
    <w:rsid w:val="00954FAB"/>
    <w:rsid w:val="00954FDF"/>
    <w:rsid w:val="00955E97"/>
    <w:rsid w:val="00960607"/>
    <w:rsid w:val="00960FAD"/>
    <w:rsid w:val="00971131"/>
    <w:rsid w:val="009715B8"/>
    <w:rsid w:val="00973671"/>
    <w:rsid w:val="009740EF"/>
    <w:rsid w:val="00974306"/>
    <w:rsid w:val="009749D1"/>
    <w:rsid w:val="00975434"/>
    <w:rsid w:val="0097550A"/>
    <w:rsid w:val="00976921"/>
    <w:rsid w:val="0097788E"/>
    <w:rsid w:val="009814FF"/>
    <w:rsid w:val="009818C5"/>
    <w:rsid w:val="00981A71"/>
    <w:rsid w:val="00982E20"/>
    <w:rsid w:val="00984943"/>
    <w:rsid w:val="00985E49"/>
    <w:rsid w:val="00990B7F"/>
    <w:rsid w:val="00990C3B"/>
    <w:rsid w:val="00990D08"/>
    <w:rsid w:val="00990FA0"/>
    <w:rsid w:val="00993035"/>
    <w:rsid w:val="009A1765"/>
    <w:rsid w:val="009A3E0C"/>
    <w:rsid w:val="009A4536"/>
    <w:rsid w:val="009B0023"/>
    <w:rsid w:val="009B2598"/>
    <w:rsid w:val="009B4A42"/>
    <w:rsid w:val="009B591D"/>
    <w:rsid w:val="009B5BB9"/>
    <w:rsid w:val="009C0372"/>
    <w:rsid w:val="009C05F2"/>
    <w:rsid w:val="009C2748"/>
    <w:rsid w:val="009C38D5"/>
    <w:rsid w:val="009C5995"/>
    <w:rsid w:val="009C5A6E"/>
    <w:rsid w:val="009C6990"/>
    <w:rsid w:val="009D0E7D"/>
    <w:rsid w:val="009D673C"/>
    <w:rsid w:val="009D6D5A"/>
    <w:rsid w:val="009D6DA0"/>
    <w:rsid w:val="009E0038"/>
    <w:rsid w:val="009E48B5"/>
    <w:rsid w:val="009F0FAA"/>
    <w:rsid w:val="009F13D3"/>
    <w:rsid w:val="009F2561"/>
    <w:rsid w:val="009F4490"/>
    <w:rsid w:val="009F7496"/>
    <w:rsid w:val="00A005CD"/>
    <w:rsid w:val="00A01269"/>
    <w:rsid w:val="00A01275"/>
    <w:rsid w:val="00A02475"/>
    <w:rsid w:val="00A1493C"/>
    <w:rsid w:val="00A176DA"/>
    <w:rsid w:val="00A20426"/>
    <w:rsid w:val="00A21155"/>
    <w:rsid w:val="00A21232"/>
    <w:rsid w:val="00A249EF"/>
    <w:rsid w:val="00A263D1"/>
    <w:rsid w:val="00A26DDA"/>
    <w:rsid w:val="00A27D27"/>
    <w:rsid w:val="00A305AB"/>
    <w:rsid w:val="00A315B4"/>
    <w:rsid w:val="00A32104"/>
    <w:rsid w:val="00A33806"/>
    <w:rsid w:val="00A35B10"/>
    <w:rsid w:val="00A3740E"/>
    <w:rsid w:val="00A42CEF"/>
    <w:rsid w:val="00A510BC"/>
    <w:rsid w:val="00A54E7A"/>
    <w:rsid w:val="00A5513B"/>
    <w:rsid w:val="00A5698E"/>
    <w:rsid w:val="00A570FA"/>
    <w:rsid w:val="00A6159D"/>
    <w:rsid w:val="00A64C00"/>
    <w:rsid w:val="00A77898"/>
    <w:rsid w:val="00A80A0A"/>
    <w:rsid w:val="00A8193E"/>
    <w:rsid w:val="00A81DDA"/>
    <w:rsid w:val="00A82833"/>
    <w:rsid w:val="00A95BE7"/>
    <w:rsid w:val="00AA1B71"/>
    <w:rsid w:val="00AA2052"/>
    <w:rsid w:val="00AA2998"/>
    <w:rsid w:val="00AA66DF"/>
    <w:rsid w:val="00AB0B34"/>
    <w:rsid w:val="00AB1F1C"/>
    <w:rsid w:val="00AB5CB1"/>
    <w:rsid w:val="00AB6F1E"/>
    <w:rsid w:val="00AB7BA9"/>
    <w:rsid w:val="00AC078E"/>
    <w:rsid w:val="00AC1AAA"/>
    <w:rsid w:val="00AC1D61"/>
    <w:rsid w:val="00AC35F0"/>
    <w:rsid w:val="00AD10B1"/>
    <w:rsid w:val="00AD2C06"/>
    <w:rsid w:val="00AD5AFB"/>
    <w:rsid w:val="00AD7EE0"/>
    <w:rsid w:val="00AE021E"/>
    <w:rsid w:val="00AE37BE"/>
    <w:rsid w:val="00AE38BE"/>
    <w:rsid w:val="00AE48A4"/>
    <w:rsid w:val="00AF1DB1"/>
    <w:rsid w:val="00AF1E3E"/>
    <w:rsid w:val="00AF1FB3"/>
    <w:rsid w:val="00B07BB7"/>
    <w:rsid w:val="00B11B08"/>
    <w:rsid w:val="00B11EAA"/>
    <w:rsid w:val="00B12EF5"/>
    <w:rsid w:val="00B13450"/>
    <w:rsid w:val="00B17986"/>
    <w:rsid w:val="00B250F6"/>
    <w:rsid w:val="00B25C1B"/>
    <w:rsid w:val="00B26805"/>
    <w:rsid w:val="00B274EE"/>
    <w:rsid w:val="00B277B7"/>
    <w:rsid w:val="00B324BB"/>
    <w:rsid w:val="00B34520"/>
    <w:rsid w:val="00B36391"/>
    <w:rsid w:val="00B41F3B"/>
    <w:rsid w:val="00B42D77"/>
    <w:rsid w:val="00B44852"/>
    <w:rsid w:val="00B46EAB"/>
    <w:rsid w:val="00B52434"/>
    <w:rsid w:val="00B52787"/>
    <w:rsid w:val="00B56FDE"/>
    <w:rsid w:val="00B613B5"/>
    <w:rsid w:val="00B616CF"/>
    <w:rsid w:val="00B61B08"/>
    <w:rsid w:val="00B6276E"/>
    <w:rsid w:val="00B62A39"/>
    <w:rsid w:val="00B62AC7"/>
    <w:rsid w:val="00B6330A"/>
    <w:rsid w:val="00B64B8E"/>
    <w:rsid w:val="00B671E4"/>
    <w:rsid w:val="00B7090A"/>
    <w:rsid w:val="00B72B30"/>
    <w:rsid w:val="00B73B09"/>
    <w:rsid w:val="00B73D19"/>
    <w:rsid w:val="00B75294"/>
    <w:rsid w:val="00B7735C"/>
    <w:rsid w:val="00B77C32"/>
    <w:rsid w:val="00B810AD"/>
    <w:rsid w:val="00B84E4C"/>
    <w:rsid w:val="00B85D5B"/>
    <w:rsid w:val="00B86D88"/>
    <w:rsid w:val="00B87090"/>
    <w:rsid w:val="00B92CF3"/>
    <w:rsid w:val="00B95592"/>
    <w:rsid w:val="00B95826"/>
    <w:rsid w:val="00B97C9D"/>
    <w:rsid w:val="00BA435F"/>
    <w:rsid w:val="00BA4CCF"/>
    <w:rsid w:val="00BA5117"/>
    <w:rsid w:val="00BA75AE"/>
    <w:rsid w:val="00BB2A08"/>
    <w:rsid w:val="00BB62DC"/>
    <w:rsid w:val="00BC03CE"/>
    <w:rsid w:val="00BC1AFF"/>
    <w:rsid w:val="00BC3CDB"/>
    <w:rsid w:val="00BC4907"/>
    <w:rsid w:val="00BC4A66"/>
    <w:rsid w:val="00BC51BE"/>
    <w:rsid w:val="00BC702B"/>
    <w:rsid w:val="00BD26A7"/>
    <w:rsid w:val="00BD37CE"/>
    <w:rsid w:val="00BD62A9"/>
    <w:rsid w:val="00BD72A5"/>
    <w:rsid w:val="00BD762D"/>
    <w:rsid w:val="00BE27CB"/>
    <w:rsid w:val="00BE3C10"/>
    <w:rsid w:val="00BE7FC6"/>
    <w:rsid w:val="00BF47EF"/>
    <w:rsid w:val="00BF55CE"/>
    <w:rsid w:val="00BF629A"/>
    <w:rsid w:val="00C0273D"/>
    <w:rsid w:val="00C032B7"/>
    <w:rsid w:val="00C037CC"/>
    <w:rsid w:val="00C07901"/>
    <w:rsid w:val="00C11196"/>
    <w:rsid w:val="00C1140A"/>
    <w:rsid w:val="00C12012"/>
    <w:rsid w:val="00C12C50"/>
    <w:rsid w:val="00C137BE"/>
    <w:rsid w:val="00C21E7F"/>
    <w:rsid w:val="00C23550"/>
    <w:rsid w:val="00C24900"/>
    <w:rsid w:val="00C25369"/>
    <w:rsid w:val="00C26DEA"/>
    <w:rsid w:val="00C27EE8"/>
    <w:rsid w:val="00C41FE7"/>
    <w:rsid w:val="00C434F4"/>
    <w:rsid w:val="00C45115"/>
    <w:rsid w:val="00C4773E"/>
    <w:rsid w:val="00C505F6"/>
    <w:rsid w:val="00C516C3"/>
    <w:rsid w:val="00C51BE5"/>
    <w:rsid w:val="00C52350"/>
    <w:rsid w:val="00C55177"/>
    <w:rsid w:val="00C56E34"/>
    <w:rsid w:val="00C64ADC"/>
    <w:rsid w:val="00C654A0"/>
    <w:rsid w:val="00C66EDB"/>
    <w:rsid w:val="00C67545"/>
    <w:rsid w:val="00C71C42"/>
    <w:rsid w:val="00C724AF"/>
    <w:rsid w:val="00C7274E"/>
    <w:rsid w:val="00C76443"/>
    <w:rsid w:val="00C77BC8"/>
    <w:rsid w:val="00C803C7"/>
    <w:rsid w:val="00C82F14"/>
    <w:rsid w:val="00C87241"/>
    <w:rsid w:val="00C87ED7"/>
    <w:rsid w:val="00C9138A"/>
    <w:rsid w:val="00C95738"/>
    <w:rsid w:val="00C96843"/>
    <w:rsid w:val="00C97122"/>
    <w:rsid w:val="00C9797F"/>
    <w:rsid w:val="00CA20AB"/>
    <w:rsid w:val="00CA3130"/>
    <w:rsid w:val="00CA4C6A"/>
    <w:rsid w:val="00CA5434"/>
    <w:rsid w:val="00CB4643"/>
    <w:rsid w:val="00CB7505"/>
    <w:rsid w:val="00CC0828"/>
    <w:rsid w:val="00CC2FE6"/>
    <w:rsid w:val="00CC6057"/>
    <w:rsid w:val="00CD08D5"/>
    <w:rsid w:val="00CD593A"/>
    <w:rsid w:val="00CE5AA5"/>
    <w:rsid w:val="00CE6810"/>
    <w:rsid w:val="00CE7B81"/>
    <w:rsid w:val="00CE7D36"/>
    <w:rsid w:val="00CF21D4"/>
    <w:rsid w:val="00D00377"/>
    <w:rsid w:val="00D00C38"/>
    <w:rsid w:val="00D01A0A"/>
    <w:rsid w:val="00D02287"/>
    <w:rsid w:val="00D02D8F"/>
    <w:rsid w:val="00D0386E"/>
    <w:rsid w:val="00D05138"/>
    <w:rsid w:val="00D07D70"/>
    <w:rsid w:val="00D104EA"/>
    <w:rsid w:val="00D115F0"/>
    <w:rsid w:val="00D11B46"/>
    <w:rsid w:val="00D11CBB"/>
    <w:rsid w:val="00D2039D"/>
    <w:rsid w:val="00D21A3A"/>
    <w:rsid w:val="00D21BC9"/>
    <w:rsid w:val="00D22286"/>
    <w:rsid w:val="00D22B68"/>
    <w:rsid w:val="00D23795"/>
    <w:rsid w:val="00D27F71"/>
    <w:rsid w:val="00D31452"/>
    <w:rsid w:val="00D3440B"/>
    <w:rsid w:val="00D357C9"/>
    <w:rsid w:val="00D40EC7"/>
    <w:rsid w:val="00D43A58"/>
    <w:rsid w:val="00D45EDB"/>
    <w:rsid w:val="00D4605B"/>
    <w:rsid w:val="00D46CB4"/>
    <w:rsid w:val="00D50E49"/>
    <w:rsid w:val="00D54E33"/>
    <w:rsid w:val="00D57C70"/>
    <w:rsid w:val="00D60A4B"/>
    <w:rsid w:val="00D70E35"/>
    <w:rsid w:val="00D725C0"/>
    <w:rsid w:val="00D729A9"/>
    <w:rsid w:val="00D7341F"/>
    <w:rsid w:val="00D73514"/>
    <w:rsid w:val="00D76352"/>
    <w:rsid w:val="00D8441A"/>
    <w:rsid w:val="00D8456C"/>
    <w:rsid w:val="00D8492D"/>
    <w:rsid w:val="00D91CD0"/>
    <w:rsid w:val="00D92EF5"/>
    <w:rsid w:val="00D93EDB"/>
    <w:rsid w:val="00D97340"/>
    <w:rsid w:val="00DA2D55"/>
    <w:rsid w:val="00DB2802"/>
    <w:rsid w:val="00DB2B65"/>
    <w:rsid w:val="00DB32D0"/>
    <w:rsid w:val="00DC02BB"/>
    <w:rsid w:val="00DC3B42"/>
    <w:rsid w:val="00DC4B38"/>
    <w:rsid w:val="00DD28F8"/>
    <w:rsid w:val="00DD5DD1"/>
    <w:rsid w:val="00DD61FD"/>
    <w:rsid w:val="00DE1C86"/>
    <w:rsid w:val="00DE4FBD"/>
    <w:rsid w:val="00DE6617"/>
    <w:rsid w:val="00DE6EA2"/>
    <w:rsid w:val="00DF28B8"/>
    <w:rsid w:val="00DF40C4"/>
    <w:rsid w:val="00DF40EC"/>
    <w:rsid w:val="00E06893"/>
    <w:rsid w:val="00E12EE5"/>
    <w:rsid w:val="00E13303"/>
    <w:rsid w:val="00E15C68"/>
    <w:rsid w:val="00E15F58"/>
    <w:rsid w:val="00E1655E"/>
    <w:rsid w:val="00E2472B"/>
    <w:rsid w:val="00E273B8"/>
    <w:rsid w:val="00E3230C"/>
    <w:rsid w:val="00E34D8C"/>
    <w:rsid w:val="00E3606D"/>
    <w:rsid w:val="00E40436"/>
    <w:rsid w:val="00E4577E"/>
    <w:rsid w:val="00E501B9"/>
    <w:rsid w:val="00E518B5"/>
    <w:rsid w:val="00E534D8"/>
    <w:rsid w:val="00E54094"/>
    <w:rsid w:val="00E56C74"/>
    <w:rsid w:val="00E57A66"/>
    <w:rsid w:val="00E62995"/>
    <w:rsid w:val="00E63096"/>
    <w:rsid w:val="00E70664"/>
    <w:rsid w:val="00E75DCF"/>
    <w:rsid w:val="00E86556"/>
    <w:rsid w:val="00E87A87"/>
    <w:rsid w:val="00E90864"/>
    <w:rsid w:val="00E91E80"/>
    <w:rsid w:val="00E93E84"/>
    <w:rsid w:val="00E9438F"/>
    <w:rsid w:val="00EA179C"/>
    <w:rsid w:val="00EA21E1"/>
    <w:rsid w:val="00EA4110"/>
    <w:rsid w:val="00EA4EB1"/>
    <w:rsid w:val="00EA530E"/>
    <w:rsid w:val="00EB1B68"/>
    <w:rsid w:val="00EB2FD3"/>
    <w:rsid w:val="00EB6FD9"/>
    <w:rsid w:val="00EB7401"/>
    <w:rsid w:val="00EC4DBC"/>
    <w:rsid w:val="00EC6EB2"/>
    <w:rsid w:val="00ED30A7"/>
    <w:rsid w:val="00ED455F"/>
    <w:rsid w:val="00EE0ED3"/>
    <w:rsid w:val="00EE61FE"/>
    <w:rsid w:val="00EE702D"/>
    <w:rsid w:val="00EE70EF"/>
    <w:rsid w:val="00EE76FC"/>
    <w:rsid w:val="00EE79C1"/>
    <w:rsid w:val="00EE7E46"/>
    <w:rsid w:val="00EF2974"/>
    <w:rsid w:val="00EF6344"/>
    <w:rsid w:val="00EF7587"/>
    <w:rsid w:val="00F00A09"/>
    <w:rsid w:val="00F012D1"/>
    <w:rsid w:val="00F01FCC"/>
    <w:rsid w:val="00F06FB2"/>
    <w:rsid w:val="00F076D7"/>
    <w:rsid w:val="00F12991"/>
    <w:rsid w:val="00F15D6B"/>
    <w:rsid w:val="00F23A33"/>
    <w:rsid w:val="00F25F23"/>
    <w:rsid w:val="00F27404"/>
    <w:rsid w:val="00F316D9"/>
    <w:rsid w:val="00F354E2"/>
    <w:rsid w:val="00F35CEA"/>
    <w:rsid w:val="00F35CF1"/>
    <w:rsid w:val="00F4195A"/>
    <w:rsid w:val="00F42EA9"/>
    <w:rsid w:val="00F4498A"/>
    <w:rsid w:val="00F4499D"/>
    <w:rsid w:val="00F51F64"/>
    <w:rsid w:val="00F5306A"/>
    <w:rsid w:val="00F53E49"/>
    <w:rsid w:val="00F550CC"/>
    <w:rsid w:val="00F5718B"/>
    <w:rsid w:val="00F6187A"/>
    <w:rsid w:val="00F64730"/>
    <w:rsid w:val="00F67B9A"/>
    <w:rsid w:val="00F72E36"/>
    <w:rsid w:val="00F77897"/>
    <w:rsid w:val="00F82B2C"/>
    <w:rsid w:val="00F84C0A"/>
    <w:rsid w:val="00F85C90"/>
    <w:rsid w:val="00F9687A"/>
    <w:rsid w:val="00F96BC8"/>
    <w:rsid w:val="00FA5604"/>
    <w:rsid w:val="00FA56C7"/>
    <w:rsid w:val="00FA5B52"/>
    <w:rsid w:val="00FA7070"/>
    <w:rsid w:val="00FA7798"/>
    <w:rsid w:val="00FB0475"/>
    <w:rsid w:val="00FB0C47"/>
    <w:rsid w:val="00FB22FE"/>
    <w:rsid w:val="00FB59D5"/>
    <w:rsid w:val="00FB6CBC"/>
    <w:rsid w:val="00FC1B3C"/>
    <w:rsid w:val="00FC3610"/>
    <w:rsid w:val="00FC4AB2"/>
    <w:rsid w:val="00FC59D6"/>
    <w:rsid w:val="00FC73B8"/>
    <w:rsid w:val="00FD2661"/>
    <w:rsid w:val="00FD645C"/>
    <w:rsid w:val="00FD652E"/>
    <w:rsid w:val="00FD77F3"/>
    <w:rsid w:val="00FE00EE"/>
    <w:rsid w:val="00FE2050"/>
    <w:rsid w:val="00FF3CE6"/>
    <w:rsid w:val="00FF6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9A79DD"/>
  <w15:docId w15:val="{A10C7BA9-E6DC-4FC1-9BCF-FBB5831D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CEC"/>
    <w:pPr>
      <w:spacing w:line="288" w:lineRule="auto"/>
    </w:pPr>
    <w:rPr>
      <w:sz w:val="22"/>
      <w:szCs w:val="22"/>
      <w:lang w:eastAsia="en-US"/>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
    <w:basedOn w:val="Normal"/>
    <w:next w:val="Normal"/>
    <w:link w:val="Heading1Char"/>
    <w:qFormat/>
    <w:rsid w:val="002F703D"/>
    <w:pPr>
      <w:pBdr>
        <w:bottom w:val="single" w:sz="12" w:space="1" w:color="365F91"/>
      </w:pBdr>
      <w:spacing w:before="240" w:after="240" w:line="240" w:lineRule="auto"/>
      <w:outlineLvl w:val="0"/>
    </w:pPr>
    <w:rPr>
      <w:rFonts w:ascii="Cambria" w:eastAsia="Times New Roman" w:hAnsi="Cambria" w:cs="Arial"/>
      <w:b/>
      <w:bCs/>
      <w:color w:val="1F497D"/>
      <w:sz w:val="24"/>
      <w:szCs w:val="24"/>
      <w:lang w:val="en-US" w:bidi="en-US"/>
    </w:rPr>
  </w:style>
  <w:style w:type="paragraph" w:styleId="Heading2">
    <w:name w:val="heading 2"/>
    <w:basedOn w:val="Normal"/>
    <w:next w:val="Normal"/>
    <w:link w:val="Heading2Char"/>
    <w:uiPriority w:val="9"/>
    <w:unhideWhenUsed/>
    <w:qFormat/>
    <w:rsid w:val="00AD2C0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4833"/>
    <w:pPr>
      <w:ind w:left="720"/>
    </w:pPr>
  </w:style>
  <w:style w:type="character" w:styleId="Hyperlink">
    <w:name w:val="Hyperlink"/>
    <w:basedOn w:val="DefaultParagraphFont"/>
    <w:uiPriority w:val="99"/>
    <w:unhideWhenUsed/>
    <w:rsid w:val="00CC0828"/>
    <w:rPr>
      <w:color w:val="0000FF"/>
      <w:u w:val="single"/>
    </w:rPr>
  </w:style>
  <w:style w:type="paragraph" w:styleId="Header">
    <w:name w:val="header"/>
    <w:basedOn w:val="Normal"/>
    <w:link w:val="HeaderChar"/>
    <w:unhideWhenUsed/>
    <w:rsid w:val="00241A8F"/>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241A8F"/>
  </w:style>
  <w:style w:type="paragraph" w:styleId="Footer">
    <w:name w:val="footer"/>
    <w:basedOn w:val="Normal"/>
    <w:link w:val="FooterChar"/>
    <w:uiPriority w:val="99"/>
    <w:unhideWhenUsed/>
    <w:rsid w:val="00241A8F"/>
    <w:pPr>
      <w:tabs>
        <w:tab w:val="center" w:pos="4513"/>
        <w:tab w:val="right" w:pos="9026"/>
      </w:tabs>
      <w:spacing w:line="240" w:lineRule="auto"/>
    </w:pPr>
  </w:style>
  <w:style w:type="character" w:customStyle="1" w:styleId="FooterChar">
    <w:name w:val="Footer Char"/>
    <w:basedOn w:val="DefaultParagraphFont"/>
    <w:link w:val="Footer"/>
    <w:uiPriority w:val="99"/>
    <w:rsid w:val="00241A8F"/>
  </w:style>
  <w:style w:type="paragraph" w:styleId="BalloonText">
    <w:name w:val="Balloon Text"/>
    <w:basedOn w:val="Normal"/>
    <w:link w:val="BalloonTextChar"/>
    <w:uiPriority w:val="99"/>
    <w:semiHidden/>
    <w:unhideWhenUsed/>
    <w:rsid w:val="00241A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A8F"/>
    <w:rPr>
      <w:rFonts w:ascii="Tahoma" w:hAnsi="Tahoma" w:cs="Tahoma"/>
      <w:sz w:val="16"/>
      <w:szCs w:val="16"/>
    </w:rPr>
  </w:style>
  <w:style w:type="character" w:styleId="CommentReference">
    <w:name w:val="annotation reference"/>
    <w:basedOn w:val="DefaultParagraphFont"/>
    <w:uiPriority w:val="99"/>
    <w:semiHidden/>
    <w:unhideWhenUsed/>
    <w:rsid w:val="00876A0E"/>
    <w:rPr>
      <w:sz w:val="16"/>
      <w:szCs w:val="16"/>
    </w:rPr>
  </w:style>
  <w:style w:type="paragraph" w:styleId="CommentText">
    <w:name w:val="annotation text"/>
    <w:basedOn w:val="Normal"/>
    <w:link w:val="CommentTextChar"/>
    <w:uiPriority w:val="99"/>
    <w:semiHidden/>
    <w:unhideWhenUsed/>
    <w:rsid w:val="00876A0E"/>
    <w:pPr>
      <w:spacing w:line="240" w:lineRule="auto"/>
    </w:pPr>
    <w:rPr>
      <w:sz w:val="20"/>
      <w:szCs w:val="20"/>
    </w:rPr>
  </w:style>
  <w:style w:type="character" w:customStyle="1" w:styleId="CommentTextChar">
    <w:name w:val="Comment Text Char"/>
    <w:basedOn w:val="DefaultParagraphFont"/>
    <w:link w:val="CommentText"/>
    <w:uiPriority w:val="99"/>
    <w:semiHidden/>
    <w:rsid w:val="00876A0E"/>
    <w:rPr>
      <w:sz w:val="20"/>
      <w:szCs w:val="20"/>
    </w:rPr>
  </w:style>
  <w:style w:type="paragraph" w:styleId="CommentSubject">
    <w:name w:val="annotation subject"/>
    <w:basedOn w:val="CommentText"/>
    <w:next w:val="CommentText"/>
    <w:link w:val="CommentSubjectChar"/>
    <w:uiPriority w:val="99"/>
    <w:semiHidden/>
    <w:unhideWhenUsed/>
    <w:rsid w:val="00876A0E"/>
    <w:rPr>
      <w:b/>
      <w:bCs/>
    </w:rPr>
  </w:style>
  <w:style w:type="character" w:customStyle="1" w:styleId="CommentSubjectChar">
    <w:name w:val="Comment Subject Char"/>
    <w:basedOn w:val="CommentTextChar"/>
    <w:link w:val="CommentSubject"/>
    <w:uiPriority w:val="99"/>
    <w:semiHidden/>
    <w:rsid w:val="00876A0E"/>
    <w:rPr>
      <w:b/>
      <w:bCs/>
      <w:sz w:val="20"/>
      <w:szCs w:val="20"/>
    </w:rPr>
  </w:style>
  <w:style w:type="character" w:styleId="FollowedHyperlink">
    <w:name w:val="FollowedHyperlink"/>
    <w:basedOn w:val="DefaultParagraphFont"/>
    <w:uiPriority w:val="99"/>
    <w:semiHidden/>
    <w:unhideWhenUsed/>
    <w:rsid w:val="00B42D77"/>
    <w:rPr>
      <w:color w:val="800080"/>
      <w:u w:val="single"/>
    </w:rPr>
  </w:style>
  <w:style w:type="paragraph" w:styleId="BodyText">
    <w:name w:val="Body Text"/>
    <w:basedOn w:val="Normal"/>
    <w:link w:val="BodyTextChar"/>
    <w:rsid w:val="0081010C"/>
    <w:pPr>
      <w:spacing w:after="120" w:line="240" w:lineRule="auto"/>
    </w:pPr>
    <w:rPr>
      <w:rFonts w:ascii="Arial" w:eastAsia="Times New Roman" w:hAnsi="Arial"/>
      <w:sz w:val="24"/>
      <w:szCs w:val="20"/>
      <w:lang w:eastAsia="en-GB"/>
    </w:rPr>
  </w:style>
  <w:style w:type="character" w:customStyle="1" w:styleId="BodyTextChar">
    <w:name w:val="Body Text Char"/>
    <w:basedOn w:val="DefaultParagraphFont"/>
    <w:link w:val="BodyText"/>
    <w:rsid w:val="0081010C"/>
    <w:rPr>
      <w:rFonts w:ascii="Arial" w:eastAsia="Times New Roman" w:hAnsi="Arial" w:cs="Times New Roman"/>
      <w:sz w:val="24"/>
      <w:szCs w:val="20"/>
      <w:lang w:eastAsia="en-GB"/>
    </w:rPr>
  </w:style>
  <w:style w:type="paragraph" w:styleId="Revision">
    <w:name w:val="Revision"/>
    <w:hidden/>
    <w:uiPriority w:val="99"/>
    <w:semiHidden/>
    <w:rsid w:val="00421092"/>
    <w:rPr>
      <w:sz w:val="22"/>
      <w:szCs w:val="22"/>
      <w:lang w:eastAsia="en-US"/>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
    <w:basedOn w:val="DefaultParagraphFont"/>
    <w:link w:val="Heading1"/>
    <w:rsid w:val="002F703D"/>
    <w:rPr>
      <w:rFonts w:ascii="Cambria" w:eastAsia="Times New Roman" w:hAnsi="Cambria" w:cs="Arial"/>
      <w:b/>
      <w:bCs/>
      <w:color w:val="1F497D"/>
      <w:sz w:val="24"/>
      <w:szCs w:val="24"/>
      <w:lang w:val="en-US" w:bidi="en-US"/>
    </w:rPr>
  </w:style>
  <w:style w:type="paragraph" w:styleId="FootnoteText">
    <w:name w:val="footnote text"/>
    <w:basedOn w:val="Normal"/>
    <w:link w:val="FootnoteTextChar"/>
    <w:uiPriority w:val="99"/>
    <w:rsid w:val="002F703D"/>
    <w:pPr>
      <w:spacing w:line="240" w:lineRule="auto"/>
    </w:pPr>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uiPriority w:val="99"/>
    <w:rsid w:val="002F703D"/>
    <w:rPr>
      <w:rFonts w:ascii="Times New Roman" w:eastAsia="Times New Roman" w:hAnsi="Times New Roman" w:cs="Times New Roman"/>
      <w:sz w:val="20"/>
      <w:szCs w:val="20"/>
      <w:lang w:eastAsia="en-GB"/>
    </w:rPr>
  </w:style>
  <w:style w:type="paragraph" w:customStyle="1" w:styleId="BodyText1">
    <w:name w:val="Body Text1"/>
    <w:basedOn w:val="Normal"/>
    <w:rsid w:val="002F703D"/>
    <w:pPr>
      <w:spacing w:before="240" w:after="120" w:line="240" w:lineRule="auto"/>
      <w:ind w:firstLine="357"/>
    </w:pPr>
    <w:rPr>
      <w:rFonts w:ascii="Arial" w:eastAsia="Times New Roman" w:hAnsi="Arial"/>
      <w:noProof/>
      <w:sz w:val="20"/>
      <w:lang w:val="en-US" w:bidi="en-US"/>
    </w:rPr>
  </w:style>
  <w:style w:type="paragraph" w:customStyle="1" w:styleId="01-Level1-BB">
    <w:name w:val="01-Level1-BB"/>
    <w:basedOn w:val="Normal"/>
    <w:next w:val="Normal"/>
    <w:rsid w:val="002F703D"/>
    <w:pPr>
      <w:spacing w:line="240" w:lineRule="auto"/>
      <w:ind w:firstLine="357"/>
      <w:jc w:val="both"/>
    </w:pPr>
    <w:rPr>
      <w:rFonts w:ascii="Arial" w:eastAsia="Times New Roman" w:hAnsi="Arial"/>
      <w:b/>
      <w:lang w:val="en-US" w:bidi="en-US"/>
    </w:rPr>
  </w:style>
  <w:style w:type="paragraph" w:customStyle="1" w:styleId="Para">
    <w:name w:val="Para"/>
    <w:autoRedefine/>
    <w:rsid w:val="002F703D"/>
    <w:pPr>
      <w:tabs>
        <w:tab w:val="left" w:pos="709"/>
      </w:tabs>
      <w:suppressAutoHyphens/>
      <w:spacing w:before="120" w:after="120"/>
      <w:ind w:left="1440"/>
    </w:pPr>
    <w:rPr>
      <w:rFonts w:eastAsia="Times New Roman"/>
      <w:sz w:val="24"/>
      <w:lang w:eastAsia="en-US"/>
    </w:rPr>
  </w:style>
  <w:style w:type="character" w:customStyle="1" w:styleId="ListParagraphChar">
    <w:name w:val="List Paragraph Char"/>
    <w:basedOn w:val="DefaultParagraphFont"/>
    <w:link w:val="ListParagraph"/>
    <w:uiPriority w:val="34"/>
    <w:locked/>
    <w:rsid w:val="002F703D"/>
  </w:style>
  <w:style w:type="paragraph" w:styleId="NormalWeb">
    <w:name w:val="Normal (Web)"/>
    <w:basedOn w:val="Normal"/>
    <w:uiPriority w:val="99"/>
    <w:unhideWhenUsed/>
    <w:rsid w:val="009A1765"/>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C26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D2C06"/>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AD2C06"/>
    <w:rPr>
      <w:rFonts w:ascii="Cambria" w:eastAsia="Times New Roman" w:hAnsi="Cambria" w:cs="Times New Roman"/>
      <w:b/>
      <w:bCs/>
      <w:kern w:val="28"/>
      <w:sz w:val="32"/>
      <w:szCs w:val="32"/>
      <w:lang w:eastAsia="en-US"/>
    </w:rPr>
  </w:style>
  <w:style w:type="character" w:customStyle="1" w:styleId="Heading2Char">
    <w:name w:val="Heading 2 Char"/>
    <w:basedOn w:val="DefaultParagraphFont"/>
    <w:link w:val="Heading2"/>
    <w:uiPriority w:val="9"/>
    <w:rsid w:val="00AD2C06"/>
    <w:rPr>
      <w:rFonts w:ascii="Cambria" w:eastAsia="Times New Roman" w:hAnsi="Cambria" w:cs="Times New Roman"/>
      <w:b/>
      <w:bCs/>
      <w:i/>
      <w:iCs/>
      <w:sz w:val="28"/>
      <w:szCs w:val="28"/>
      <w:lang w:eastAsia="en-US"/>
    </w:rPr>
  </w:style>
  <w:style w:type="paragraph" w:customStyle="1" w:styleId="Tenderreference">
    <w:name w:val="Tenderreference"/>
    <w:basedOn w:val="Normal"/>
    <w:qFormat/>
    <w:rsid w:val="00C9138A"/>
    <w:pPr>
      <w:tabs>
        <w:tab w:val="left" w:pos="9026"/>
      </w:tabs>
      <w:spacing w:after="120" w:line="240" w:lineRule="auto"/>
      <w:ind w:right="95"/>
      <w:jc w:val="both"/>
    </w:pPr>
    <w:rPr>
      <w:rFonts w:ascii="Arial" w:hAnsi="Arial" w:cs="Arial"/>
      <w:i/>
      <w:sz w:val="24"/>
      <w:szCs w:val="24"/>
    </w:rPr>
  </w:style>
  <w:style w:type="paragraph" w:customStyle="1" w:styleId="TenderTitle">
    <w:name w:val="TenderTitle"/>
    <w:basedOn w:val="Normal"/>
    <w:qFormat/>
    <w:rsid w:val="00C9138A"/>
    <w:pPr>
      <w:tabs>
        <w:tab w:val="left" w:pos="9026"/>
      </w:tabs>
      <w:spacing w:after="120" w:line="240" w:lineRule="auto"/>
      <w:ind w:right="95"/>
      <w:jc w:val="both"/>
    </w:pPr>
    <w:rPr>
      <w:rFonts w:ascii="Arial" w:hAnsi="Arial" w:cs="Arial"/>
      <w:i/>
      <w:sz w:val="24"/>
      <w:szCs w:val="24"/>
    </w:rPr>
  </w:style>
  <w:style w:type="paragraph" w:customStyle="1" w:styleId="Default">
    <w:name w:val="Default"/>
    <w:rsid w:val="00B95826"/>
    <w:pPr>
      <w:autoSpaceDE w:val="0"/>
      <w:autoSpaceDN w:val="0"/>
      <w:adjustRightInd w:val="0"/>
    </w:pPr>
    <w:rPr>
      <w:rFonts w:cs="Calibri"/>
      <w:color w:val="000000"/>
      <w:sz w:val="24"/>
      <w:szCs w:val="24"/>
    </w:rPr>
  </w:style>
  <w:style w:type="character" w:styleId="FootnoteReference">
    <w:name w:val="footnote reference"/>
    <w:basedOn w:val="DefaultParagraphFont"/>
    <w:uiPriority w:val="99"/>
    <w:semiHidden/>
    <w:unhideWhenUsed/>
    <w:rsid w:val="00F64730"/>
    <w:rPr>
      <w:vertAlign w:val="superscript"/>
    </w:rPr>
  </w:style>
  <w:style w:type="character" w:customStyle="1" w:styleId="A1">
    <w:name w:val="A1"/>
    <w:uiPriority w:val="99"/>
    <w:rsid w:val="00F64730"/>
    <w:rPr>
      <w:color w:val="000000"/>
    </w:rPr>
  </w:style>
  <w:style w:type="character" w:styleId="UnresolvedMention">
    <w:name w:val="Unresolved Mention"/>
    <w:basedOn w:val="DefaultParagraphFont"/>
    <w:uiPriority w:val="99"/>
    <w:semiHidden/>
    <w:unhideWhenUsed/>
    <w:rsid w:val="00440D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84598">
      <w:bodyDiv w:val="1"/>
      <w:marLeft w:val="0"/>
      <w:marRight w:val="0"/>
      <w:marTop w:val="0"/>
      <w:marBottom w:val="0"/>
      <w:divBdr>
        <w:top w:val="none" w:sz="0" w:space="0" w:color="auto"/>
        <w:left w:val="none" w:sz="0" w:space="0" w:color="auto"/>
        <w:bottom w:val="none" w:sz="0" w:space="0" w:color="auto"/>
        <w:right w:val="none" w:sz="0" w:space="0" w:color="auto"/>
      </w:divBdr>
    </w:div>
    <w:div w:id="206767671">
      <w:bodyDiv w:val="1"/>
      <w:marLeft w:val="0"/>
      <w:marRight w:val="0"/>
      <w:marTop w:val="0"/>
      <w:marBottom w:val="0"/>
      <w:divBdr>
        <w:top w:val="none" w:sz="0" w:space="0" w:color="auto"/>
        <w:left w:val="none" w:sz="0" w:space="0" w:color="auto"/>
        <w:bottom w:val="none" w:sz="0" w:space="0" w:color="auto"/>
        <w:right w:val="none" w:sz="0" w:space="0" w:color="auto"/>
      </w:divBdr>
    </w:div>
    <w:div w:id="330567547">
      <w:bodyDiv w:val="1"/>
      <w:marLeft w:val="0"/>
      <w:marRight w:val="0"/>
      <w:marTop w:val="0"/>
      <w:marBottom w:val="0"/>
      <w:divBdr>
        <w:top w:val="none" w:sz="0" w:space="0" w:color="auto"/>
        <w:left w:val="none" w:sz="0" w:space="0" w:color="auto"/>
        <w:bottom w:val="none" w:sz="0" w:space="0" w:color="auto"/>
        <w:right w:val="none" w:sz="0" w:space="0" w:color="auto"/>
      </w:divBdr>
    </w:div>
    <w:div w:id="568617492">
      <w:bodyDiv w:val="1"/>
      <w:marLeft w:val="0"/>
      <w:marRight w:val="0"/>
      <w:marTop w:val="0"/>
      <w:marBottom w:val="0"/>
      <w:divBdr>
        <w:top w:val="none" w:sz="0" w:space="0" w:color="auto"/>
        <w:left w:val="none" w:sz="0" w:space="0" w:color="auto"/>
        <w:bottom w:val="none" w:sz="0" w:space="0" w:color="auto"/>
        <w:right w:val="none" w:sz="0" w:space="0" w:color="auto"/>
      </w:divBdr>
    </w:div>
    <w:div w:id="722095416">
      <w:bodyDiv w:val="1"/>
      <w:marLeft w:val="0"/>
      <w:marRight w:val="0"/>
      <w:marTop w:val="0"/>
      <w:marBottom w:val="0"/>
      <w:divBdr>
        <w:top w:val="none" w:sz="0" w:space="0" w:color="auto"/>
        <w:left w:val="none" w:sz="0" w:space="0" w:color="auto"/>
        <w:bottom w:val="none" w:sz="0" w:space="0" w:color="auto"/>
        <w:right w:val="none" w:sz="0" w:space="0" w:color="auto"/>
      </w:divBdr>
    </w:div>
    <w:div w:id="1360475742">
      <w:bodyDiv w:val="1"/>
      <w:marLeft w:val="0"/>
      <w:marRight w:val="0"/>
      <w:marTop w:val="0"/>
      <w:marBottom w:val="0"/>
      <w:divBdr>
        <w:top w:val="none" w:sz="0" w:space="0" w:color="auto"/>
        <w:left w:val="none" w:sz="0" w:space="0" w:color="auto"/>
        <w:bottom w:val="none" w:sz="0" w:space="0" w:color="auto"/>
        <w:right w:val="none" w:sz="0" w:space="0" w:color="auto"/>
      </w:divBdr>
    </w:div>
    <w:div w:id="1573466341">
      <w:bodyDiv w:val="1"/>
      <w:marLeft w:val="0"/>
      <w:marRight w:val="0"/>
      <w:marTop w:val="0"/>
      <w:marBottom w:val="0"/>
      <w:divBdr>
        <w:top w:val="none" w:sz="0" w:space="0" w:color="auto"/>
        <w:left w:val="none" w:sz="0" w:space="0" w:color="auto"/>
        <w:bottom w:val="none" w:sz="0" w:space="0" w:color="auto"/>
        <w:right w:val="none" w:sz="0" w:space="0" w:color="auto"/>
      </w:divBdr>
    </w:div>
    <w:div w:id="1712264626">
      <w:bodyDiv w:val="1"/>
      <w:marLeft w:val="0"/>
      <w:marRight w:val="0"/>
      <w:marTop w:val="0"/>
      <w:marBottom w:val="0"/>
      <w:divBdr>
        <w:top w:val="none" w:sz="0" w:space="0" w:color="auto"/>
        <w:left w:val="none" w:sz="0" w:space="0" w:color="auto"/>
        <w:bottom w:val="none" w:sz="0" w:space="0" w:color="auto"/>
        <w:right w:val="none" w:sz="0" w:space="0" w:color="auto"/>
      </w:divBdr>
    </w:div>
    <w:div w:id="180152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ood.gov.uk" TargetMode="External"/><Relationship Id="rId18" Type="http://schemas.openxmlformats.org/officeDocument/2006/relationships/hyperlink" Target="https://www.gov.uk/government/publications/the-aqua-book-guidance-on-producing-quality-analysis-for-governme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food.bravosolution.co.uk/web/login.html" TargetMode="External"/><Relationship Id="rId17" Type="http://schemas.openxmlformats.org/officeDocument/2006/relationships/hyperlink" Target="http://www.iso.org/iso/home/standards.htm" TargetMode="External"/><Relationship Id="rId2" Type="http://schemas.openxmlformats.org/officeDocument/2006/relationships/customXml" Target="../customXml/item2.xml"/><Relationship Id="rId16" Type="http://schemas.openxmlformats.org/officeDocument/2006/relationships/hyperlink" Target="http://www.food.gov.uk/about-us/data-and-policies/underpinning-dat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jhed.mk/filemanager/JHED%20Vol.%2012/03.%20FPP/01.%20Brane%20Novakovi%C4%87.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fsahome/how/science/Pages/JCoPR.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od.gov.uk/about-us/data-and-policies/underpinning-data"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ns.gov.uk/economy/nationalaccounts/balanceofpayments/timeseries/bogs/mret" TargetMode="External"/><Relationship Id="rId1" Type="http://schemas.openxmlformats.org/officeDocument/2006/relationships/hyperlink" Target="https://www.gov.uk/government/publications/food-statistics-pocketbook-2017/food-statistics-in-your-pocket-2017-food-cha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70D77B4E8EB04291640F2E981AC102" ma:contentTypeVersion="1" ma:contentTypeDescription="Create a new document." ma:contentTypeScope="" ma:versionID="d36b7bdafc82aaf1a86b26085d1589af">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287B0-5D16-4EF1-9E22-531EA69A722F}">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www.w3.org/XML/1998/namespace"/>
  </ds:schemaRefs>
</ds:datastoreItem>
</file>

<file path=customXml/itemProps2.xml><?xml version="1.0" encoding="utf-8"?>
<ds:datastoreItem xmlns:ds="http://schemas.openxmlformats.org/officeDocument/2006/customXml" ds:itemID="{D6404794-5706-486C-B9FB-2586FC2BF08C}">
  <ds:schemaRefs>
    <ds:schemaRef ds:uri="http://schemas.microsoft.com/sharepoint/v3/contenttype/forms"/>
  </ds:schemaRefs>
</ds:datastoreItem>
</file>

<file path=customXml/itemProps3.xml><?xml version="1.0" encoding="utf-8"?>
<ds:datastoreItem xmlns:ds="http://schemas.openxmlformats.org/officeDocument/2006/customXml" ds:itemID="{DEC464BA-917E-4E63-A6F7-53FA6D401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B1ACA0A-A03D-4514-B4BC-7B1BF8D57314}">
  <ds:schemaRefs>
    <ds:schemaRef ds:uri="http://schemas.openxmlformats.org/officeDocument/2006/bibliography"/>
  </ds:schemaRefs>
</ds:datastoreItem>
</file>

<file path=customXml/itemProps5.xml><?xml version="1.0" encoding="utf-8"?>
<ds:datastoreItem xmlns:ds="http://schemas.openxmlformats.org/officeDocument/2006/customXml" ds:itemID="{2A4C0234-57A9-4AF2-9F94-C8F16D67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5147</Words>
  <Characters>29344</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Evidence Specification_Economic Drivers in the UK Meat Industry_FINAL</vt:lpstr>
    </vt:vector>
  </TitlesOfParts>
  <Company>Food Standards Agency</Company>
  <LinksUpToDate>false</LinksUpToDate>
  <CharactersWithSpaces>34423</CharactersWithSpaces>
  <SharedDoc>false</SharedDoc>
  <HLinks>
    <vt:vector size="6" baseType="variant">
      <vt:variant>
        <vt:i4>2097270</vt:i4>
      </vt:variant>
      <vt:variant>
        <vt:i4>0</vt:i4>
      </vt:variant>
      <vt:variant>
        <vt:i4>0</vt:i4>
      </vt:variant>
      <vt:variant>
        <vt:i4>5</vt:i4>
      </vt:variant>
      <vt:variant>
        <vt:lpwstr>https://fsa-esourcing.eurodyn.com/epps/home.do</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Specification</dc:title>
  <dc:creator>Food Standards Agency</dc:creator>
  <lastModifiedBy>Mark Croft</lastModifiedBy>
  <revision>2</revision>
  <lastPrinted>2014-03-13T12:16:00.0000000Z</lastPrinted>
  <dcterms:created xsi:type="dcterms:W3CDTF">2018-06-27T13:02:00.0000000Z</dcterms:created>
  <dcterms:modified xsi:type="dcterms:W3CDTF">2018-06-27T13:02:00.0000000Z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0x010100A970D77B4E8EB04291640F2E981AC102</vt:lpwstr>
  </property>
</Properties>
</file>