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8E6A3" w14:textId="77777777" w:rsidR="00EA3D50" w:rsidRDefault="009A25EB" w:rsidP="009A25EB">
      <w:pPr>
        <w:rPr>
          <w:rFonts w:ascii="Arial" w:eastAsia="Times New Roman" w:hAnsi="Arial" w:cs="Arial"/>
          <w:bCs/>
          <w:sz w:val="36"/>
          <w:szCs w:val="24"/>
          <w:lang w:val="en-US"/>
        </w:rPr>
      </w:pPr>
      <w:r>
        <w:rPr>
          <w:rFonts w:ascii="Arial" w:eastAsia="Times New Roman" w:hAnsi="Arial" w:cs="Arial"/>
          <w:bCs/>
          <w:sz w:val="36"/>
          <w:szCs w:val="24"/>
          <w:lang w:val="en-US"/>
        </w:rPr>
        <w:t>Service Specification</w:t>
      </w:r>
    </w:p>
    <w:p w14:paraId="59609855" w14:textId="2B0F3036" w:rsidR="00F179B6" w:rsidRPr="009A25EB" w:rsidRDefault="00695A4D" w:rsidP="009A25EB">
      <w:pPr>
        <w:rPr>
          <w:color w:val="1F497D"/>
        </w:rPr>
      </w:pPr>
      <w:r w:rsidRPr="00695A4D">
        <w:rPr>
          <w:rFonts w:ascii="Arial" w:eastAsia="Times New Roman" w:hAnsi="Arial" w:cs="Arial"/>
          <w:bCs/>
          <w:sz w:val="36"/>
          <w:szCs w:val="24"/>
          <w:lang w:val="en-US"/>
        </w:rPr>
        <w:t>National Drug Treatment Management Service (NDTMS) – Analytical and Web Service</w:t>
      </w:r>
      <w:r>
        <w:rPr>
          <w:rFonts w:ascii="Arial" w:eastAsia="Times New Roman" w:hAnsi="Arial" w:cs="Arial"/>
          <w:bCs/>
          <w:sz w:val="36"/>
          <w:szCs w:val="24"/>
          <w:lang w:val="en-US"/>
        </w:rPr>
        <w:t>s</w:t>
      </w:r>
      <w:r w:rsidR="009A25EB">
        <w:rPr>
          <w:rFonts w:ascii="Arial" w:eastAsia="Times New Roman" w:hAnsi="Arial" w:cs="Arial"/>
          <w:bCs/>
          <w:sz w:val="36"/>
          <w:szCs w:val="24"/>
          <w:lang w:val="en-US"/>
        </w:rPr>
        <w:t>.</w:t>
      </w:r>
    </w:p>
    <w:p w14:paraId="69C0C93F" w14:textId="77777777" w:rsidR="00222AFC" w:rsidRPr="00A46F17"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Purpose</w:t>
      </w:r>
    </w:p>
    <w:p w14:paraId="23F563F5" w14:textId="71FE42AC" w:rsidR="00D16D7B" w:rsidRDefault="00460EF3"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461A9">
        <w:rPr>
          <w:rFonts w:ascii="Arial" w:hAnsi="Arial" w:cs="Arial"/>
          <w:bCs/>
          <w:sz w:val="24"/>
          <w:szCs w:val="24"/>
        </w:rPr>
        <w:t>Public Health England</w:t>
      </w:r>
      <w:r w:rsidR="00107571" w:rsidRPr="004461A9">
        <w:rPr>
          <w:rFonts w:ascii="Arial" w:hAnsi="Arial" w:cs="Arial"/>
          <w:bCs/>
          <w:sz w:val="24"/>
          <w:szCs w:val="24"/>
        </w:rPr>
        <w:t xml:space="preserve"> (PHE)</w:t>
      </w:r>
      <w:r w:rsidRPr="004461A9">
        <w:rPr>
          <w:rFonts w:ascii="Arial" w:hAnsi="Arial" w:cs="Arial"/>
          <w:bCs/>
          <w:sz w:val="24"/>
          <w:szCs w:val="24"/>
        </w:rPr>
        <w:t xml:space="preserve"> is seeking</w:t>
      </w:r>
      <w:r w:rsidR="004B32EA" w:rsidRPr="004461A9">
        <w:rPr>
          <w:rFonts w:ascii="Arial" w:hAnsi="Arial" w:cs="Arial"/>
          <w:bCs/>
          <w:sz w:val="24"/>
          <w:szCs w:val="24"/>
        </w:rPr>
        <w:t xml:space="preserve"> to commission</w:t>
      </w:r>
      <w:r w:rsidR="008D7F38">
        <w:rPr>
          <w:rFonts w:ascii="Arial" w:hAnsi="Arial" w:cs="Arial"/>
          <w:bCs/>
          <w:sz w:val="24"/>
          <w:szCs w:val="24"/>
        </w:rPr>
        <w:t xml:space="preserve"> an external partner to</w:t>
      </w:r>
      <w:r w:rsidR="00BE4D3A">
        <w:rPr>
          <w:rFonts w:ascii="Arial" w:hAnsi="Arial" w:cs="Arial"/>
          <w:bCs/>
          <w:sz w:val="24"/>
          <w:szCs w:val="24"/>
        </w:rPr>
        <w:t>:</w:t>
      </w:r>
    </w:p>
    <w:p w14:paraId="24078903" w14:textId="120543CA" w:rsidR="00EA3D50" w:rsidRDefault="00AB0F4A" w:rsidP="00FE1EDE">
      <w:pPr>
        <w:pStyle w:val="ListParagraph"/>
        <w:numPr>
          <w:ilvl w:val="0"/>
          <w:numId w:val="26"/>
        </w:numPr>
        <w:spacing w:after="0" w:line="240" w:lineRule="auto"/>
        <w:rPr>
          <w:rFonts w:ascii="Arial" w:hAnsi="Arial" w:cs="Arial"/>
          <w:bCs/>
          <w:sz w:val="24"/>
          <w:szCs w:val="24"/>
        </w:rPr>
      </w:pPr>
      <w:bookmarkStart w:id="0" w:name="_Hlk56768841"/>
      <w:r>
        <w:rPr>
          <w:rFonts w:ascii="Arial" w:eastAsia="Times New Roman" w:hAnsi="Arial" w:cs="Arial"/>
          <w:sz w:val="24"/>
          <w:szCs w:val="24"/>
          <w:lang w:eastAsia="en-GB"/>
        </w:rPr>
        <w:t>P</w:t>
      </w:r>
      <w:r w:rsidRPr="00AB0F4A">
        <w:rPr>
          <w:rFonts w:ascii="Arial" w:eastAsia="Times New Roman" w:hAnsi="Arial" w:cs="Arial"/>
          <w:sz w:val="24"/>
          <w:szCs w:val="24"/>
          <w:lang w:eastAsia="en-GB"/>
        </w:rPr>
        <w:t xml:space="preserve">rovide immediate </w:t>
      </w:r>
      <w:r w:rsidR="006C33FF">
        <w:rPr>
          <w:rFonts w:ascii="Arial" w:eastAsia="Times New Roman" w:hAnsi="Arial" w:cs="Arial"/>
          <w:sz w:val="24"/>
          <w:szCs w:val="24"/>
          <w:lang w:eastAsia="en-GB"/>
        </w:rPr>
        <w:t xml:space="preserve">independent </w:t>
      </w:r>
      <w:r w:rsidRPr="00AB0F4A">
        <w:rPr>
          <w:rFonts w:ascii="Arial" w:eastAsia="Times New Roman" w:hAnsi="Arial" w:cs="Arial"/>
          <w:sz w:val="24"/>
          <w:szCs w:val="24"/>
          <w:lang w:eastAsia="en-GB"/>
        </w:rPr>
        <w:t xml:space="preserve">analytical support to aid </w:t>
      </w:r>
      <w:r>
        <w:rPr>
          <w:rFonts w:ascii="Arial" w:eastAsia="Times New Roman" w:hAnsi="Arial" w:cs="Arial"/>
          <w:sz w:val="24"/>
          <w:szCs w:val="24"/>
          <w:lang w:eastAsia="en-GB"/>
        </w:rPr>
        <w:t>PHE</w:t>
      </w:r>
      <w:r w:rsidRPr="00AB0F4A">
        <w:rPr>
          <w:rFonts w:ascii="Arial" w:eastAsia="Times New Roman" w:hAnsi="Arial" w:cs="Arial"/>
          <w:sz w:val="24"/>
          <w:szCs w:val="24"/>
          <w:lang w:eastAsia="en-GB"/>
        </w:rPr>
        <w:t xml:space="preserve"> in delivering its work priorities.</w:t>
      </w:r>
      <w:bookmarkEnd w:id="0"/>
    </w:p>
    <w:p w14:paraId="10DA95D2" w14:textId="77777777" w:rsidR="00FE1EDE" w:rsidRPr="00FE1EDE" w:rsidRDefault="00FE1EDE" w:rsidP="00FE1EDE">
      <w:pPr>
        <w:spacing w:after="0" w:line="240" w:lineRule="auto"/>
        <w:ind w:left="720"/>
        <w:rPr>
          <w:rFonts w:ascii="Arial" w:eastAsia="Times New Roman" w:hAnsi="Arial" w:cs="Arial"/>
          <w:sz w:val="24"/>
          <w:szCs w:val="24"/>
          <w:lang w:eastAsia="en-GB"/>
        </w:rPr>
      </w:pPr>
    </w:p>
    <w:p w14:paraId="0D0633AD" w14:textId="7986795B" w:rsidR="00FE1EDE" w:rsidRPr="00AB0F4A" w:rsidRDefault="00AB0F4A" w:rsidP="00AB0F4A">
      <w:pPr>
        <w:pStyle w:val="ListParagraph"/>
        <w:numPr>
          <w:ilvl w:val="0"/>
          <w:numId w:val="26"/>
        </w:numPr>
        <w:spacing w:after="0" w:line="240" w:lineRule="auto"/>
        <w:rPr>
          <w:rFonts w:ascii="Arial" w:hAnsi="Arial" w:cs="Arial"/>
          <w:bCs/>
          <w:sz w:val="24"/>
          <w:szCs w:val="24"/>
        </w:rPr>
      </w:pPr>
      <w:r w:rsidRPr="00AB0F4A">
        <w:rPr>
          <w:rFonts w:ascii="Arial" w:eastAsia="Times New Roman" w:hAnsi="Arial" w:cs="Arial"/>
          <w:sz w:val="24"/>
          <w:szCs w:val="24"/>
          <w:lang w:eastAsia="en-GB"/>
        </w:rPr>
        <w:t xml:space="preserve">Support </w:t>
      </w:r>
      <w:r>
        <w:rPr>
          <w:rFonts w:ascii="Arial" w:eastAsia="Times New Roman" w:hAnsi="Arial" w:cs="Arial"/>
          <w:sz w:val="24"/>
          <w:szCs w:val="24"/>
          <w:lang w:eastAsia="en-GB"/>
        </w:rPr>
        <w:t>PHE</w:t>
      </w:r>
      <w:r w:rsidRPr="00AB0F4A">
        <w:rPr>
          <w:rFonts w:ascii="Arial" w:eastAsia="Times New Roman" w:hAnsi="Arial" w:cs="Arial"/>
          <w:sz w:val="24"/>
          <w:szCs w:val="24"/>
          <w:lang w:eastAsia="en-GB"/>
        </w:rPr>
        <w:t xml:space="preserve"> in the production of peer</w:t>
      </w:r>
      <w:r w:rsidR="00E254EE">
        <w:rPr>
          <w:rFonts w:ascii="Arial" w:eastAsia="Times New Roman" w:hAnsi="Arial" w:cs="Arial"/>
          <w:sz w:val="24"/>
          <w:szCs w:val="24"/>
          <w:lang w:eastAsia="en-GB"/>
        </w:rPr>
        <w:t>-</w:t>
      </w:r>
      <w:bookmarkStart w:id="1" w:name="_GoBack"/>
      <w:bookmarkEnd w:id="1"/>
      <w:r w:rsidRPr="00AB0F4A">
        <w:rPr>
          <w:rFonts w:ascii="Arial" w:eastAsia="Times New Roman" w:hAnsi="Arial" w:cs="Arial"/>
          <w:sz w:val="24"/>
          <w:szCs w:val="24"/>
          <w:lang w:eastAsia="en-GB"/>
        </w:rPr>
        <w:t>reviewed publications, including support and advice for other academic departments using NDTMS data for research into drug and alcohol treatment.</w:t>
      </w:r>
    </w:p>
    <w:p w14:paraId="649E3DB2" w14:textId="77777777" w:rsidR="00FE1EDE" w:rsidRPr="00AB0F4A" w:rsidRDefault="00FE1EDE" w:rsidP="00AB0F4A">
      <w:pPr>
        <w:spacing w:after="0" w:line="240" w:lineRule="auto"/>
        <w:ind w:left="360"/>
        <w:rPr>
          <w:rFonts w:ascii="Arial" w:hAnsi="Arial" w:cs="Arial"/>
          <w:bCs/>
          <w:sz w:val="24"/>
          <w:szCs w:val="24"/>
        </w:rPr>
      </w:pPr>
    </w:p>
    <w:p w14:paraId="32BCFA3D" w14:textId="3F556ABC" w:rsidR="00EA3D50" w:rsidRPr="00FE1EDE" w:rsidRDefault="00115A29" w:rsidP="00AB0F4A">
      <w:pPr>
        <w:pStyle w:val="ListParagraph"/>
        <w:numPr>
          <w:ilvl w:val="0"/>
          <w:numId w:val="26"/>
        </w:numPr>
        <w:spacing w:after="0" w:line="240" w:lineRule="auto"/>
        <w:rPr>
          <w:rFonts w:ascii="Arial" w:eastAsia="Times New Roman" w:hAnsi="Arial" w:cs="Arial"/>
          <w:sz w:val="24"/>
          <w:szCs w:val="24"/>
          <w:lang w:eastAsia="en-GB"/>
        </w:rPr>
      </w:pPr>
      <w:r w:rsidRPr="00115A29">
        <w:rPr>
          <w:rFonts w:ascii="Arial" w:hAnsi="Arial" w:cs="Arial"/>
          <w:bCs/>
          <w:sz w:val="24"/>
          <w:szCs w:val="24"/>
        </w:rPr>
        <w:t xml:space="preserve">The contract holder will be required to develop, maintain and host </w:t>
      </w:r>
      <w:r>
        <w:rPr>
          <w:rFonts w:ascii="Arial" w:hAnsi="Arial" w:cs="Arial"/>
          <w:bCs/>
          <w:sz w:val="24"/>
          <w:szCs w:val="24"/>
        </w:rPr>
        <w:t>web services</w:t>
      </w:r>
      <w:r w:rsidRPr="00115A29">
        <w:rPr>
          <w:rFonts w:ascii="Arial" w:hAnsi="Arial" w:cs="Arial"/>
          <w:bCs/>
          <w:sz w:val="24"/>
          <w:szCs w:val="24"/>
        </w:rPr>
        <w:t xml:space="preserve"> that provide a visually eye-catching gateway into key data relating to drug and alcohol treatment.</w:t>
      </w:r>
    </w:p>
    <w:p w14:paraId="7091612D" w14:textId="1C28EF80" w:rsidR="00B2480C" w:rsidRPr="00A46F17"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Background</w:t>
      </w:r>
    </w:p>
    <w:p w14:paraId="1449ECF1" w14:textId="1AAA637F" w:rsidR="00F73C4B" w:rsidRPr="00A46F17"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sz w:val="24"/>
          <w:szCs w:val="24"/>
        </w:rPr>
        <w:t>Public Health England (PHE) is the expert national public health agency which fulfils the Secretary of State for Health’s statutory duty to protect health and address inequalities</w:t>
      </w:r>
      <w:r w:rsidR="00F41303">
        <w:rPr>
          <w:rFonts w:ascii="Arial" w:hAnsi="Arial" w:cs="Arial"/>
          <w:sz w:val="24"/>
          <w:szCs w:val="24"/>
        </w:rPr>
        <w:t xml:space="preserve"> </w:t>
      </w:r>
      <w:r w:rsidRPr="00A46F17">
        <w:rPr>
          <w:rFonts w:ascii="Arial" w:hAnsi="Arial" w:cs="Arial"/>
          <w:sz w:val="24"/>
          <w:szCs w:val="24"/>
        </w:rPr>
        <w:t>and executes his power to promote the health and wellbeing of the nation.</w:t>
      </w:r>
    </w:p>
    <w:p w14:paraId="73139B1C" w14:textId="023BEC95" w:rsidR="00F73C4B"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46F17">
        <w:rPr>
          <w:rFonts w:ascii="Arial" w:hAnsi="Arial" w:cs="Arial"/>
          <w:sz w:val="24"/>
          <w:szCs w:val="24"/>
        </w:rPr>
        <w:t>PHE supports local authorities, and through them clinical commissioning groups, by providing evidence and knowledge on local health needs, alongside practical and professional advice on what to do to improve health, and by taking action nationally where it makes sense to do so.</w:t>
      </w:r>
    </w:p>
    <w:p w14:paraId="4FEFB96A" w14:textId="57B95220" w:rsidR="00115A29" w:rsidRDefault="00115A29"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PHE</w:t>
      </w:r>
      <w:r w:rsidRPr="00115A29">
        <w:rPr>
          <w:rFonts w:ascii="Arial" w:hAnsi="Arial" w:cs="Arial"/>
          <w:sz w:val="24"/>
          <w:szCs w:val="24"/>
        </w:rPr>
        <w:t xml:space="preserve"> is responsible for the maintenance of the National Drug Treatment Monitoring System (NDTMS). NDTMS is the national repository for alcohol and drug treatment information for all clients accessing publicly funded treatment in England. Together with providing a platform for regular management reporting to treatment providers and commissioners, NDTMS is utilised for bespoke data requests and replying to Freedom of Information requests and Parliamentary Questions, as well as for national statistics bulletins and releases. </w:t>
      </w:r>
      <w:r>
        <w:rPr>
          <w:rFonts w:ascii="Arial" w:hAnsi="Arial" w:cs="Arial"/>
          <w:sz w:val="24"/>
          <w:szCs w:val="24"/>
        </w:rPr>
        <w:t>PHE</w:t>
      </w:r>
      <w:r w:rsidRPr="00115A29">
        <w:rPr>
          <w:rFonts w:ascii="Arial" w:hAnsi="Arial" w:cs="Arial"/>
          <w:sz w:val="24"/>
          <w:szCs w:val="24"/>
        </w:rPr>
        <w:t xml:space="preserve"> is looking to tender for services to provide independent analytical support and research capabilities from</w:t>
      </w:r>
      <w:r w:rsidR="00CE4C21">
        <w:rPr>
          <w:rFonts w:ascii="Arial" w:hAnsi="Arial" w:cs="Arial"/>
          <w:sz w:val="24"/>
          <w:szCs w:val="24"/>
        </w:rPr>
        <w:t>,</w:t>
      </w:r>
      <w:r w:rsidRPr="00115A29">
        <w:rPr>
          <w:rFonts w:ascii="Arial" w:hAnsi="Arial" w:cs="Arial"/>
          <w:sz w:val="24"/>
          <w:szCs w:val="24"/>
        </w:rPr>
        <w:t xml:space="preserve"> preferably</w:t>
      </w:r>
      <w:r w:rsidR="00CE4C21">
        <w:rPr>
          <w:rFonts w:ascii="Arial" w:hAnsi="Arial" w:cs="Arial"/>
          <w:sz w:val="24"/>
          <w:szCs w:val="24"/>
        </w:rPr>
        <w:t>,</w:t>
      </w:r>
      <w:r w:rsidRPr="00115A29">
        <w:rPr>
          <w:rFonts w:ascii="Arial" w:hAnsi="Arial" w:cs="Arial"/>
          <w:sz w:val="24"/>
          <w:szCs w:val="24"/>
        </w:rPr>
        <w:t xml:space="preserve"> an academic organisation along with providing hosting, maintenance and administration of web services to support the dissemination of drug and alcohol treatment management reporting to key national and local stakeholders.</w:t>
      </w:r>
    </w:p>
    <w:p w14:paraId="60E7C246" w14:textId="6A285900" w:rsidR="008F12DC" w:rsidRDefault="008D7F38"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lastRenderedPageBreak/>
        <w:t>Outline of Work</w:t>
      </w:r>
    </w:p>
    <w:p w14:paraId="65B22EC3" w14:textId="291D0E75" w:rsidR="0073378A" w:rsidRDefault="0073378A" w:rsidP="0073378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115A29">
        <w:rPr>
          <w:rFonts w:ascii="Arial" w:eastAsiaTheme="minorHAnsi" w:hAnsi="Arial" w:cs="Arial"/>
          <w:color w:val="000000"/>
          <w:sz w:val="24"/>
          <w:szCs w:val="24"/>
        </w:rPr>
        <w:t xml:space="preserve">The following list </w:t>
      </w:r>
      <w:r>
        <w:rPr>
          <w:rFonts w:ascii="Arial" w:eastAsiaTheme="minorHAnsi" w:hAnsi="Arial" w:cs="Arial"/>
          <w:color w:val="000000"/>
          <w:sz w:val="24"/>
          <w:szCs w:val="24"/>
        </w:rPr>
        <w:t xml:space="preserve">broadly </w:t>
      </w:r>
      <w:r w:rsidRPr="00115A29">
        <w:rPr>
          <w:rFonts w:ascii="Arial" w:eastAsiaTheme="minorHAnsi" w:hAnsi="Arial" w:cs="Arial"/>
          <w:color w:val="000000"/>
          <w:sz w:val="24"/>
          <w:szCs w:val="24"/>
        </w:rPr>
        <w:t xml:space="preserve">outlines the skills </w:t>
      </w:r>
      <w:r>
        <w:rPr>
          <w:rFonts w:ascii="Arial" w:eastAsiaTheme="minorHAnsi" w:hAnsi="Arial" w:cs="Arial"/>
          <w:color w:val="000000"/>
          <w:sz w:val="24"/>
          <w:szCs w:val="24"/>
        </w:rPr>
        <w:t xml:space="preserve">and experience </w:t>
      </w:r>
      <w:r w:rsidRPr="00115A29">
        <w:rPr>
          <w:rFonts w:ascii="Arial" w:eastAsiaTheme="minorHAnsi" w:hAnsi="Arial" w:cs="Arial"/>
          <w:color w:val="000000"/>
          <w:sz w:val="24"/>
          <w:szCs w:val="24"/>
        </w:rPr>
        <w:t>required to deliver the outputs detailed in</w:t>
      </w:r>
      <w:r>
        <w:rPr>
          <w:rFonts w:ascii="Arial" w:eastAsiaTheme="minorHAnsi" w:hAnsi="Arial" w:cs="Arial"/>
          <w:color w:val="000000"/>
          <w:sz w:val="24"/>
          <w:szCs w:val="24"/>
        </w:rPr>
        <w:t xml:space="preserve"> this tender specification:</w:t>
      </w:r>
    </w:p>
    <w:p w14:paraId="7FB8D33D"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Academic credibility amongst peers within the field of drug and alcohol epidemiology;</w:t>
      </w:r>
    </w:p>
    <w:p w14:paraId="708CDAA5"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Ability to produce specified reporting outputs within two days of receipt of monthly NDTMS data;</w:t>
      </w:r>
    </w:p>
    <w:p w14:paraId="66ACE626"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Proven ability to develop and support web reporting tools for health data, including dynamic tabular reports and GIS;</w:t>
      </w:r>
    </w:p>
    <w:p w14:paraId="1206238A"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Proven ability to produce high quality statistical methodology documentation;</w:t>
      </w:r>
    </w:p>
    <w:p w14:paraId="108E0F8C"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 xml:space="preserve">Ability to comply with NHS </w:t>
      </w:r>
      <w:r>
        <w:rPr>
          <w:rFonts w:ascii="Arial" w:eastAsia="Times New Roman" w:hAnsi="Arial" w:cs="Arial"/>
          <w:sz w:val="24"/>
          <w:szCs w:val="24"/>
          <w:lang w:eastAsia="en-GB"/>
        </w:rPr>
        <w:t>Data Security and Protection Toolkit</w:t>
      </w:r>
      <w:r w:rsidRPr="003A2D48">
        <w:rPr>
          <w:rFonts w:ascii="Arial" w:eastAsia="Times New Roman" w:hAnsi="Arial" w:cs="Arial"/>
          <w:sz w:val="24"/>
          <w:szCs w:val="24"/>
          <w:lang w:eastAsia="en-GB"/>
        </w:rPr>
        <w:t xml:space="preserve"> requirements;</w:t>
      </w:r>
    </w:p>
    <w:p w14:paraId="34F719FE"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Demonstrable expertise in programme/project management for software development;</w:t>
      </w:r>
    </w:p>
    <w:p w14:paraId="06ACFE97"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In house skills required to develop and support .net framework/SQL server applications;</w:t>
      </w:r>
    </w:p>
    <w:p w14:paraId="35AFAE1D"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Advanced SPSS</w:t>
      </w:r>
      <w:r>
        <w:rPr>
          <w:rFonts w:ascii="Arial" w:eastAsia="Times New Roman" w:hAnsi="Arial" w:cs="Arial"/>
          <w:sz w:val="24"/>
          <w:szCs w:val="24"/>
          <w:lang w:eastAsia="en-GB"/>
        </w:rPr>
        <w:t>, R</w:t>
      </w:r>
      <w:r w:rsidRPr="003A2D48">
        <w:rPr>
          <w:rFonts w:ascii="Arial" w:eastAsia="Times New Roman" w:hAnsi="Arial" w:cs="Arial"/>
          <w:sz w:val="24"/>
          <w:szCs w:val="24"/>
          <w:lang w:eastAsia="en-GB"/>
        </w:rPr>
        <w:t xml:space="preserve"> and SQL skills or similar analytical product;</w:t>
      </w:r>
    </w:p>
    <w:p w14:paraId="2FB75E69"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Proven ability to produce technical documentation for software development;</w:t>
      </w:r>
    </w:p>
    <w:p w14:paraId="28ADADC0" w14:textId="77777777" w:rsidR="0073378A" w:rsidRPr="003A2D48"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Experience of production of National Statistics, and demonstrable understanding of UKSA code of practice and assessment methodology;</w:t>
      </w:r>
    </w:p>
    <w:p w14:paraId="29EF5CCB" w14:textId="77777777" w:rsidR="0073378A" w:rsidRDefault="0073378A" w:rsidP="0073378A">
      <w:pPr>
        <w:pStyle w:val="ListParagraph"/>
        <w:numPr>
          <w:ilvl w:val="0"/>
          <w:numId w:val="34"/>
        </w:numPr>
        <w:spacing w:after="0" w:line="240" w:lineRule="auto"/>
        <w:rPr>
          <w:rFonts w:ascii="Arial" w:eastAsia="Times New Roman" w:hAnsi="Arial" w:cs="Arial"/>
          <w:sz w:val="24"/>
          <w:szCs w:val="24"/>
          <w:lang w:eastAsia="en-GB"/>
        </w:rPr>
      </w:pPr>
      <w:r w:rsidRPr="003A2D48">
        <w:rPr>
          <w:rFonts w:ascii="Arial" w:eastAsia="Times New Roman" w:hAnsi="Arial" w:cs="Arial"/>
          <w:sz w:val="24"/>
          <w:szCs w:val="24"/>
          <w:lang w:eastAsia="en-GB"/>
        </w:rPr>
        <w:t xml:space="preserve">Demonstrable experience and skills to answer Freedom of Information requests and Parliamentary Questions in a timely manner (normally 48 hours). </w:t>
      </w:r>
    </w:p>
    <w:p w14:paraId="28EB4B3D" w14:textId="31EE8D2E" w:rsidR="0073378A" w:rsidRPr="0073378A" w:rsidRDefault="0073378A"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There are three main requirements to this commission:</w:t>
      </w:r>
    </w:p>
    <w:p w14:paraId="4FB3D3A5" w14:textId="7778B3A4" w:rsidR="00C8382A" w:rsidRPr="00CE4C21" w:rsidRDefault="00C8382A" w:rsidP="00C8382A">
      <w:pPr>
        <w:pStyle w:val="ListParagraph"/>
        <w:widowControl w:val="0"/>
        <w:numPr>
          <w:ilvl w:val="0"/>
          <w:numId w:val="3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b/>
          <w:bCs/>
          <w:color w:val="000000"/>
          <w:sz w:val="24"/>
          <w:szCs w:val="24"/>
        </w:rPr>
      </w:pPr>
      <w:r w:rsidRPr="00CE4C21">
        <w:rPr>
          <w:rFonts w:ascii="Arial" w:eastAsiaTheme="minorHAnsi" w:hAnsi="Arial" w:cs="Arial"/>
          <w:b/>
          <w:bCs/>
          <w:color w:val="000000"/>
          <w:sz w:val="24"/>
          <w:szCs w:val="24"/>
        </w:rPr>
        <w:t>Analytical services</w:t>
      </w:r>
    </w:p>
    <w:p w14:paraId="591C3F71" w14:textId="18E04C3D" w:rsidR="00C8382A" w:rsidRPr="00C8382A" w:rsidRDefault="00FA3D96" w:rsidP="00F66FCD">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To p</w:t>
      </w:r>
      <w:r w:rsidR="00C8382A" w:rsidRPr="00C8382A">
        <w:rPr>
          <w:rFonts w:ascii="Arial" w:eastAsiaTheme="minorHAnsi" w:hAnsi="Arial" w:cs="Arial"/>
          <w:color w:val="000000"/>
          <w:sz w:val="24"/>
          <w:szCs w:val="24"/>
        </w:rPr>
        <w:t>rovide immediate analytical support to aid PHE in delivering its work priorities. Knowledge of the NDTMS dataset is essential in order to meet PHE's requirement to maintain regular reporting of key statistics on multiple geographic levels, together with subject matter knowledge pertaining to drug and alcohol treatment processes, client heterogeneity and treatment outcomes. The contract holder will ideally have gained longstanding academic credibility relating to the subject matter or similar.</w:t>
      </w:r>
    </w:p>
    <w:p w14:paraId="06249E6F" w14:textId="50F18E5E" w:rsidR="00C8382A" w:rsidRPr="00C8382A" w:rsidRDefault="00C8382A" w:rsidP="00F66FCD">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C8382A">
        <w:rPr>
          <w:rFonts w:ascii="Arial" w:eastAsiaTheme="minorHAnsi" w:hAnsi="Arial" w:cs="Arial"/>
          <w:color w:val="000000"/>
          <w:sz w:val="24"/>
          <w:szCs w:val="24"/>
        </w:rPr>
        <w:t xml:space="preserve">To support PHE, the contract holder will need to replicate the methodologies utilised by </w:t>
      </w:r>
      <w:r w:rsidR="00F66FCD">
        <w:rPr>
          <w:rFonts w:ascii="Arial" w:eastAsiaTheme="minorHAnsi" w:hAnsi="Arial" w:cs="Arial"/>
          <w:color w:val="000000"/>
          <w:sz w:val="24"/>
          <w:szCs w:val="24"/>
        </w:rPr>
        <w:t>PHE</w:t>
      </w:r>
      <w:r w:rsidRPr="00C8382A">
        <w:rPr>
          <w:rFonts w:ascii="Arial" w:eastAsiaTheme="minorHAnsi" w:hAnsi="Arial" w:cs="Arial"/>
          <w:color w:val="000000"/>
          <w:sz w:val="24"/>
          <w:szCs w:val="24"/>
        </w:rPr>
        <w:t xml:space="preserve"> in analysing NDTMS data.  </w:t>
      </w:r>
      <w:r w:rsidR="00F66FCD">
        <w:rPr>
          <w:rFonts w:ascii="Arial" w:eastAsiaTheme="minorHAnsi" w:hAnsi="Arial" w:cs="Arial"/>
          <w:color w:val="000000"/>
          <w:sz w:val="24"/>
          <w:szCs w:val="24"/>
        </w:rPr>
        <w:t>PHE</w:t>
      </w:r>
      <w:r w:rsidRPr="00C8382A">
        <w:rPr>
          <w:rFonts w:ascii="Arial" w:eastAsiaTheme="minorHAnsi" w:hAnsi="Arial" w:cs="Arial"/>
          <w:color w:val="000000"/>
          <w:sz w:val="24"/>
          <w:szCs w:val="24"/>
        </w:rPr>
        <w:t xml:space="preserve"> creates a ‘treatment journey’ construct that applies to </w:t>
      </w:r>
      <w:r w:rsidR="0073378A" w:rsidRPr="00C8382A">
        <w:rPr>
          <w:rFonts w:ascii="Arial" w:eastAsiaTheme="minorHAnsi" w:hAnsi="Arial" w:cs="Arial"/>
          <w:color w:val="000000"/>
          <w:sz w:val="24"/>
          <w:szCs w:val="24"/>
        </w:rPr>
        <w:t>everyone</w:t>
      </w:r>
      <w:r w:rsidRPr="00C8382A">
        <w:rPr>
          <w:rFonts w:ascii="Arial" w:eastAsiaTheme="minorHAnsi" w:hAnsi="Arial" w:cs="Arial"/>
          <w:color w:val="000000"/>
          <w:sz w:val="24"/>
          <w:szCs w:val="24"/>
        </w:rPr>
        <w:t xml:space="preserve"> receiving alcohol or drug treatment. This construct is composed of one or more treatment episodes, which may occur at one or more treatment providers, and may be concurrent or consecutive in nature. Support would be provided, and it is expected that the contract holder would be able to meet all output requirements within three months. </w:t>
      </w:r>
    </w:p>
    <w:p w14:paraId="6C909B3A" w14:textId="0F8C39FB" w:rsidR="00C8382A" w:rsidRPr="00C8382A" w:rsidRDefault="00C8382A" w:rsidP="00C8382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C8382A">
        <w:rPr>
          <w:rFonts w:ascii="Arial" w:eastAsiaTheme="minorHAnsi" w:hAnsi="Arial" w:cs="Arial"/>
          <w:color w:val="000000"/>
          <w:sz w:val="24"/>
          <w:szCs w:val="24"/>
        </w:rPr>
        <w:lastRenderedPageBreak/>
        <w:t>With the ‘treatment journey’ construct in place, the contract holder will be required to:</w:t>
      </w:r>
    </w:p>
    <w:p w14:paraId="680C0A8A" w14:textId="38E305E1" w:rsidR="00C8382A" w:rsidRPr="00C8382A" w:rsidRDefault="00C8382A"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sidRPr="00C8382A">
        <w:rPr>
          <w:rFonts w:ascii="Arial" w:eastAsiaTheme="minorHAnsi" w:hAnsi="Arial" w:cs="Arial"/>
          <w:color w:val="000000"/>
          <w:sz w:val="24"/>
          <w:szCs w:val="24"/>
        </w:rPr>
        <w:t xml:space="preserve">have in place verification procedures to identify anomalies and inconsistencies in the data that are provided each month </w:t>
      </w:r>
    </w:p>
    <w:p w14:paraId="30FD4CE4" w14:textId="5701EDB5" w:rsidR="00C8382A" w:rsidRPr="00C8382A" w:rsidRDefault="00C8382A"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sidRPr="00C8382A">
        <w:rPr>
          <w:rFonts w:ascii="Arial" w:eastAsiaTheme="minorHAnsi" w:hAnsi="Arial" w:cs="Arial"/>
          <w:color w:val="000000"/>
          <w:sz w:val="24"/>
          <w:szCs w:val="24"/>
        </w:rPr>
        <w:t xml:space="preserve">carry out external validation of </w:t>
      </w:r>
      <w:r w:rsidR="00F66FCD">
        <w:rPr>
          <w:rFonts w:ascii="Arial" w:eastAsiaTheme="minorHAnsi" w:hAnsi="Arial" w:cs="Arial"/>
          <w:color w:val="000000"/>
          <w:sz w:val="24"/>
          <w:szCs w:val="24"/>
        </w:rPr>
        <w:t>PHE</w:t>
      </w:r>
      <w:r w:rsidRPr="00C8382A">
        <w:rPr>
          <w:rFonts w:ascii="Arial" w:eastAsiaTheme="minorHAnsi" w:hAnsi="Arial" w:cs="Arial"/>
          <w:color w:val="000000"/>
          <w:sz w:val="24"/>
          <w:szCs w:val="24"/>
        </w:rPr>
        <w:t>’s performance management information.</w:t>
      </w:r>
    </w:p>
    <w:p w14:paraId="007B8ADE" w14:textId="7B009603" w:rsidR="00C8382A" w:rsidRPr="00C8382A" w:rsidRDefault="00C8382A"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sidRPr="00C8382A">
        <w:rPr>
          <w:rFonts w:ascii="Arial" w:eastAsiaTheme="minorHAnsi" w:hAnsi="Arial" w:cs="Arial"/>
          <w:color w:val="000000"/>
          <w:sz w:val="24"/>
          <w:szCs w:val="24"/>
        </w:rPr>
        <w:t xml:space="preserve">undertake to advise </w:t>
      </w:r>
      <w:r w:rsidR="00F66FCD">
        <w:rPr>
          <w:rFonts w:ascii="Arial" w:eastAsiaTheme="minorHAnsi" w:hAnsi="Arial" w:cs="Arial"/>
          <w:color w:val="000000"/>
          <w:sz w:val="24"/>
          <w:szCs w:val="24"/>
        </w:rPr>
        <w:t>PHE</w:t>
      </w:r>
      <w:r w:rsidRPr="00C8382A">
        <w:rPr>
          <w:rFonts w:ascii="Arial" w:eastAsiaTheme="minorHAnsi" w:hAnsi="Arial" w:cs="Arial"/>
          <w:color w:val="000000"/>
          <w:sz w:val="24"/>
          <w:szCs w:val="24"/>
        </w:rPr>
        <w:t xml:space="preserve"> on issues of data quality, consistency and comparability at national, PHE Centre and </w:t>
      </w:r>
      <w:r w:rsidR="00F66FCD">
        <w:rPr>
          <w:rFonts w:ascii="Arial" w:eastAsiaTheme="minorHAnsi" w:hAnsi="Arial" w:cs="Arial"/>
          <w:color w:val="000000"/>
          <w:sz w:val="24"/>
          <w:szCs w:val="24"/>
        </w:rPr>
        <w:t>upper-tier local authority</w:t>
      </w:r>
      <w:r w:rsidRPr="00C8382A">
        <w:rPr>
          <w:rFonts w:ascii="Arial" w:eastAsiaTheme="minorHAnsi" w:hAnsi="Arial" w:cs="Arial"/>
          <w:color w:val="000000"/>
          <w:sz w:val="24"/>
          <w:szCs w:val="24"/>
        </w:rPr>
        <w:t xml:space="preserve"> level.</w:t>
      </w:r>
    </w:p>
    <w:p w14:paraId="1E8B176E" w14:textId="589A1CB7" w:rsidR="00C8382A" w:rsidRPr="00C8382A" w:rsidRDefault="00C8382A"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sidRPr="00C8382A">
        <w:rPr>
          <w:rFonts w:ascii="Arial" w:eastAsiaTheme="minorHAnsi" w:hAnsi="Arial" w:cs="Arial"/>
          <w:color w:val="000000"/>
          <w:sz w:val="24"/>
          <w:szCs w:val="24"/>
        </w:rPr>
        <w:t>agree protocols in relation to medico-legal aspects of data storage, processing and dissemination to take account of current guidelines and legislation.</w:t>
      </w:r>
    </w:p>
    <w:p w14:paraId="590E93F4" w14:textId="2FF29824" w:rsidR="00C8382A" w:rsidRPr="00C8382A" w:rsidRDefault="00C8382A"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sidRPr="00C8382A">
        <w:rPr>
          <w:rFonts w:ascii="Arial" w:eastAsiaTheme="minorHAnsi" w:hAnsi="Arial" w:cs="Arial"/>
          <w:color w:val="000000"/>
          <w:sz w:val="24"/>
          <w:szCs w:val="24"/>
        </w:rPr>
        <w:t>maintain data storage facilities capable of holding data sets for every treatment provider in England (see below).</w:t>
      </w:r>
    </w:p>
    <w:p w14:paraId="1F4ED770" w14:textId="4D45CC16" w:rsidR="00C8382A" w:rsidRPr="00C8382A" w:rsidRDefault="00C8382A"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sidRPr="00C8382A">
        <w:rPr>
          <w:rFonts w:ascii="Arial" w:eastAsiaTheme="minorHAnsi" w:hAnsi="Arial" w:cs="Arial"/>
          <w:color w:val="000000"/>
          <w:sz w:val="24"/>
          <w:szCs w:val="24"/>
        </w:rPr>
        <w:t>provide processor capability to match size of data sets.</w:t>
      </w:r>
    </w:p>
    <w:p w14:paraId="2EABB31D" w14:textId="3DF6EE48" w:rsidR="00C8382A" w:rsidRPr="00C8382A" w:rsidRDefault="00C8382A"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sidRPr="00C8382A">
        <w:rPr>
          <w:rFonts w:ascii="Arial" w:eastAsiaTheme="minorHAnsi" w:hAnsi="Arial" w:cs="Arial"/>
          <w:color w:val="000000"/>
          <w:sz w:val="24"/>
          <w:szCs w:val="24"/>
        </w:rPr>
        <w:t>ensure information governance practices meet required standard (</w:t>
      </w:r>
      <w:r w:rsidR="00F66FCD">
        <w:rPr>
          <w:rFonts w:ascii="Arial" w:eastAsiaTheme="minorHAnsi" w:hAnsi="Arial" w:cs="Arial"/>
          <w:color w:val="000000"/>
          <w:sz w:val="24"/>
          <w:szCs w:val="24"/>
        </w:rPr>
        <w:t>as outlined in</w:t>
      </w:r>
      <w:r w:rsidRPr="00C8382A">
        <w:rPr>
          <w:rFonts w:ascii="Arial" w:eastAsiaTheme="minorHAnsi" w:hAnsi="Arial" w:cs="Arial"/>
          <w:color w:val="000000"/>
          <w:sz w:val="24"/>
          <w:szCs w:val="24"/>
        </w:rPr>
        <w:t xml:space="preserve"> NHS </w:t>
      </w:r>
      <w:r w:rsidR="00F66FCD">
        <w:rPr>
          <w:rFonts w:ascii="Arial" w:eastAsiaTheme="minorHAnsi" w:hAnsi="Arial" w:cs="Arial"/>
          <w:color w:val="000000"/>
          <w:sz w:val="24"/>
          <w:szCs w:val="24"/>
        </w:rPr>
        <w:t xml:space="preserve">DSPT </w:t>
      </w:r>
      <w:r w:rsidR="00F66FCD" w:rsidRPr="00F66FCD">
        <w:rPr>
          <w:rFonts w:ascii="Arial" w:eastAsiaTheme="minorHAnsi" w:hAnsi="Arial" w:cs="Arial"/>
          <w:color w:val="000000"/>
          <w:sz w:val="24"/>
          <w:szCs w:val="24"/>
        </w:rPr>
        <w:t>https://www.dsptoolkit.nhs.uk/</w:t>
      </w:r>
      <w:r w:rsidRPr="00C8382A">
        <w:rPr>
          <w:rFonts w:ascii="Arial" w:eastAsiaTheme="minorHAnsi" w:hAnsi="Arial" w:cs="Arial"/>
          <w:color w:val="000000"/>
          <w:sz w:val="24"/>
          <w:szCs w:val="24"/>
        </w:rPr>
        <w:t>).</w:t>
      </w:r>
    </w:p>
    <w:p w14:paraId="0C0327B2" w14:textId="7CCB6F35" w:rsidR="00C8382A" w:rsidRPr="00C8382A" w:rsidRDefault="00F66FCD"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Pr>
          <w:rFonts w:ascii="Arial" w:eastAsiaTheme="minorHAnsi" w:hAnsi="Arial" w:cs="Arial"/>
          <w:color w:val="000000"/>
          <w:sz w:val="24"/>
          <w:szCs w:val="24"/>
        </w:rPr>
        <w:t>v</w:t>
      </w:r>
      <w:r w:rsidR="00C8382A" w:rsidRPr="00C8382A">
        <w:rPr>
          <w:rFonts w:ascii="Arial" w:eastAsiaTheme="minorHAnsi" w:hAnsi="Arial" w:cs="Arial"/>
          <w:color w:val="000000"/>
          <w:sz w:val="24"/>
          <w:szCs w:val="24"/>
        </w:rPr>
        <w:t xml:space="preserve">erify and produce monthly statistics on drug and alcohol treatment to be published online under the web services requirement below. A current list of requirements can be found in </w:t>
      </w:r>
      <w:r w:rsidR="00AA0363">
        <w:rPr>
          <w:rFonts w:ascii="Arial" w:eastAsiaTheme="minorHAnsi" w:hAnsi="Arial" w:cs="Arial"/>
          <w:color w:val="000000"/>
          <w:sz w:val="24"/>
          <w:szCs w:val="24"/>
        </w:rPr>
        <w:t>the Deliverables section</w:t>
      </w:r>
      <w:r w:rsidR="00C8382A" w:rsidRPr="00C8382A">
        <w:rPr>
          <w:rFonts w:ascii="Arial" w:eastAsiaTheme="minorHAnsi" w:hAnsi="Arial" w:cs="Arial"/>
          <w:color w:val="000000"/>
          <w:sz w:val="24"/>
          <w:szCs w:val="24"/>
        </w:rPr>
        <w:t xml:space="preserve"> of this specification document</w:t>
      </w:r>
      <w:r>
        <w:rPr>
          <w:rFonts w:ascii="Arial" w:eastAsiaTheme="minorHAnsi" w:hAnsi="Arial" w:cs="Arial"/>
          <w:color w:val="000000"/>
          <w:sz w:val="24"/>
          <w:szCs w:val="24"/>
        </w:rPr>
        <w:t>.</w:t>
      </w:r>
    </w:p>
    <w:p w14:paraId="70168811" w14:textId="0CC81BD6" w:rsidR="00C8382A" w:rsidRPr="00C8382A" w:rsidRDefault="00F66FCD"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Pr>
          <w:rFonts w:ascii="Arial" w:eastAsiaTheme="minorHAnsi" w:hAnsi="Arial" w:cs="Arial"/>
          <w:color w:val="000000"/>
          <w:sz w:val="24"/>
          <w:szCs w:val="24"/>
        </w:rPr>
        <w:t>s</w:t>
      </w:r>
      <w:r w:rsidR="00C8382A" w:rsidRPr="00C8382A">
        <w:rPr>
          <w:rFonts w:ascii="Arial" w:eastAsiaTheme="minorHAnsi" w:hAnsi="Arial" w:cs="Arial"/>
          <w:color w:val="000000"/>
          <w:sz w:val="24"/>
          <w:szCs w:val="24"/>
        </w:rPr>
        <w:t xml:space="preserve">upport </w:t>
      </w:r>
      <w:r>
        <w:rPr>
          <w:rFonts w:ascii="Arial" w:eastAsiaTheme="minorHAnsi" w:hAnsi="Arial" w:cs="Arial"/>
          <w:color w:val="000000"/>
          <w:sz w:val="24"/>
          <w:szCs w:val="24"/>
        </w:rPr>
        <w:t>PHE</w:t>
      </w:r>
      <w:r w:rsidR="00C8382A" w:rsidRPr="00C8382A">
        <w:rPr>
          <w:rFonts w:ascii="Arial" w:eastAsiaTheme="minorHAnsi" w:hAnsi="Arial" w:cs="Arial"/>
          <w:color w:val="000000"/>
          <w:sz w:val="24"/>
          <w:szCs w:val="24"/>
        </w:rPr>
        <w:t xml:space="preserve"> in the production of national statistics relating to </w:t>
      </w:r>
      <w:r w:rsidRPr="00C8382A">
        <w:rPr>
          <w:rFonts w:ascii="Arial" w:eastAsiaTheme="minorHAnsi" w:hAnsi="Arial" w:cs="Arial"/>
          <w:color w:val="000000"/>
          <w:sz w:val="24"/>
          <w:szCs w:val="24"/>
        </w:rPr>
        <w:t>drug</w:t>
      </w:r>
      <w:r>
        <w:rPr>
          <w:rFonts w:ascii="Arial" w:eastAsiaTheme="minorHAnsi" w:hAnsi="Arial" w:cs="Arial"/>
          <w:color w:val="000000"/>
          <w:sz w:val="24"/>
          <w:szCs w:val="24"/>
        </w:rPr>
        <w:t xml:space="preserve"> and</w:t>
      </w:r>
      <w:r w:rsidRPr="00C8382A">
        <w:rPr>
          <w:rFonts w:ascii="Arial" w:eastAsiaTheme="minorHAnsi" w:hAnsi="Arial" w:cs="Arial"/>
          <w:color w:val="000000"/>
          <w:sz w:val="24"/>
          <w:szCs w:val="24"/>
        </w:rPr>
        <w:t xml:space="preserve"> alcohol </w:t>
      </w:r>
      <w:r>
        <w:rPr>
          <w:rFonts w:ascii="Arial" w:eastAsiaTheme="minorHAnsi" w:hAnsi="Arial" w:cs="Arial"/>
          <w:color w:val="000000"/>
          <w:sz w:val="24"/>
          <w:szCs w:val="24"/>
        </w:rPr>
        <w:t xml:space="preserve">treatment provided to </w:t>
      </w:r>
      <w:r w:rsidRPr="00C8382A">
        <w:rPr>
          <w:rFonts w:ascii="Arial" w:eastAsiaTheme="minorHAnsi" w:hAnsi="Arial" w:cs="Arial"/>
          <w:color w:val="000000"/>
          <w:sz w:val="24"/>
          <w:szCs w:val="24"/>
        </w:rPr>
        <w:t>adult</w:t>
      </w:r>
      <w:r>
        <w:rPr>
          <w:rFonts w:ascii="Arial" w:eastAsiaTheme="minorHAnsi" w:hAnsi="Arial" w:cs="Arial"/>
          <w:color w:val="000000"/>
          <w:sz w:val="24"/>
          <w:szCs w:val="24"/>
        </w:rPr>
        <w:t>s</w:t>
      </w:r>
      <w:r w:rsidRPr="00C8382A">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and young people in community and secure estate settings (see here for most recent publications: </w:t>
      </w:r>
      <w:r w:rsidRPr="00F66FCD">
        <w:rPr>
          <w:rFonts w:ascii="Arial" w:eastAsiaTheme="minorHAnsi" w:hAnsi="Arial" w:cs="Arial"/>
          <w:color w:val="000000"/>
          <w:sz w:val="24"/>
          <w:szCs w:val="24"/>
        </w:rPr>
        <w:t>https://www.gov.uk/government/collections/alcohol-and-drug-misuse-and-treatment-statistics</w:t>
      </w:r>
      <w:r>
        <w:rPr>
          <w:rFonts w:ascii="Arial" w:eastAsiaTheme="minorHAnsi" w:hAnsi="Arial" w:cs="Arial"/>
          <w:color w:val="000000"/>
          <w:sz w:val="24"/>
          <w:szCs w:val="24"/>
        </w:rPr>
        <w:t>)</w:t>
      </w:r>
      <w:r w:rsidR="00C8382A" w:rsidRPr="00C8382A">
        <w:rPr>
          <w:rFonts w:ascii="Arial" w:eastAsiaTheme="minorHAnsi" w:hAnsi="Arial" w:cs="Arial"/>
          <w:color w:val="000000"/>
          <w:sz w:val="24"/>
          <w:szCs w:val="24"/>
        </w:rPr>
        <w:t>, in accordance with the standards required for National Statistics as well as official statistics on substance misuse treatment in secure settings (see here for more detail: http://www.nta.nhs.uk/statistics.aspx)</w:t>
      </w:r>
      <w:r>
        <w:rPr>
          <w:rFonts w:ascii="Arial" w:eastAsiaTheme="minorHAnsi" w:hAnsi="Arial" w:cs="Arial"/>
          <w:color w:val="000000"/>
          <w:sz w:val="24"/>
          <w:szCs w:val="24"/>
        </w:rPr>
        <w:t>.</w:t>
      </w:r>
    </w:p>
    <w:p w14:paraId="2B6EDB0E" w14:textId="09949AAA" w:rsidR="00C8382A" w:rsidRPr="00C8382A" w:rsidRDefault="00F66FCD"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Pr>
          <w:rFonts w:ascii="Arial" w:eastAsiaTheme="minorHAnsi" w:hAnsi="Arial" w:cs="Arial"/>
          <w:color w:val="000000"/>
          <w:sz w:val="24"/>
          <w:szCs w:val="24"/>
        </w:rPr>
        <w:t>r</w:t>
      </w:r>
      <w:r w:rsidR="00C8382A" w:rsidRPr="00C8382A">
        <w:rPr>
          <w:rFonts w:ascii="Arial" w:eastAsiaTheme="minorHAnsi" w:hAnsi="Arial" w:cs="Arial"/>
          <w:color w:val="000000"/>
          <w:sz w:val="24"/>
          <w:szCs w:val="24"/>
        </w:rPr>
        <w:t xml:space="preserve">espond to requests for information of a political/sensitive and confidential nature within pressured timescales. The contractor will typically be required to support </w:t>
      </w:r>
      <w:r>
        <w:rPr>
          <w:rFonts w:ascii="Arial" w:eastAsiaTheme="minorHAnsi" w:hAnsi="Arial" w:cs="Arial"/>
          <w:color w:val="000000"/>
          <w:sz w:val="24"/>
          <w:szCs w:val="24"/>
        </w:rPr>
        <w:t>PHE</w:t>
      </w:r>
      <w:r w:rsidR="00C8382A" w:rsidRPr="00C8382A">
        <w:rPr>
          <w:rFonts w:ascii="Arial" w:eastAsiaTheme="minorHAnsi" w:hAnsi="Arial" w:cs="Arial"/>
          <w:color w:val="000000"/>
          <w:sz w:val="24"/>
          <w:szCs w:val="24"/>
        </w:rPr>
        <w:t xml:space="preserve"> in providing externally validated figures pertaining to NDTMS drug and alcohol data (e.g. Parliamentary Questions, Freedom of Information requests, media enquiries etc.).  Requirement is to answer and provide supporting evidence for appropriate queries within 48 hours. Such queries need to be produced quickly to a high standard of accuracy.</w:t>
      </w:r>
    </w:p>
    <w:p w14:paraId="56D66AB2" w14:textId="47092F8D" w:rsidR="00C8382A" w:rsidRPr="00C8382A" w:rsidRDefault="00F66FCD"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Pr>
          <w:rFonts w:ascii="Arial" w:eastAsiaTheme="minorHAnsi" w:hAnsi="Arial" w:cs="Arial"/>
          <w:color w:val="000000"/>
          <w:sz w:val="24"/>
          <w:szCs w:val="24"/>
        </w:rPr>
        <w:t>assist PHE</w:t>
      </w:r>
      <w:r w:rsidR="00C8382A" w:rsidRPr="00C8382A">
        <w:rPr>
          <w:rFonts w:ascii="Arial" w:eastAsiaTheme="minorHAnsi" w:hAnsi="Arial" w:cs="Arial"/>
          <w:color w:val="000000"/>
          <w:sz w:val="24"/>
          <w:szCs w:val="24"/>
        </w:rPr>
        <w:t xml:space="preserve"> with the development of </w:t>
      </w:r>
      <w:r>
        <w:rPr>
          <w:rFonts w:ascii="Arial" w:eastAsiaTheme="minorHAnsi" w:hAnsi="Arial" w:cs="Arial"/>
          <w:color w:val="000000"/>
          <w:sz w:val="24"/>
          <w:szCs w:val="24"/>
        </w:rPr>
        <w:t>annual commissioning</w:t>
      </w:r>
      <w:r w:rsidR="00C8382A" w:rsidRPr="00C8382A">
        <w:rPr>
          <w:rFonts w:ascii="Arial" w:eastAsiaTheme="minorHAnsi" w:hAnsi="Arial" w:cs="Arial"/>
          <w:color w:val="000000"/>
          <w:sz w:val="24"/>
          <w:szCs w:val="24"/>
        </w:rPr>
        <w:t xml:space="preserve"> support packs to help local areas develop </w:t>
      </w:r>
      <w:r w:rsidR="009B20AA">
        <w:rPr>
          <w:rFonts w:ascii="Arial" w:eastAsiaTheme="minorHAnsi" w:hAnsi="Arial" w:cs="Arial"/>
          <w:color w:val="000000"/>
          <w:sz w:val="24"/>
          <w:szCs w:val="24"/>
        </w:rPr>
        <w:t>joint strategic needs assessments (</w:t>
      </w:r>
      <w:r w:rsidR="00C8382A" w:rsidRPr="00C8382A">
        <w:rPr>
          <w:rFonts w:ascii="Arial" w:eastAsiaTheme="minorHAnsi" w:hAnsi="Arial" w:cs="Arial"/>
          <w:color w:val="000000"/>
          <w:sz w:val="24"/>
          <w:szCs w:val="24"/>
        </w:rPr>
        <w:t>JSNAs</w:t>
      </w:r>
      <w:r w:rsidR="009B20AA">
        <w:rPr>
          <w:rFonts w:ascii="Arial" w:eastAsiaTheme="minorHAnsi" w:hAnsi="Arial" w:cs="Arial"/>
          <w:color w:val="000000"/>
          <w:sz w:val="24"/>
          <w:szCs w:val="24"/>
        </w:rPr>
        <w:t>)</w:t>
      </w:r>
      <w:r w:rsidR="00C8382A" w:rsidRPr="00C8382A">
        <w:rPr>
          <w:rFonts w:ascii="Arial" w:eastAsiaTheme="minorHAnsi" w:hAnsi="Arial" w:cs="Arial"/>
          <w:color w:val="000000"/>
          <w:sz w:val="24"/>
          <w:szCs w:val="24"/>
        </w:rPr>
        <w:t xml:space="preserve"> and local </w:t>
      </w:r>
      <w:r w:rsidR="00C8382A" w:rsidRPr="00C8382A">
        <w:rPr>
          <w:rFonts w:ascii="Arial" w:eastAsiaTheme="minorHAnsi" w:hAnsi="Arial" w:cs="Arial"/>
          <w:color w:val="000000"/>
          <w:sz w:val="24"/>
          <w:szCs w:val="24"/>
        </w:rPr>
        <w:lastRenderedPageBreak/>
        <w:t xml:space="preserve">joint health and wellbeing strategies, as part of their public health remit, which effectively address public health issues relating to alcohol and drug use (see </w:t>
      </w:r>
      <w:r w:rsidR="009B20AA" w:rsidRPr="009B20AA">
        <w:rPr>
          <w:rFonts w:ascii="Arial" w:eastAsiaTheme="minorHAnsi" w:hAnsi="Arial" w:cs="Arial"/>
          <w:color w:val="000000"/>
          <w:sz w:val="24"/>
          <w:szCs w:val="24"/>
        </w:rPr>
        <w:t>https://www.gov.uk/government/publications/alcohol-drugs-and-tobacco-commissioning-support-pack</w:t>
      </w:r>
      <w:r w:rsidR="00C8382A" w:rsidRPr="00C8382A">
        <w:rPr>
          <w:rFonts w:ascii="Arial" w:eastAsiaTheme="minorHAnsi" w:hAnsi="Arial" w:cs="Arial"/>
          <w:color w:val="000000"/>
          <w:sz w:val="24"/>
          <w:szCs w:val="24"/>
        </w:rPr>
        <w:t>).</w:t>
      </w:r>
    </w:p>
    <w:p w14:paraId="2BC8A47C" w14:textId="207B4E85" w:rsidR="002A5976" w:rsidRDefault="009B20AA"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r>
        <w:rPr>
          <w:rFonts w:ascii="Arial" w:eastAsiaTheme="minorHAnsi" w:hAnsi="Arial" w:cs="Arial"/>
          <w:color w:val="000000"/>
          <w:sz w:val="24"/>
          <w:szCs w:val="24"/>
        </w:rPr>
        <w:t>assist PHE</w:t>
      </w:r>
      <w:r w:rsidR="00C8382A" w:rsidRPr="00C8382A">
        <w:rPr>
          <w:rFonts w:ascii="Arial" w:eastAsiaTheme="minorHAnsi" w:hAnsi="Arial" w:cs="Arial"/>
          <w:color w:val="000000"/>
          <w:sz w:val="24"/>
          <w:szCs w:val="24"/>
        </w:rPr>
        <w:t xml:space="preserve"> in providing data evidence to support </w:t>
      </w:r>
      <w:r w:rsidR="002A5976">
        <w:rPr>
          <w:rFonts w:ascii="Arial" w:eastAsiaTheme="minorHAnsi" w:hAnsi="Arial" w:cs="Arial"/>
          <w:color w:val="000000"/>
          <w:sz w:val="24"/>
          <w:szCs w:val="24"/>
        </w:rPr>
        <w:t xml:space="preserve">collaborative working between other government departments, such as </w:t>
      </w:r>
      <w:r w:rsidR="00C8382A" w:rsidRPr="00C8382A">
        <w:rPr>
          <w:rFonts w:ascii="Arial" w:eastAsiaTheme="minorHAnsi" w:hAnsi="Arial" w:cs="Arial"/>
          <w:color w:val="000000"/>
          <w:sz w:val="24"/>
          <w:szCs w:val="24"/>
        </w:rPr>
        <w:t xml:space="preserve">the CQC </w:t>
      </w:r>
      <w:r>
        <w:rPr>
          <w:rFonts w:ascii="Arial" w:eastAsiaTheme="minorHAnsi" w:hAnsi="Arial" w:cs="Arial"/>
          <w:color w:val="000000"/>
          <w:sz w:val="24"/>
          <w:szCs w:val="24"/>
        </w:rPr>
        <w:t>Insight</w:t>
      </w:r>
      <w:r w:rsidR="00C8382A" w:rsidRPr="00C8382A">
        <w:rPr>
          <w:rFonts w:ascii="Arial" w:eastAsiaTheme="minorHAnsi" w:hAnsi="Arial" w:cs="Arial"/>
          <w:color w:val="000000"/>
          <w:sz w:val="24"/>
          <w:szCs w:val="24"/>
        </w:rPr>
        <w:t xml:space="preserve"> </w:t>
      </w:r>
      <w:r>
        <w:rPr>
          <w:rFonts w:ascii="Arial" w:eastAsiaTheme="minorHAnsi" w:hAnsi="Arial" w:cs="Arial"/>
          <w:color w:val="000000"/>
          <w:sz w:val="24"/>
          <w:szCs w:val="24"/>
        </w:rPr>
        <w:t>inspection model for</w:t>
      </w:r>
      <w:r w:rsidR="00C8382A" w:rsidRPr="00C8382A">
        <w:rPr>
          <w:rFonts w:ascii="Arial" w:eastAsiaTheme="minorHAnsi" w:hAnsi="Arial" w:cs="Arial"/>
          <w:color w:val="000000"/>
          <w:sz w:val="24"/>
          <w:szCs w:val="24"/>
        </w:rPr>
        <w:t xml:space="preserve"> registered drug and alcohol treatment providers</w:t>
      </w:r>
      <w:r w:rsidR="002A5976">
        <w:rPr>
          <w:rFonts w:ascii="Arial" w:eastAsiaTheme="minorHAnsi" w:hAnsi="Arial" w:cs="Arial"/>
          <w:color w:val="000000"/>
          <w:sz w:val="24"/>
          <w:szCs w:val="24"/>
        </w:rPr>
        <w:t xml:space="preserve"> or the provision of data to support Project ADDER with the Home Office</w:t>
      </w:r>
      <w:r w:rsidR="00C8382A" w:rsidRPr="00C8382A">
        <w:rPr>
          <w:rFonts w:ascii="Arial" w:eastAsiaTheme="minorHAnsi" w:hAnsi="Arial" w:cs="Arial"/>
          <w:color w:val="000000"/>
          <w:sz w:val="24"/>
          <w:szCs w:val="24"/>
        </w:rPr>
        <w:t>.</w:t>
      </w:r>
    </w:p>
    <w:p w14:paraId="29275027" w14:textId="0E31804B" w:rsidR="009B20AA" w:rsidRDefault="00E74085" w:rsidP="00CE4C21">
      <w:pPr>
        <w:widowControl w:val="0"/>
        <w:numPr>
          <w:ilvl w:val="1"/>
          <w:numId w:val="34"/>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567" w:hanging="567"/>
        <w:rPr>
          <w:rFonts w:ascii="Arial" w:eastAsiaTheme="minorHAnsi" w:hAnsi="Arial" w:cs="Arial"/>
          <w:color w:val="000000"/>
          <w:sz w:val="24"/>
          <w:szCs w:val="24"/>
        </w:rPr>
      </w:pPr>
      <w:bookmarkStart w:id="2" w:name="_Hlk56773044"/>
      <w:r w:rsidRPr="008F3EC9">
        <w:rPr>
          <w:rFonts w:ascii="Arial" w:eastAsiaTheme="minorHAnsi" w:hAnsi="Arial" w:cs="Arial"/>
          <w:color w:val="000000"/>
          <w:sz w:val="24"/>
          <w:szCs w:val="24"/>
        </w:rPr>
        <w:t>t</w:t>
      </w:r>
      <w:r w:rsidR="009B20AA" w:rsidRPr="008F3EC9">
        <w:rPr>
          <w:rFonts w:ascii="Arial" w:eastAsiaTheme="minorHAnsi" w:hAnsi="Arial" w:cs="Arial"/>
          <w:color w:val="000000"/>
          <w:sz w:val="24"/>
          <w:szCs w:val="24"/>
        </w:rPr>
        <w:t>o produce Treatment Demand Indicator (TDI) statistical tables for England from data held within NDTMS and the collection and collation of tables from the Devolved Administrations for UK figures. The TDI is one of five key epidemiological indicators which provide a common European methodology for collecting and reporting core data on the number and profiles of those</w:t>
      </w:r>
      <w:r w:rsidR="009B20AA" w:rsidRPr="00CE4C21">
        <w:rPr>
          <w:rFonts w:ascii="Arial" w:eastAsiaTheme="minorHAnsi" w:hAnsi="Arial" w:cs="Arial"/>
          <w:color w:val="000000"/>
          <w:sz w:val="24"/>
          <w:szCs w:val="24"/>
        </w:rPr>
        <w:t xml:space="preserve"> </w:t>
      </w:r>
      <w:r w:rsidR="009B20AA" w:rsidRPr="008F3EC9">
        <w:rPr>
          <w:rFonts w:ascii="Arial" w:eastAsiaTheme="minorHAnsi" w:hAnsi="Arial" w:cs="Arial"/>
          <w:color w:val="000000"/>
          <w:sz w:val="24"/>
          <w:szCs w:val="24"/>
        </w:rPr>
        <w:t xml:space="preserve">entering specialised drug treatment each year. TDI data are routinely used in EMCDDA analysis of the drug situation in Europe, helping to identify trends and patterns in problem drug use and to assess the use and uptake of treatment facilities (http://www.emcdda.europa.eu/publications/manuals/tdi-protocol-3.0). The contract holder </w:t>
      </w:r>
      <w:r w:rsidR="008F3EC9" w:rsidRPr="008F3EC9">
        <w:rPr>
          <w:rFonts w:ascii="Arial" w:eastAsiaTheme="minorHAnsi" w:hAnsi="Arial" w:cs="Arial"/>
          <w:color w:val="000000"/>
          <w:sz w:val="24"/>
          <w:szCs w:val="24"/>
        </w:rPr>
        <w:t>may</w:t>
      </w:r>
      <w:r w:rsidR="009B20AA" w:rsidRPr="008F3EC9">
        <w:rPr>
          <w:rFonts w:ascii="Arial" w:eastAsiaTheme="minorHAnsi" w:hAnsi="Arial" w:cs="Arial"/>
          <w:color w:val="000000"/>
          <w:sz w:val="24"/>
          <w:szCs w:val="24"/>
        </w:rPr>
        <w:t xml:space="preserve"> be expected to submit the statistical tables to the EMCDDA on behalf of </w:t>
      </w:r>
      <w:bookmarkEnd w:id="2"/>
      <w:r w:rsidR="008F3EC9">
        <w:rPr>
          <w:rFonts w:ascii="Arial" w:eastAsiaTheme="minorHAnsi" w:hAnsi="Arial" w:cs="Arial"/>
          <w:color w:val="000000"/>
          <w:sz w:val="24"/>
          <w:szCs w:val="24"/>
        </w:rPr>
        <w:t>PHE</w:t>
      </w:r>
      <w:r w:rsidR="009B20AA" w:rsidRPr="008F3EC9">
        <w:rPr>
          <w:rFonts w:ascii="Arial" w:eastAsiaTheme="minorHAnsi" w:hAnsi="Arial" w:cs="Arial"/>
          <w:color w:val="000000"/>
          <w:sz w:val="24"/>
          <w:szCs w:val="24"/>
        </w:rPr>
        <w:t>.</w:t>
      </w:r>
    </w:p>
    <w:p w14:paraId="07EB5707" w14:textId="77777777" w:rsidR="009B20AA" w:rsidRPr="009B20AA" w:rsidRDefault="009B20AA" w:rsidP="009B20A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9B20AA">
        <w:rPr>
          <w:rFonts w:ascii="Arial" w:eastAsiaTheme="minorHAnsi" w:hAnsi="Arial" w:cs="Arial"/>
          <w:color w:val="000000"/>
          <w:sz w:val="24"/>
          <w:szCs w:val="24"/>
        </w:rPr>
        <w:t>The contract holder will be experienced and conversant with appropriate administrative functions including, but not limited to, document management, methodology creation and storage, process documentation, change management, project management, version control.</w:t>
      </w:r>
    </w:p>
    <w:p w14:paraId="5C715F40" w14:textId="77777777" w:rsidR="009B20AA" w:rsidRPr="009B20AA" w:rsidRDefault="009B20AA" w:rsidP="009B20A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9B20AA">
        <w:rPr>
          <w:rFonts w:ascii="Arial" w:eastAsiaTheme="minorHAnsi" w:hAnsi="Arial" w:cs="Arial"/>
          <w:color w:val="000000"/>
          <w:sz w:val="24"/>
          <w:szCs w:val="24"/>
        </w:rPr>
        <w:t>The contract holder will need to demonstrate their suitability for these requirements.</w:t>
      </w:r>
    </w:p>
    <w:p w14:paraId="72546ECE" w14:textId="79694EC5" w:rsidR="009B20AA" w:rsidRPr="00FA3D96" w:rsidRDefault="009B20AA" w:rsidP="009B20A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FA3D96">
        <w:rPr>
          <w:rFonts w:ascii="Arial" w:eastAsiaTheme="minorHAnsi" w:hAnsi="Arial" w:cs="Arial"/>
          <w:color w:val="000000"/>
          <w:sz w:val="24"/>
          <w:szCs w:val="24"/>
        </w:rPr>
        <w:t>The contract holder will be required to receive, store and process similar size files to those listed below</w:t>
      </w:r>
      <w:r w:rsidR="00FA3D96" w:rsidRPr="00FA3D96">
        <w:rPr>
          <w:rFonts w:ascii="Arial" w:eastAsiaTheme="minorHAnsi" w:hAnsi="Arial" w:cs="Arial"/>
          <w:color w:val="000000"/>
          <w:sz w:val="24"/>
          <w:szCs w:val="24"/>
        </w:rPr>
        <w:t xml:space="preserve"> on a monthly basis</w:t>
      </w:r>
      <w:r w:rsidRPr="00FA3D96">
        <w:rPr>
          <w:rFonts w:ascii="Arial" w:eastAsiaTheme="minorHAnsi" w:hAnsi="Arial" w:cs="Arial"/>
          <w:color w:val="000000"/>
          <w:sz w:val="24"/>
          <w:szCs w:val="24"/>
        </w:rPr>
        <w:t>:</w:t>
      </w:r>
    </w:p>
    <w:tbl>
      <w:tblP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547"/>
        <w:gridCol w:w="1725"/>
        <w:gridCol w:w="1725"/>
        <w:gridCol w:w="1725"/>
      </w:tblGrid>
      <w:tr w:rsidR="00FA3D96" w:rsidRPr="00FA3D96" w14:paraId="1F800BCA" w14:textId="77777777" w:rsidTr="00FA3D96">
        <w:trPr>
          <w:trHeight w:val="285"/>
        </w:trPr>
        <w:tc>
          <w:tcPr>
            <w:tcW w:w="2547" w:type="dxa"/>
            <w:noWrap/>
            <w:vAlign w:val="bottom"/>
            <w:hideMark/>
          </w:tcPr>
          <w:p w14:paraId="23A01C54" w14:textId="67EFC3A3" w:rsidR="00FA3D96" w:rsidRPr="00FA3D96" w:rsidRDefault="00FA3D96" w:rsidP="00FA3D96">
            <w:pPr>
              <w:spacing w:after="0" w:line="240" w:lineRule="auto"/>
              <w:rPr>
                <w:rFonts w:ascii="Arial" w:eastAsia="Times New Roman" w:hAnsi="Arial" w:cs="Arial"/>
                <w:b/>
                <w:bCs/>
                <w:color w:val="000000"/>
                <w:sz w:val="24"/>
                <w:szCs w:val="24"/>
                <w:lang w:eastAsia="en-GB"/>
              </w:rPr>
            </w:pPr>
            <w:r w:rsidRPr="00FA3D96">
              <w:rPr>
                <w:rFonts w:ascii="Arial" w:eastAsia="Times New Roman" w:hAnsi="Arial" w:cs="Arial"/>
                <w:b/>
                <w:bCs/>
                <w:color w:val="000000"/>
                <w:sz w:val="24"/>
                <w:szCs w:val="24"/>
                <w:lang w:eastAsia="en-GB"/>
              </w:rPr>
              <w:t>File</w:t>
            </w:r>
          </w:p>
        </w:tc>
        <w:tc>
          <w:tcPr>
            <w:tcW w:w="1725" w:type="dxa"/>
            <w:noWrap/>
            <w:vAlign w:val="bottom"/>
            <w:hideMark/>
          </w:tcPr>
          <w:p w14:paraId="506B9769" w14:textId="563D24CB" w:rsidR="00FA3D96" w:rsidRPr="00FA3D96" w:rsidRDefault="007D0F19" w:rsidP="00FA3D96">
            <w:pPr>
              <w:spacing w:after="0" w:line="240" w:lineRule="auto"/>
              <w:rPr>
                <w:rFonts w:ascii="Arial" w:eastAsia="Times New Roman" w:hAnsi="Arial" w:cs="Arial"/>
                <w:b/>
                <w:bCs/>
                <w:color w:val="000000"/>
                <w:sz w:val="24"/>
                <w:szCs w:val="24"/>
                <w:lang w:eastAsia="en-GB"/>
              </w:rPr>
            </w:pPr>
            <w:r w:rsidRPr="00FA3D96">
              <w:rPr>
                <w:rFonts w:ascii="Arial" w:eastAsia="Times New Roman" w:hAnsi="Arial" w:cs="Arial"/>
                <w:b/>
                <w:bCs/>
                <w:color w:val="000000"/>
                <w:sz w:val="24"/>
                <w:szCs w:val="24"/>
                <w:lang w:eastAsia="en-GB"/>
              </w:rPr>
              <w:t>Approx.</w:t>
            </w:r>
            <w:r w:rsidR="00FA3D96" w:rsidRPr="00FA3D96">
              <w:rPr>
                <w:rFonts w:ascii="Arial" w:eastAsia="Times New Roman" w:hAnsi="Arial" w:cs="Arial"/>
                <w:b/>
                <w:bCs/>
                <w:color w:val="000000"/>
                <w:sz w:val="24"/>
                <w:szCs w:val="24"/>
                <w:lang w:eastAsia="en-GB"/>
              </w:rPr>
              <w:t xml:space="preserve"> size</w:t>
            </w:r>
          </w:p>
        </w:tc>
        <w:tc>
          <w:tcPr>
            <w:tcW w:w="1725" w:type="dxa"/>
            <w:noWrap/>
            <w:vAlign w:val="bottom"/>
            <w:hideMark/>
          </w:tcPr>
          <w:p w14:paraId="4A9C6944" w14:textId="3FA66B1E" w:rsidR="00FA3D96" w:rsidRPr="00FA3D96" w:rsidRDefault="00FA3D96" w:rsidP="00FA3D96">
            <w:pPr>
              <w:spacing w:after="0" w:line="240" w:lineRule="auto"/>
              <w:rPr>
                <w:rFonts w:ascii="Arial" w:eastAsia="Times New Roman" w:hAnsi="Arial" w:cs="Arial"/>
                <w:b/>
                <w:bCs/>
                <w:color w:val="000000"/>
                <w:sz w:val="24"/>
                <w:szCs w:val="24"/>
                <w:lang w:eastAsia="en-GB"/>
              </w:rPr>
            </w:pPr>
            <w:r w:rsidRPr="00FA3D96">
              <w:rPr>
                <w:rFonts w:ascii="Arial" w:eastAsia="Times New Roman" w:hAnsi="Arial" w:cs="Arial"/>
                <w:b/>
                <w:bCs/>
                <w:color w:val="000000"/>
                <w:sz w:val="24"/>
                <w:szCs w:val="24"/>
                <w:lang w:eastAsia="en-GB"/>
              </w:rPr>
              <w:t>No. variables</w:t>
            </w:r>
          </w:p>
        </w:tc>
        <w:tc>
          <w:tcPr>
            <w:tcW w:w="1725" w:type="dxa"/>
            <w:noWrap/>
            <w:vAlign w:val="bottom"/>
            <w:hideMark/>
          </w:tcPr>
          <w:p w14:paraId="6D7F3289" w14:textId="02B9534C" w:rsidR="00FA3D96" w:rsidRPr="00FA3D96" w:rsidRDefault="007D0F19" w:rsidP="00FA3D96">
            <w:pPr>
              <w:spacing w:after="0" w:line="240" w:lineRule="auto"/>
              <w:rPr>
                <w:rFonts w:ascii="Arial" w:eastAsia="Times New Roman" w:hAnsi="Arial" w:cs="Arial"/>
                <w:b/>
                <w:bCs/>
                <w:color w:val="000000"/>
                <w:sz w:val="24"/>
                <w:szCs w:val="24"/>
                <w:lang w:eastAsia="en-GB"/>
              </w:rPr>
            </w:pPr>
            <w:r w:rsidRPr="00FA3D96">
              <w:rPr>
                <w:rFonts w:ascii="Arial" w:eastAsia="Times New Roman" w:hAnsi="Arial" w:cs="Arial"/>
                <w:b/>
                <w:bCs/>
                <w:color w:val="000000"/>
                <w:sz w:val="24"/>
                <w:szCs w:val="24"/>
                <w:lang w:eastAsia="en-GB"/>
              </w:rPr>
              <w:t>Approx.</w:t>
            </w:r>
            <w:r w:rsidR="00FA3D96" w:rsidRPr="00FA3D96">
              <w:rPr>
                <w:rFonts w:ascii="Arial" w:eastAsia="Times New Roman" w:hAnsi="Arial" w:cs="Arial"/>
                <w:b/>
                <w:bCs/>
                <w:color w:val="000000"/>
                <w:sz w:val="24"/>
                <w:szCs w:val="24"/>
                <w:lang w:eastAsia="en-GB"/>
              </w:rPr>
              <w:t xml:space="preserve"> rows</w:t>
            </w:r>
          </w:p>
        </w:tc>
      </w:tr>
      <w:tr w:rsidR="00FA3D96" w:rsidRPr="00FA3D96" w14:paraId="3C255B37" w14:textId="77777777" w:rsidTr="00FA3D96">
        <w:trPr>
          <w:trHeight w:val="285"/>
        </w:trPr>
        <w:tc>
          <w:tcPr>
            <w:tcW w:w="2547" w:type="dxa"/>
            <w:noWrap/>
            <w:vAlign w:val="bottom"/>
            <w:hideMark/>
          </w:tcPr>
          <w:p w14:paraId="0E51092C"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reviews</w:t>
            </w:r>
          </w:p>
        </w:tc>
        <w:tc>
          <w:tcPr>
            <w:tcW w:w="1725" w:type="dxa"/>
            <w:noWrap/>
            <w:vAlign w:val="bottom"/>
            <w:hideMark/>
          </w:tcPr>
          <w:p w14:paraId="55D986B8"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0.2 GB</w:t>
            </w:r>
          </w:p>
        </w:tc>
        <w:tc>
          <w:tcPr>
            <w:tcW w:w="1725" w:type="dxa"/>
            <w:noWrap/>
            <w:vAlign w:val="bottom"/>
            <w:hideMark/>
          </w:tcPr>
          <w:p w14:paraId="1512215B"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72</w:t>
            </w:r>
          </w:p>
        </w:tc>
        <w:tc>
          <w:tcPr>
            <w:tcW w:w="1725" w:type="dxa"/>
            <w:noWrap/>
            <w:vAlign w:val="bottom"/>
            <w:hideMark/>
          </w:tcPr>
          <w:p w14:paraId="739651BC"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 xml:space="preserve"> 641,076 </w:t>
            </w:r>
          </w:p>
        </w:tc>
      </w:tr>
      <w:tr w:rsidR="00FA3D96" w:rsidRPr="00FA3D96" w14:paraId="79F545C0" w14:textId="77777777" w:rsidTr="00FA3D96">
        <w:trPr>
          <w:trHeight w:val="285"/>
        </w:trPr>
        <w:tc>
          <w:tcPr>
            <w:tcW w:w="2547" w:type="dxa"/>
            <w:noWrap/>
            <w:vAlign w:val="bottom"/>
            <w:hideMark/>
          </w:tcPr>
          <w:p w14:paraId="00292028"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modality</w:t>
            </w:r>
          </w:p>
        </w:tc>
        <w:tc>
          <w:tcPr>
            <w:tcW w:w="1725" w:type="dxa"/>
            <w:noWrap/>
            <w:vAlign w:val="bottom"/>
            <w:hideMark/>
          </w:tcPr>
          <w:p w14:paraId="44C34379"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3 GB</w:t>
            </w:r>
          </w:p>
        </w:tc>
        <w:tc>
          <w:tcPr>
            <w:tcW w:w="1725" w:type="dxa"/>
            <w:noWrap/>
            <w:vAlign w:val="bottom"/>
            <w:hideMark/>
          </w:tcPr>
          <w:p w14:paraId="1200417E"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112</w:t>
            </w:r>
          </w:p>
        </w:tc>
        <w:tc>
          <w:tcPr>
            <w:tcW w:w="1725" w:type="dxa"/>
            <w:noWrap/>
            <w:vAlign w:val="bottom"/>
            <w:hideMark/>
          </w:tcPr>
          <w:p w14:paraId="2EDD3A0B"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 xml:space="preserve"> 5,078,743 </w:t>
            </w:r>
          </w:p>
        </w:tc>
      </w:tr>
      <w:tr w:rsidR="00FA3D96" w:rsidRPr="00FA3D96" w14:paraId="7694B3CB" w14:textId="77777777" w:rsidTr="00FA3D96">
        <w:trPr>
          <w:trHeight w:val="285"/>
        </w:trPr>
        <w:tc>
          <w:tcPr>
            <w:tcW w:w="2547" w:type="dxa"/>
            <w:noWrap/>
            <w:vAlign w:val="bottom"/>
            <w:hideMark/>
          </w:tcPr>
          <w:p w14:paraId="5181CC03"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outcomes</w:t>
            </w:r>
          </w:p>
        </w:tc>
        <w:tc>
          <w:tcPr>
            <w:tcW w:w="1725" w:type="dxa"/>
            <w:noWrap/>
            <w:vAlign w:val="bottom"/>
            <w:hideMark/>
          </w:tcPr>
          <w:p w14:paraId="7B7C7344"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2.8 GB</w:t>
            </w:r>
          </w:p>
        </w:tc>
        <w:tc>
          <w:tcPr>
            <w:tcW w:w="1725" w:type="dxa"/>
            <w:noWrap/>
            <w:vAlign w:val="bottom"/>
            <w:hideMark/>
          </w:tcPr>
          <w:p w14:paraId="705EF248"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88</w:t>
            </w:r>
          </w:p>
        </w:tc>
        <w:tc>
          <w:tcPr>
            <w:tcW w:w="1725" w:type="dxa"/>
            <w:noWrap/>
            <w:vAlign w:val="bottom"/>
            <w:hideMark/>
          </w:tcPr>
          <w:p w14:paraId="0581BAA8"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 xml:space="preserve"> 8,161,530 </w:t>
            </w:r>
          </w:p>
        </w:tc>
      </w:tr>
      <w:tr w:rsidR="00FA3D96" w:rsidRPr="00FA3D96" w14:paraId="7CF59D76" w14:textId="77777777" w:rsidTr="00FA3D96">
        <w:trPr>
          <w:trHeight w:val="285"/>
        </w:trPr>
        <w:tc>
          <w:tcPr>
            <w:tcW w:w="2547" w:type="dxa"/>
            <w:noWrap/>
            <w:vAlign w:val="bottom"/>
            <w:hideMark/>
          </w:tcPr>
          <w:p w14:paraId="41C25C52"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sub modality</w:t>
            </w:r>
          </w:p>
        </w:tc>
        <w:tc>
          <w:tcPr>
            <w:tcW w:w="1725" w:type="dxa"/>
            <w:noWrap/>
            <w:vAlign w:val="bottom"/>
            <w:hideMark/>
          </w:tcPr>
          <w:p w14:paraId="585C8D14"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1.8 GB</w:t>
            </w:r>
          </w:p>
        </w:tc>
        <w:tc>
          <w:tcPr>
            <w:tcW w:w="1725" w:type="dxa"/>
            <w:noWrap/>
            <w:vAlign w:val="bottom"/>
            <w:hideMark/>
          </w:tcPr>
          <w:p w14:paraId="719D298E"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118</w:t>
            </w:r>
          </w:p>
        </w:tc>
        <w:tc>
          <w:tcPr>
            <w:tcW w:w="1725" w:type="dxa"/>
            <w:noWrap/>
            <w:vAlign w:val="bottom"/>
            <w:hideMark/>
          </w:tcPr>
          <w:p w14:paraId="35501F01"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 xml:space="preserve"> 5,351,668 </w:t>
            </w:r>
          </w:p>
        </w:tc>
      </w:tr>
      <w:tr w:rsidR="00FA3D96" w:rsidRPr="00FA3D96" w14:paraId="4A7F2A48" w14:textId="77777777" w:rsidTr="00FA3D96">
        <w:trPr>
          <w:trHeight w:val="285"/>
        </w:trPr>
        <w:tc>
          <w:tcPr>
            <w:tcW w:w="2547" w:type="dxa"/>
            <w:noWrap/>
            <w:vAlign w:val="bottom"/>
            <w:hideMark/>
          </w:tcPr>
          <w:p w14:paraId="707342E8"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agency table</w:t>
            </w:r>
          </w:p>
        </w:tc>
        <w:tc>
          <w:tcPr>
            <w:tcW w:w="1725" w:type="dxa"/>
            <w:noWrap/>
            <w:vAlign w:val="bottom"/>
            <w:hideMark/>
          </w:tcPr>
          <w:p w14:paraId="10DAB665"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0.01 GB</w:t>
            </w:r>
          </w:p>
        </w:tc>
        <w:tc>
          <w:tcPr>
            <w:tcW w:w="1725" w:type="dxa"/>
            <w:noWrap/>
            <w:vAlign w:val="bottom"/>
            <w:hideMark/>
          </w:tcPr>
          <w:p w14:paraId="3193FAC3"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36</w:t>
            </w:r>
          </w:p>
        </w:tc>
        <w:tc>
          <w:tcPr>
            <w:tcW w:w="1725" w:type="dxa"/>
            <w:noWrap/>
            <w:vAlign w:val="bottom"/>
            <w:hideMark/>
          </w:tcPr>
          <w:p w14:paraId="1507DBEA"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 xml:space="preserve"> 4,023 </w:t>
            </w:r>
          </w:p>
        </w:tc>
      </w:tr>
      <w:tr w:rsidR="00FA3D96" w:rsidRPr="00FA3D96" w14:paraId="40FD5F82" w14:textId="77777777" w:rsidTr="00FA3D96">
        <w:trPr>
          <w:trHeight w:val="285"/>
        </w:trPr>
        <w:tc>
          <w:tcPr>
            <w:tcW w:w="2547" w:type="dxa"/>
            <w:noWrap/>
            <w:vAlign w:val="bottom"/>
            <w:hideMark/>
          </w:tcPr>
          <w:p w14:paraId="0B85FB47"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prison modality</w:t>
            </w:r>
          </w:p>
        </w:tc>
        <w:tc>
          <w:tcPr>
            <w:tcW w:w="1725" w:type="dxa"/>
            <w:noWrap/>
            <w:vAlign w:val="bottom"/>
            <w:hideMark/>
          </w:tcPr>
          <w:p w14:paraId="2E059495"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0.75 GB</w:t>
            </w:r>
          </w:p>
        </w:tc>
        <w:tc>
          <w:tcPr>
            <w:tcW w:w="1725" w:type="dxa"/>
            <w:noWrap/>
            <w:vAlign w:val="bottom"/>
            <w:hideMark/>
          </w:tcPr>
          <w:p w14:paraId="2721DE0A"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112</w:t>
            </w:r>
          </w:p>
        </w:tc>
        <w:tc>
          <w:tcPr>
            <w:tcW w:w="1725" w:type="dxa"/>
            <w:noWrap/>
            <w:vAlign w:val="bottom"/>
            <w:hideMark/>
          </w:tcPr>
          <w:p w14:paraId="594FEB2A"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 xml:space="preserve"> 1,048,819 </w:t>
            </w:r>
          </w:p>
        </w:tc>
      </w:tr>
      <w:tr w:rsidR="00FA3D96" w:rsidRPr="00FA3D96" w14:paraId="46A2444F" w14:textId="77777777" w:rsidTr="00FA3D96">
        <w:trPr>
          <w:trHeight w:val="285"/>
        </w:trPr>
        <w:tc>
          <w:tcPr>
            <w:tcW w:w="2547" w:type="dxa"/>
            <w:noWrap/>
            <w:vAlign w:val="bottom"/>
            <w:hideMark/>
          </w:tcPr>
          <w:p w14:paraId="5345DA03"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prison TOP</w:t>
            </w:r>
          </w:p>
        </w:tc>
        <w:tc>
          <w:tcPr>
            <w:tcW w:w="1725" w:type="dxa"/>
            <w:noWrap/>
            <w:vAlign w:val="bottom"/>
            <w:hideMark/>
          </w:tcPr>
          <w:p w14:paraId="39C9927C" w14:textId="77777777" w:rsidR="00FA3D96" w:rsidRPr="00FA3D96" w:rsidRDefault="00FA3D96" w:rsidP="00FA3D96">
            <w:pPr>
              <w:spacing w:after="0" w:line="240" w:lineRule="auto"/>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0.1 GB</w:t>
            </w:r>
          </w:p>
        </w:tc>
        <w:tc>
          <w:tcPr>
            <w:tcW w:w="1725" w:type="dxa"/>
            <w:noWrap/>
            <w:vAlign w:val="bottom"/>
            <w:hideMark/>
          </w:tcPr>
          <w:p w14:paraId="05058062"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224</w:t>
            </w:r>
          </w:p>
        </w:tc>
        <w:tc>
          <w:tcPr>
            <w:tcW w:w="1725" w:type="dxa"/>
            <w:noWrap/>
            <w:vAlign w:val="bottom"/>
            <w:hideMark/>
          </w:tcPr>
          <w:p w14:paraId="3F1AE134" w14:textId="77777777" w:rsidR="00FA3D96" w:rsidRPr="00FA3D96" w:rsidRDefault="00FA3D96" w:rsidP="00FA3D96">
            <w:pPr>
              <w:spacing w:after="0" w:line="240" w:lineRule="auto"/>
              <w:jc w:val="right"/>
              <w:rPr>
                <w:rFonts w:ascii="Arial" w:eastAsia="Times New Roman" w:hAnsi="Arial" w:cs="Arial"/>
                <w:color w:val="000000"/>
                <w:sz w:val="24"/>
                <w:szCs w:val="24"/>
                <w:lang w:eastAsia="en-GB"/>
              </w:rPr>
            </w:pPr>
            <w:r w:rsidRPr="00FA3D96">
              <w:rPr>
                <w:rFonts w:ascii="Arial" w:eastAsia="Times New Roman" w:hAnsi="Arial" w:cs="Arial"/>
                <w:color w:val="000000"/>
                <w:sz w:val="24"/>
                <w:szCs w:val="24"/>
                <w:lang w:eastAsia="en-GB"/>
              </w:rPr>
              <w:t xml:space="preserve"> 117,397 </w:t>
            </w:r>
          </w:p>
        </w:tc>
      </w:tr>
    </w:tbl>
    <w:p w14:paraId="44076A6E" w14:textId="0F149581" w:rsidR="00C8382A" w:rsidRDefault="00C8382A" w:rsidP="009B20A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p>
    <w:p w14:paraId="456F0E81" w14:textId="322E1AFF" w:rsidR="0073378A" w:rsidRPr="00CE4C21" w:rsidRDefault="0073378A" w:rsidP="0073378A">
      <w:pPr>
        <w:spacing w:after="0" w:line="240" w:lineRule="auto"/>
        <w:rPr>
          <w:rFonts w:ascii="Arial" w:eastAsia="Times New Roman" w:hAnsi="Arial" w:cs="Arial"/>
          <w:b/>
          <w:bCs/>
          <w:sz w:val="24"/>
          <w:szCs w:val="24"/>
          <w:lang w:eastAsia="en-GB"/>
        </w:rPr>
      </w:pPr>
      <w:r w:rsidRPr="00CE4C21">
        <w:rPr>
          <w:rFonts w:ascii="Arial" w:eastAsia="Times New Roman" w:hAnsi="Arial" w:cs="Arial"/>
          <w:b/>
          <w:bCs/>
          <w:sz w:val="24"/>
          <w:szCs w:val="24"/>
          <w:lang w:eastAsia="en-GB"/>
        </w:rPr>
        <w:lastRenderedPageBreak/>
        <w:t>Analytical services break clause</w:t>
      </w:r>
    </w:p>
    <w:p w14:paraId="2DCE804E" w14:textId="77777777" w:rsidR="0073378A" w:rsidRPr="0073378A" w:rsidRDefault="0073378A" w:rsidP="0073378A">
      <w:pPr>
        <w:spacing w:after="0" w:line="240" w:lineRule="auto"/>
        <w:rPr>
          <w:rFonts w:ascii="Arial" w:eastAsia="Times New Roman" w:hAnsi="Arial" w:cs="Arial"/>
          <w:sz w:val="24"/>
          <w:szCs w:val="24"/>
          <w:lang w:eastAsia="en-GB"/>
        </w:rPr>
      </w:pPr>
    </w:p>
    <w:p w14:paraId="4EE57836" w14:textId="58738499" w:rsidR="0073378A" w:rsidRDefault="0073378A" w:rsidP="0073378A">
      <w:pPr>
        <w:spacing w:after="0" w:line="240" w:lineRule="auto"/>
        <w:rPr>
          <w:rFonts w:ascii="Arial" w:eastAsia="Times New Roman" w:hAnsi="Arial" w:cs="Arial"/>
          <w:sz w:val="24"/>
          <w:szCs w:val="24"/>
          <w:lang w:eastAsia="en-GB"/>
        </w:rPr>
      </w:pPr>
      <w:r w:rsidRPr="0073378A">
        <w:rPr>
          <w:rFonts w:ascii="Arial" w:eastAsia="Times New Roman" w:hAnsi="Arial" w:cs="Arial"/>
          <w:sz w:val="24"/>
          <w:szCs w:val="24"/>
          <w:lang w:eastAsia="en-GB"/>
        </w:rPr>
        <w:t xml:space="preserve">The analytical services component of the contract will be reviewed each year to assess value for money and the likelihood of </w:t>
      </w:r>
      <w:r>
        <w:rPr>
          <w:rFonts w:ascii="Arial" w:eastAsia="Times New Roman" w:hAnsi="Arial" w:cs="Arial"/>
          <w:sz w:val="24"/>
          <w:szCs w:val="24"/>
          <w:lang w:eastAsia="en-GB"/>
        </w:rPr>
        <w:t>PHE</w:t>
      </w:r>
      <w:r w:rsidRPr="0073378A">
        <w:rPr>
          <w:rFonts w:ascii="Arial" w:eastAsia="Times New Roman" w:hAnsi="Arial" w:cs="Arial"/>
          <w:sz w:val="24"/>
          <w:szCs w:val="24"/>
          <w:lang w:eastAsia="en-GB"/>
        </w:rPr>
        <w:t xml:space="preserve"> undertaking those functions for the remainder of the contract. As such, this component is subject to a break clause to be reviewed at the end of the first and second contract year.</w:t>
      </w:r>
    </w:p>
    <w:p w14:paraId="62808992" w14:textId="782A7EFA" w:rsidR="0073378A" w:rsidRDefault="0073378A" w:rsidP="0073378A">
      <w:pPr>
        <w:spacing w:after="0" w:line="240" w:lineRule="auto"/>
        <w:rPr>
          <w:rFonts w:ascii="Arial" w:eastAsia="Times New Roman" w:hAnsi="Arial" w:cs="Arial"/>
          <w:sz w:val="24"/>
          <w:szCs w:val="24"/>
          <w:lang w:eastAsia="en-GB"/>
        </w:rPr>
      </w:pPr>
    </w:p>
    <w:p w14:paraId="33B70765" w14:textId="7227F534" w:rsidR="00FA3D96" w:rsidRPr="00CE4C21" w:rsidRDefault="00FA3D96" w:rsidP="00FA3D96">
      <w:pPr>
        <w:pStyle w:val="ListParagraph"/>
        <w:widowControl w:val="0"/>
        <w:numPr>
          <w:ilvl w:val="0"/>
          <w:numId w:val="3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b/>
          <w:bCs/>
          <w:color w:val="000000"/>
          <w:sz w:val="24"/>
          <w:szCs w:val="24"/>
        </w:rPr>
      </w:pPr>
      <w:r w:rsidRPr="00CE4C21">
        <w:rPr>
          <w:rFonts w:ascii="Arial" w:eastAsiaTheme="minorHAnsi" w:hAnsi="Arial" w:cs="Arial"/>
          <w:b/>
          <w:bCs/>
          <w:color w:val="000000"/>
          <w:sz w:val="24"/>
          <w:szCs w:val="24"/>
        </w:rPr>
        <w:t>Research</w:t>
      </w:r>
    </w:p>
    <w:p w14:paraId="1EF759F3" w14:textId="631A8EA9" w:rsidR="00FA3D96" w:rsidRPr="00FA3D96" w:rsidRDefault="00FA3D96" w:rsidP="00FA3D9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 s</w:t>
      </w:r>
      <w:r w:rsidRPr="00FA3D96">
        <w:rPr>
          <w:rFonts w:ascii="Arial" w:eastAsia="Times New Roman" w:hAnsi="Arial" w:cs="Arial"/>
          <w:sz w:val="24"/>
          <w:szCs w:val="24"/>
          <w:lang w:eastAsia="en-GB"/>
        </w:rPr>
        <w:t xml:space="preserve">upport </w:t>
      </w:r>
      <w:r>
        <w:rPr>
          <w:rFonts w:ascii="Arial" w:eastAsia="Times New Roman" w:hAnsi="Arial" w:cs="Arial"/>
          <w:sz w:val="24"/>
          <w:szCs w:val="24"/>
          <w:lang w:eastAsia="en-GB"/>
        </w:rPr>
        <w:t>PHE</w:t>
      </w:r>
      <w:r w:rsidRPr="00FA3D96">
        <w:rPr>
          <w:rFonts w:ascii="Arial" w:eastAsia="Times New Roman" w:hAnsi="Arial" w:cs="Arial"/>
          <w:sz w:val="24"/>
          <w:szCs w:val="24"/>
          <w:lang w:eastAsia="en-GB"/>
        </w:rPr>
        <w:t xml:space="preserve"> in the production of peer reviewed publications, including support and advice for other academic departments using NDTMS data for research into drug and alcohol treatment.  It is anticipated that this sub-component will account </w:t>
      </w:r>
      <w:r w:rsidR="00CD6C3B">
        <w:rPr>
          <w:rFonts w:ascii="Arial" w:eastAsia="Times New Roman" w:hAnsi="Arial" w:cs="Arial"/>
          <w:sz w:val="24"/>
          <w:szCs w:val="24"/>
          <w:lang w:eastAsia="en-GB"/>
        </w:rPr>
        <w:t xml:space="preserve">for </w:t>
      </w:r>
      <w:r w:rsidRPr="00FA3D96">
        <w:rPr>
          <w:rFonts w:ascii="Arial" w:eastAsia="Times New Roman" w:hAnsi="Arial" w:cs="Arial"/>
          <w:sz w:val="24"/>
          <w:szCs w:val="24"/>
          <w:lang w:eastAsia="en-GB"/>
        </w:rPr>
        <w:t xml:space="preserve">up to 10% of the activity requirements. Prioritisation of research commitments will be negotiated during the 6 monthly reviews. The contract holder will be expected to contribute to the formulation of research priorities, literature reviews, drafting of manuscripts and project management of research projects. Articles intended for publication utilising NDTMS data will be provided to </w:t>
      </w:r>
      <w:r w:rsidR="00CD6C3B">
        <w:rPr>
          <w:rFonts w:ascii="Arial" w:eastAsia="Times New Roman" w:hAnsi="Arial" w:cs="Arial"/>
          <w:sz w:val="24"/>
          <w:szCs w:val="24"/>
          <w:lang w:eastAsia="en-GB"/>
        </w:rPr>
        <w:t>PHE</w:t>
      </w:r>
      <w:r w:rsidRPr="00FA3D96">
        <w:rPr>
          <w:rFonts w:ascii="Arial" w:eastAsia="Times New Roman" w:hAnsi="Arial" w:cs="Arial"/>
          <w:sz w:val="24"/>
          <w:szCs w:val="24"/>
          <w:lang w:eastAsia="en-GB"/>
        </w:rPr>
        <w:t xml:space="preserve"> no less than four weeks prior to submission for review by </w:t>
      </w:r>
      <w:r w:rsidR="00CD6C3B">
        <w:rPr>
          <w:rFonts w:ascii="Arial" w:eastAsia="Times New Roman" w:hAnsi="Arial" w:cs="Arial"/>
          <w:sz w:val="24"/>
          <w:szCs w:val="24"/>
          <w:lang w:eastAsia="en-GB"/>
        </w:rPr>
        <w:t>PHE</w:t>
      </w:r>
      <w:r w:rsidRPr="00FA3D96">
        <w:rPr>
          <w:rFonts w:ascii="Arial" w:eastAsia="Times New Roman" w:hAnsi="Arial" w:cs="Arial"/>
          <w:sz w:val="24"/>
          <w:szCs w:val="24"/>
          <w:lang w:eastAsia="en-GB"/>
        </w:rPr>
        <w:t xml:space="preserve">. All publications will have at least one named author from both the contract holder and </w:t>
      </w:r>
      <w:r w:rsidR="00CD6C3B">
        <w:rPr>
          <w:rFonts w:ascii="Arial" w:eastAsia="Times New Roman" w:hAnsi="Arial" w:cs="Arial"/>
          <w:sz w:val="24"/>
          <w:szCs w:val="24"/>
          <w:lang w:eastAsia="en-GB"/>
        </w:rPr>
        <w:t>PHE</w:t>
      </w:r>
      <w:r w:rsidRPr="00FA3D96">
        <w:rPr>
          <w:rFonts w:ascii="Arial" w:eastAsia="Times New Roman" w:hAnsi="Arial" w:cs="Arial"/>
          <w:sz w:val="24"/>
          <w:szCs w:val="24"/>
          <w:lang w:eastAsia="en-GB"/>
        </w:rPr>
        <w:t>.</w:t>
      </w:r>
    </w:p>
    <w:p w14:paraId="1242826B" w14:textId="77777777" w:rsidR="00FA3D96" w:rsidRPr="00FA3D96" w:rsidRDefault="00FA3D96" w:rsidP="00FA3D96">
      <w:pPr>
        <w:spacing w:after="0" w:line="240" w:lineRule="auto"/>
        <w:rPr>
          <w:rFonts w:ascii="Arial" w:eastAsia="Times New Roman" w:hAnsi="Arial" w:cs="Arial"/>
          <w:sz w:val="24"/>
          <w:szCs w:val="24"/>
          <w:lang w:eastAsia="en-GB"/>
        </w:rPr>
      </w:pPr>
    </w:p>
    <w:p w14:paraId="1C91ECC2" w14:textId="77777777" w:rsidR="00FA3D96" w:rsidRPr="00FA3D96" w:rsidRDefault="00FA3D96" w:rsidP="00FA3D96">
      <w:pPr>
        <w:spacing w:after="0" w:line="240" w:lineRule="auto"/>
        <w:rPr>
          <w:rFonts w:ascii="Arial" w:eastAsia="Times New Roman" w:hAnsi="Arial" w:cs="Arial"/>
          <w:sz w:val="24"/>
          <w:szCs w:val="24"/>
          <w:lang w:eastAsia="en-GB"/>
        </w:rPr>
      </w:pPr>
      <w:r w:rsidRPr="00FA3D96">
        <w:rPr>
          <w:rFonts w:ascii="Arial" w:eastAsia="Times New Roman" w:hAnsi="Arial" w:cs="Arial"/>
          <w:sz w:val="24"/>
          <w:szCs w:val="24"/>
          <w:lang w:eastAsia="en-GB"/>
        </w:rPr>
        <w:t>The contract holder will need to demonstrate their suitability for these requirements by providing a list of peer-review publications in the last five years, together with a list of main statistical techniques utilised in these papers (such as regression [linear, logistic, poisson], time series, survival analysis, meta-analysis, imputation, structural equation modelling, multilevel modelling) as well as the software used to implement.</w:t>
      </w:r>
    </w:p>
    <w:p w14:paraId="2534968F" w14:textId="77777777" w:rsidR="00FA3D96" w:rsidRPr="00FA3D96" w:rsidRDefault="00FA3D96" w:rsidP="00FA3D96">
      <w:pPr>
        <w:spacing w:after="0" w:line="240" w:lineRule="auto"/>
        <w:rPr>
          <w:rFonts w:ascii="Arial" w:eastAsia="Times New Roman" w:hAnsi="Arial" w:cs="Arial"/>
          <w:sz w:val="24"/>
          <w:szCs w:val="24"/>
          <w:lang w:eastAsia="en-GB"/>
        </w:rPr>
      </w:pPr>
    </w:p>
    <w:p w14:paraId="6D80BBBF" w14:textId="1A22253A" w:rsidR="00FA3D96" w:rsidRDefault="00FA3D96" w:rsidP="00FA3D96">
      <w:pPr>
        <w:spacing w:after="0" w:line="240" w:lineRule="auto"/>
        <w:rPr>
          <w:rFonts w:ascii="Arial" w:eastAsia="Times New Roman" w:hAnsi="Arial" w:cs="Arial"/>
          <w:b/>
          <w:bCs/>
          <w:sz w:val="24"/>
          <w:szCs w:val="24"/>
          <w:lang w:eastAsia="en-GB"/>
        </w:rPr>
      </w:pPr>
      <w:r w:rsidRPr="00CE4C21">
        <w:rPr>
          <w:rFonts w:ascii="Arial" w:eastAsia="Times New Roman" w:hAnsi="Arial" w:cs="Arial"/>
          <w:b/>
          <w:bCs/>
          <w:sz w:val="24"/>
          <w:szCs w:val="24"/>
          <w:lang w:eastAsia="en-GB"/>
        </w:rPr>
        <w:t>Research break clause</w:t>
      </w:r>
    </w:p>
    <w:p w14:paraId="2AFAD3AD" w14:textId="77777777" w:rsidR="00CE4C21" w:rsidRPr="00CE4C21" w:rsidRDefault="00CE4C21" w:rsidP="00FA3D96">
      <w:pPr>
        <w:spacing w:after="0" w:line="240" w:lineRule="auto"/>
        <w:rPr>
          <w:rFonts w:ascii="Arial" w:eastAsia="Times New Roman" w:hAnsi="Arial" w:cs="Arial"/>
          <w:b/>
          <w:bCs/>
          <w:sz w:val="24"/>
          <w:szCs w:val="24"/>
          <w:lang w:eastAsia="en-GB"/>
        </w:rPr>
      </w:pPr>
    </w:p>
    <w:p w14:paraId="7152005E" w14:textId="3C89A54D" w:rsidR="00FA3D96" w:rsidRPr="00FA3D96" w:rsidRDefault="00FA3D96" w:rsidP="00FA3D96">
      <w:pPr>
        <w:spacing w:after="0" w:line="240" w:lineRule="auto"/>
        <w:rPr>
          <w:rFonts w:ascii="Arial" w:eastAsia="Times New Roman" w:hAnsi="Arial" w:cs="Arial"/>
          <w:sz w:val="24"/>
          <w:szCs w:val="24"/>
          <w:lang w:eastAsia="en-GB"/>
        </w:rPr>
      </w:pPr>
      <w:r w:rsidRPr="00FA3D96">
        <w:rPr>
          <w:rFonts w:ascii="Arial" w:eastAsia="Times New Roman" w:hAnsi="Arial" w:cs="Arial"/>
          <w:sz w:val="24"/>
          <w:szCs w:val="24"/>
          <w:lang w:eastAsia="en-GB"/>
        </w:rPr>
        <w:t xml:space="preserve">The research component of the contract will be reviewed each year to assess value for money and the likelihood of </w:t>
      </w:r>
      <w:r w:rsidR="00CD6C3B">
        <w:rPr>
          <w:rFonts w:ascii="Arial" w:eastAsia="Times New Roman" w:hAnsi="Arial" w:cs="Arial"/>
          <w:sz w:val="24"/>
          <w:szCs w:val="24"/>
          <w:lang w:eastAsia="en-GB"/>
        </w:rPr>
        <w:t>PHE</w:t>
      </w:r>
      <w:r w:rsidRPr="00FA3D96">
        <w:rPr>
          <w:rFonts w:ascii="Arial" w:eastAsia="Times New Roman" w:hAnsi="Arial" w:cs="Arial"/>
          <w:sz w:val="24"/>
          <w:szCs w:val="24"/>
          <w:lang w:eastAsia="en-GB"/>
        </w:rPr>
        <w:t xml:space="preserve"> undertaking those functions for the remainder of the contract. As such, this component is subject to a break clause to be reviewed at the end of the first and second contract year.</w:t>
      </w:r>
    </w:p>
    <w:p w14:paraId="7D6C02DE" w14:textId="77777777" w:rsidR="00FA3D96" w:rsidRDefault="00FA3D96" w:rsidP="0073378A">
      <w:pPr>
        <w:spacing w:after="0" w:line="240" w:lineRule="auto"/>
        <w:rPr>
          <w:rFonts w:ascii="Arial" w:eastAsia="Times New Roman" w:hAnsi="Arial" w:cs="Arial"/>
          <w:sz w:val="24"/>
          <w:szCs w:val="24"/>
          <w:lang w:eastAsia="en-GB"/>
        </w:rPr>
      </w:pPr>
    </w:p>
    <w:p w14:paraId="0F326845" w14:textId="0C82DD6F" w:rsidR="00CD6C3B" w:rsidRPr="00CE4C21" w:rsidRDefault="00CD6C3B" w:rsidP="00CD6C3B">
      <w:pPr>
        <w:pStyle w:val="ListParagraph"/>
        <w:widowControl w:val="0"/>
        <w:numPr>
          <w:ilvl w:val="0"/>
          <w:numId w:val="3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b/>
          <w:bCs/>
          <w:color w:val="000000"/>
          <w:sz w:val="24"/>
          <w:szCs w:val="24"/>
        </w:rPr>
      </w:pPr>
      <w:r w:rsidRPr="00CE4C21">
        <w:rPr>
          <w:rFonts w:ascii="Arial" w:eastAsiaTheme="minorHAnsi" w:hAnsi="Arial" w:cs="Arial"/>
          <w:b/>
          <w:bCs/>
          <w:color w:val="000000"/>
          <w:sz w:val="24"/>
          <w:szCs w:val="24"/>
        </w:rPr>
        <w:t>Web services</w:t>
      </w:r>
    </w:p>
    <w:p w14:paraId="0F023C88" w14:textId="77777777" w:rsidR="00CE4C21" w:rsidRDefault="00CD6C3B" w:rsidP="001568D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To develop, </w:t>
      </w:r>
      <w:r w:rsidRPr="00CD6C3B">
        <w:rPr>
          <w:rFonts w:ascii="Arial" w:eastAsia="Times New Roman" w:hAnsi="Arial" w:cs="Arial"/>
          <w:sz w:val="24"/>
          <w:szCs w:val="24"/>
          <w:lang w:eastAsia="en-GB"/>
        </w:rPr>
        <w:t>maintain and host a website that provides a visually eye-catching gateway into key data relating to drug and alcohol treatment. The website will contain both accessible and restricted data via multi layered role</w:t>
      </w:r>
      <w:r>
        <w:rPr>
          <w:rFonts w:ascii="Arial" w:eastAsia="Times New Roman" w:hAnsi="Arial" w:cs="Arial"/>
          <w:sz w:val="24"/>
          <w:szCs w:val="24"/>
          <w:lang w:eastAsia="en-GB"/>
        </w:rPr>
        <w:t>-</w:t>
      </w:r>
      <w:r w:rsidRPr="00CD6C3B">
        <w:rPr>
          <w:rFonts w:ascii="Arial" w:eastAsia="Times New Roman" w:hAnsi="Arial" w:cs="Arial"/>
          <w:sz w:val="24"/>
          <w:szCs w:val="24"/>
          <w:lang w:eastAsia="en-GB"/>
        </w:rPr>
        <w:t xml:space="preserve">based access. </w:t>
      </w:r>
    </w:p>
    <w:p w14:paraId="14D2F1C6" w14:textId="77777777" w:rsidR="00CE4C21" w:rsidRDefault="00CE4C21" w:rsidP="001568D9">
      <w:pPr>
        <w:spacing w:after="0" w:line="240" w:lineRule="auto"/>
        <w:rPr>
          <w:rFonts w:ascii="Arial" w:eastAsia="Times New Roman" w:hAnsi="Arial" w:cs="Arial"/>
          <w:sz w:val="24"/>
          <w:szCs w:val="24"/>
          <w:lang w:eastAsia="en-GB"/>
        </w:rPr>
      </w:pPr>
    </w:p>
    <w:p w14:paraId="16293CD9" w14:textId="63D8F243" w:rsidR="00CD6C3B" w:rsidRDefault="00CD6C3B" w:rsidP="001568D9">
      <w:pPr>
        <w:spacing w:after="0" w:line="240" w:lineRule="auto"/>
        <w:rPr>
          <w:rFonts w:ascii="Arial" w:eastAsia="Times New Roman" w:hAnsi="Arial" w:cs="Arial"/>
          <w:sz w:val="24"/>
          <w:szCs w:val="24"/>
          <w:lang w:eastAsia="en-GB"/>
        </w:rPr>
      </w:pPr>
      <w:r w:rsidRPr="00CD6C3B">
        <w:rPr>
          <w:rFonts w:ascii="Arial" w:eastAsia="Times New Roman" w:hAnsi="Arial" w:cs="Arial"/>
          <w:sz w:val="24"/>
          <w:szCs w:val="24"/>
          <w:lang w:eastAsia="en-GB"/>
        </w:rPr>
        <w:t xml:space="preserve">Experience of working with and hosting sensitive information is essential, along with appropriate skillsets for building, maintaining and developing effective and responsive web services. The solution will need to be robust enough to support 1500 </w:t>
      </w:r>
      <w:r w:rsidRPr="00CD6C3B">
        <w:rPr>
          <w:rFonts w:ascii="Arial" w:eastAsia="Times New Roman" w:hAnsi="Arial" w:cs="Arial"/>
          <w:sz w:val="24"/>
          <w:szCs w:val="24"/>
          <w:lang w:eastAsia="en-GB"/>
        </w:rPr>
        <w:lastRenderedPageBreak/>
        <w:t xml:space="preserve">active users. The solution will need to support </w:t>
      </w:r>
      <w:r>
        <w:rPr>
          <w:rFonts w:ascii="Arial" w:eastAsia="Times New Roman" w:hAnsi="Arial" w:cs="Arial"/>
          <w:sz w:val="24"/>
          <w:szCs w:val="24"/>
          <w:lang w:eastAsia="en-GB"/>
        </w:rPr>
        <w:t xml:space="preserve">secure </w:t>
      </w:r>
      <w:r w:rsidRPr="00CD6C3B">
        <w:rPr>
          <w:rFonts w:ascii="Arial" w:eastAsia="Times New Roman" w:hAnsi="Arial" w:cs="Arial"/>
          <w:sz w:val="24"/>
          <w:szCs w:val="24"/>
          <w:lang w:eastAsia="en-GB"/>
        </w:rPr>
        <w:t xml:space="preserve">access to an application that </w:t>
      </w:r>
      <w:r>
        <w:rPr>
          <w:rFonts w:ascii="Arial" w:eastAsia="Times New Roman" w:hAnsi="Arial" w:cs="Arial"/>
          <w:sz w:val="24"/>
          <w:szCs w:val="24"/>
          <w:lang w:eastAsia="en-GB"/>
        </w:rPr>
        <w:t>PHE</w:t>
      </w:r>
      <w:r w:rsidRPr="00CD6C3B">
        <w:rPr>
          <w:rFonts w:ascii="Arial" w:eastAsia="Times New Roman" w:hAnsi="Arial" w:cs="Arial"/>
          <w:sz w:val="24"/>
          <w:szCs w:val="24"/>
          <w:lang w:eastAsia="en-GB"/>
        </w:rPr>
        <w:t xml:space="preserve"> owns and maintains</w:t>
      </w:r>
      <w:r w:rsidR="001568D9">
        <w:rPr>
          <w:rFonts w:ascii="Arial" w:eastAsia="Times New Roman" w:hAnsi="Arial" w:cs="Arial"/>
          <w:sz w:val="24"/>
          <w:szCs w:val="24"/>
          <w:lang w:eastAsia="en-GB"/>
        </w:rPr>
        <w:t>, called the Report Viewer</w:t>
      </w:r>
      <w:r w:rsidRPr="00CD6C3B">
        <w:rPr>
          <w:rFonts w:ascii="Arial" w:eastAsia="Times New Roman" w:hAnsi="Arial" w:cs="Arial"/>
          <w:sz w:val="24"/>
          <w:szCs w:val="24"/>
          <w:lang w:eastAsia="en-GB"/>
        </w:rPr>
        <w:t xml:space="preserve">. The application in question contains </w:t>
      </w:r>
      <w:r w:rsidR="00C36214" w:rsidRPr="00CD6C3B">
        <w:rPr>
          <w:rFonts w:ascii="Arial" w:eastAsia="Times New Roman" w:hAnsi="Arial" w:cs="Arial"/>
          <w:sz w:val="24"/>
          <w:szCs w:val="24"/>
          <w:lang w:eastAsia="en-GB"/>
        </w:rPr>
        <w:t>most of the</w:t>
      </w:r>
      <w:r w:rsidRPr="00CD6C3B">
        <w:rPr>
          <w:rFonts w:ascii="Arial" w:eastAsia="Times New Roman" w:hAnsi="Arial" w:cs="Arial"/>
          <w:sz w:val="24"/>
          <w:szCs w:val="24"/>
          <w:lang w:eastAsia="en-GB"/>
        </w:rPr>
        <w:t xml:space="preserve"> restricted management reporting, accessed by both treatment providers and local partnerships.</w:t>
      </w:r>
      <w:r w:rsidR="003F1522">
        <w:rPr>
          <w:rFonts w:ascii="Arial" w:eastAsia="Times New Roman" w:hAnsi="Arial" w:cs="Arial"/>
          <w:sz w:val="24"/>
          <w:szCs w:val="24"/>
          <w:lang w:eastAsia="en-GB"/>
        </w:rPr>
        <w:t xml:space="preserve"> The solution will need to be flexible to enable change at pace, such as new web pages</w:t>
      </w:r>
      <w:r w:rsidR="00C86F5F">
        <w:rPr>
          <w:rFonts w:ascii="Arial" w:eastAsia="Times New Roman" w:hAnsi="Arial" w:cs="Arial"/>
          <w:sz w:val="24"/>
          <w:szCs w:val="24"/>
          <w:lang w:eastAsia="en-GB"/>
        </w:rPr>
        <w:t xml:space="preserve">, </w:t>
      </w:r>
      <w:r w:rsidR="003F1522">
        <w:rPr>
          <w:rFonts w:ascii="Arial" w:eastAsia="Times New Roman" w:hAnsi="Arial" w:cs="Arial"/>
          <w:sz w:val="24"/>
          <w:szCs w:val="24"/>
          <w:lang w:eastAsia="en-GB"/>
        </w:rPr>
        <w:t>functionality</w:t>
      </w:r>
      <w:r w:rsidR="00C86F5F">
        <w:rPr>
          <w:rFonts w:ascii="Arial" w:eastAsia="Times New Roman" w:hAnsi="Arial" w:cs="Arial"/>
          <w:sz w:val="24"/>
          <w:szCs w:val="24"/>
          <w:lang w:eastAsia="en-GB"/>
        </w:rPr>
        <w:t xml:space="preserve"> or potentially providing an alternative means for restricted users to access static versions of performance reports</w:t>
      </w:r>
      <w:r w:rsidR="00E14466">
        <w:rPr>
          <w:rFonts w:ascii="Arial" w:eastAsia="Times New Roman" w:hAnsi="Arial" w:cs="Arial"/>
          <w:sz w:val="24"/>
          <w:szCs w:val="24"/>
          <w:lang w:eastAsia="en-GB"/>
        </w:rPr>
        <w:t>.</w:t>
      </w:r>
      <w:r w:rsidR="00FA1900">
        <w:rPr>
          <w:rFonts w:ascii="Arial" w:eastAsia="Times New Roman" w:hAnsi="Arial" w:cs="Arial"/>
          <w:sz w:val="24"/>
          <w:szCs w:val="24"/>
          <w:lang w:eastAsia="en-GB"/>
        </w:rPr>
        <w:t xml:space="preserve"> The solution should also comply with the Government Digital Service accessibility guidelines and regulations (</w:t>
      </w:r>
      <w:hyperlink r:id="rId8" w:history="1">
        <w:r w:rsidR="00FA1900" w:rsidRPr="005C5514">
          <w:rPr>
            <w:rStyle w:val="Hyperlink"/>
            <w:rFonts w:ascii="Arial" w:eastAsia="Times New Roman" w:hAnsi="Arial" w:cs="Arial"/>
            <w:sz w:val="24"/>
            <w:szCs w:val="24"/>
            <w:lang w:eastAsia="en-GB"/>
          </w:rPr>
          <w:t>https://accessibility.campaign.gov.uk/?utm_source=Blogs&amp;utm_medium=GDS&amp;utm_campaign=access_regs</w:t>
        </w:r>
      </w:hyperlink>
      <w:r w:rsidR="00FA1900">
        <w:rPr>
          <w:rFonts w:ascii="Arial" w:eastAsia="Times New Roman" w:hAnsi="Arial" w:cs="Arial"/>
          <w:sz w:val="24"/>
          <w:szCs w:val="24"/>
          <w:lang w:eastAsia="en-GB"/>
        </w:rPr>
        <w:t>) as well as the Government Functional Standard (GovS 005): Digital, Data and Technology (</w:t>
      </w:r>
      <w:hyperlink r:id="rId9" w:history="1">
        <w:r w:rsidR="00FA1900" w:rsidRPr="005C5514">
          <w:rPr>
            <w:rStyle w:val="Hyperlink"/>
            <w:rFonts w:ascii="Arial" w:eastAsia="Times New Roman" w:hAnsi="Arial" w:cs="Arial"/>
            <w:sz w:val="24"/>
            <w:szCs w:val="24"/>
            <w:lang w:eastAsia="en-GB"/>
          </w:rPr>
          <w:t>https://www.gov.uk/guidance/digital-data-and-technology-functional-standard-version-1</w:t>
        </w:r>
      </w:hyperlink>
      <w:r w:rsidR="00FA1900">
        <w:rPr>
          <w:rFonts w:ascii="Arial" w:eastAsia="Times New Roman" w:hAnsi="Arial" w:cs="Arial"/>
          <w:sz w:val="24"/>
          <w:szCs w:val="24"/>
          <w:lang w:eastAsia="en-GB"/>
        </w:rPr>
        <w:t>) wherever possible.</w:t>
      </w:r>
    </w:p>
    <w:p w14:paraId="674BD287" w14:textId="77777777" w:rsidR="001568D9" w:rsidRPr="00CD6C3B" w:rsidRDefault="001568D9" w:rsidP="001568D9">
      <w:pPr>
        <w:spacing w:after="0" w:line="240" w:lineRule="auto"/>
        <w:rPr>
          <w:rFonts w:ascii="Arial" w:eastAsia="Times New Roman" w:hAnsi="Arial" w:cs="Arial"/>
          <w:sz w:val="24"/>
          <w:szCs w:val="24"/>
          <w:lang w:eastAsia="en-GB"/>
        </w:rPr>
      </w:pPr>
    </w:p>
    <w:p w14:paraId="4C1D80E6" w14:textId="7B91EEF3" w:rsidR="00CD6C3B"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Three key components</w:t>
      </w:r>
      <w:r w:rsidR="00C86F5F">
        <w:rPr>
          <w:rFonts w:ascii="Arial" w:eastAsia="Times New Roman" w:hAnsi="Arial" w:cs="Arial"/>
          <w:sz w:val="24"/>
          <w:szCs w:val="24"/>
          <w:lang w:eastAsia="en-GB"/>
        </w:rPr>
        <w:t xml:space="preserve"> of the solution</w:t>
      </w:r>
      <w:r w:rsidRPr="001568D9">
        <w:rPr>
          <w:rFonts w:ascii="Arial" w:eastAsia="Times New Roman" w:hAnsi="Arial" w:cs="Arial"/>
          <w:sz w:val="24"/>
          <w:szCs w:val="24"/>
          <w:lang w:eastAsia="en-GB"/>
        </w:rPr>
        <w:t>:</w:t>
      </w:r>
    </w:p>
    <w:p w14:paraId="2888DF0F" w14:textId="77777777" w:rsidR="00CE4C21" w:rsidRPr="001568D9" w:rsidRDefault="00CE4C21" w:rsidP="001568D9">
      <w:pPr>
        <w:spacing w:after="0" w:line="240" w:lineRule="auto"/>
        <w:rPr>
          <w:rFonts w:ascii="Arial" w:eastAsia="Times New Roman" w:hAnsi="Arial" w:cs="Arial"/>
          <w:sz w:val="24"/>
          <w:szCs w:val="24"/>
          <w:lang w:eastAsia="en-GB"/>
        </w:rPr>
      </w:pPr>
    </w:p>
    <w:p w14:paraId="22E6C7BB" w14:textId="072CDC2C" w:rsidR="00CD6C3B" w:rsidRPr="001568D9" w:rsidRDefault="009B3AF4" w:rsidP="001568D9">
      <w:pPr>
        <w:pStyle w:val="ListParagraph"/>
        <w:numPr>
          <w:ilvl w:val="0"/>
          <w:numId w:val="38"/>
        </w:numPr>
        <w:rPr>
          <w:rFonts w:ascii="Arial" w:eastAsia="Times New Roman" w:hAnsi="Arial" w:cs="Arial"/>
          <w:sz w:val="24"/>
          <w:szCs w:val="24"/>
          <w:lang w:eastAsia="en-GB"/>
        </w:rPr>
      </w:pPr>
      <w:r w:rsidRPr="001568D9">
        <w:rPr>
          <w:rFonts w:ascii="Arial" w:eastAsia="Times New Roman" w:hAnsi="Arial" w:cs="Arial"/>
          <w:sz w:val="24"/>
          <w:szCs w:val="24"/>
          <w:lang w:eastAsia="en-GB"/>
        </w:rPr>
        <w:t>Publicly</w:t>
      </w:r>
      <w:r w:rsidR="00CD6C3B" w:rsidRPr="001568D9">
        <w:rPr>
          <w:rFonts w:ascii="Arial" w:eastAsia="Times New Roman" w:hAnsi="Arial" w:cs="Arial"/>
          <w:sz w:val="24"/>
          <w:szCs w:val="24"/>
          <w:lang w:eastAsia="en-GB"/>
        </w:rPr>
        <w:t xml:space="preserve"> accessible area to display monthly statistics and related information at national, PHE Centre and local authority level</w:t>
      </w:r>
    </w:p>
    <w:p w14:paraId="47862A47" w14:textId="4229CB0A" w:rsidR="00CD6C3B" w:rsidRDefault="0046171D" w:rsidP="001568D9">
      <w:pPr>
        <w:pStyle w:val="ListParagraph"/>
        <w:numPr>
          <w:ilvl w:val="0"/>
          <w:numId w:val="38"/>
        </w:numPr>
        <w:rPr>
          <w:rFonts w:ascii="Arial" w:eastAsia="Times New Roman" w:hAnsi="Arial" w:cs="Arial"/>
          <w:sz w:val="24"/>
          <w:szCs w:val="24"/>
          <w:lang w:eastAsia="en-GB"/>
        </w:rPr>
      </w:pPr>
      <w:r>
        <w:rPr>
          <w:rFonts w:ascii="Arial" w:eastAsia="Times New Roman" w:hAnsi="Arial" w:cs="Arial"/>
          <w:sz w:val="24"/>
          <w:szCs w:val="24"/>
          <w:lang w:eastAsia="en-GB"/>
        </w:rPr>
        <w:t>P</w:t>
      </w:r>
      <w:r w:rsidR="009B3AF4" w:rsidRPr="001568D9">
        <w:rPr>
          <w:rFonts w:ascii="Arial" w:eastAsia="Times New Roman" w:hAnsi="Arial" w:cs="Arial"/>
          <w:sz w:val="24"/>
          <w:szCs w:val="24"/>
          <w:lang w:eastAsia="en-GB"/>
        </w:rPr>
        <w:t>ublicly</w:t>
      </w:r>
      <w:r w:rsidR="00CD6C3B" w:rsidRPr="001568D9">
        <w:rPr>
          <w:rFonts w:ascii="Arial" w:eastAsia="Times New Roman" w:hAnsi="Arial" w:cs="Arial"/>
          <w:sz w:val="24"/>
          <w:szCs w:val="24"/>
          <w:lang w:eastAsia="en-GB"/>
        </w:rPr>
        <w:t xml:space="preserve"> accessible interactive web query tool to display key national statistics at multiple geographies using up to date web technologies at national, PHE Centre and local authority level</w:t>
      </w:r>
      <w:r w:rsidR="001568D9">
        <w:rPr>
          <w:rFonts w:ascii="Arial" w:eastAsia="Times New Roman" w:hAnsi="Arial" w:cs="Arial"/>
          <w:sz w:val="24"/>
          <w:szCs w:val="24"/>
          <w:lang w:eastAsia="en-GB"/>
        </w:rPr>
        <w:t xml:space="preserve"> and an equivalent restricted access area</w:t>
      </w:r>
    </w:p>
    <w:p w14:paraId="66F2A142" w14:textId="532D2278" w:rsidR="001568D9" w:rsidRPr="001568D9" w:rsidRDefault="001568D9" w:rsidP="001568D9">
      <w:pPr>
        <w:pStyle w:val="ListParagraph"/>
        <w:numPr>
          <w:ilvl w:val="0"/>
          <w:numId w:val="38"/>
        </w:numPr>
        <w:rPr>
          <w:rFonts w:ascii="Arial" w:eastAsia="Times New Roman" w:hAnsi="Arial" w:cs="Arial"/>
          <w:sz w:val="24"/>
          <w:szCs w:val="24"/>
          <w:lang w:eastAsia="en-GB"/>
        </w:rPr>
      </w:pPr>
      <w:r w:rsidRPr="001568D9">
        <w:rPr>
          <w:rFonts w:ascii="Arial" w:eastAsia="Times New Roman" w:hAnsi="Arial" w:cs="Arial"/>
          <w:sz w:val="24"/>
          <w:szCs w:val="24"/>
          <w:lang w:eastAsia="en-GB"/>
        </w:rPr>
        <w:t>Secure area to host restricted management information</w:t>
      </w:r>
      <w:r>
        <w:rPr>
          <w:rFonts w:ascii="Arial" w:eastAsia="Times New Roman" w:hAnsi="Arial" w:cs="Arial"/>
          <w:sz w:val="24"/>
          <w:szCs w:val="24"/>
          <w:lang w:eastAsia="en-GB"/>
        </w:rPr>
        <w:t xml:space="preserve"> alongside the secure access to the Report Viewer</w:t>
      </w:r>
    </w:p>
    <w:p w14:paraId="7D185E8D" w14:textId="24B2C63F" w:rsidR="00CD6C3B"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 xml:space="preserve">A section of the website should be constructed to support the display of </w:t>
      </w:r>
      <w:r w:rsidR="001568D9" w:rsidRPr="001568D9">
        <w:rPr>
          <w:rFonts w:ascii="Arial" w:eastAsia="Times New Roman" w:hAnsi="Arial" w:cs="Arial"/>
          <w:sz w:val="24"/>
          <w:szCs w:val="24"/>
          <w:lang w:eastAsia="en-GB"/>
        </w:rPr>
        <w:t>publicly</w:t>
      </w:r>
      <w:r w:rsidRPr="001568D9">
        <w:rPr>
          <w:rFonts w:ascii="Arial" w:eastAsia="Times New Roman" w:hAnsi="Arial" w:cs="Arial"/>
          <w:sz w:val="24"/>
          <w:szCs w:val="24"/>
          <w:lang w:eastAsia="en-GB"/>
        </w:rPr>
        <w:t xml:space="preserve"> accessible drug and alcohol treatment national statistics at various geographical levels. The development should incorporate the following general specification, but it should be noted that a certain amount of interpretation and design talent will be required to achieve the desired product.</w:t>
      </w:r>
    </w:p>
    <w:p w14:paraId="796C1309" w14:textId="77777777" w:rsidR="00C86F5F" w:rsidRPr="001568D9" w:rsidRDefault="00C86F5F" w:rsidP="001568D9">
      <w:pPr>
        <w:spacing w:after="0" w:line="240" w:lineRule="auto"/>
        <w:rPr>
          <w:rFonts w:ascii="Arial" w:eastAsia="Times New Roman" w:hAnsi="Arial" w:cs="Arial"/>
          <w:sz w:val="24"/>
          <w:szCs w:val="24"/>
          <w:lang w:eastAsia="en-GB"/>
        </w:rPr>
      </w:pPr>
    </w:p>
    <w:p w14:paraId="5E83C2CC" w14:textId="37020393" w:rsidR="00CD6C3B"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 xml:space="preserve">The website should be fully integrated into the web services as specified in this document, and as such users should be able to seamlessly navigate around the site. Registered users should only have to login once and should be able to navigate between the </w:t>
      </w:r>
      <w:r w:rsidR="001568D9" w:rsidRPr="001568D9">
        <w:rPr>
          <w:rFonts w:ascii="Arial" w:eastAsia="Times New Roman" w:hAnsi="Arial" w:cs="Arial"/>
          <w:sz w:val="24"/>
          <w:szCs w:val="24"/>
          <w:lang w:eastAsia="en-GB"/>
        </w:rPr>
        <w:t>publicly</w:t>
      </w:r>
      <w:r w:rsidRPr="001568D9">
        <w:rPr>
          <w:rFonts w:ascii="Arial" w:eastAsia="Times New Roman" w:hAnsi="Arial" w:cs="Arial"/>
          <w:sz w:val="24"/>
          <w:szCs w:val="24"/>
          <w:lang w:eastAsia="en-GB"/>
        </w:rPr>
        <w:t xml:space="preserve"> accessible area as well as the restricted area. It should be structured in such a way to incorporate a large amount data. It should be scalable to ensure that changes/additions applied during the contract period can be easily applied. The data should be stored securely so that it can be updated and appended to without hindering the performance of the website.</w:t>
      </w:r>
    </w:p>
    <w:p w14:paraId="634FDEFD" w14:textId="77777777" w:rsidR="001568D9" w:rsidRPr="001568D9" w:rsidRDefault="001568D9" w:rsidP="001568D9">
      <w:pPr>
        <w:spacing w:after="0" w:line="240" w:lineRule="auto"/>
        <w:rPr>
          <w:rFonts w:ascii="Arial" w:eastAsia="Times New Roman" w:hAnsi="Arial" w:cs="Arial"/>
          <w:sz w:val="24"/>
          <w:szCs w:val="24"/>
          <w:lang w:eastAsia="en-GB"/>
        </w:rPr>
      </w:pPr>
    </w:p>
    <w:p w14:paraId="26D0FE14" w14:textId="52676C36" w:rsidR="00CD6C3B" w:rsidRPr="001568D9"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 xml:space="preserve">The design and functionality of the overall site should be employed as widely as possible within this area to ensure a uniform approach and consistent user experience. A similar means of selecting data should also be used, allowing the user to select/filter by numerous factors including time series, theme, and geography. The </w:t>
      </w:r>
      <w:r w:rsidRPr="001568D9">
        <w:rPr>
          <w:rFonts w:ascii="Arial" w:eastAsia="Times New Roman" w:hAnsi="Arial" w:cs="Arial"/>
          <w:sz w:val="24"/>
          <w:szCs w:val="24"/>
          <w:lang w:eastAsia="en-GB"/>
        </w:rPr>
        <w:lastRenderedPageBreak/>
        <w:t xml:space="preserve">website should look visually attractive and in keeping with current products produced by </w:t>
      </w:r>
      <w:r w:rsidR="001568D9">
        <w:rPr>
          <w:rFonts w:ascii="Arial" w:eastAsia="Times New Roman" w:hAnsi="Arial" w:cs="Arial"/>
          <w:sz w:val="24"/>
          <w:szCs w:val="24"/>
          <w:lang w:eastAsia="en-GB"/>
        </w:rPr>
        <w:t>PHE</w:t>
      </w:r>
      <w:r w:rsidRPr="001568D9">
        <w:rPr>
          <w:rFonts w:ascii="Arial" w:eastAsia="Times New Roman" w:hAnsi="Arial" w:cs="Arial"/>
          <w:sz w:val="24"/>
          <w:szCs w:val="24"/>
          <w:lang w:eastAsia="en-GB"/>
        </w:rPr>
        <w:t xml:space="preserve"> and should be as intuitive as possible to ensure that it is easy to use and uncomplicated.</w:t>
      </w:r>
    </w:p>
    <w:p w14:paraId="3AB0112B" w14:textId="77777777" w:rsidR="00CD6C3B" w:rsidRPr="001568D9" w:rsidRDefault="00CD6C3B" w:rsidP="001568D9">
      <w:pPr>
        <w:spacing w:after="0" w:line="240" w:lineRule="auto"/>
        <w:rPr>
          <w:rFonts w:ascii="Arial" w:eastAsia="Times New Roman" w:hAnsi="Arial" w:cs="Arial"/>
          <w:sz w:val="24"/>
          <w:szCs w:val="24"/>
          <w:lang w:eastAsia="en-GB"/>
        </w:rPr>
      </w:pPr>
    </w:p>
    <w:p w14:paraId="0F8F788A" w14:textId="2E175103" w:rsidR="00CD6C3B" w:rsidRPr="001568D9"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 xml:space="preserve">Users should be able to select multiple data items for analysis. Trend analysis should also be possible. Data items should be clearly labelled and concise. Industry standard geographical mapping software (such as Instant Atlas, ARC GIS) </w:t>
      </w:r>
      <w:r w:rsidR="001568D9">
        <w:rPr>
          <w:rFonts w:ascii="Arial" w:eastAsia="Times New Roman" w:hAnsi="Arial" w:cs="Arial"/>
          <w:sz w:val="24"/>
          <w:szCs w:val="24"/>
          <w:lang w:eastAsia="en-GB"/>
        </w:rPr>
        <w:t>may</w:t>
      </w:r>
      <w:r w:rsidRPr="001568D9">
        <w:rPr>
          <w:rFonts w:ascii="Arial" w:eastAsia="Times New Roman" w:hAnsi="Arial" w:cs="Arial"/>
          <w:sz w:val="24"/>
          <w:szCs w:val="24"/>
          <w:lang w:eastAsia="en-GB"/>
        </w:rPr>
        <w:t xml:space="preserve"> be used to enhance the look and feel of the product and to take advantage of the increase in data items available for geographical analysis. Tables, charts and graphs should also use up to date design styles.</w:t>
      </w:r>
    </w:p>
    <w:p w14:paraId="0E0FF86A" w14:textId="77777777" w:rsidR="00CD6C3B" w:rsidRPr="001568D9" w:rsidRDefault="00CD6C3B" w:rsidP="001568D9">
      <w:pPr>
        <w:spacing w:after="0" w:line="240" w:lineRule="auto"/>
        <w:rPr>
          <w:rFonts w:ascii="Arial" w:eastAsia="Times New Roman" w:hAnsi="Arial" w:cs="Arial"/>
          <w:sz w:val="24"/>
          <w:szCs w:val="24"/>
          <w:lang w:eastAsia="en-GB"/>
        </w:rPr>
      </w:pPr>
    </w:p>
    <w:p w14:paraId="15B9A96A" w14:textId="03EEA9E2" w:rsidR="00CD6C3B" w:rsidRPr="001568D9"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Guidance should be available on every page of the website, via both web functionality (</w:t>
      </w:r>
      <w:r w:rsidR="001568D9">
        <w:rPr>
          <w:rFonts w:ascii="Arial" w:eastAsia="Times New Roman" w:hAnsi="Arial" w:cs="Arial"/>
          <w:sz w:val="24"/>
          <w:szCs w:val="24"/>
          <w:lang w:eastAsia="en-GB"/>
        </w:rPr>
        <w:t xml:space="preserve">such as </w:t>
      </w:r>
      <w:r w:rsidRPr="001568D9">
        <w:rPr>
          <w:rFonts w:ascii="Arial" w:eastAsia="Times New Roman" w:hAnsi="Arial" w:cs="Arial"/>
          <w:sz w:val="24"/>
          <w:szCs w:val="24"/>
          <w:lang w:eastAsia="en-GB"/>
        </w:rPr>
        <w:t>popup boxes) and printable pdf documentation. All web elements should be printable, including maps, charts, tables, graphs.</w:t>
      </w:r>
    </w:p>
    <w:p w14:paraId="0EA5161C" w14:textId="77777777" w:rsidR="00CD6C3B" w:rsidRPr="001568D9" w:rsidRDefault="00CD6C3B" w:rsidP="001568D9">
      <w:pPr>
        <w:spacing w:after="0" w:line="240" w:lineRule="auto"/>
        <w:rPr>
          <w:rFonts w:ascii="Arial" w:eastAsia="Times New Roman" w:hAnsi="Arial" w:cs="Arial"/>
          <w:sz w:val="24"/>
          <w:szCs w:val="24"/>
          <w:lang w:eastAsia="en-GB"/>
        </w:rPr>
      </w:pPr>
    </w:p>
    <w:p w14:paraId="6E4DF866" w14:textId="77777777" w:rsidR="00CD6C3B" w:rsidRPr="001568D9"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Estimated average hits per month - 50,000</w:t>
      </w:r>
    </w:p>
    <w:p w14:paraId="403F6527" w14:textId="5C6E707B" w:rsidR="00CD6C3B" w:rsidRPr="001568D9"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 xml:space="preserve">Estimated number of visitors per month </w:t>
      </w:r>
      <w:r w:rsidR="003F1522">
        <w:rPr>
          <w:rFonts w:ascii="Arial" w:eastAsia="Times New Roman" w:hAnsi="Arial" w:cs="Arial"/>
          <w:sz w:val="24"/>
          <w:szCs w:val="24"/>
          <w:lang w:eastAsia="en-GB"/>
        </w:rPr>
        <w:t>–</w:t>
      </w:r>
      <w:r w:rsidRPr="001568D9">
        <w:rPr>
          <w:rFonts w:ascii="Arial" w:eastAsia="Times New Roman" w:hAnsi="Arial" w:cs="Arial"/>
          <w:sz w:val="24"/>
          <w:szCs w:val="24"/>
          <w:lang w:eastAsia="en-GB"/>
        </w:rPr>
        <w:t xml:space="preserve"> </w:t>
      </w:r>
      <w:r w:rsidR="003F1522">
        <w:rPr>
          <w:rFonts w:ascii="Arial" w:eastAsia="Times New Roman" w:hAnsi="Arial" w:cs="Arial"/>
          <w:sz w:val="24"/>
          <w:szCs w:val="24"/>
          <w:lang w:eastAsia="en-GB"/>
        </w:rPr>
        <w:t>1,6</w:t>
      </w:r>
      <w:r w:rsidRPr="001568D9">
        <w:rPr>
          <w:rFonts w:ascii="Arial" w:eastAsia="Times New Roman" w:hAnsi="Arial" w:cs="Arial"/>
          <w:sz w:val="24"/>
          <w:szCs w:val="24"/>
          <w:lang w:eastAsia="en-GB"/>
        </w:rPr>
        <w:t>00</w:t>
      </w:r>
    </w:p>
    <w:p w14:paraId="5B186BFF" w14:textId="77777777" w:rsidR="00CD6C3B" w:rsidRPr="001568D9"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Estimated number of active restricted users - 1,500</w:t>
      </w:r>
    </w:p>
    <w:p w14:paraId="52F405E1" w14:textId="77777777" w:rsidR="00CD6C3B" w:rsidRPr="001568D9"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Estimated number of occasionally active registered users - 400</w:t>
      </w:r>
    </w:p>
    <w:p w14:paraId="76926652" w14:textId="77777777" w:rsidR="00CD6C3B" w:rsidRPr="001568D9"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Estimated size/capacity of reporting database - 10GB</w:t>
      </w:r>
    </w:p>
    <w:p w14:paraId="696C52F8" w14:textId="77777777" w:rsidR="00CD6C3B" w:rsidRPr="001568D9" w:rsidRDefault="00CD6C3B" w:rsidP="001568D9">
      <w:pPr>
        <w:spacing w:after="0" w:line="240" w:lineRule="auto"/>
        <w:rPr>
          <w:rFonts w:ascii="Arial" w:eastAsia="Times New Roman" w:hAnsi="Arial" w:cs="Arial"/>
          <w:sz w:val="24"/>
          <w:szCs w:val="24"/>
          <w:lang w:eastAsia="en-GB"/>
        </w:rPr>
      </w:pPr>
    </w:p>
    <w:p w14:paraId="7BB7E59B" w14:textId="64AF4761" w:rsidR="00CD6C3B" w:rsidRDefault="00CD6C3B" w:rsidP="001568D9">
      <w:pPr>
        <w:spacing w:after="0" w:line="240" w:lineRule="auto"/>
        <w:rPr>
          <w:rFonts w:ascii="Arial" w:eastAsia="Times New Roman" w:hAnsi="Arial" w:cs="Arial"/>
          <w:b/>
          <w:bCs/>
          <w:sz w:val="24"/>
          <w:szCs w:val="24"/>
          <w:lang w:eastAsia="en-GB"/>
        </w:rPr>
      </w:pPr>
      <w:r w:rsidRPr="00240ADE">
        <w:rPr>
          <w:rFonts w:ascii="Arial" w:eastAsia="Times New Roman" w:hAnsi="Arial" w:cs="Arial"/>
          <w:b/>
          <w:bCs/>
          <w:sz w:val="24"/>
          <w:szCs w:val="24"/>
          <w:lang w:eastAsia="en-GB"/>
        </w:rPr>
        <w:t>Web services break clause</w:t>
      </w:r>
    </w:p>
    <w:p w14:paraId="3352466E" w14:textId="77777777" w:rsidR="00240ADE" w:rsidRPr="00240ADE" w:rsidRDefault="00240ADE" w:rsidP="001568D9">
      <w:pPr>
        <w:spacing w:after="0" w:line="240" w:lineRule="auto"/>
        <w:rPr>
          <w:rFonts w:ascii="Arial" w:eastAsia="Times New Roman" w:hAnsi="Arial" w:cs="Arial"/>
          <w:b/>
          <w:bCs/>
          <w:sz w:val="24"/>
          <w:szCs w:val="24"/>
          <w:lang w:eastAsia="en-GB"/>
        </w:rPr>
      </w:pPr>
    </w:p>
    <w:p w14:paraId="6F859338" w14:textId="58F072A1" w:rsidR="0073378A" w:rsidRDefault="00CD6C3B" w:rsidP="001568D9">
      <w:pPr>
        <w:spacing w:after="0" w:line="240" w:lineRule="auto"/>
        <w:rPr>
          <w:rFonts w:ascii="Arial" w:eastAsia="Times New Roman" w:hAnsi="Arial" w:cs="Arial"/>
          <w:sz w:val="24"/>
          <w:szCs w:val="24"/>
          <w:lang w:eastAsia="en-GB"/>
        </w:rPr>
      </w:pPr>
      <w:r w:rsidRPr="001568D9">
        <w:rPr>
          <w:rFonts w:ascii="Arial" w:eastAsia="Times New Roman" w:hAnsi="Arial" w:cs="Arial"/>
          <w:sz w:val="24"/>
          <w:szCs w:val="24"/>
          <w:lang w:eastAsia="en-GB"/>
        </w:rPr>
        <w:t>The web services component of the contract will be reviewed each year to assess value for money and the likelihood of the Authority undertaking those functions for the remainder of the contract. As such, these components are subject to a break clause to be reviewed at the end of the first and second contract year.</w:t>
      </w:r>
    </w:p>
    <w:p w14:paraId="55720C27" w14:textId="77777777" w:rsidR="00CD6C3B" w:rsidRPr="0073378A" w:rsidRDefault="00CD6C3B" w:rsidP="001568D9">
      <w:pPr>
        <w:spacing w:after="0" w:line="240" w:lineRule="auto"/>
        <w:rPr>
          <w:rFonts w:ascii="Arial" w:eastAsia="Times New Roman" w:hAnsi="Arial" w:cs="Arial"/>
          <w:sz w:val="24"/>
          <w:szCs w:val="24"/>
          <w:lang w:eastAsia="en-GB"/>
        </w:rPr>
      </w:pPr>
    </w:p>
    <w:p w14:paraId="4159ED6A" w14:textId="3E79C8A2" w:rsidR="00E44D32" w:rsidRPr="00667C65"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667C65">
        <w:rPr>
          <w:rFonts w:ascii="Arial" w:hAnsi="Arial" w:cs="Arial"/>
          <w:b/>
          <w:bCs/>
          <w:sz w:val="24"/>
          <w:szCs w:val="24"/>
        </w:rPr>
        <w:t>Deliverables</w:t>
      </w:r>
    </w:p>
    <w:p w14:paraId="337A9EE0" w14:textId="362EA71D" w:rsidR="00170469" w:rsidRDefault="00170469" w:rsidP="0017046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following</w:t>
      </w:r>
      <w:r w:rsidRPr="00170469">
        <w:rPr>
          <w:rFonts w:ascii="Arial" w:eastAsia="Times New Roman" w:hAnsi="Arial" w:cs="Arial"/>
          <w:sz w:val="24"/>
          <w:szCs w:val="24"/>
          <w:lang w:eastAsia="en-GB"/>
        </w:rPr>
        <w:t xml:space="preserve"> </w:t>
      </w:r>
      <w:r>
        <w:rPr>
          <w:rFonts w:ascii="Arial" w:eastAsia="Times New Roman" w:hAnsi="Arial" w:cs="Arial"/>
          <w:sz w:val="24"/>
          <w:szCs w:val="24"/>
          <w:lang w:eastAsia="en-GB"/>
        </w:rPr>
        <w:t>table</w:t>
      </w:r>
      <w:r w:rsidRPr="00170469">
        <w:rPr>
          <w:rFonts w:ascii="Arial" w:eastAsia="Times New Roman" w:hAnsi="Arial" w:cs="Arial"/>
          <w:sz w:val="24"/>
          <w:szCs w:val="24"/>
          <w:lang w:eastAsia="en-GB"/>
        </w:rPr>
        <w:t xml:space="preserve"> relates to the </w:t>
      </w:r>
      <w:r>
        <w:rPr>
          <w:rFonts w:ascii="Arial" w:eastAsia="Times New Roman" w:hAnsi="Arial" w:cs="Arial"/>
          <w:sz w:val="24"/>
          <w:szCs w:val="24"/>
          <w:lang w:eastAsia="en-GB"/>
        </w:rPr>
        <w:t>proposed</w:t>
      </w:r>
      <w:r w:rsidRPr="00170469">
        <w:rPr>
          <w:rFonts w:ascii="Arial" w:eastAsia="Times New Roman" w:hAnsi="Arial" w:cs="Arial"/>
          <w:sz w:val="24"/>
          <w:szCs w:val="24"/>
          <w:lang w:eastAsia="en-GB"/>
        </w:rPr>
        <w:t xml:space="preserve"> list of </w:t>
      </w:r>
      <w:r>
        <w:rPr>
          <w:rFonts w:ascii="Arial" w:eastAsia="Times New Roman" w:hAnsi="Arial" w:cs="Arial"/>
          <w:sz w:val="24"/>
          <w:szCs w:val="24"/>
          <w:lang w:eastAsia="en-GB"/>
        </w:rPr>
        <w:t>provisional monthly statistics</w:t>
      </w:r>
      <w:r w:rsidRPr="00170469">
        <w:rPr>
          <w:rFonts w:ascii="Arial" w:eastAsia="Times New Roman" w:hAnsi="Arial" w:cs="Arial"/>
          <w:sz w:val="24"/>
          <w:szCs w:val="24"/>
          <w:lang w:eastAsia="en-GB"/>
        </w:rPr>
        <w:t xml:space="preserve"> distributed online to a monthly schedule produced by </w:t>
      </w:r>
      <w:r>
        <w:rPr>
          <w:rFonts w:ascii="Arial" w:eastAsia="Times New Roman" w:hAnsi="Arial" w:cs="Arial"/>
          <w:sz w:val="24"/>
          <w:szCs w:val="24"/>
          <w:lang w:eastAsia="en-GB"/>
        </w:rPr>
        <w:t>PHE</w:t>
      </w:r>
      <w:r w:rsidRPr="00170469">
        <w:rPr>
          <w:rFonts w:ascii="Arial" w:eastAsia="Times New Roman" w:hAnsi="Arial" w:cs="Arial"/>
          <w:sz w:val="24"/>
          <w:szCs w:val="24"/>
          <w:lang w:eastAsia="en-GB"/>
        </w:rPr>
        <w:t xml:space="preserve">. Publication dates are </w:t>
      </w:r>
      <w:r>
        <w:rPr>
          <w:rFonts w:ascii="Arial" w:eastAsia="Times New Roman" w:hAnsi="Arial" w:cs="Arial"/>
          <w:sz w:val="24"/>
          <w:szCs w:val="24"/>
          <w:lang w:eastAsia="en-GB"/>
        </w:rPr>
        <w:t>set out in the delivery timescale section of this document along with additional deliverables</w:t>
      </w:r>
      <w:r w:rsidRPr="00170469">
        <w:rPr>
          <w:rFonts w:ascii="Arial" w:eastAsia="Times New Roman" w:hAnsi="Arial" w:cs="Arial"/>
          <w:sz w:val="24"/>
          <w:szCs w:val="24"/>
          <w:lang w:eastAsia="en-GB"/>
        </w:rPr>
        <w:t>.</w:t>
      </w:r>
    </w:p>
    <w:p w14:paraId="75F6D7C3" w14:textId="77777777" w:rsidR="00170469" w:rsidRPr="00170469" w:rsidRDefault="00170469" w:rsidP="00170469">
      <w:pPr>
        <w:spacing w:after="0" w:line="240" w:lineRule="auto"/>
        <w:rPr>
          <w:rFonts w:ascii="Arial" w:eastAsia="Times New Roman" w:hAnsi="Arial" w:cs="Arial"/>
          <w:sz w:val="24"/>
          <w:szCs w:val="24"/>
          <w:lang w:eastAsia="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1745"/>
        <w:gridCol w:w="1430"/>
        <w:gridCol w:w="1592"/>
        <w:gridCol w:w="1570"/>
        <w:gridCol w:w="937"/>
        <w:gridCol w:w="1253"/>
      </w:tblGrid>
      <w:tr w:rsidR="00170469" w:rsidRPr="00170469" w14:paraId="234EAFDC" w14:textId="77777777" w:rsidTr="00170469">
        <w:tc>
          <w:tcPr>
            <w:tcW w:w="399" w:type="dxa"/>
            <w:shd w:val="clear" w:color="auto" w:fill="auto"/>
          </w:tcPr>
          <w:p w14:paraId="7D5EBE02" w14:textId="77777777" w:rsidR="00170469" w:rsidRPr="00170469" w:rsidRDefault="00170469" w:rsidP="0052703E">
            <w:pPr>
              <w:rPr>
                <w:rFonts w:ascii="Arial" w:hAnsi="Arial" w:cs="Arial"/>
                <w:b/>
                <w:sz w:val="24"/>
                <w:szCs w:val="24"/>
              </w:rPr>
            </w:pPr>
          </w:p>
        </w:tc>
        <w:tc>
          <w:tcPr>
            <w:tcW w:w="1745" w:type="dxa"/>
            <w:shd w:val="clear" w:color="auto" w:fill="auto"/>
          </w:tcPr>
          <w:p w14:paraId="36AC551A" w14:textId="77777777" w:rsidR="00170469" w:rsidRPr="00170469" w:rsidRDefault="00170469" w:rsidP="0052703E">
            <w:pPr>
              <w:rPr>
                <w:rFonts w:ascii="Arial" w:hAnsi="Arial" w:cs="Arial"/>
                <w:b/>
                <w:sz w:val="24"/>
                <w:szCs w:val="24"/>
              </w:rPr>
            </w:pPr>
            <w:r w:rsidRPr="00170469">
              <w:rPr>
                <w:rFonts w:ascii="Arial" w:hAnsi="Arial" w:cs="Arial"/>
                <w:b/>
                <w:sz w:val="24"/>
                <w:szCs w:val="24"/>
              </w:rPr>
              <w:t>Indicator</w:t>
            </w:r>
          </w:p>
        </w:tc>
        <w:tc>
          <w:tcPr>
            <w:tcW w:w="1430" w:type="dxa"/>
            <w:shd w:val="clear" w:color="auto" w:fill="auto"/>
          </w:tcPr>
          <w:p w14:paraId="0C49A263" w14:textId="77777777" w:rsidR="00170469" w:rsidRPr="00170469" w:rsidRDefault="00170469" w:rsidP="0052703E">
            <w:pPr>
              <w:rPr>
                <w:rFonts w:ascii="Arial" w:hAnsi="Arial" w:cs="Arial"/>
                <w:b/>
                <w:sz w:val="24"/>
                <w:szCs w:val="24"/>
              </w:rPr>
            </w:pPr>
            <w:r w:rsidRPr="00170469">
              <w:rPr>
                <w:rFonts w:ascii="Arial" w:hAnsi="Arial" w:cs="Arial"/>
                <w:b/>
                <w:sz w:val="24"/>
                <w:szCs w:val="24"/>
              </w:rPr>
              <w:t>Frequency</w:t>
            </w:r>
          </w:p>
        </w:tc>
        <w:tc>
          <w:tcPr>
            <w:tcW w:w="1592" w:type="dxa"/>
            <w:shd w:val="clear" w:color="auto" w:fill="auto"/>
          </w:tcPr>
          <w:p w14:paraId="7FE75E91" w14:textId="77777777" w:rsidR="00170469" w:rsidRPr="00170469" w:rsidRDefault="00170469" w:rsidP="0052703E">
            <w:pPr>
              <w:rPr>
                <w:rFonts w:ascii="Arial" w:hAnsi="Arial" w:cs="Arial"/>
                <w:b/>
                <w:sz w:val="24"/>
                <w:szCs w:val="24"/>
              </w:rPr>
            </w:pPr>
            <w:r w:rsidRPr="00170469">
              <w:rPr>
                <w:rFonts w:ascii="Arial" w:hAnsi="Arial" w:cs="Arial"/>
                <w:b/>
                <w:sz w:val="24"/>
                <w:szCs w:val="24"/>
              </w:rPr>
              <w:t>Report level</w:t>
            </w:r>
          </w:p>
        </w:tc>
        <w:tc>
          <w:tcPr>
            <w:tcW w:w="1570" w:type="dxa"/>
            <w:shd w:val="clear" w:color="auto" w:fill="auto"/>
          </w:tcPr>
          <w:p w14:paraId="6A23E020" w14:textId="77777777" w:rsidR="00170469" w:rsidRPr="00170469" w:rsidRDefault="00170469" w:rsidP="0052703E">
            <w:pPr>
              <w:rPr>
                <w:rFonts w:ascii="Arial" w:hAnsi="Arial" w:cs="Arial"/>
                <w:b/>
                <w:sz w:val="24"/>
                <w:szCs w:val="24"/>
              </w:rPr>
            </w:pPr>
            <w:r w:rsidRPr="00170469">
              <w:rPr>
                <w:rFonts w:ascii="Arial" w:hAnsi="Arial" w:cs="Arial"/>
                <w:b/>
                <w:sz w:val="24"/>
                <w:szCs w:val="24"/>
              </w:rPr>
              <w:t>Substance group</w:t>
            </w:r>
          </w:p>
        </w:tc>
        <w:tc>
          <w:tcPr>
            <w:tcW w:w="937" w:type="dxa"/>
            <w:shd w:val="clear" w:color="auto" w:fill="auto"/>
          </w:tcPr>
          <w:p w14:paraId="7D5A2AC6" w14:textId="77777777" w:rsidR="00170469" w:rsidRPr="00170469" w:rsidRDefault="00170469" w:rsidP="0052703E">
            <w:pPr>
              <w:rPr>
                <w:rFonts w:ascii="Arial" w:hAnsi="Arial" w:cs="Arial"/>
                <w:b/>
                <w:sz w:val="24"/>
                <w:szCs w:val="24"/>
              </w:rPr>
            </w:pPr>
            <w:r w:rsidRPr="00170469">
              <w:rPr>
                <w:rFonts w:ascii="Arial" w:hAnsi="Arial" w:cs="Arial"/>
                <w:b/>
                <w:sz w:val="24"/>
                <w:szCs w:val="24"/>
              </w:rPr>
              <w:t>Age</w:t>
            </w:r>
          </w:p>
        </w:tc>
        <w:tc>
          <w:tcPr>
            <w:tcW w:w="1253" w:type="dxa"/>
            <w:shd w:val="clear" w:color="auto" w:fill="auto"/>
          </w:tcPr>
          <w:p w14:paraId="0727F780" w14:textId="77777777" w:rsidR="00170469" w:rsidRPr="00170469" w:rsidRDefault="00170469" w:rsidP="0052703E">
            <w:pPr>
              <w:rPr>
                <w:rFonts w:ascii="Arial" w:hAnsi="Arial" w:cs="Arial"/>
                <w:b/>
                <w:sz w:val="24"/>
                <w:szCs w:val="24"/>
              </w:rPr>
            </w:pPr>
            <w:r w:rsidRPr="00170469">
              <w:rPr>
                <w:rFonts w:ascii="Arial" w:hAnsi="Arial" w:cs="Arial"/>
                <w:b/>
                <w:sz w:val="24"/>
                <w:szCs w:val="24"/>
              </w:rPr>
              <w:t>Period</w:t>
            </w:r>
          </w:p>
        </w:tc>
      </w:tr>
      <w:tr w:rsidR="00170469" w:rsidRPr="00170469" w14:paraId="0950B2A1" w14:textId="77777777" w:rsidTr="00170469">
        <w:tc>
          <w:tcPr>
            <w:tcW w:w="399" w:type="dxa"/>
            <w:vMerge w:val="restart"/>
            <w:shd w:val="clear" w:color="auto" w:fill="auto"/>
          </w:tcPr>
          <w:p w14:paraId="1CBD53E8" w14:textId="77777777" w:rsidR="00170469" w:rsidRPr="00170469" w:rsidRDefault="00170469" w:rsidP="0052703E">
            <w:pPr>
              <w:rPr>
                <w:rFonts w:ascii="Arial" w:hAnsi="Arial" w:cs="Arial"/>
                <w:sz w:val="24"/>
                <w:szCs w:val="24"/>
              </w:rPr>
            </w:pPr>
            <w:r w:rsidRPr="00170469">
              <w:rPr>
                <w:rFonts w:ascii="Arial" w:hAnsi="Arial" w:cs="Arial"/>
                <w:sz w:val="24"/>
                <w:szCs w:val="24"/>
              </w:rPr>
              <w:t>1</w:t>
            </w:r>
          </w:p>
        </w:tc>
        <w:tc>
          <w:tcPr>
            <w:tcW w:w="1745" w:type="dxa"/>
            <w:vMerge w:val="restart"/>
            <w:shd w:val="clear" w:color="auto" w:fill="auto"/>
          </w:tcPr>
          <w:p w14:paraId="26489B9D" w14:textId="156E1C4A" w:rsidR="00170469" w:rsidRPr="00170469" w:rsidRDefault="00170469" w:rsidP="0052703E">
            <w:pPr>
              <w:rPr>
                <w:rFonts w:ascii="Arial" w:hAnsi="Arial" w:cs="Arial"/>
                <w:sz w:val="24"/>
                <w:szCs w:val="24"/>
              </w:rPr>
            </w:pPr>
            <w:r>
              <w:rPr>
                <w:rFonts w:ascii="Arial" w:hAnsi="Arial" w:cs="Arial"/>
                <w:sz w:val="24"/>
                <w:szCs w:val="24"/>
              </w:rPr>
              <w:t>Adults</w:t>
            </w:r>
            <w:r w:rsidRPr="00170469">
              <w:rPr>
                <w:rFonts w:ascii="Arial" w:hAnsi="Arial" w:cs="Arial"/>
                <w:sz w:val="24"/>
                <w:szCs w:val="24"/>
              </w:rPr>
              <w:t xml:space="preserve"> in effective treatment</w:t>
            </w:r>
          </w:p>
          <w:p w14:paraId="4A868F94" w14:textId="77777777" w:rsidR="00170469" w:rsidRPr="00170469" w:rsidRDefault="00170469" w:rsidP="0052703E">
            <w:pPr>
              <w:rPr>
                <w:rFonts w:ascii="Arial" w:hAnsi="Arial" w:cs="Arial"/>
                <w:sz w:val="24"/>
                <w:szCs w:val="24"/>
              </w:rPr>
            </w:pPr>
            <w:r w:rsidRPr="00170469">
              <w:rPr>
                <w:rFonts w:ascii="Arial" w:hAnsi="Arial" w:cs="Arial"/>
                <w:sz w:val="24"/>
                <w:szCs w:val="24"/>
              </w:rPr>
              <w:lastRenderedPageBreak/>
              <w:t>(12 data items and 4 reports in total)</w:t>
            </w:r>
          </w:p>
        </w:tc>
        <w:tc>
          <w:tcPr>
            <w:tcW w:w="1430" w:type="dxa"/>
            <w:vMerge w:val="restart"/>
            <w:shd w:val="clear" w:color="auto" w:fill="auto"/>
          </w:tcPr>
          <w:p w14:paraId="273F0DCA" w14:textId="77777777" w:rsidR="00170469" w:rsidRPr="00170469" w:rsidRDefault="00170469" w:rsidP="0052703E">
            <w:pPr>
              <w:rPr>
                <w:rFonts w:ascii="Arial" w:hAnsi="Arial" w:cs="Arial"/>
                <w:sz w:val="24"/>
                <w:szCs w:val="24"/>
              </w:rPr>
            </w:pPr>
            <w:r w:rsidRPr="00170469">
              <w:rPr>
                <w:rFonts w:ascii="Arial" w:hAnsi="Arial" w:cs="Arial"/>
                <w:sz w:val="24"/>
                <w:szCs w:val="24"/>
              </w:rPr>
              <w:lastRenderedPageBreak/>
              <w:t>Monthly</w:t>
            </w:r>
          </w:p>
        </w:tc>
        <w:tc>
          <w:tcPr>
            <w:tcW w:w="1592" w:type="dxa"/>
            <w:shd w:val="clear" w:color="auto" w:fill="auto"/>
          </w:tcPr>
          <w:p w14:paraId="3900BCE0" w14:textId="77777777" w:rsidR="00170469" w:rsidRPr="00170469" w:rsidRDefault="00170469" w:rsidP="0052703E">
            <w:pPr>
              <w:rPr>
                <w:rFonts w:ascii="Arial" w:hAnsi="Arial" w:cs="Arial"/>
                <w:sz w:val="24"/>
                <w:szCs w:val="24"/>
              </w:rPr>
            </w:pPr>
            <w:r w:rsidRPr="00170469">
              <w:rPr>
                <w:rFonts w:ascii="Arial" w:hAnsi="Arial" w:cs="Arial"/>
                <w:sz w:val="24"/>
                <w:szCs w:val="24"/>
              </w:rPr>
              <w:t>Provider</w:t>
            </w:r>
          </w:p>
        </w:tc>
        <w:tc>
          <w:tcPr>
            <w:tcW w:w="1570" w:type="dxa"/>
            <w:shd w:val="clear" w:color="auto" w:fill="auto"/>
          </w:tcPr>
          <w:p w14:paraId="6C5AA395" w14:textId="77777777" w:rsidR="00170469" w:rsidRPr="00170469" w:rsidRDefault="00170469" w:rsidP="0052703E">
            <w:pPr>
              <w:rPr>
                <w:rFonts w:ascii="Arial" w:hAnsi="Arial" w:cs="Arial"/>
                <w:sz w:val="24"/>
                <w:szCs w:val="24"/>
              </w:rPr>
            </w:pPr>
            <w:r w:rsidRPr="00170469">
              <w:rPr>
                <w:rFonts w:ascii="Arial" w:hAnsi="Arial" w:cs="Arial"/>
                <w:sz w:val="24"/>
                <w:szCs w:val="24"/>
              </w:rPr>
              <w:t>Opiate</w:t>
            </w:r>
          </w:p>
        </w:tc>
        <w:tc>
          <w:tcPr>
            <w:tcW w:w="937" w:type="dxa"/>
            <w:vMerge w:val="restart"/>
            <w:shd w:val="clear" w:color="auto" w:fill="auto"/>
          </w:tcPr>
          <w:p w14:paraId="6C426C89" w14:textId="77777777" w:rsidR="00170469" w:rsidRPr="00170469" w:rsidRDefault="00170469" w:rsidP="0052703E">
            <w:pPr>
              <w:rPr>
                <w:rFonts w:ascii="Arial" w:hAnsi="Arial" w:cs="Arial"/>
                <w:sz w:val="24"/>
                <w:szCs w:val="24"/>
              </w:rPr>
            </w:pPr>
            <w:r w:rsidRPr="00170469">
              <w:rPr>
                <w:rFonts w:ascii="Arial" w:hAnsi="Arial" w:cs="Arial"/>
                <w:sz w:val="24"/>
                <w:szCs w:val="24"/>
              </w:rPr>
              <w:t>18 and over</w:t>
            </w:r>
          </w:p>
        </w:tc>
        <w:tc>
          <w:tcPr>
            <w:tcW w:w="1253" w:type="dxa"/>
            <w:vMerge w:val="restart"/>
            <w:shd w:val="clear" w:color="auto" w:fill="auto"/>
          </w:tcPr>
          <w:p w14:paraId="4B4AA2B4" w14:textId="77777777" w:rsidR="00170469" w:rsidRPr="00170469" w:rsidRDefault="00170469" w:rsidP="0052703E">
            <w:pPr>
              <w:rPr>
                <w:rFonts w:ascii="Arial" w:hAnsi="Arial" w:cs="Arial"/>
                <w:sz w:val="24"/>
                <w:szCs w:val="24"/>
              </w:rPr>
            </w:pPr>
            <w:r w:rsidRPr="00170469">
              <w:rPr>
                <w:rFonts w:ascii="Arial" w:hAnsi="Arial" w:cs="Arial"/>
                <w:sz w:val="24"/>
                <w:szCs w:val="24"/>
              </w:rPr>
              <w:t>Rolling 12 months</w:t>
            </w:r>
          </w:p>
        </w:tc>
      </w:tr>
      <w:tr w:rsidR="00170469" w:rsidRPr="00170469" w14:paraId="5CFB62E1" w14:textId="77777777" w:rsidTr="00170469">
        <w:tc>
          <w:tcPr>
            <w:tcW w:w="399" w:type="dxa"/>
            <w:vMerge/>
            <w:shd w:val="clear" w:color="auto" w:fill="auto"/>
          </w:tcPr>
          <w:p w14:paraId="77E178CA" w14:textId="77777777" w:rsidR="00170469" w:rsidRPr="00170469" w:rsidRDefault="00170469" w:rsidP="0052703E">
            <w:pPr>
              <w:rPr>
                <w:rFonts w:ascii="Arial" w:hAnsi="Arial" w:cs="Arial"/>
                <w:sz w:val="24"/>
                <w:szCs w:val="24"/>
              </w:rPr>
            </w:pPr>
          </w:p>
        </w:tc>
        <w:tc>
          <w:tcPr>
            <w:tcW w:w="1745" w:type="dxa"/>
            <w:vMerge/>
            <w:shd w:val="clear" w:color="auto" w:fill="auto"/>
          </w:tcPr>
          <w:p w14:paraId="1FE3E754" w14:textId="77777777" w:rsidR="00170469" w:rsidRPr="00170469" w:rsidRDefault="00170469" w:rsidP="0052703E">
            <w:pPr>
              <w:rPr>
                <w:rFonts w:ascii="Arial" w:hAnsi="Arial" w:cs="Arial"/>
                <w:sz w:val="24"/>
                <w:szCs w:val="24"/>
              </w:rPr>
            </w:pPr>
          </w:p>
        </w:tc>
        <w:tc>
          <w:tcPr>
            <w:tcW w:w="1430" w:type="dxa"/>
            <w:vMerge/>
            <w:shd w:val="clear" w:color="auto" w:fill="auto"/>
          </w:tcPr>
          <w:p w14:paraId="052E446E" w14:textId="77777777" w:rsidR="00170469" w:rsidRPr="00170469" w:rsidRDefault="00170469" w:rsidP="0052703E">
            <w:pPr>
              <w:rPr>
                <w:rFonts w:ascii="Arial" w:hAnsi="Arial" w:cs="Arial"/>
                <w:sz w:val="24"/>
                <w:szCs w:val="24"/>
              </w:rPr>
            </w:pPr>
          </w:p>
        </w:tc>
        <w:tc>
          <w:tcPr>
            <w:tcW w:w="1592" w:type="dxa"/>
            <w:shd w:val="clear" w:color="auto" w:fill="auto"/>
          </w:tcPr>
          <w:p w14:paraId="5B03EB4E" w14:textId="77777777" w:rsidR="00170469" w:rsidRPr="00170469" w:rsidRDefault="00170469" w:rsidP="0052703E">
            <w:pPr>
              <w:rPr>
                <w:rFonts w:ascii="Arial" w:hAnsi="Arial" w:cs="Arial"/>
                <w:sz w:val="24"/>
                <w:szCs w:val="24"/>
              </w:rPr>
            </w:pPr>
            <w:r w:rsidRPr="00170469">
              <w:rPr>
                <w:rFonts w:ascii="Arial" w:hAnsi="Arial" w:cs="Arial"/>
                <w:sz w:val="24"/>
                <w:szCs w:val="24"/>
              </w:rPr>
              <w:t>Partnership</w:t>
            </w:r>
          </w:p>
        </w:tc>
        <w:tc>
          <w:tcPr>
            <w:tcW w:w="1570" w:type="dxa"/>
            <w:shd w:val="clear" w:color="auto" w:fill="auto"/>
          </w:tcPr>
          <w:p w14:paraId="4066E3C8" w14:textId="77777777" w:rsidR="00170469" w:rsidRPr="00170469" w:rsidRDefault="00170469" w:rsidP="0052703E">
            <w:pPr>
              <w:rPr>
                <w:rFonts w:ascii="Arial" w:hAnsi="Arial" w:cs="Arial"/>
                <w:sz w:val="24"/>
                <w:szCs w:val="24"/>
              </w:rPr>
            </w:pPr>
            <w:r w:rsidRPr="00170469">
              <w:rPr>
                <w:rFonts w:ascii="Arial" w:hAnsi="Arial" w:cs="Arial"/>
                <w:sz w:val="24"/>
                <w:szCs w:val="24"/>
              </w:rPr>
              <w:t>Non-opiate only</w:t>
            </w:r>
          </w:p>
        </w:tc>
        <w:tc>
          <w:tcPr>
            <w:tcW w:w="937" w:type="dxa"/>
            <w:vMerge/>
            <w:shd w:val="clear" w:color="auto" w:fill="auto"/>
          </w:tcPr>
          <w:p w14:paraId="463D3E55" w14:textId="77777777" w:rsidR="00170469" w:rsidRPr="00170469" w:rsidRDefault="00170469" w:rsidP="0052703E">
            <w:pPr>
              <w:rPr>
                <w:rFonts w:ascii="Arial" w:hAnsi="Arial" w:cs="Arial"/>
                <w:sz w:val="24"/>
                <w:szCs w:val="24"/>
              </w:rPr>
            </w:pPr>
          </w:p>
        </w:tc>
        <w:tc>
          <w:tcPr>
            <w:tcW w:w="1253" w:type="dxa"/>
            <w:vMerge/>
            <w:shd w:val="clear" w:color="auto" w:fill="auto"/>
          </w:tcPr>
          <w:p w14:paraId="368D1214" w14:textId="77777777" w:rsidR="00170469" w:rsidRPr="00170469" w:rsidRDefault="00170469" w:rsidP="0052703E">
            <w:pPr>
              <w:rPr>
                <w:rFonts w:ascii="Arial" w:hAnsi="Arial" w:cs="Arial"/>
                <w:sz w:val="24"/>
                <w:szCs w:val="24"/>
              </w:rPr>
            </w:pPr>
          </w:p>
        </w:tc>
      </w:tr>
      <w:tr w:rsidR="00170469" w:rsidRPr="00170469" w14:paraId="7414EEC0" w14:textId="77777777" w:rsidTr="00170469">
        <w:tc>
          <w:tcPr>
            <w:tcW w:w="399" w:type="dxa"/>
            <w:vMerge/>
            <w:shd w:val="clear" w:color="auto" w:fill="auto"/>
          </w:tcPr>
          <w:p w14:paraId="330D34DF" w14:textId="77777777" w:rsidR="00170469" w:rsidRPr="00170469" w:rsidRDefault="00170469" w:rsidP="0052703E">
            <w:pPr>
              <w:rPr>
                <w:rFonts w:ascii="Arial" w:hAnsi="Arial" w:cs="Arial"/>
                <w:sz w:val="24"/>
                <w:szCs w:val="24"/>
              </w:rPr>
            </w:pPr>
          </w:p>
        </w:tc>
        <w:tc>
          <w:tcPr>
            <w:tcW w:w="1745" w:type="dxa"/>
            <w:vMerge/>
            <w:shd w:val="clear" w:color="auto" w:fill="auto"/>
          </w:tcPr>
          <w:p w14:paraId="1CB20E67" w14:textId="77777777" w:rsidR="00170469" w:rsidRPr="00170469" w:rsidRDefault="00170469" w:rsidP="0052703E">
            <w:pPr>
              <w:rPr>
                <w:rFonts w:ascii="Arial" w:hAnsi="Arial" w:cs="Arial"/>
                <w:sz w:val="24"/>
                <w:szCs w:val="24"/>
              </w:rPr>
            </w:pPr>
          </w:p>
        </w:tc>
        <w:tc>
          <w:tcPr>
            <w:tcW w:w="1430" w:type="dxa"/>
            <w:vMerge/>
            <w:shd w:val="clear" w:color="auto" w:fill="auto"/>
          </w:tcPr>
          <w:p w14:paraId="75DF5284" w14:textId="77777777" w:rsidR="00170469" w:rsidRPr="00170469" w:rsidRDefault="00170469" w:rsidP="0052703E">
            <w:pPr>
              <w:rPr>
                <w:rFonts w:ascii="Arial" w:hAnsi="Arial" w:cs="Arial"/>
                <w:sz w:val="24"/>
                <w:szCs w:val="24"/>
              </w:rPr>
            </w:pPr>
          </w:p>
        </w:tc>
        <w:tc>
          <w:tcPr>
            <w:tcW w:w="1592" w:type="dxa"/>
            <w:shd w:val="clear" w:color="auto" w:fill="auto"/>
          </w:tcPr>
          <w:p w14:paraId="136D8EA3" w14:textId="6E510F93" w:rsidR="00170469" w:rsidRPr="00170469" w:rsidRDefault="00170469" w:rsidP="0052703E">
            <w:pPr>
              <w:rPr>
                <w:rFonts w:ascii="Arial" w:hAnsi="Arial" w:cs="Arial"/>
                <w:sz w:val="24"/>
                <w:szCs w:val="24"/>
              </w:rPr>
            </w:pPr>
            <w:r>
              <w:rPr>
                <w:rFonts w:ascii="Arial" w:hAnsi="Arial" w:cs="Arial"/>
                <w:sz w:val="24"/>
                <w:szCs w:val="24"/>
              </w:rPr>
              <w:t>PHE</w:t>
            </w:r>
            <w:r w:rsidRPr="00170469">
              <w:rPr>
                <w:rFonts w:ascii="Arial" w:hAnsi="Arial" w:cs="Arial"/>
                <w:sz w:val="24"/>
                <w:szCs w:val="24"/>
              </w:rPr>
              <w:t xml:space="preserve"> Centre</w:t>
            </w:r>
          </w:p>
        </w:tc>
        <w:tc>
          <w:tcPr>
            <w:tcW w:w="1570" w:type="dxa"/>
            <w:vMerge w:val="restart"/>
            <w:shd w:val="clear" w:color="auto" w:fill="auto"/>
          </w:tcPr>
          <w:p w14:paraId="6D05C047" w14:textId="77777777" w:rsidR="00170469" w:rsidRPr="00170469" w:rsidRDefault="00170469" w:rsidP="0052703E">
            <w:pPr>
              <w:rPr>
                <w:rFonts w:ascii="Arial" w:hAnsi="Arial" w:cs="Arial"/>
                <w:sz w:val="24"/>
                <w:szCs w:val="24"/>
              </w:rPr>
            </w:pPr>
            <w:r w:rsidRPr="00170469">
              <w:rPr>
                <w:rFonts w:ascii="Arial" w:hAnsi="Arial" w:cs="Arial"/>
                <w:sz w:val="24"/>
                <w:szCs w:val="24"/>
              </w:rPr>
              <w:t>Non-opiate and alcohol</w:t>
            </w:r>
          </w:p>
        </w:tc>
        <w:tc>
          <w:tcPr>
            <w:tcW w:w="937" w:type="dxa"/>
            <w:vMerge/>
            <w:shd w:val="clear" w:color="auto" w:fill="auto"/>
          </w:tcPr>
          <w:p w14:paraId="10AE656C" w14:textId="77777777" w:rsidR="00170469" w:rsidRPr="00170469" w:rsidRDefault="00170469" w:rsidP="0052703E">
            <w:pPr>
              <w:rPr>
                <w:rFonts w:ascii="Arial" w:hAnsi="Arial" w:cs="Arial"/>
                <w:sz w:val="24"/>
                <w:szCs w:val="24"/>
              </w:rPr>
            </w:pPr>
          </w:p>
        </w:tc>
        <w:tc>
          <w:tcPr>
            <w:tcW w:w="1253" w:type="dxa"/>
            <w:vMerge/>
            <w:shd w:val="clear" w:color="auto" w:fill="auto"/>
          </w:tcPr>
          <w:p w14:paraId="0D759D01" w14:textId="77777777" w:rsidR="00170469" w:rsidRPr="00170469" w:rsidRDefault="00170469" w:rsidP="0052703E">
            <w:pPr>
              <w:rPr>
                <w:rFonts w:ascii="Arial" w:hAnsi="Arial" w:cs="Arial"/>
                <w:sz w:val="24"/>
                <w:szCs w:val="24"/>
              </w:rPr>
            </w:pPr>
          </w:p>
        </w:tc>
      </w:tr>
      <w:tr w:rsidR="00170469" w:rsidRPr="00170469" w14:paraId="111C2F86" w14:textId="77777777" w:rsidTr="00170469">
        <w:tc>
          <w:tcPr>
            <w:tcW w:w="399" w:type="dxa"/>
            <w:vMerge/>
            <w:shd w:val="clear" w:color="auto" w:fill="auto"/>
          </w:tcPr>
          <w:p w14:paraId="62182F36" w14:textId="77777777" w:rsidR="00170469" w:rsidRPr="00170469" w:rsidRDefault="00170469" w:rsidP="0052703E">
            <w:pPr>
              <w:rPr>
                <w:rFonts w:ascii="Arial" w:hAnsi="Arial" w:cs="Arial"/>
                <w:sz w:val="24"/>
                <w:szCs w:val="24"/>
              </w:rPr>
            </w:pPr>
          </w:p>
        </w:tc>
        <w:tc>
          <w:tcPr>
            <w:tcW w:w="1745" w:type="dxa"/>
            <w:vMerge/>
            <w:shd w:val="clear" w:color="auto" w:fill="auto"/>
          </w:tcPr>
          <w:p w14:paraId="54D8275F" w14:textId="77777777" w:rsidR="00170469" w:rsidRPr="00170469" w:rsidRDefault="00170469" w:rsidP="0052703E">
            <w:pPr>
              <w:rPr>
                <w:rFonts w:ascii="Arial" w:hAnsi="Arial" w:cs="Arial"/>
                <w:sz w:val="24"/>
                <w:szCs w:val="24"/>
              </w:rPr>
            </w:pPr>
          </w:p>
        </w:tc>
        <w:tc>
          <w:tcPr>
            <w:tcW w:w="1430" w:type="dxa"/>
            <w:vMerge/>
            <w:shd w:val="clear" w:color="auto" w:fill="auto"/>
          </w:tcPr>
          <w:p w14:paraId="036B51EA" w14:textId="77777777" w:rsidR="00170469" w:rsidRPr="00170469" w:rsidRDefault="00170469" w:rsidP="0052703E">
            <w:pPr>
              <w:rPr>
                <w:rFonts w:ascii="Arial" w:hAnsi="Arial" w:cs="Arial"/>
                <w:sz w:val="24"/>
                <w:szCs w:val="24"/>
              </w:rPr>
            </w:pPr>
          </w:p>
        </w:tc>
        <w:tc>
          <w:tcPr>
            <w:tcW w:w="1592" w:type="dxa"/>
            <w:shd w:val="clear" w:color="auto" w:fill="auto"/>
          </w:tcPr>
          <w:p w14:paraId="47322EC9" w14:textId="77777777" w:rsidR="00170469" w:rsidRPr="00170469" w:rsidRDefault="00170469" w:rsidP="0052703E">
            <w:pPr>
              <w:rPr>
                <w:rFonts w:ascii="Arial" w:hAnsi="Arial" w:cs="Arial"/>
                <w:sz w:val="24"/>
                <w:szCs w:val="24"/>
              </w:rPr>
            </w:pPr>
            <w:r w:rsidRPr="00170469">
              <w:rPr>
                <w:rFonts w:ascii="Arial" w:hAnsi="Arial" w:cs="Arial"/>
                <w:sz w:val="24"/>
                <w:szCs w:val="24"/>
              </w:rPr>
              <w:t>National</w:t>
            </w:r>
          </w:p>
        </w:tc>
        <w:tc>
          <w:tcPr>
            <w:tcW w:w="1570" w:type="dxa"/>
            <w:vMerge/>
            <w:shd w:val="clear" w:color="auto" w:fill="auto"/>
          </w:tcPr>
          <w:p w14:paraId="6B39B85F" w14:textId="77777777" w:rsidR="00170469" w:rsidRPr="00170469" w:rsidRDefault="00170469" w:rsidP="0052703E">
            <w:pPr>
              <w:rPr>
                <w:rFonts w:ascii="Arial" w:hAnsi="Arial" w:cs="Arial"/>
                <w:sz w:val="24"/>
                <w:szCs w:val="24"/>
              </w:rPr>
            </w:pPr>
          </w:p>
        </w:tc>
        <w:tc>
          <w:tcPr>
            <w:tcW w:w="937" w:type="dxa"/>
            <w:vMerge/>
            <w:shd w:val="clear" w:color="auto" w:fill="auto"/>
          </w:tcPr>
          <w:p w14:paraId="20630F2C" w14:textId="77777777" w:rsidR="00170469" w:rsidRPr="00170469" w:rsidRDefault="00170469" w:rsidP="0052703E">
            <w:pPr>
              <w:rPr>
                <w:rFonts w:ascii="Arial" w:hAnsi="Arial" w:cs="Arial"/>
                <w:sz w:val="24"/>
                <w:szCs w:val="24"/>
              </w:rPr>
            </w:pPr>
          </w:p>
        </w:tc>
        <w:tc>
          <w:tcPr>
            <w:tcW w:w="1253" w:type="dxa"/>
            <w:vMerge/>
            <w:shd w:val="clear" w:color="auto" w:fill="auto"/>
          </w:tcPr>
          <w:p w14:paraId="1349CBCD" w14:textId="77777777" w:rsidR="00170469" w:rsidRPr="00170469" w:rsidRDefault="00170469" w:rsidP="0052703E">
            <w:pPr>
              <w:rPr>
                <w:rFonts w:ascii="Arial" w:hAnsi="Arial" w:cs="Arial"/>
                <w:sz w:val="24"/>
                <w:szCs w:val="24"/>
              </w:rPr>
            </w:pPr>
          </w:p>
        </w:tc>
      </w:tr>
      <w:tr w:rsidR="00170469" w:rsidRPr="00170469" w14:paraId="5D7100C8" w14:textId="77777777" w:rsidTr="00170469">
        <w:tc>
          <w:tcPr>
            <w:tcW w:w="399" w:type="dxa"/>
            <w:vMerge w:val="restart"/>
            <w:shd w:val="clear" w:color="auto" w:fill="auto"/>
          </w:tcPr>
          <w:p w14:paraId="0157D611" w14:textId="77777777" w:rsidR="00170469" w:rsidRPr="00170469" w:rsidRDefault="00170469" w:rsidP="0052703E">
            <w:pPr>
              <w:rPr>
                <w:rFonts w:ascii="Arial" w:hAnsi="Arial" w:cs="Arial"/>
                <w:sz w:val="24"/>
                <w:szCs w:val="24"/>
              </w:rPr>
            </w:pPr>
            <w:r w:rsidRPr="00170469">
              <w:rPr>
                <w:rFonts w:ascii="Arial" w:hAnsi="Arial" w:cs="Arial"/>
                <w:sz w:val="24"/>
                <w:szCs w:val="24"/>
              </w:rPr>
              <w:t>2</w:t>
            </w:r>
          </w:p>
        </w:tc>
        <w:tc>
          <w:tcPr>
            <w:tcW w:w="1745" w:type="dxa"/>
            <w:vMerge w:val="restart"/>
            <w:shd w:val="clear" w:color="auto" w:fill="auto"/>
          </w:tcPr>
          <w:p w14:paraId="21BBE800" w14:textId="7470562E" w:rsidR="00170469" w:rsidRPr="00170469" w:rsidRDefault="00170469" w:rsidP="0052703E">
            <w:pPr>
              <w:rPr>
                <w:rFonts w:ascii="Arial" w:hAnsi="Arial" w:cs="Arial"/>
                <w:sz w:val="24"/>
                <w:szCs w:val="24"/>
              </w:rPr>
            </w:pPr>
            <w:r>
              <w:rPr>
                <w:rFonts w:ascii="Arial" w:hAnsi="Arial" w:cs="Arial"/>
                <w:sz w:val="24"/>
                <w:szCs w:val="24"/>
              </w:rPr>
              <w:t>Adults</w:t>
            </w:r>
            <w:r w:rsidRPr="00170469">
              <w:rPr>
                <w:rFonts w:ascii="Arial" w:hAnsi="Arial" w:cs="Arial"/>
                <w:sz w:val="24"/>
                <w:szCs w:val="24"/>
              </w:rPr>
              <w:t xml:space="preserve"> in treatment</w:t>
            </w:r>
          </w:p>
          <w:p w14:paraId="40C006B7" w14:textId="77777777" w:rsidR="00170469" w:rsidRPr="00170469" w:rsidRDefault="00170469" w:rsidP="0052703E">
            <w:pPr>
              <w:rPr>
                <w:rFonts w:ascii="Arial" w:hAnsi="Arial" w:cs="Arial"/>
                <w:sz w:val="24"/>
                <w:szCs w:val="24"/>
              </w:rPr>
            </w:pPr>
            <w:r w:rsidRPr="00170469">
              <w:rPr>
                <w:rFonts w:ascii="Arial" w:hAnsi="Arial" w:cs="Arial"/>
                <w:sz w:val="24"/>
                <w:szCs w:val="24"/>
              </w:rPr>
              <w:t>(16 data items and 4 reports in total)</w:t>
            </w:r>
          </w:p>
        </w:tc>
        <w:tc>
          <w:tcPr>
            <w:tcW w:w="1430" w:type="dxa"/>
            <w:vMerge w:val="restart"/>
            <w:shd w:val="clear" w:color="auto" w:fill="auto"/>
          </w:tcPr>
          <w:p w14:paraId="21CE8119" w14:textId="77777777" w:rsidR="00170469" w:rsidRPr="00170469" w:rsidRDefault="00170469" w:rsidP="0052703E">
            <w:pPr>
              <w:rPr>
                <w:rFonts w:ascii="Arial" w:hAnsi="Arial" w:cs="Arial"/>
                <w:sz w:val="24"/>
                <w:szCs w:val="24"/>
              </w:rPr>
            </w:pPr>
            <w:r w:rsidRPr="00170469">
              <w:rPr>
                <w:rFonts w:ascii="Arial" w:hAnsi="Arial" w:cs="Arial"/>
                <w:sz w:val="24"/>
                <w:szCs w:val="24"/>
              </w:rPr>
              <w:t>Monthly</w:t>
            </w:r>
          </w:p>
        </w:tc>
        <w:tc>
          <w:tcPr>
            <w:tcW w:w="1592" w:type="dxa"/>
            <w:shd w:val="clear" w:color="auto" w:fill="auto"/>
          </w:tcPr>
          <w:p w14:paraId="0A3B5961" w14:textId="77777777" w:rsidR="00170469" w:rsidRPr="00170469" w:rsidRDefault="00170469" w:rsidP="0052703E">
            <w:pPr>
              <w:rPr>
                <w:rFonts w:ascii="Arial" w:hAnsi="Arial" w:cs="Arial"/>
                <w:sz w:val="24"/>
                <w:szCs w:val="24"/>
              </w:rPr>
            </w:pPr>
            <w:r w:rsidRPr="00170469">
              <w:rPr>
                <w:rFonts w:ascii="Arial" w:hAnsi="Arial" w:cs="Arial"/>
                <w:sz w:val="24"/>
                <w:szCs w:val="24"/>
              </w:rPr>
              <w:t>Provider</w:t>
            </w:r>
          </w:p>
        </w:tc>
        <w:tc>
          <w:tcPr>
            <w:tcW w:w="1570" w:type="dxa"/>
            <w:shd w:val="clear" w:color="auto" w:fill="auto"/>
          </w:tcPr>
          <w:p w14:paraId="21E081AE" w14:textId="77777777" w:rsidR="00170469" w:rsidRPr="00170469" w:rsidRDefault="00170469" w:rsidP="0052703E">
            <w:pPr>
              <w:rPr>
                <w:rFonts w:ascii="Arial" w:hAnsi="Arial" w:cs="Arial"/>
                <w:sz w:val="24"/>
                <w:szCs w:val="24"/>
              </w:rPr>
            </w:pPr>
            <w:r w:rsidRPr="00170469">
              <w:rPr>
                <w:rFonts w:ascii="Arial" w:hAnsi="Arial" w:cs="Arial"/>
                <w:sz w:val="24"/>
                <w:szCs w:val="24"/>
              </w:rPr>
              <w:t>Opiate</w:t>
            </w:r>
          </w:p>
        </w:tc>
        <w:tc>
          <w:tcPr>
            <w:tcW w:w="937" w:type="dxa"/>
            <w:vMerge w:val="restart"/>
            <w:shd w:val="clear" w:color="auto" w:fill="auto"/>
          </w:tcPr>
          <w:p w14:paraId="3CDBC6D4" w14:textId="77777777" w:rsidR="00170469" w:rsidRPr="00170469" w:rsidRDefault="00170469" w:rsidP="0052703E">
            <w:pPr>
              <w:rPr>
                <w:rFonts w:ascii="Arial" w:hAnsi="Arial" w:cs="Arial"/>
                <w:sz w:val="24"/>
                <w:szCs w:val="24"/>
              </w:rPr>
            </w:pPr>
            <w:r w:rsidRPr="00170469">
              <w:rPr>
                <w:rFonts w:ascii="Arial" w:hAnsi="Arial" w:cs="Arial"/>
                <w:sz w:val="24"/>
                <w:szCs w:val="24"/>
              </w:rPr>
              <w:t>18 and over</w:t>
            </w:r>
          </w:p>
        </w:tc>
        <w:tc>
          <w:tcPr>
            <w:tcW w:w="1253" w:type="dxa"/>
            <w:vMerge w:val="restart"/>
            <w:shd w:val="clear" w:color="auto" w:fill="auto"/>
          </w:tcPr>
          <w:p w14:paraId="56678BF4" w14:textId="77777777" w:rsidR="00170469" w:rsidRPr="00170469" w:rsidRDefault="00170469" w:rsidP="0052703E">
            <w:pPr>
              <w:rPr>
                <w:rFonts w:ascii="Arial" w:hAnsi="Arial" w:cs="Arial"/>
                <w:sz w:val="24"/>
                <w:szCs w:val="24"/>
              </w:rPr>
            </w:pPr>
            <w:r w:rsidRPr="00170469">
              <w:rPr>
                <w:rFonts w:ascii="Arial" w:hAnsi="Arial" w:cs="Arial"/>
                <w:sz w:val="24"/>
                <w:szCs w:val="24"/>
              </w:rPr>
              <w:t>Rolling 12 months</w:t>
            </w:r>
          </w:p>
        </w:tc>
      </w:tr>
      <w:tr w:rsidR="00170469" w:rsidRPr="00170469" w14:paraId="20AB8DE8" w14:textId="77777777" w:rsidTr="00170469">
        <w:tc>
          <w:tcPr>
            <w:tcW w:w="399" w:type="dxa"/>
            <w:vMerge/>
            <w:shd w:val="clear" w:color="auto" w:fill="auto"/>
          </w:tcPr>
          <w:p w14:paraId="5337DD22" w14:textId="77777777" w:rsidR="00170469" w:rsidRPr="00170469" w:rsidRDefault="00170469" w:rsidP="0052703E">
            <w:pPr>
              <w:rPr>
                <w:rFonts w:ascii="Arial" w:hAnsi="Arial" w:cs="Arial"/>
                <w:sz w:val="24"/>
                <w:szCs w:val="24"/>
              </w:rPr>
            </w:pPr>
          </w:p>
        </w:tc>
        <w:tc>
          <w:tcPr>
            <w:tcW w:w="1745" w:type="dxa"/>
            <w:vMerge/>
            <w:shd w:val="clear" w:color="auto" w:fill="auto"/>
          </w:tcPr>
          <w:p w14:paraId="212B5172" w14:textId="77777777" w:rsidR="00170469" w:rsidRPr="00170469" w:rsidRDefault="00170469" w:rsidP="0052703E">
            <w:pPr>
              <w:rPr>
                <w:rFonts w:ascii="Arial" w:hAnsi="Arial" w:cs="Arial"/>
                <w:sz w:val="24"/>
                <w:szCs w:val="24"/>
              </w:rPr>
            </w:pPr>
          </w:p>
        </w:tc>
        <w:tc>
          <w:tcPr>
            <w:tcW w:w="1430" w:type="dxa"/>
            <w:vMerge/>
            <w:shd w:val="clear" w:color="auto" w:fill="auto"/>
          </w:tcPr>
          <w:p w14:paraId="15E05211" w14:textId="77777777" w:rsidR="00170469" w:rsidRPr="00170469" w:rsidRDefault="00170469" w:rsidP="0052703E">
            <w:pPr>
              <w:rPr>
                <w:rFonts w:ascii="Arial" w:hAnsi="Arial" w:cs="Arial"/>
                <w:sz w:val="24"/>
                <w:szCs w:val="24"/>
              </w:rPr>
            </w:pPr>
          </w:p>
        </w:tc>
        <w:tc>
          <w:tcPr>
            <w:tcW w:w="1592" w:type="dxa"/>
            <w:shd w:val="clear" w:color="auto" w:fill="auto"/>
          </w:tcPr>
          <w:p w14:paraId="59B90CDF" w14:textId="77777777" w:rsidR="00170469" w:rsidRPr="00170469" w:rsidRDefault="00170469" w:rsidP="0052703E">
            <w:pPr>
              <w:rPr>
                <w:rFonts w:ascii="Arial" w:hAnsi="Arial" w:cs="Arial"/>
                <w:sz w:val="24"/>
                <w:szCs w:val="24"/>
              </w:rPr>
            </w:pPr>
            <w:r w:rsidRPr="00170469">
              <w:rPr>
                <w:rFonts w:ascii="Arial" w:hAnsi="Arial" w:cs="Arial"/>
                <w:sz w:val="24"/>
                <w:szCs w:val="24"/>
              </w:rPr>
              <w:t>Partnership</w:t>
            </w:r>
          </w:p>
        </w:tc>
        <w:tc>
          <w:tcPr>
            <w:tcW w:w="1570" w:type="dxa"/>
            <w:shd w:val="clear" w:color="auto" w:fill="auto"/>
          </w:tcPr>
          <w:p w14:paraId="2B2FB7C8" w14:textId="77777777" w:rsidR="00170469" w:rsidRPr="00170469" w:rsidRDefault="00170469" w:rsidP="0052703E">
            <w:pPr>
              <w:rPr>
                <w:rFonts w:ascii="Arial" w:hAnsi="Arial" w:cs="Arial"/>
                <w:sz w:val="24"/>
                <w:szCs w:val="24"/>
              </w:rPr>
            </w:pPr>
            <w:r w:rsidRPr="00170469">
              <w:rPr>
                <w:rFonts w:ascii="Arial" w:hAnsi="Arial" w:cs="Arial"/>
                <w:sz w:val="24"/>
                <w:szCs w:val="24"/>
              </w:rPr>
              <w:t>Non-opiate only</w:t>
            </w:r>
          </w:p>
        </w:tc>
        <w:tc>
          <w:tcPr>
            <w:tcW w:w="937" w:type="dxa"/>
            <w:vMerge/>
            <w:shd w:val="clear" w:color="auto" w:fill="auto"/>
          </w:tcPr>
          <w:p w14:paraId="60AA354B" w14:textId="77777777" w:rsidR="00170469" w:rsidRPr="00170469" w:rsidRDefault="00170469" w:rsidP="0052703E">
            <w:pPr>
              <w:rPr>
                <w:rFonts w:ascii="Arial" w:hAnsi="Arial" w:cs="Arial"/>
                <w:sz w:val="24"/>
                <w:szCs w:val="24"/>
              </w:rPr>
            </w:pPr>
          </w:p>
        </w:tc>
        <w:tc>
          <w:tcPr>
            <w:tcW w:w="1253" w:type="dxa"/>
            <w:vMerge/>
            <w:shd w:val="clear" w:color="auto" w:fill="auto"/>
          </w:tcPr>
          <w:p w14:paraId="7CCB5C94" w14:textId="77777777" w:rsidR="00170469" w:rsidRPr="00170469" w:rsidRDefault="00170469" w:rsidP="0052703E">
            <w:pPr>
              <w:rPr>
                <w:rFonts w:ascii="Arial" w:hAnsi="Arial" w:cs="Arial"/>
                <w:sz w:val="24"/>
                <w:szCs w:val="24"/>
              </w:rPr>
            </w:pPr>
          </w:p>
        </w:tc>
      </w:tr>
      <w:tr w:rsidR="00170469" w:rsidRPr="00170469" w14:paraId="2797339B" w14:textId="77777777" w:rsidTr="00170469">
        <w:tc>
          <w:tcPr>
            <w:tcW w:w="399" w:type="dxa"/>
            <w:vMerge/>
            <w:shd w:val="clear" w:color="auto" w:fill="auto"/>
          </w:tcPr>
          <w:p w14:paraId="706FC5BC" w14:textId="77777777" w:rsidR="00170469" w:rsidRPr="00170469" w:rsidRDefault="00170469" w:rsidP="00170469">
            <w:pPr>
              <w:rPr>
                <w:rFonts w:ascii="Arial" w:hAnsi="Arial" w:cs="Arial"/>
                <w:sz w:val="24"/>
                <w:szCs w:val="24"/>
              </w:rPr>
            </w:pPr>
          </w:p>
        </w:tc>
        <w:tc>
          <w:tcPr>
            <w:tcW w:w="1745" w:type="dxa"/>
            <w:vMerge/>
            <w:shd w:val="clear" w:color="auto" w:fill="auto"/>
          </w:tcPr>
          <w:p w14:paraId="0B01AFF1" w14:textId="77777777" w:rsidR="00170469" w:rsidRPr="00170469" w:rsidRDefault="00170469" w:rsidP="00170469">
            <w:pPr>
              <w:rPr>
                <w:rFonts w:ascii="Arial" w:hAnsi="Arial" w:cs="Arial"/>
                <w:sz w:val="24"/>
                <w:szCs w:val="24"/>
              </w:rPr>
            </w:pPr>
          </w:p>
        </w:tc>
        <w:tc>
          <w:tcPr>
            <w:tcW w:w="1430" w:type="dxa"/>
            <w:vMerge/>
            <w:shd w:val="clear" w:color="auto" w:fill="auto"/>
          </w:tcPr>
          <w:p w14:paraId="5AC760BA" w14:textId="77777777" w:rsidR="00170469" w:rsidRPr="00170469" w:rsidRDefault="00170469" w:rsidP="00170469">
            <w:pPr>
              <w:rPr>
                <w:rFonts w:ascii="Arial" w:hAnsi="Arial" w:cs="Arial"/>
                <w:sz w:val="24"/>
                <w:szCs w:val="24"/>
              </w:rPr>
            </w:pPr>
          </w:p>
        </w:tc>
        <w:tc>
          <w:tcPr>
            <w:tcW w:w="1592" w:type="dxa"/>
            <w:shd w:val="clear" w:color="auto" w:fill="auto"/>
          </w:tcPr>
          <w:p w14:paraId="2DD6B7E8" w14:textId="45BF082D" w:rsidR="00170469" w:rsidRPr="00170469" w:rsidRDefault="00170469" w:rsidP="00170469">
            <w:pPr>
              <w:rPr>
                <w:rFonts w:ascii="Arial" w:hAnsi="Arial" w:cs="Arial"/>
                <w:sz w:val="24"/>
                <w:szCs w:val="24"/>
              </w:rPr>
            </w:pPr>
            <w:r>
              <w:rPr>
                <w:rFonts w:ascii="Arial" w:hAnsi="Arial" w:cs="Arial"/>
                <w:sz w:val="24"/>
                <w:szCs w:val="24"/>
              </w:rPr>
              <w:t>PHE</w:t>
            </w:r>
            <w:r w:rsidRPr="00170469">
              <w:rPr>
                <w:rFonts w:ascii="Arial" w:hAnsi="Arial" w:cs="Arial"/>
                <w:sz w:val="24"/>
                <w:szCs w:val="24"/>
              </w:rPr>
              <w:t xml:space="preserve"> Centre</w:t>
            </w:r>
          </w:p>
        </w:tc>
        <w:tc>
          <w:tcPr>
            <w:tcW w:w="1570" w:type="dxa"/>
            <w:shd w:val="clear" w:color="auto" w:fill="auto"/>
          </w:tcPr>
          <w:p w14:paraId="215A0E2F" w14:textId="77777777" w:rsidR="00170469" w:rsidRPr="00170469" w:rsidRDefault="00170469" w:rsidP="00170469">
            <w:pPr>
              <w:rPr>
                <w:rFonts w:ascii="Arial" w:hAnsi="Arial" w:cs="Arial"/>
                <w:sz w:val="24"/>
                <w:szCs w:val="24"/>
              </w:rPr>
            </w:pPr>
            <w:r w:rsidRPr="00170469">
              <w:rPr>
                <w:rFonts w:ascii="Arial" w:hAnsi="Arial" w:cs="Arial"/>
                <w:sz w:val="24"/>
                <w:szCs w:val="24"/>
              </w:rPr>
              <w:t>Non-opiate and alcohol</w:t>
            </w:r>
          </w:p>
        </w:tc>
        <w:tc>
          <w:tcPr>
            <w:tcW w:w="937" w:type="dxa"/>
            <w:vMerge/>
            <w:shd w:val="clear" w:color="auto" w:fill="auto"/>
          </w:tcPr>
          <w:p w14:paraId="16DEDED1" w14:textId="77777777" w:rsidR="00170469" w:rsidRPr="00170469" w:rsidRDefault="00170469" w:rsidP="00170469">
            <w:pPr>
              <w:rPr>
                <w:rFonts w:ascii="Arial" w:hAnsi="Arial" w:cs="Arial"/>
                <w:sz w:val="24"/>
                <w:szCs w:val="24"/>
              </w:rPr>
            </w:pPr>
          </w:p>
        </w:tc>
        <w:tc>
          <w:tcPr>
            <w:tcW w:w="1253" w:type="dxa"/>
            <w:vMerge/>
            <w:shd w:val="clear" w:color="auto" w:fill="auto"/>
          </w:tcPr>
          <w:p w14:paraId="7F16C52C" w14:textId="77777777" w:rsidR="00170469" w:rsidRPr="00170469" w:rsidRDefault="00170469" w:rsidP="00170469">
            <w:pPr>
              <w:rPr>
                <w:rFonts w:ascii="Arial" w:hAnsi="Arial" w:cs="Arial"/>
                <w:sz w:val="24"/>
                <w:szCs w:val="24"/>
              </w:rPr>
            </w:pPr>
          </w:p>
        </w:tc>
      </w:tr>
      <w:tr w:rsidR="00170469" w:rsidRPr="00170469" w14:paraId="61E8D13E" w14:textId="77777777" w:rsidTr="00170469">
        <w:tc>
          <w:tcPr>
            <w:tcW w:w="399" w:type="dxa"/>
            <w:vMerge/>
            <w:shd w:val="clear" w:color="auto" w:fill="auto"/>
          </w:tcPr>
          <w:p w14:paraId="6EA37648" w14:textId="77777777" w:rsidR="00170469" w:rsidRPr="00170469" w:rsidRDefault="00170469" w:rsidP="0052703E">
            <w:pPr>
              <w:rPr>
                <w:rFonts w:ascii="Arial" w:hAnsi="Arial" w:cs="Arial"/>
                <w:sz w:val="24"/>
                <w:szCs w:val="24"/>
              </w:rPr>
            </w:pPr>
          </w:p>
        </w:tc>
        <w:tc>
          <w:tcPr>
            <w:tcW w:w="1745" w:type="dxa"/>
            <w:vMerge/>
            <w:shd w:val="clear" w:color="auto" w:fill="auto"/>
          </w:tcPr>
          <w:p w14:paraId="0FFD921C" w14:textId="77777777" w:rsidR="00170469" w:rsidRPr="00170469" w:rsidRDefault="00170469" w:rsidP="0052703E">
            <w:pPr>
              <w:rPr>
                <w:rFonts w:ascii="Arial" w:hAnsi="Arial" w:cs="Arial"/>
                <w:sz w:val="24"/>
                <w:szCs w:val="24"/>
              </w:rPr>
            </w:pPr>
          </w:p>
        </w:tc>
        <w:tc>
          <w:tcPr>
            <w:tcW w:w="1430" w:type="dxa"/>
            <w:vMerge/>
            <w:shd w:val="clear" w:color="auto" w:fill="auto"/>
          </w:tcPr>
          <w:p w14:paraId="0DDAE9A8" w14:textId="77777777" w:rsidR="00170469" w:rsidRPr="00170469" w:rsidRDefault="00170469" w:rsidP="0052703E">
            <w:pPr>
              <w:rPr>
                <w:rFonts w:ascii="Arial" w:hAnsi="Arial" w:cs="Arial"/>
                <w:sz w:val="24"/>
                <w:szCs w:val="24"/>
              </w:rPr>
            </w:pPr>
          </w:p>
        </w:tc>
        <w:tc>
          <w:tcPr>
            <w:tcW w:w="1592" w:type="dxa"/>
            <w:shd w:val="clear" w:color="auto" w:fill="auto"/>
          </w:tcPr>
          <w:p w14:paraId="22428F53" w14:textId="77777777" w:rsidR="00170469" w:rsidRPr="00170469" w:rsidRDefault="00170469" w:rsidP="0052703E">
            <w:pPr>
              <w:rPr>
                <w:rFonts w:ascii="Arial" w:hAnsi="Arial" w:cs="Arial"/>
                <w:sz w:val="24"/>
                <w:szCs w:val="24"/>
              </w:rPr>
            </w:pPr>
            <w:r w:rsidRPr="00170469">
              <w:rPr>
                <w:rFonts w:ascii="Arial" w:hAnsi="Arial" w:cs="Arial"/>
                <w:sz w:val="24"/>
                <w:szCs w:val="24"/>
              </w:rPr>
              <w:t>National</w:t>
            </w:r>
          </w:p>
        </w:tc>
        <w:tc>
          <w:tcPr>
            <w:tcW w:w="1570" w:type="dxa"/>
            <w:shd w:val="clear" w:color="auto" w:fill="auto"/>
          </w:tcPr>
          <w:p w14:paraId="6E812CF4" w14:textId="77777777" w:rsidR="00170469" w:rsidRPr="00170469" w:rsidRDefault="00170469" w:rsidP="0052703E">
            <w:pPr>
              <w:rPr>
                <w:rFonts w:ascii="Arial" w:hAnsi="Arial" w:cs="Arial"/>
                <w:sz w:val="24"/>
                <w:szCs w:val="24"/>
              </w:rPr>
            </w:pPr>
            <w:r w:rsidRPr="00170469">
              <w:rPr>
                <w:rFonts w:ascii="Arial" w:hAnsi="Arial" w:cs="Arial"/>
                <w:sz w:val="24"/>
                <w:szCs w:val="24"/>
              </w:rPr>
              <w:t>Alcohol</w:t>
            </w:r>
          </w:p>
        </w:tc>
        <w:tc>
          <w:tcPr>
            <w:tcW w:w="937" w:type="dxa"/>
            <w:vMerge/>
            <w:shd w:val="clear" w:color="auto" w:fill="auto"/>
          </w:tcPr>
          <w:p w14:paraId="6CA6899E" w14:textId="77777777" w:rsidR="00170469" w:rsidRPr="00170469" w:rsidRDefault="00170469" w:rsidP="0052703E">
            <w:pPr>
              <w:rPr>
                <w:rFonts w:ascii="Arial" w:hAnsi="Arial" w:cs="Arial"/>
                <w:sz w:val="24"/>
                <w:szCs w:val="24"/>
              </w:rPr>
            </w:pPr>
          </w:p>
        </w:tc>
        <w:tc>
          <w:tcPr>
            <w:tcW w:w="1253" w:type="dxa"/>
            <w:vMerge/>
            <w:shd w:val="clear" w:color="auto" w:fill="auto"/>
          </w:tcPr>
          <w:p w14:paraId="4BFA71B4" w14:textId="77777777" w:rsidR="00170469" w:rsidRPr="00170469" w:rsidRDefault="00170469" w:rsidP="0052703E">
            <w:pPr>
              <w:rPr>
                <w:rFonts w:ascii="Arial" w:hAnsi="Arial" w:cs="Arial"/>
                <w:sz w:val="24"/>
                <w:szCs w:val="24"/>
              </w:rPr>
            </w:pPr>
          </w:p>
        </w:tc>
      </w:tr>
      <w:tr w:rsidR="00170469" w:rsidRPr="00170469" w14:paraId="30081A67" w14:textId="77777777" w:rsidTr="00170469">
        <w:tc>
          <w:tcPr>
            <w:tcW w:w="399" w:type="dxa"/>
            <w:vMerge w:val="restart"/>
            <w:shd w:val="clear" w:color="auto" w:fill="auto"/>
          </w:tcPr>
          <w:p w14:paraId="3BB022F9" w14:textId="77777777" w:rsidR="00170469" w:rsidRPr="00170469" w:rsidRDefault="00170469" w:rsidP="0052703E">
            <w:pPr>
              <w:rPr>
                <w:rFonts w:ascii="Arial" w:hAnsi="Arial" w:cs="Arial"/>
                <w:sz w:val="24"/>
                <w:szCs w:val="24"/>
              </w:rPr>
            </w:pPr>
            <w:r w:rsidRPr="00170469">
              <w:rPr>
                <w:rFonts w:ascii="Arial" w:hAnsi="Arial" w:cs="Arial"/>
                <w:sz w:val="24"/>
                <w:szCs w:val="24"/>
              </w:rPr>
              <w:t>3</w:t>
            </w:r>
          </w:p>
        </w:tc>
        <w:tc>
          <w:tcPr>
            <w:tcW w:w="1745" w:type="dxa"/>
            <w:vMerge w:val="restart"/>
            <w:shd w:val="clear" w:color="auto" w:fill="auto"/>
          </w:tcPr>
          <w:p w14:paraId="6F3A7010" w14:textId="77777777" w:rsidR="00170469" w:rsidRPr="00170469" w:rsidRDefault="00170469" w:rsidP="0052703E">
            <w:pPr>
              <w:rPr>
                <w:rFonts w:ascii="Arial" w:hAnsi="Arial" w:cs="Arial"/>
                <w:sz w:val="24"/>
                <w:szCs w:val="24"/>
              </w:rPr>
            </w:pPr>
            <w:r w:rsidRPr="00170469">
              <w:rPr>
                <w:rFonts w:ascii="Arial" w:hAnsi="Arial" w:cs="Arial"/>
                <w:sz w:val="24"/>
                <w:szCs w:val="24"/>
              </w:rPr>
              <w:t>New presentations to treatment (16 data items and 4 reports in total)</w:t>
            </w:r>
          </w:p>
          <w:p w14:paraId="2FEA0C33" w14:textId="77777777" w:rsidR="00170469" w:rsidRPr="00170469" w:rsidRDefault="00170469" w:rsidP="0052703E">
            <w:pPr>
              <w:rPr>
                <w:rFonts w:ascii="Arial" w:hAnsi="Arial" w:cs="Arial"/>
                <w:sz w:val="24"/>
                <w:szCs w:val="24"/>
              </w:rPr>
            </w:pPr>
          </w:p>
        </w:tc>
        <w:tc>
          <w:tcPr>
            <w:tcW w:w="1430" w:type="dxa"/>
            <w:vMerge w:val="restart"/>
            <w:shd w:val="clear" w:color="auto" w:fill="auto"/>
          </w:tcPr>
          <w:p w14:paraId="40E2DA11" w14:textId="77777777" w:rsidR="00170469" w:rsidRPr="00170469" w:rsidRDefault="00170469" w:rsidP="0052703E">
            <w:pPr>
              <w:rPr>
                <w:rFonts w:ascii="Arial" w:hAnsi="Arial" w:cs="Arial"/>
                <w:sz w:val="24"/>
                <w:szCs w:val="24"/>
              </w:rPr>
            </w:pPr>
            <w:r w:rsidRPr="00170469">
              <w:rPr>
                <w:rFonts w:ascii="Arial" w:hAnsi="Arial" w:cs="Arial"/>
                <w:sz w:val="24"/>
                <w:szCs w:val="24"/>
              </w:rPr>
              <w:t>Monthly</w:t>
            </w:r>
          </w:p>
        </w:tc>
        <w:tc>
          <w:tcPr>
            <w:tcW w:w="1592" w:type="dxa"/>
            <w:shd w:val="clear" w:color="auto" w:fill="auto"/>
          </w:tcPr>
          <w:p w14:paraId="59D49A56" w14:textId="77777777" w:rsidR="00170469" w:rsidRPr="00170469" w:rsidRDefault="00170469" w:rsidP="0052703E">
            <w:pPr>
              <w:rPr>
                <w:rFonts w:ascii="Arial" w:hAnsi="Arial" w:cs="Arial"/>
                <w:sz w:val="24"/>
                <w:szCs w:val="24"/>
              </w:rPr>
            </w:pPr>
            <w:r w:rsidRPr="00170469">
              <w:rPr>
                <w:rFonts w:ascii="Arial" w:hAnsi="Arial" w:cs="Arial"/>
                <w:sz w:val="24"/>
                <w:szCs w:val="24"/>
              </w:rPr>
              <w:t>Provider</w:t>
            </w:r>
          </w:p>
        </w:tc>
        <w:tc>
          <w:tcPr>
            <w:tcW w:w="1570" w:type="dxa"/>
            <w:shd w:val="clear" w:color="auto" w:fill="auto"/>
          </w:tcPr>
          <w:p w14:paraId="4C31BF1E" w14:textId="77777777" w:rsidR="00170469" w:rsidRPr="00170469" w:rsidRDefault="00170469" w:rsidP="0052703E">
            <w:pPr>
              <w:rPr>
                <w:rFonts w:ascii="Arial" w:hAnsi="Arial" w:cs="Arial"/>
                <w:sz w:val="24"/>
                <w:szCs w:val="24"/>
              </w:rPr>
            </w:pPr>
            <w:r w:rsidRPr="00170469">
              <w:rPr>
                <w:rFonts w:ascii="Arial" w:hAnsi="Arial" w:cs="Arial"/>
                <w:sz w:val="24"/>
                <w:szCs w:val="24"/>
              </w:rPr>
              <w:t>Opiate</w:t>
            </w:r>
          </w:p>
        </w:tc>
        <w:tc>
          <w:tcPr>
            <w:tcW w:w="937" w:type="dxa"/>
            <w:vMerge w:val="restart"/>
            <w:shd w:val="clear" w:color="auto" w:fill="auto"/>
          </w:tcPr>
          <w:p w14:paraId="2B7DAEA0" w14:textId="77777777" w:rsidR="00170469" w:rsidRPr="00170469" w:rsidRDefault="00170469" w:rsidP="0052703E">
            <w:pPr>
              <w:rPr>
                <w:rFonts w:ascii="Arial" w:hAnsi="Arial" w:cs="Arial"/>
                <w:sz w:val="24"/>
                <w:szCs w:val="24"/>
              </w:rPr>
            </w:pPr>
            <w:r w:rsidRPr="00170469">
              <w:rPr>
                <w:rFonts w:ascii="Arial" w:hAnsi="Arial" w:cs="Arial"/>
                <w:sz w:val="24"/>
                <w:szCs w:val="24"/>
              </w:rPr>
              <w:t>18 and over</w:t>
            </w:r>
          </w:p>
        </w:tc>
        <w:tc>
          <w:tcPr>
            <w:tcW w:w="1253" w:type="dxa"/>
            <w:vMerge w:val="restart"/>
            <w:shd w:val="clear" w:color="auto" w:fill="auto"/>
          </w:tcPr>
          <w:p w14:paraId="0FA109F8" w14:textId="77777777" w:rsidR="00170469" w:rsidRPr="00170469" w:rsidRDefault="00170469" w:rsidP="0052703E">
            <w:pPr>
              <w:rPr>
                <w:rFonts w:ascii="Arial" w:hAnsi="Arial" w:cs="Arial"/>
                <w:sz w:val="24"/>
                <w:szCs w:val="24"/>
              </w:rPr>
            </w:pPr>
            <w:r w:rsidRPr="00170469">
              <w:rPr>
                <w:rFonts w:ascii="Arial" w:hAnsi="Arial" w:cs="Arial"/>
                <w:sz w:val="24"/>
                <w:szCs w:val="24"/>
              </w:rPr>
              <w:t>Year to date</w:t>
            </w:r>
          </w:p>
        </w:tc>
      </w:tr>
      <w:tr w:rsidR="00170469" w:rsidRPr="00170469" w14:paraId="5387DA48" w14:textId="77777777" w:rsidTr="00170469">
        <w:tc>
          <w:tcPr>
            <w:tcW w:w="399" w:type="dxa"/>
            <w:vMerge/>
            <w:shd w:val="clear" w:color="auto" w:fill="auto"/>
          </w:tcPr>
          <w:p w14:paraId="41E9BACF" w14:textId="77777777" w:rsidR="00170469" w:rsidRPr="00170469" w:rsidRDefault="00170469" w:rsidP="0052703E">
            <w:pPr>
              <w:rPr>
                <w:rFonts w:ascii="Arial" w:hAnsi="Arial" w:cs="Arial"/>
                <w:sz w:val="24"/>
                <w:szCs w:val="24"/>
              </w:rPr>
            </w:pPr>
          </w:p>
        </w:tc>
        <w:tc>
          <w:tcPr>
            <w:tcW w:w="1745" w:type="dxa"/>
            <w:vMerge/>
            <w:shd w:val="clear" w:color="auto" w:fill="auto"/>
          </w:tcPr>
          <w:p w14:paraId="3EB0656D" w14:textId="77777777" w:rsidR="00170469" w:rsidRPr="00170469" w:rsidRDefault="00170469" w:rsidP="0052703E">
            <w:pPr>
              <w:rPr>
                <w:rFonts w:ascii="Arial" w:hAnsi="Arial" w:cs="Arial"/>
                <w:sz w:val="24"/>
                <w:szCs w:val="24"/>
              </w:rPr>
            </w:pPr>
          </w:p>
        </w:tc>
        <w:tc>
          <w:tcPr>
            <w:tcW w:w="1430" w:type="dxa"/>
            <w:vMerge/>
            <w:shd w:val="clear" w:color="auto" w:fill="auto"/>
          </w:tcPr>
          <w:p w14:paraId="102FD25A" w14:textId="77777777" w:rsidR="00170469" w:rsidRPr="00170469" w:rsidRDefault="00170469" w:rsidP="0052703E">
            <w:pPr>
              <w:rPr>
                <w:rFonts w:ascii="Arial" w:hAnsi="Arial" w:cs="Arial"/>
                <w:sz w:val="24"/>
                <w:szCs w:val="24"/>
              </w:rPr>
            </w:pPr>
          </w:p>
        </w:tc>
        <w:tc>
          <w:tcPr>
            <w:tcW w:w="1592" w:type="dxa"/>
            <w:shd w:val="clear" w:color="auto" w:fill="auto"/>
          </w:tcPr>
          <w:p w14:paraId="15A592AD" w14:textId="77777777" w:rsidR="00170469" w:rsidRPr="00170469" w:rsidRDefault="00170469" w:rsidP="0052703E">
            <w:pPr>
              <w:rPr>
                <w:rFonts w:ascii="Arial" w:hAnsi="Arial" w:cs="Arial"/>
                <w:sz w:val="24"/>
                <w:szCs w:val="24"/>
              </w:rPr>
            </w:pPr>
            <w:r w:rsidRPr="00170469">
              <w:rPr>
                <w:rFonts w:ascii="Arial" w:hAnsi="Arial" w:cs="Arial"/>
                <w:sz w:val="24"/>
                <w:szCs w:val="24"/>
              </w:rPr>
              <w:t>Partnership</w:t>
            </w:r>
          </w:p>
        </w:tc>
        <w:tc>
          <w:tcPr>
            <w:tcW w:w="1570" w:type="dxa"/>
            <w:shd w:val="clear" w:color="auto" w:fill="auto"/>
          </w:tcPr>
          <w:p w14:paraId="0BF8B15F" w14:textId="77777777" w:rsidR="00170469" w:rsidRPr="00170469" w:rsidRDefault="00170469" w:rsidP="0052703E">
            <w:pPr>
              <w:rPr>
                <w:rFonts w:ascii="Arial" w:hAnsi="Arial" w:cs="Arial"/>
                <w:sz w:val="24"/>
                <w:szCs w:val="24"/>
              </w:rPr>
            </w:pPr>
            <w:r w:rsidRPr="00170469">
              <w:rPr>
                <w:rFonts w:ascii="Arial" w:hAnsi="Arial" w:cs="Arial"/>
                <w:sz w:val="24"/>
                <w:szCs w:val="24"/>
              </w:rPr>
              <w:t>Non-opiate only</w:t>
            </w:r>
          </w:p>
        </w:tc>
        <w:tc>
          <w:tcPr>
            <w:tcW w:w="937" w:type="dxa"/>
            <w:vMerge/>
            <w:shd w:val="clear" w:color="auto" w:fill="auto"/>
          </w:tcPr>
          <w:p w14:paraId="5EB937AA" w14:textId="77777777" w:rsidR="00170469" w:rsidRPr="00170469" w:rsidRDefault="00170469" w:rsidP="0052703E">
            <w:pPr>
              <w:rPr>
                <w:rFonts w:ascii="Arial" w:hAnsi="Arial" w:cs="Arial"/>
                <w:sz w:val="24"/>
                <w:szCs w:val="24"/>
              </w:rPr>
            </w:pPr>
          </w:p>
        </w:tc>
        <w:tc>
          <w:tcPr>
            <w:tcW w:w="1253" w:type="dxa"/>
            <w:vMerge/>
            <w:shd w:val="clear" w:color="auto" w:fill="auto"/>
          </w:tcPr>
          <w:p w14:paraId="029970C5" w14:textId="77777777" w:rsidR="00170469" w:rsidRPr="00170469" w:rsidRDefault="00170469" w:rsidP="0052703E">
            <w:pPr>
              <w:rPr>
                <w:rFonts w:ascii="Arial" w:hAnsi="Arial" w:cs="Arial"/>
                <w:sz w:val="24"/>
                <w:szCs w:val="24"/>
              </w:rPr>
            </w:pPr>
          </w:p>
        </w:tc>
      </w:tr>
      <w:tr w:rsidR="00170469" w:rsidRPr="00170469" w14:paraId="64A2C432" w14:textId="77777777" w:rsidTr="00170469">
        <w:tc>
          <w:tcPr>
            <w:tcW w:w="399" w:type="dxa"/>
            <w:vMerge/>
            <w:shd w:val="clear" w:color="auto" w:fill="auto"/>
          </w:tcPr>
          <w:p w14:paraId="1DCDD626" w14:textId="77777777" w:rsidR="00170469" w:rsidRPr="00170469" w:rsidRDefault="00170469" w:rsidP="00170469">
            <w:pPr>
              <w:rPr>
                <w:rFonts w:ascii="Arial" w:hAnsi="Arial" w:cs="Arial"/>
                <w:sz w:val="24"/>
                <w:szCs w:val="24"/>
              </w:rPr>
            </w:pPr>
          </w:p>
        </w:tc>
        <w:tc>
          <w:tcPr>
            <w:tcW w:w="1745" w:type="dxa"/>
            <w:vMerge/>
            <w:shd w:val="clear" w:color="auto" w:fill="auto"/>
          </w:tcPr>
          <w:p w14:paraId="7C9D400D" w14:textId="77777777" w:rsidR="00170469" w:rsidRPr="00170469" w:rsidRDefault="00170469" w:rsidP="00170469">
            <w:pPr>
              <w:rPr>
                <w:rFonts w:ascii="Arial" w:hAnsi="Arial" w:cs="Arial"/>
                <w:sz w:val="24"/>
                <w:szCs w:val="24"/>
              </w:rPr>
            </w:pPr>
          </w:p>
        </w:tc>
        <w:tc>
          <w:tcPr>
            <w:tcW w:w="1430" w:type="dxa"/>
            <w:vMerge/>
            <w:shd w:val="clear" w:color="auto" w:fill="auto"/>
          </w:tcPr>
          <w:p w14:paraId="37AF212B" w14:textId="77777777" w:rsidR="00170469" w:rsidRPr="00170469" w:rsidRDefault="00170469" w:rsidP="00170469">
            <w:pPr>
              <w:rPr>
                <w:rFonts w:ascii="Arial" w:hAnsi="Arial" w:cs="Arial"/>
                <w:sz w:val="24"/>
                <w:szCs w:val="24"/>
              </w:rPr>
            </w:pPr>
          </w:p>
        </w:tc>
        <w:tc>
          <w:tcPr>
            <w:tcW w:w="1592" w:type="dxa"/>
            <w:shd w:val="clear" w:color="auto" w:fill="auto"/>
          </w:tcPr>
          <w:p w14:paraId="54983E92" w14:textId="10861E1B" w:rsidR="00170469" w:rsidRPr="00170469" w:rsidRDefault="00170469" w:rsidP="00170469">
            <w:pPr>
              <w:rPr>
                <w:rFonts w:ascii="Arial" w:hAnsi="Arial" w:cs="Arial"/>
                <w:sz w:val="24"/>
                <w:szCs w:val="24"/>
              </w:rPr>
            </w:pPr>
            <w:r>
              <w:rPr>
                <w:rFonts w:ascii="Arial" w:hAnsi="Arial" w:cs="Arial"/>
                <w:sz w:val="24"/>
                <w:szCs w:val="24"/>
              </w:rPr>
              <w:t>PHE</w:t>
            </w:r>
            <w:r w:rsidRPr="00170469">
              <w:rPr>
                <w:rFonts w:ascii="Arial" w:hAnsi="Arial" w:cs="Arial"/>
                <w:sz w:val="24"/>
                <w:szCs w:val="24"/>
              </w:rPr>
              <w:t xml:space="preserve"> Centre</w:t>
            </w:r>
          </w:p>
        </w:tc>
        <w:tc>
          <w:tcPr>
            <w:tcW w:w="1570" w:type="dxa"/>
            <w:shd w:val="clear" w:color="auto" w:fill="auto"/>
          </w:tcPr>
          <w:p w14:paraId="6FA5399C" w14:textId="77777777" w:rsidR="00170469" w:rsidRPr="00170469" w:rsidRDefault="00170469" w:rsidP="00170469">
            <w:pPr>
              <w:rPr>
                <w:rFonts w:ascii="Arial" w:hAnsi="Arial" w:cs="Arial"/>
                <w:sz w:val="24"/>
                <w:szCs w:val="24"/>
              </w:rPr>
            </w:pPr>
            <w:r w:rsidRPr="00170469">
              <w:rPr>
                <w:rFonts w:ascii="Arial" w:hAnsi="Arial" w:cs="Arial"/>
                <w:sz w:val="24"/>
                <w:szCs w:val="24"/>
              </w:rPr>
              <w:t>Non-opiate and alcohol</w:t>
            </w:r>
          </w:p>
        </w:tc>
        <w:tc>
          <w:tcPr>
            <w:tcW w:w="937" w:type="dxa"/>
            <w:vMerge/>
            <w:shd w:val="clear" w:color="auto" w:fill="auto"/>
          </w:tcPr>
          <w:p w14:paraId="309FF5F5" w14:textId="77777777" w:rsidR="00170469" w:rsidRPr="00170469" w:rsidRDefault="00170469" w:rsidP="00170469">
            <w:pPr>
              <w:rPr>
                <w:rFonts w:ascii="Arial" w:hAnsi="Arial" w:cs="Arial"/>
                <w:sz w:val="24"/>
                <w:szCs w:val="24"/>
              </w:rPr>
            </w:pPr>
          </w:p>
        </w:tc>
        <w:tc>
          <w:tcPr>
            <w:tcW w:w="1253" w:type="dxa"/>
            <w:vMerge/>
            <w:shd w:val="clear" w:color="auto" w:fill="auto"/>
          </w:tcPr>
          <w:p w14:paraId="03AB7B38" w14:textId="77777777" w:rsidR="00170469" w:rsidRPr="00170469" w:rsidRDefault="00170469" w:rsidP="00170469">
            <w:pPr>
              <w:rPr>
                <w:rFonts w:ascii="Arial" w:hAnsi="Arial" w:cs="Arial"/>
                <w:sz w:val="24"/>
                <w:szCs w:val="24"/>
              </w:rPr>
            </w:pPr>
          </w:p>
        </w:tc>
      </w:tr>
      <w:tr w:rsidR="00170469" w:rsidRPr="00170469" w14:paraId="48799392" w14:textId="77777777" w:rsidTr="00170469">
        <w:tc>
          <w:tcPr>
            <w:tcW w:w="399" w:type="dxa"/>
            <w:vMerge/>
            <w:shd w:val="clear" w:color="auto" w:fill="auto"/>
          </w:tcPr>
          <w:p w14:paraId="534D9C7D" w14:textId="77777777" w:rsidR="00170469" w:rsidRPr="00170469" w:rsidRDefault="00170469" w:rsidP="0052703E">
            <w:pPr>
              <w:rPr>
                <w:rFonts w:ascii="Arial" w:hAnsi="Arial" w:cs="Arial"/>
                <w:sz w:val="24"/>
                <w:szCs w:val="24"/>
              </w:rPr>
            </w:pPr>
          </w:p>
        </w:tc>
        <w:tc>
          <w:tcPr>
            <w:tcW w:w="1745" w:type="dxa"/>
            <w:vMerge/>
            <w:shd w:val="clear" w:color="auto" w:fill="auto"/>
          </w:tcPr>
          <w:p w14:paraId="63793795" w14:textId="77777777" w:rsidR="00170469" w:rsidRPr="00170469" w:rsidRDefault="00170469" w:rsidP="0052703E">
            <w:pPr>
              <w:rPr>
                <w:rFonts w:ascii="Arial" w:hAnsi="Arial" w:cs="Arial"/>
                <w:sz w:val="24"/>
                <w:szCs w:val="24"/>
              </w:rPr>
            </w:pPr>
          </w:p>
        </w:tc>
        <w:tc>
          <w:tcPr>
            <w:tcW w:w="1430" w:type="dxa"/>
            <w:vMerge/>
            <w:shd w:val="clear" w:color="auto" w:fill="auto"/>
          </w:tcPr>
          <w:p w14:paraId="3C56369B" w14:textId="77777777" w:rsidR="00170469" w:rsidRPr="00170469" w:rsidRDefault="00170469" w:rsidP="0052703E">
            <w:pPr>
              <w:rPr>
                <w:rFonts w:ascii="Arial" w:hAnsi="Arial" w:cs="Arial"/>
                <w:sz w:val="24"/>
                <w:szCs w:val="24"/>
              </w:rPr>
            </w:pPr>
          </w:p>
        </w:tc>
        <w:tc>
          <w:tcPr>
            <w:tcW w:w="1592" w:type="dxa"/>
            <w:shd w:val="clear" w:color="auto" w:fill="auto"/>
          </w:tcPr>
          <w:p w14:paraId="5279AC3A" w14:textId="77777777" w:rsidR="00170469" w:rsidRPr="00170469" w:rsidRDefault="00170469" w:rsidP="0052703E">
            <w:pPr>
              <w:rPr>
                <w:rFonts w:ascii="Arial" w:hAnsi="Arial" w:cs="Arial"/>
                <w:sz w:val="24"/>
                <w:szCs w:val="24"/>
              </w:rPr>
            </w:pPr>
            <w:r w:rsidRPr="00170469">
              <w:rPr>
                <w:rFonts w:ascii="Arial" w:hAnsi="Arial" w:cs="Arial"/>
                <w:sz w:val="24"/>
                <w:szCs w:val="24"/>
              </w:rPr>
              <w:t>National</w:t>
            </w:r>
          </w:p>
        </w:tc>
        <w:tc>
          <w:tcPr>
            <w:tcW w:w="1570" w:type="dxa"/>
            <w:shd w:val="clear" w:color="auto" w:fill="auto"/>
          </w:tcPr>
          <w:p w14:paraId="20D117B2" w14:textId="77777777" w:rsidR="00170469" w:rsidRPr="00170469" w:rsidRDefault="00170469" w:rsidP="0052703E">
            <w:pPr>
              <w:rPr>
                <w:rFonts w:ascii="Arial" w:hAnsi="Arial" w:cs="Arial"/>
                <w:sz w:val="24"/>
                <w:szCs w:val="24"/>
              </w:rPr>
            </w:pPr>
            <w:r w:rsidRPr="00170469">
              <w:rPr>
                <w:rFonts w:ascii="Arial" w:hAnsi="Arial" w:cs="Arial"/>
                <w:sz w:val="24"/>
                <w:szCs w:val="24"/>
              </w:rPr>
              <w:t>Alcohol</w:t>
            </w:r>
          </w:p>
        </w:tc>
        <w:tc>
          <w:tcPr>
            <w:tcW w:w="937" w:type="dxa"/>
            <w:vMerge/>
            <w:shd w:val="clear" w:color="auto" w:fill="auto"/>
          </w:tcPr>
          <w:p w14:paraId="1086CD5A" w14:textId="77777777" w:rsidR="00170469" w:rsidRPr="00170469" w:rsidRDefault="00170469" w:rsidP="0052703E">
            <w:pPr>
              <w:rPr>
                <w:rFonts w:ascii="Arial" w:hAnsi="Arial" w:cs="Arial"/>
                <w:sz w:val="24"/>
                <w:szCs w:val="24"/>
              </w:rPr>
            </w:pPr>
          </w:p>
        </w:tc>
        <w:tc>
          <w:tcPr>
            <w:tcW w:w="1253" w:type="dxa"/>
            <w:vMerge/>
            <w:shd w:val="clear" w:color="auto" w:fill="auto"/>
          </w:tcPr>
          <w:p w14:paraId="1E80A653" w14:textId="77777777" w:rsidR="00170469" w:rsidRPr="00170469" w:rsidRDefault="00170469" w:rsidP="0052703E">
            <w:pPr>
              <w:rPr>
                <w:rFonts w:ascii="Arial" w:hAnsi="Arial" w:cs="Arial"/>
                <w:sz w:val="24"/>
                <w:szCs w:val="24"/>
              </w:rPr>
            </w:pPr>
          </w:p>
        </w:tc>
      </w:tr>
      <w:tr w:rsidR="00170469" w:rsidRPr="00170469" w14:paraId="0AA0E610" w14:textId="77777777" w:rsidTr="00170469">
        <w:tc>
          <w:tcPr>
            <w:tcW w:w="399" w:type="dxa"/>
            <w:vMerge w:val="restart"/>
            <w:shd w:val="clear" w:color="auto" w:fill="auto"/>
          </w:tcPr>
          <w:p w14:paraId="7B1F2492" w14:textId="77777777" w:rsidR="00170469" w:rsidRPr="00170469" w:rsidRDefault="00170469" w:rsidP="0052703E">
            <w:pPr>
              <w:rPr>
                <w:rFonts w:ascii="Arial" w:hAnsi="Arial" w:cs="Arial"/>
                <w:sz w:val="24"/>
                <w:szCs w:val="24"/>
              </w:rPr>
            </w:pPr>
            <w:r w:rsidRPr="00170469">
              <w:rPr>
                <w:rFonts w:ascii="Arial" w:hAnsi="Arial" w:cs="Arial"/>
                <w:sz w:val="24"/>
                <w:szCs w:val="24"/>
              </w:rPr>
              <w:t>4</w:t>
            </w:r>
          </w:p>
        </w:tc>
        <w:tc>
          <w:tcPr>
            <w:tcW w:w="1745" w:type="dxa"/>
            <w:vMerge w:val="restart"/>
            <w:shd w:val="clear" w:color="auto" w:fill="auto"/>
          </w:tcPr>
          <w:p w14:paraId="74CB01C0" w14:textId="77777777" w:rsidR="00170469" w:rsidRPr="00170469" w:rsidRDefault="00170469" w:rsidP="0052703E">
            <w:pPr>
              <w:rPr>
                <w:rFonts w:ascii="Arial" w:hAnsi="Arial" w:cs="Arial"/>
                <w:sz w:val="24"/>
                <w:szCs w:val="24"/>
              </w:rPr>
            </w:pPr>
            <w:r w:rsidRPr="00170469">
              <w:rPr>
                <w:rFonts w:ascii="Arial" w:hAnsi="Arial" w:cs="Arial"/>
                <w:sz w:val="24"/>
                <w:szCs w:val="24"/>
              </w:rPr>
              <w:t>Total exits (16 data items and 4 reports in total)</w:t>
            </w:r>
          </w:p>
        </w:tc>
        <w:tc>
          <w:tcPr>
            <w:tcW w:w="1430" w:type="dxa"/>
            <w:vMerge w:val="restart"/>
            <w:shd w:val="clear" w:color="auto" w:fill="auto"/>
          </w:tcPr>
          <w:p w14:paraId="2B0F27C0" w14:textId="77777777" w:rsidR="00170469" w:rsidRPr="00170469" w:rsidRDefault="00170469" w:rsidP="0052703E">
            <w:pPr>
              <w:rPr>
                <w:rFonts w:ascii="Arial" w:hAnsi="Arial" w:cs="Arial"/>
                <w:sz w:val="24"/>
                <w:szCs w:val="24"/>
              </w:rPr>
            </w:pPr>
            <w:r w:rsidRPr="00170469">
              <w:rPr>
                <w:rFonts w:ascii="Arial" w:hAnsi="Arial" w:cs="Arial"/>
                <w:sz w:val="24"/>
                <w:szCs w:val="24"/>
              </w:rPr>
              <w:t>Monthly</w:t>
            </w:r>
          </w:p>
        </w:tc>
        <w:tc>
          <w:tcPr>
            <w:tcW w:w="1592" w:type="dxa"/>
            <w:shd w:val="clear" w:color="auto" w:fill="auto"/>
          </w:tcPr>
          <w:p w14:paraId="7F74B41B" w14:textId="77777777" w:rsidR="00170469" w:rsidRPr="00170469" w:rsidRDefault="00170469" w:rsidP="0052703E">
            <w:pPr>
              <w:rPr>
                <w:rFonts w:ascii="Arial" w:hAnsi="Arial" w:cs="Arial"/>
                <w:sz w:val="24"/>
                <w:szCs w:val="24"/>
              </w:rPr>
            </w:pPr>
            <w:r w:rsidRPr="00170469">
              <w:rPr>
                <w:rFonts w:ascii="Arial" w:hAnsi="Arial" w:cs="Arial"/>
                <w:sz w:val="24"/>
                <w:szCs w:val="24"/>
              </w:rPr>
              <w:t>Provider</w:t>
            </w:r>
          </w:p>
        </w:tc>
        <w:tc>
          <w:tcPr>
            <w:tcW w:w="1570" w:type="dxa"/>
            <w:shd w:val="clear" w:color="auto" w:fill="auto"/>
          </w:tcPr>
          <w:p w14:paraId="3B2E7B53" w14:textId="77777777" w:rsidR="00170469" w:rsidRPr="00170469" w:rsidRDefault="00170469" w:rsidP="0052703E">
            <w:pPr>
              <w:rPr>
                <w:rFonts w:ascii="Arial" w:hAnsi="Arial" w:cs="Arial"/>
                <w:sz w:val="24"/>
                <w:szCs w:val="24"/>
              </w:rPr>
            </w:pPr>
            <w:r w:rsidRPr="00170469">
              <w:rPr>
                <w:rFonts w:ascii="Arial" w:hAnsi="Arial" w:cs="Arial"/>
                <w:sz w:val="24"/>
                <w:szCs w:val="24"/>
              </w:rPr>
              <w:t>Opiate</w:t>
            </w:r>
          </w:p>
        </w:tc>
        <w:tc>
          <w:tcPr>
            <w:tcW w:w="937" w:type="dxa"/>
            <w:vMerge w:val="restart"/>
            <w:shd w:val="clear" w:color="auto" w:fill="auto"/>
          </w:tcPr>
          <w:p w14:paraId="013E0163" w14:textId="77777777" w:rsidR="00170469" w:rsidRPr="00170469" w:rsidRDefault="00170469" w:rsidP="0052703E">
            <w:pPr>
              <w:rPr>
                <w:rFonts w:ascii="Arial" w:hAnsi="Arial" w:cs="Arial"/>
                <w:sz w:val="24"/>
                <w:szCs w:val="24"/>
              </w:rPr>
            </w:pPr>
            <w:r w:rsidRPr="00170469">
              <w:rPr>
                <w:rFonts w:ascii="Arial" w:hAnsi="Arial" w:cs="Arial"/>
                <w:sz w:val="24"/>
                <w:szCs w:val="24"/>
              </w:rPr>
              <w:t>18 and over</w:t>
            </w:r>
          </w:p>
        </w:tc>
        <w:tc>
          <w:tcPr>
            <w:tcW w:w="1253" w:type="dxa"/>
            <w:vMerge w:val="restart"/>
            <w:shd w:val="clear" w:color="auto" w:fill="auto"/>
          </w:tcPr>
          <w:p w14:paraId="42C7EB76" w14:textId="77777777" w:rsidR="00170469" w:rsidRPr="00170469" w:rsidRDefault="00170469" w:rsidP="0052703E">
            <w:pPr>
              <w:rPr>
                <w:rFonts w:ascii="Arial" w:hAnsi="Arial" w:cs="Arial"/>
                <w:sz w:val="24"/>
                <w:szCs w:val="24"/>
              </w:rPr>
            </w:pPr>
            <w:r w:rsidRPr="00170469">
              <w:rPr>
                <w:rFonts w:ascii="Arial" w:hAnsi="Arial" w:cs="Arial"/>
                <w:sz w:val="24"/>
                <w:szCs w:val="24"/>
              </w:rPr>
              <w:t>Year to date</w:t>
            </w:r>
          </w:p>
        </w:tc>
      </w:tr>
      <w:tr w:rsidR="00170469" w:rsidRPr="00170469" w14:paraId="1E0CCEF1" w14:textId="77777777" w:rsidTr="00170469">
        <w:tc>
          <w:tcPr>
            <w:tcW w:w="399" w:type="dxa"/>
            <w:vMerge/>
            <w:shd w:val="clear" w:color="auto" w:fill="auto"/>
          </w:tcPr>
          <w:p w14:paraId="59A6AABC" w14:textId="77777777" w:rsidR="00170469" w:rsidRPr="00170469" w:rsidRDefault="00170469" w:rsidP="0052703E">
            <w:pPr>
              <w:rPr>
                <w:rFonts w:ascii="Arial" w:hAnsi="Arial" w:cs="Arial"/>
                <w:sz w:val="24"/>
                <w:szCs w:val="24"/>
              </w:rPr>
            </w:pPr>
          </w:p>
        </w:tc>
        <w:tc>
          <w:tcPr>
            <w:tcW w:w="1745" w:type="dxa"/>
            <w:vMerge/>
            <w:shd w:val="clear" w:color="auto" w:fill="auto"/>
          </w:tcPr>
          <w:p w14:paraId="69F0CD9A" w14:textId="77777777" w:rsidR="00170469" w:rsidRPr="00170469" w:rsidRDefault="00170469" w:rsidP="0052703E">
            <w:pPr>
              <w:rPr>
                <w:rFonts w:ascii="Arial" w:hAnsi="Arial" w:cs="Arial"/>
                <w:sz w:val="24"/>
                <w:szCs w:val="24"/>
              </w:rPr>
            </w:pPr>
          </w:p>
        </w:tc>
        <w:tc>
          <w:tcPr>
            <w:tcW w:w="1430" w:type="dxa"/>
            <w:vMerge/>
            <w:shd w:val="clear" w:color="auto" w:fill="auto"/>
          </w:tcPr>
          <w:p w14:paraId="560C8EF2" w14:textId="77777777" w:rsidR="00170469" w:rsidRPr="00170469" w:rsidRDefault="00170469" w:rsidP="0052703E">
            <w:pPr>
              <w:rPr>
                <w:rFonts w:ascii="Arial" w:hAnsi="Arial" w:cs="Arial"/>
                <w:sz w:val="24"/>
                <w:szCs w:val="24"/>
              </w:rPr>
            </w:pPr>
          </w:p>
        </w:tc>
        <w:tc>
          <w:tcPr>
            <w:tcW w:w="1592" w:type="dxa"/>
            <w:shd w:val="clear" w:color="auto" w:fill="auto"/>
          </w:tcPr>
          <w:p w14:paraId="3AD4B960" w14:textId="77777777" w:rsidR="00170469" w:rsidRPr="00170469" w:rsidRDefault="00170469" w:rsidP="0052703E">
            <w:pPr>
              <w:rPr>
                <w:rFonts w:ascii="Arial" w:hAnsi="Arial" w:cs="Arial"/>
                <w:sz w:val="24"/>
                <w:szCs w:val="24"/>
              </w:rPr>
            </w:pPr>
            <w:r w:rsidRPr="00170469">
              <w:rPr>
                <w:rFonts w:ascii="Arial" w:hAnsi="Arial" w:cs="Arial"/>
                <w:sz w:val="24"/>
                <w:szCs w:val="24"/>
              </w:rPr>
              <w:t>Partnership</w:t>
            </w:r>
          </w:p>
        </w:tc>
        <w:tc>
          <w:tcPr>
            <w:tcW w:w="1570" w:type="dxa"/>
            <w:shd w:val="clear" w:color="auto" w:fill="auto"/>
          </w:tcPr>
          <w:p w14:paraId="0DD85B17" w14:textId="77777777" w:rsidR="00170469" w:rsidRPr="00170469" w:rsidRDefault="00170469" w:rsidP="0052703E">
            <w:pPr>
              <w:rPr>
                <w:rFonts w:ascii="Arial" w:hAnsi="Arial" w:cs="Arial"/>
                <w:sz w:val="24"/>
                <w:szCs w:val="24"/>
              </w:rPr>
            </w:pPr>
            <w:r w:rsidRPr="00170469">
              <w:rPr>
                <w:rFonts w:ascii="Arial" w:hAnsi="Arial" w:cs="Arial"/>
                <w:sz w:val="24"/>
                <w:szCs w:val="24"/>
              </w:rPr>
              <w:t>Non-opiate only</w:t>
            </w:r>
          </w:p>
        </w:tc>
        <w:tc>
          <w:tcPr>
            <w:tcW w:w="937" w:type="dxa"/>
            <w:vMerge/>
            <w:shd w:val="clear" w:color="auto" w:fill="auto"/>
          </w:tcPr>
          <w:p w14:paraId="402B3236" w14:textId="77777777" w:rsidR="00170469" w:rsidRPr="00170469" w:rsidRDefault="00170469" w:rsidP="0052703E">
            <w:pPr>
              <w:rPr>
                <w:rFonts w:ascii="Arial" w:hAnsi="Arial" w:cs="Arial"/>
                <w:sz w:val="24"/>
                <w:szCs w:val="24"/>
              </w:rPr>
            </w:pPr>
          </w:p>
        </w:tc>
        <w:tc>
          <w:tcPr>
            <w:tcW w:w="1253" w:type="dxa"/>
            <w:vMerge/>
            <w:shd w:val="clear" w:color="auto" w:fill="auto"/>
          </w:tcPr>
          <w:p w14:paraId="54320594" w14:textId="77777777" w:rsidR="00170469" w:rsidRPr="00170469" w:rsidRDefault="00170469" w:rsidP="0052703E">
            <w:pPr>
              <w:rPr>
                <w:rFonts w:ascii="Arial" w:hAnsi="Arial" w:cs="Arial"/>
                <w:sz w:val="24"/>
                <w:szCs w:val="24"/>
              </w:rPr>
            </w:pPr>
          </w:p>
        </w:tc>
      </w:tr>
      <w:tr w:rsidR="00170469" w:rsidRPr="00170469" w14:paraId="7D95D15A" w14:textId="77777777" w:rsidTr="00170469">
        <w:tc>
          <w:tcPr>
            <w:tcW w:w="399" w:type="dxa"/>
            <w:vMerge/>
            <w:shd w:val="clear" w:color="auto" w:fill="auto"/>
          </w:tcPr>
          <w:p w14:paraId="6C6BB4A9" w14:textId="77777777" w:rsidR="00170469" w:rsidRPr="00170469" w:rsidRDefault="00170469" w:rsidP="00170469">
            <w:pPr>
              <w:rPr>
                <w:rFonts w:ascii="Arial" w:hAnsi="Arial" w:cs="Arial"/>
                <w:sz w:val="24"/>
                <w:szCs w:val="24"/>
              </w:rPr>
            </w:pPr>
          </w:p>
        </w:tc>
        <w:tc>
          <w:tcPr>
            <w:tcW w:w="1745" w:type="dxa"/>
            <w:vMerge/>
            <w:shd w:val="clear" w:color="auto" w:fill="auto"/>
          </w:tcPr>
          <w:p w14:paraId="7AFEB1AD" w14:textId="77777777" w:rsidR="00170469" w:rsidRPr="00170469" w:rsidRDefault="00170469" w:rsidP="00170469">
            <w:pPr>
              <w:rPr>
                <w:rFonts w:ascii="Arial" w:hAnsi="Arial" w:cs="Arial"/>
                <w:sz w:val="24"/>
                <w:szCs w:val="24"/>
              </w:rPr>
            </w:pPr>
          </w:p>
        </w:tc>
        <w:tc>
          <w:tcPr>
            <w:tcW w:w="1430" w:type="dxa"/>
            <w:vMerge/>
            <w:shd w:val="clear" w:color="auto" w:fill="auto"/>
          </w:tcPr>
          <w:p w14:paraId="17F32479" w14:textId="77777777" w:rsidR="00170469" w:rsidRPr="00170469" w:rsidRDefault="00170469" w:rsidP="00170469">
            <w:pPr>
              <w:rPr>
                <w:rFonts w:ascii="Arial" w:hAnsi="Arial" w:cs="Arial"/>
                <w:sz w:val="24"/>
                <w:szCs w:val="24"/>
              </w:rPr>
            </w:pPr>
          </w:p>
        </w:tc>
        <w:tc>
          <w:tcPr>
            <w:tcW w:w="1592" w:type="dxa"/>
            <w:shd w:val="clear" w:color="auto" w:fill="auto"/>
          </w:tcPr>
          <w:p w14:paraId="65CAFBB7" w14:textId="398FBB14" w:rsidR="00170469" w:rsidRPr="00170469" w:rsidRDefault="00170469" w:rsidP="00170469">
            <w:pPr>
              <w:rPr>
                <w:rFonts w:ascii="Arial" w:hAnsi="Arial" w:cs="Arial"/>
                <w:sz w:val="24"/>
                <w:szCs w:val="24"/>
              </w:rPr>
            </w:pPr>
            <w:r>
              <w:rPr>
                <w:rFonts w:ascii="Arial" w:hAnsi="Arial" w:cs="Arial"/>
                <w:sz w:val="24"/>
                <w:szCs w:val="24"/>
              </w:rPr>
              <w:t>PHE</w:t>
            </w:r>
            <w:r w:rsidRPr="00170469">
              <w:rPr>
                <w:rFonts w:ascii="Arial" w:hAnsi="Arial" w:cs="Arial"/>
                <w:sz w:val="24"/>
                <w:szCs w:val="24"/>
              </w:rPr>
              <w:t xml:space="preserve"> Centre</w:t>
            </w:r>
          </w:p>
        </w:tc>
        <w:tc>
          <w:tcPr>
            <w:tcW w:w="1570" w:type="dxa"/>
            <w:shd w:val="clear" w:color="auto" w:fill="auto"/>
          </w:tcPr>
          <w:p w14:paraId="37277971" w14:textId="77777777" w:rsidR="00170469" w:rsidRPr="00170469" w:rsidRDefault="00170469" w:rsidP="00170469">
            <w:pPr>
              <w:rPr>
                <w:rFonts w:ascii="Arial" w:hAnsi="Arial" w:cs="Arial"/>
                <w:sz w:val="24"/>
                <w:szCs w:val="24"/>
              </w:rPr>
            </w:pPr>
            <w:r w:rsidRPr="00170469">
              <w:rPr>
                <w:rFonts w:ascii="Arial" w:hAnsi="Arial" w:cs="Arial"/>
                <w:sz w:val="24"/>
                <w:szCs w:val="24"/>
              </w:rPr>
              <w:t>Non-opiate and alcohol</w:t>
            </w:r>
          </w:p>
        </w:tc>
        <w:tc>
          <w:tcPr>
            <w:tcW w:w="937" w:type="dxa"/>
            <w:vMerge/>
            <w:shd w:val="clear" w:color="auto" w:fill="auto"/>
          </w:tcPr>
          <w:p w14:paraId="006AB55A" w14:textId="77777777" w:rsidR="00170469" w:rsidRPr="00170469" w:rsidRDefault="00170469" w:rsidP="00170469">
            <w:pPr>
              <w:rPr>
                <w:rFonts w:ascii="Arial" w:hAnsi="Arial" w:cs="Arial"/>
                <w:sz w:val="24"/>
                <w:szCs w:val="24"/>
              </w:rPr>
            </w:pPr>
          </w:p>
        </w:tc>
        <w:tc>
          <w:tcPr>
            <w:tcW w:w="1253" w:type="dxa"/>
            <w:vMerge/>
            <w:shd w:val="clear" w:color="auto" w:fill="auto"/>
          </w:tcPr>
          <w:p w14:paraId="18BBF43F" w14:textId="77777777" w:rsidR="00170469" w:rsidRPr="00170469" w:rsidRDefault="00170469" w:rsidP="00170469">
            <w:pPr>
              <w:rPr>
                <w:rFonts w:ascii="Arial" w:hAnsi="Arial" w:cs="Arial"/>
                <w:sz w:val="24"/>
                <w:szCs w:val="24"/>
              </w:rPr>
            </w:pPr>
          </w:p>
        </w:tc>
      </w:tr>
      <w:tr w:rsidR="00170469" w:rsidRPr="00170469" w14:paraId="6903C968" w14:textId="77777777" w:rsidTr="00170469">
        <w:tc>
          <w:tcPr>
            <w:tcW w:w="399" w:type="dxa"/>
            <w:vMerge/>
            <w:shd w:val="clear" w:color="auto" w:fill="auto"/>
          </w:tcPr>
          <w:p w14:paraId="778D6570" w14:textId="77777777" w:rsidR="00170469" w:rsidRPr="00170469" w:rsidRDefault="00170469" w:rsidP="0052703E">
            <w:pPr>
              <w:rPr>
                <w:rFonts w:ascii="Arial" w:hAnsi="Arial" w:cs="Arial"/>
                <w:sz w:val="24"/>
                <w:szCs w:val="24"/>
              </w:rPr>
            </w:pPr>
          </w:p>
        </w:tc>
        <w:tc>
          <w:tcPr>
            <w:tcW w:w="1745" w:type="dxa"/>
            <w:vMerge/>
            <w:shd w:val="clear" w:color="auto" w:fill="auto"/>
          </w:tcPr>
          <w:p w14:paraId="067965F6" w14:textId="77777777" w:rsidR="00170469" w:rsidRPr="00170469" w:rsidRDefault="00170469" w:rsidP="0052703E">
            <w:pPr>
              <w:rPr>
                <w:rFonts w:ascii="Arial" w:hAnsi="Arial" w:cs="Arial"/>
                <w:sz w:val="24"/>
                <w:szCs w:val="24"/>
              </w:rPr>
            </w:pPr>
          </w:p>
        </w:tc>
        <w:tc>
          <w:tcPr>
            <w:tcW w:w="1430" w:type="dxa"/>
            <w:vMerge/>
            <w:shd w:val="clear" w:color="auto" w:fill="auto"/>
          </w:tcPr>
          <w:p w14:paraId="7A4953F9" w14:textId="77777777" w:rsidR="00170469" w:rsidRPr="00170469" w:rsidRDefault="00170469" w:rsidP="0052703E">
            <w:pPr>
              <w:rPr>
                <w:rFonts w:ascii="Arial" w:hAnsi="Arial" w:cs="Arial"/>
                <w:sz w:val="24"/>
                <w:szCs w:val="24"/>
              </w:rPr>
            </w:pPr>
          </w:p>
        </w:tc>
        <w:tc>
          <w:tcPr>
            <w:tcW w:w="1592" w:type="dxa"/>
            <w:shd w:val="clear" w:color="auto" w:fill="auto"/>
          </w:tcPr>
          <w:p w14:paraId="6A276DD7" w14:textId="77777777" w:rsidR="00170469" w:rsidRPr="00170469" w:rsidRDefault="00170469" w:rsidP="0052703E">
            <w:pPr>
              <w:rPr>
                <w:rFonts w:ascii="Arial" w:hAnsi="Arial" w:cs="Arial"/>
                <w:sz w:val="24"/>
                <w:szCs w:val="24"/>
              </w:rPr>
            </w:pPr>
            <w:r w:rsidRPr="00170469">
              <w:rPr>
                <w:rFonts w:ascii="Arial" w:hAnsi="Arial" w:cs="Arial"/>
                <w:sz w:val="24"/>
                <w:szCs w:val="24"/>
              </w:rPr>
              <w:t>National</w:t>
            </w:r>
          </w:p>
        </w:tc>
        <w:tc>
          <w:tcPr>
            <w:tcW w:w="1570" w:type="dxa"/>
            <w:shd w:val="clear" w:color="auto" w:fill="auto"/>
          </w:tcPr>
          <w:p w14:paraId="05ADD103" w14:textId="77777777" w:rsidR="00170469" w:rsidRPr="00170469" w:rsidRDefault="00170469" w:rsidP="0052703E">
            <w:pPr>
              <w:rPr>
                <w:rFonts w:ascii="Arial" w:hAnsi="Arial" w:cs="Arial"/>
                <w:sz w:val="24"/>
                <w:szCs w:val="24"/>
              </w:rPr>
            </w:pPr>
            <w:r w:rsidRPr="00170469">
              <w:rPr>
                <w:rFonts w:ascii="Arial" w:hAnsi="Arial" w:cs="Arial"/>
                <w:sz w:val="24"/>
                <w:szCs w:val="24"/>
              </w:rPr>
              <w:t>Alcohol</w:t>
            </w:r>
          </w:p>
        </w:tc>
        <w:tc>
          <w:tcPr>
            <w:tcW w:w="937" w:type="dxa"/>
            <w:vMerge/>
            <w:shd w:val="clear" w:color="auto" w:fill="auto"/>
          </w:tcPr>
          <w:p w14:paraId="783815E3" w14:textId="77777777" w:rsidR="00170469" w:rsidRPr="00170469" w:rsidRDefault="00170469" w:rsidP="0052703E">
            <w:pPr>
              <w:rPr>
                <w:rFonts w:ascii="Arial" w:hAnsi="Arial" w:cs="Arial"/>
                <w:sz w:val="24"/>
                <w:szCs w:val="24"/>
              </w:rPr>
            </w:pPr>
          </w:p>
        </w:tc>
        <w:tc>
          <w:tcPr>
            <w:tcW w:w="1253" w:type="dxa"/>
            <w:vMerge/>
            <w:shd w:val="clear" w:color="auto" w:fill="auto"/>
          </w:tcPr>
          <w:p w14:paraId="1AAC8F57" w14:textId="77777777" w:rsidR="00170469" w:rsidRPr="00170469" w:rsidRDefault="00170469" w:rsidP="0052703E">
            <w:pPr>
              <w:rPr>
                <w:rFonts w:ascii="Arial" w:hAnsi="Arial" w:cs="Arial"/>
                <w:sz w:val="24"/>
                <w:szCs w:val="24"/>
              </w:rPr>
            </w:pPr>
          </w:p>
        </w:tc>
      </w:tr>
      <w:tr w:rsidR="00170469" w:rsidRPr="00170469" w14:paraId="02E2A14D" w14:textId="77777777" w:rsidTr="00170469">
        <w:tc>
          <w:tcPr>
            <w:tcW w:w="399" w:type="dxa"/>
            <w:vMerge w:val="restart"/>
            <w:shd w:val="clear" w:color="auto" w:fill="auto"/>
          </w:tcPr>
          <w:p w14:paraId="51527B96" w14:textId="77777777" w:rsidR="00170469" w:rsidRPr="00170469" w:rsidRDefault="00170469" w:rsidP="0052703E">
            <w:pPr>
              <w:rPr>
                <w:rFonts w:ascii="Arial" w:hAnsi="Arial" w:cs="Arial"/>
                <w:sz w:val="24"/>
                <w:szCs w:val="24"/>
              </w:rPr>
            </w:pPr>
            <w:r w:rsidRPr="00170469">
              <w:rPr>
                <w:rFonts w:ascii="Arial" w:hAnsi="Arial" w:cs="Arial"/>
                <w:sz w:val="24"/>
                <w:szCs w:val="24"/>
              </w:rPr>
              <w:t>5</w:t>
            </w:r>
          </w:p>
        </w:tc>
        <w:tc>
          <w:tcPr>
            <w:tcW w:w="1745" w:type="dxa"/>
            <w:vMerge w:val="restart"/>
            <w:shd w:val="clear" w:color="auto" w:fill="auto"/>
          </w:tcPr>
          <w:p w14:paraId="645C1D68" w14:textId="412A8E7A" w:rsidR="00170469" w:rsidRPr="00170469" w:rsidRDefault="00170469" w:rsidP="0052703E">
            <w:pPr>
              <w:rPr>
                <w:rFonts w:ascii="Arial" w:hAnsi="Arial" w:cs="Arial"/>
                <w:sz w:val="24"/>
                <w:szCs w:val="24"/>
              </w:rPr>
            </w:pPr>
            <w:r>
              <w:rPr>
                <w:rFonts w:ascii="Arial" w:hAnsi="Arial" w:cs="Arial"/>
                <w:sz w:val="24"/>
                <w:szCs w:val="24"/>
              </w:rPr>
              <w:t>Young people</w:t>
            </w:r>
            <w:r w:rsidRPr="00170469">
              <w:rPr>
                <w:rFonts w:ascii="Arial" w:hAnsi="Arial" w:cs="Arial"/>
                <w:sz w:val="24"/>
                <w:szCs w:val="24"/>
              </w:rPr>
              <w:t xml:space="preserve"> in treatment (4 data items and 4 reports in total)</w:t>
            </w:r>
          </w:p>
        </w:tc>
        <w:tc>
          <w:tcPr>
            <w:tcW w:w="1430" w:type="dxa"/>
            <w:vMerge w:val="restart"/>
            <w:shd w:val="clear" w:color="auto" w:fill="auto"/>
          </w:tcPr>
          <w:p w14:paraId="3CE0F88C" w14:textId="77777777" w:rsidR="00170469" w:rsidRPr="00170469" w:rsidRDefault="00170469" w:rsidP="0052703E">
            <w:pPr>
              <w:rPr>
                <w:rFonts w:ascii="Arial" w:hAnsi="Arial" w:cs="Arial"/>
                <w:sz w:val="24"/>
                <w:szCs w:val="24"/>
              </w:rPr>
            </w:pPr>
            <w:r w:rsidRPr="00170469">
              <w:rPr>
                <w:rFonts w:ascii="Arial" w:hAnsi="Arial" w:cs="Arial"/>
                <w:sz w:val="24"/>
                <w:szCs w:val="24"/>
              </w:rPr>
              <w:t>Monthly</w:t>
            </w:r>
          </w:p>
        </w:tc>
        <w:tc>
          <w:tcPr>
            <w:tcW w:w="1592" w:type="dxa"/>
            <w:shd w:val="clear" w:color="auto" w:fill="auto"/>
          </w:tcPr>
          <w:p w14:paraId="1DABDD91" w14:textId="77777777" w:rsidR="00170469" w:rsidRPr="00170469" w:rsidRDefault="00170469" w:rsidP="0052703E">
            <w:pPr>
              <w:rPr>
                <w:rFonts w:ascii="Arial" w:hAnsi="Arial" w:cs="Arial"/>
                <w:sz w:val="24"/>
                <w:szCs w:val="24"/>
              </w:rPr>
            </w:pPr>
            <w:r w:rsidRPr="00170469">
              <w:rPr>
                <w:rFonts w:ascii="Arial" w:hAnsi="Arial" w:cs="Arial"/>
                <w:sz w:val="24"/>
                <w:szCs w:val="24"/>
              </w:rPr>
              <w:t>Provider</w:t>
            </w:r>
          </w:p>
        </w:tc>
        <w:tc>
          <w:tcPr>
            <w:tcW w:w="1570" w:type="dxa"/>
            <w:vMerge w:val="restart"/>
            <w:shd w:val="clear" w:color="auto" w:fill="auto"/>
          </w:tcPr>
          <w:p w14:paraId="655FBAD2" w14:textId="77777777" w:rsidR="00170469" w:rsidRPr="00170469" w:rsidRDefault="00170469" w:rsidP="0052703E">
            <w:pPr>
              <w:rPr>
                <w:rFonts w:ascii="Arial" w:hAnsi="Arial" w:cs="Arial"/>
                <w:sz w:val="24"/>
                <w:szCs w:val="24"/>
              </w:rPr>
            </w:pPr>
            <w:r w:rsidRPr="00170469">
              <w:rPr>
                <w:rFonts w:ascii="Arial" w:hAnsi="Arial" w:cs="Arial"/>
                <w:sz w:val="24"/>
                <w:szCs w:val="24"/>
              </w:rPr>
              <w:t>All substances</w:t>
            </w:r>
          </w:p>
        </w:tc>
        <w:tc>
          <w:tcPr>
            <w:tcW w:w="937" w:type="dxa"/>
            <w:vMerge w:val="restart"/>
            <w:shd w:val="clear" w:color="auto" w:fill="auto"/>
          </w:tcPr>
          <w:p w14:paraId="248EFE81" w14:textId="77777777" w:rsidR="00170469" w:rsidRPr="00170469" w:rsidRDefault="00170469" w:rsidP="0052703E">
            <w:pPr>
              <w:rPr>
                <w:rFonts w:ascii="Arial" w:hAnsi="Arial" w:cs="Arial"/>
                <w:sz w:val="24"/>
                <w:szCs w:val="24"/>
              </w:rPr>
            </w:pPr>
            <w:r w:rsidRPr="00170469">
              <w:rPr>
                <w:rFonts w:ascii="Arial" w:hAnsi="Arial" w:cs="Arial"/>
                <w:sz w:val="24"/>
                <w:szCs w:val="24"/>
              </w:rPr>
              <w:t>Young people</w:t>
            </w:r>
          </w:p>
        </w:tc>
        <w:tc>
          <w:tcPr>
            <w:tcW w:w="1253" w:type="dxa"/>
            <w:vMerge w:val="restart"/>
            <w:shd w:val="clear" w:color="auto" w:fill="auto"/>
          </w:tcPr>
          <w:p w14:paraId="1CC66A24" w14:textId="77777777" w:rsidR="00170469" w:rsidRPr="00170469" w:rsidRDefault="00170469" w:rsidP="0052703E">
            <w:pPr>
              <w:rPr>
                <w:rFonts w:ascii="Arial" w:hAnsi="Arial" w:cs="Arial"/>
                <w:sz w:val="24"/>
                <w:szCs w:val="24"/>
              </w:rPr>
            </w:pPr>
            <w:r w:rsidRPr="00170469">
              <w:rPr>
                <w:rFonts w:ascii="Arial" w:hAnsi="Arial" w:cs="Arial"/>
                <w:sz w:val="24"/>
                <w:szCs w:val="24"/>
              </w:rPr>
              <w:t>In month</w:t>
            </w:r>
          </w:p>
        </w:tc>
      </w:tr>
      <w:tr w:rsidR="00170469" w:rsidRPr="00170469" w14:paraId="419ECDD0" w14:textId="77777777" w:rsidTr="00170469">
        <w:tc>
          <w:tcPr>
            <w:tcW w:w="399" w:type="dxa"/>
            <w:vMerge/>
            <w:shd w:val="clear" w:color="auto" w:fill="auto"/>
          </w:tcPr>
          <w:p w14:paraId="4B52BF9E" w14:textId="77777777" w:rsidR="00170469" w:rsidRPr="00170469" w:rsidRDefault="00170469" w:rsidP="0052703E">
            <w:pPr>
              <w:rPr>
                <w:rFonts w:ascii="Arial" w:hAnsi="Arial" w:cs="Arial"/>
                <w:sz w:val="24"/>
                <w:szCs w:val="24"/>
              </w:rPr>
            </w:pPr>
          </w:p>
        </w:tc>
        <w:tc>
          <w:tcPr>
            <w:tcW w:w="1745" w:type="dxa"/>
            <w:vMerge/>
            <w:shd w:val="clear" w:color="auto" w:fill="auto"/>
          </w:tcPr>
          <w:p w14:paraId="408DF687" w14:textId="77777777" w:rsidR="00170469" w:rsidRPr="00170469" w:rsidRDefault="00170469" w:rsidP="0052703E">
            <w:pPr>
              <w:rPr>
                <w:rFonts w:ascii="Arial" w:hAnsi="Arial" w:cs="Arial"/>
                <w:sz w:val="24"/>
                <w:szCs w:val="24"/>
              </w:rPr>
            </w:pPr>
          </w:p>
        </w:tc>
        <w:tc>
          <w:tcPr>
            <w:tcW w:w="1430" w:type="dxa"/>
            <w:vMerge/>
            <w:shd w:val="clear" w:color="auto" w:fill="auto"/>
          </w:tcPr>
          <w:p w14:paraId="213779A1" w14:textId="77777777" w:rsidR="00170469" w:rsidRPr="00170469" w:rsidRDefault="00170469" w:rsidP="0052703E">
            <w:pPr>
              <w:rPr>
                <w:rFonts w:ascii="Arial" w:hAnsi="Arial" w:cs="Arial"/>
                <w:sz w:val="24"/>
                <w:szCs w:val="24"/>
              </w:rPr>
            </w:pPr>
          </w:p>
        </w:tc>
        <w:tc>
          <w:tcPr>
            <w:tcW w:w="1592" w:type="dxa"/>
            <w:shd w:val="clear" w:color="auto" w:fill="auto"/>
          </w:tcPr>
          <w:p w14:paraId="6841CE22" w14:textId="77777777" w:rsidR="00170469" w:rsidRPr="00170469" w:rsidRDefault="00170469" w:rsidP="0052703E">
            <w:pPr>
              <w:rPr>
                <w:rFonts w:ascii="Arial" w:hAnsi="Arial" w:cs="Arial"/>
                <w:sz w:val="24"/>
                <w:szCs w:val="24"/>
              </w:rPr>
            </w:pPr>
            <w:r w:rsidRPr="00170469">
              <w:rPr>
                <w:rFonts w:ascii="Arial" w:hAnsi="Arial" w:cs="Arial"/>
                <w:sz w:val="24"/>
                <w:szCs w:val="24"/>
              </w:rPr>
              <w:t>Partnership</w:t>
            </w:r>
          </w:p>
        </w:tc>
        <w:tc>
          <w:tcPr>
            <w:tcW w:w="1570" w:type="dxa"/>
            <w:vMerge/>
            <w:shd w:val="clear" w:color="auto" w:fill="auto"/>
          </w:tcPr>
          <w:p w14:paraId="3F8DD47B" w14:textId="77777777" w:rsidR="00170469" w:rsidRPr="00170469" w:rsidRDefault="00170469" w:rsidP="0052703E">
            <w:pPr>
              <w:rPr>
                <w:rFonts w:ascii="Arial" w:hAnsi="Arial" w:cs="Arial"/>
                <w:sz w:val="24"/>
                <w:szCs w:val="24"/>
              </w:rPr>
            </w:pPr>
          </w:p>
        </w:tc>
        <w:tc>
          <w:tcPr>
            <w:tcW w:w="937" w:type="dxa"/>
            <w:vMerge/>
            <w:shd w:val="clear" w:color="auto" w:fill="auto"/>
          </w:tcPr>
          <w:p w14:paraId="3F1D3C43" w14:textId="77777777" w:rsidR="00170469" w:rsidRPr="00170469" w:rsidRDefault="00170469" w:rsidP="0052703E">
            <w:pPr>
              <w:rPr>
                <w:rFonts w:ascii="Arial" w:hAnsi="Arial" w:cs="Arial"/>
                <w:sz w:val="24"/>
                <w:szCs w:val="24"/>
              </w:rPr>
            </w:pPr>
          </w:p>
        </w:tc>
        <w:tc>
          <w:tcPr>
            <w:tcW w:w="1253" w:type="dxa"/>
            <w:vMerge/>
            <w:shd w:val="clear" w:color="auto" w:fill="auto"/>
          </w:tcPr>
          <w:p w14:paraId="5F9DBE6A" w14:textId="77777777" w:rsidR="00170469" w:rsidRPr="00170469" w:rsidRDefault="00170469" w:rsidP="0052703E">
            <w:pPr>
              <w:rPr>
                <w:rFonts w:ascii="Arial" w:hAnsi="Arial" w:cs="Arial"/>
                <w:sz w:val="24"/>
                <w:szCs w:val="24"/>
              </w:rPr>
            </w:pPr>
          </w:p>
        </w:tc>
      </w:tr>
      <w:tr w:rsidR="00170469" w:rsidRPr="00170469" w14:paraId="0E546D78" w14:textId="77777777" w:rsidTr="00170469">
        <w:tc>
          <w:tcPr>
            <w:tcW w:w="399" w:type="dxa"/>
            <w:vMerge/>
            <w:shd w:val="clear" w:color="auto" w:fill="auto"/>
          </w:tcPr>
          <w:p w14:paraId="044A6E39" w14:textId="77777777" w:rsidR="00170469" w:rsidRPr="00170469" w:rsidRDefault="00170469" w:rsidP="00170469">
            <w:pPr>
              <w:rPr>
                <w:rFonts w:ascii="Arial" w:hAnsi="Arial" w:cs="Arial"/>
                <w:sz w:val="24"/>
                <w:szCs w:val="24"/>
              </w:rPr>
            </w:pPr>
          </w:p>
        </w:tc>
        <w:tc>
          <w:tcPr>
            <w:tcW w:w="1745" w:type="dxa"/>
            <w:vMerge/>
            <w:shd w:val="clear" w:color="auto" w:fill="auto"/>
          </w:tcPr>
          <w:p w14:paraId="36732306" w14:textId="77777777" w:rsidR="00170469" w:rsidRPr="00170469" w:rsidRDefault="00170469" w:rsidP="00170469">
            <w:pPr>
              <w:rPr>
                <w:rFonts w:ascii="Arial" w:hAnsi="Arial" w:cs="Arial"/>
                <w:sz w:val="24"/>
                <w:szCs w:val="24"/>
              </w:rPr>
            </w:pPr>
          </w:p>
        </w:tc>
        <w:tc>
          <w:tcPr>
            <w:tcW w:w="1430" w:type="dxa"/>
            <w:vMerge/>
            <w:shd w:val="clear" w:color="auto" w:fill="auto"/>
          </w:tcPr>
          <w:p w14:paraId="7A137E5C" w14:textId="77777777" w:rsidR="00170469" w:rsidRPr="00170469" w:rsidRDefault="00170469" w:rsidP="00170469">
            <w:pPr>
              <w:rPr>
                <w:rFonts w:ascii="Arial" w:hAnsi="Arial" w:cs="Arial"/>
                <w:sz w:val="24"/>
                <w:szCs w:val="24"/>
              </w:rPr>
            </w:pPr>
          </w:p>
        </w:tc>
        <w:tc>
          <w:tcPr>
            <w:tcW w:w="1592" w:type="dxa"/>
            <w:shd w:val="clear" w:color="auto" w:fill="auto"/>
          </w:tcPr>
          <w:p w14:paraId="58E37FD0" w14:textId="768A63EC" w:rsidR="00170469" w:rsidRPr="00170469" w:rsidRDefault="00170469" w:rsidP="00170469">
            <w:pPr>
              <w:rPr>
                <w:rFonts w:ascii="Arial" w:hAnsi="Arial" w:cs="Arial"/>
                <w:sz w:val="24"/>
                <w:szCs w:val="24"/>
              </w:rPr>
            </w:pPr>
            <w:r>
              <w:rPr>
                <w:rFonts w:ascii="Arial" w:hAnsi="Arial" w:cs="Arial"/>
                <w:sz w:val="24"/>
                <w:szCs w:val="24"/>
              </w:rPr>
              <w:t>PHE</w:t>
            </w:r>
            <w:r w:rsidRPr="00170469">
              <w:rPr>
                <w:rFonts w:ascii="Arial" w:hAnsi="Arial" w:cs="Arial"/>
                <w:sz w:val="24"/>
                <w:szCs w:val="24"/>
              </w:rPr>
              <w:t xml:space="preserve"> Centre</w:t>
            </w:r>
          </w:p>
        </w:tc>
        <w:tc>
          <w:tcPr>
            <w:tcW w:w="1570" w:type="dxa"/>
            <w:vMerge/>
            <w:shd w:val="clear" w:color="auto" w:fill="auto"/>
          </w:tcPr>
          <w:p w14:paraId="2AAB3A16" w14:textId="77777777" w:rsidR="00170469" w:rsidRPr="00170469" w:rsidRDefault="00170469" w:rsidP="00170469">
            <w:pPr>
              <w:rPr>
                <w:rFonts w:ascii="Arial" w:hAnsi="Arial" w:cs="Arial"/>
                <w:sz w:val="24"/>
                <w:szCs w:val="24"/>
              </w:rPr>
            </w:pPr>
          </w:p>
        </w:tc>
        <w:tc>
          <w:tcPr>
            <w:tcW w:w="937" w:type="dxa"/>
            <w:vMerge/>
            <w:shd w:val="clear" w:color="auto" w:fill="auto"/>
          </w:tcPr>
          <w:p w14:paraId="05E02A93" w14:textId="77777777" w:rsidR="00170469" w:rsidRPr="00170469" w:rsidRDefault="00170469" w:rsidP="00170469">
            <w:pPr>
              <w:rPr>
                <w:rFonts w:ascii="Arial" w:hAnsi="Arial" w:cs="Arial"/>
                <w:sz w:val="24"/>
                <w:szCs w:val="24"/>
              </w:rPr>
            </w:pPr>
          </w:p>
        </w:tc>
        <w:tc>
          <w:tcPr>
            <w:tcW w:w="1253" w:type="dxa"/>
            <w:vMerge/>
            <w:shd w:val="clear" w:color="auto" w:fill="auto"/>
          </w:tcPr>
          <w:p w14:paraId="03CDEEF2" w14:textId="77777777" w:rsidR="00170469" w:rsidRPr="00170469" w:rsidRDefault="00170469" w:rsidP="00170469">
            <w:pPr>
              <w:rPr>
                <w:rFonts w:ascii="Arial" w:hAnsi="Arial" w:cs="Arial"/>
                <w:sz w:val="24"/>
                <w:szCs w:val="24"/>
              </w:rPr>
            </w:pPr>
          </w:p>
        </w:tc>
      </w:tr>
      <w:tr w:rsidR="00170469" w:rsidRPr="00170469" w14:paraId="6990D61C" w14:textId="77777777" w:rsidTr="00170469">
        <w:tc>
          <w:tcPr>
            <w:tcW w:w="399" w:type="dxa"/>
            <w:vMerge/>
            <w:shd w:val="clear" w:color="auto" w:fill="auto"/>
          </w:tcPr>
          <w:p w14:paraId="57F846DF" w14:textId="77777777" w:rsidR="00170469" w:rsidRPr="00170469" w:rsidRDefault="00170469" w:rsidP="0052703E">
            <w:pPr>
              <w:rPr>
                <w:rFonts w:ascii="Arial" w:hAnsi="Arial" w:cs="Arial"/>
                <w:sz w:val="24"/>
                <w:szCs w:val="24"/>
              </w:rPr>
            </w:pPr>
          </w:p>
        </w:tc>
        <w:tc>
          <w:tcPr>
            <w:tcW w:w="1745" w:type="dxa"/>
            <w:vMerge/>
            <w:shd w:val="clear" w:color="auto" w:fill="auto"/>
          </w:tcPr>
          <w:p w14:paraId="6AC3AE47" w14:textId="77777777" w:rsidR="00170469" w:rsidRPr="00170469" w:rsidRDefault="00170469" w:rsidP="0052703E">
            <w:pPr>
              <w:rPr>
                <w:rFonts w:ascii="Arial" w:hAnsi="Arial" w:cs="Arial"/>
                <w:sz w:val="24"/>
                <w:szCs w:val="24"/>
              </w:rPr>
            </w:pPr>
          </w:p>
        </w:tc>
        <w:tc>
          <w:tcPr>
            <w:tcW w:w="1430" w:type="dxa"/>
            <w:vMerge/>
            <w:shd w:val="clear" w:color="auto" w:fill="auto"/>
          </w:tcPr>
          <w:p w14:paraId="7001CEC1" w14:textId="77777777" w:rsidR="00170469" w:rsidRPr="00170469" w:rsidRDefault="00170469" w:rsidP="0052703E">
            <w:pPr>
              <w:rPr>
                <w:rFonts w:ascii="Arial" w:hAnsi="Arial" w:cs="Arial"/>
                <w:sz w:val="24"/>
                <w:szCs w:val="24"/>
              </w:rPr>
            </w:pPr>
          </w:p>
        </w:tc>
        <w:tc>
          <w:tcPr>
            <w:tcW w:w="1592" w:type="dxa"/>
            <w:shd w:val="clear" w:color="auto" w:fill="auto"/>
          </w:tcPr>
          <w:p w14:paraId="1065B0B6" w14:textId="77777777" w:rsidR="00170469" w:rsidRPr="00170469" w:rsidRDefault="00170469" w:rsidP="0052703E">
            <w:pPr>
              <w:rPr>
                <w:rFonts w:ascii="Arial" w:hAnsi="Arial" w:cs="Arial"/>
                <w:sz w:val="24"/>
                <w:szCs w:val="24"/>
              </w:rPr>
            </w:pPr>
            <w:r w:rsidRPr="00170469">
              <w:rPr>
                <w:rFonts w:ascii="Arial" w:hAnsi="Arial" w:cs="Arial"/>
                <w:sz w:val="24"/>
                <w:szCs w:val="24"/>
              </w:rPr>
              <w:t>National</w:t>
            </w:r>
          </w:p>
        </w:tc>
        <w:tc>
          <w:tcPr>
            <w:tcW w:w="1570" w:type="dxa"/>
            <w:vMerge/>
            <w:shd w:val="clear" w:color="auto" w:fill="auto"/>
          </w:tcPr>
          <w:p w14:paraId="2838ED7E" w14:textId="77777777" w:rsidR="00170469" w:rsidRPr="00170469" w:rsidRDefault="00170469" w:rsidP="0052703E">
            <w:pPr>
              <w:rPr>
                <w:rFonts w:ascii="Arial" w:hAnsi="Arial" w:cs="Arial"/>
                <w:sz w:val="24"/>
                <w:szCs w:val="24"/>
              </w:rPr>
            </w:pPr>
          </w:p>
        </w:tc>
        <w:tc>
          <w:tcPr>
            <w:tcW w:w="937" w:type="dxa"/>
            <w:vMerge/>
            <w:shd w:val="clear" w:color="auto" w:fill="auto"/>
          </w:tcPr>
          <w:p w14:paraId="2AFBB72B" w14:textId="77777777" w:rsidR="00170469" w:rsidRPr="00170469" w:rsidRDefault="00170469" w:rsidP="0052703E">
            <w:pPr>
              <w:rPr>
                <w:rFonts w:ascii="Arial" w:hAnsi="Arial" w:cs="Arial"/>
                <w:sz w:val="24"/>
                <w:szCs w:val="24"/>
              </w:rPr>
            </w:pPr>
          </w:p>
        </w:tc>
        <w:tc>
          <w:tcPr>
            <w:tcW w:w="1253" w:type="dxa"/>
            <w:vMerge/>
            <w:shd w:val="clear" w:color="auto" w:fill="auto"/>
          </w:tcPr>
          <w:p w14:paraId="15AEAF89" w14:textId="77777777" w:rsidR="00170469" w:rsidRPr="00170469" w:rsidRDefault="00170469" w:rsidP="0052703E">
            <w:pPr>
              <w:rPr>
                <w:rFonts w:ascii="Arial" w:hAnsi="Arial" w:cs="Arial"/>
                <w:sz w:val="24"/>
                <w:szCs w:val="24"/>
              </w:rPr>
            </w:pPr>
          </w:p>
        </w:tc>
      </w:tr>
      <w:tr w:rsidR="00170469" w:rsidRPr="00170469" w14:paraId="6A903FFF" w14:textId="77777777" w:rsidTr="00170469">
        <w:tc>
          <w:tcPr>
            <w:tcW w:w="399" w:type="dxa"/>
            <w:vMerge w:val="restart"/>
            <w:shd w:val="clear" w:color="auto" w:fill="auto"/>
          </w:tcPr>
          <w:p w14:paraId="7472EAFA" w14:textId="77777777" w:rsidR="00170469" w:rsidRPr="00170469" w:rsidRDefault="00170469" w:rsidP="0052703E">
            <w:pPr>
              <w:rPr>
                <w:rFonts w:ascii="Arial" w:hAnsi="Arial" w:cs="Arial"/>
                <w:sz w:val="24"/>
                <w:szCs w:val="24"/>
              </w:rPr>
            </w:pPr>
            <w:r w:rsidRPr="00170469">
              <w:rPr>
                <w:rFonts w:ascii="Arial" w:hAnsi="Arial" w:cs="Arial"/>
                <w:sz w:val="24"/>
                <w:szCs w:val="24"/>
              </w:rPr>
              <w:t>6</w:t>
            </w:r>
          </w:p>
        </w:tc>
        <w:tc>
          <w:tcPr>
            <w:tcW w:w="1745" w:type="dxa"/>
            <w:vMerge w:val="restart"/>
            <w:shd w:val="clear" w:color="auto" w:fill="auto"/>
          </w:tcPr>
          <w:p w14:paraId="77AD6DDB" w14:textId="77777777" w:rsidR="00170469" w:rsidRPr="00170469" w:rsidRDefault="00170469" w:rsidP="0052703E">
            <w:pPr>
              <w:rPr>
                <w:rFonts w:ascii="Arial" w:hAnsi="Arial" w:cs="Arial"/>
                <w:sz w:val="24"/>
                <w:szCs w:val="24"/>
              </w:rPr>
            </w:pPr>
            <w:r w:rsidRPr="00170469">
              <w:rPr>
                <w:rFonts w:ascii="Arial" w:hAnsi="Arial" w:cs="Arial"/>
                <w:sz w:val="24"/>
                <w:szCs w:val="24"/>
              </w:rPr>
              <w:t xml:space="preserve">New presentations (4 data items </w:t>
            </w:r>
            <w:r w:rsidRPr="00170469">
              <w:rPr>
                <w:rFonts w:ascii="Arial" w:hAnsi="Arial" w:cs="Arial"/>
                <w:sz w:val="24"/>
                <w:szCs w:val="24"/>
              </w:rPr>
              <w:lastRenderedPageBreak/>
              <w:t>and 4 reports in total)</w:t>
            </w:r>
          </w:p>
        </w:tc>
        <w:tc>
          <w:tcPr>
            <w:tcW w:w="1430" w:type="dxa"/>
            <w:vMerge w:val="restart"/>
            <w:shd w:val="clear" w:color="auto" w:fill="auto"/>
          </w:tcPr>
          <w:p w14:paraId="535C6045" w14:textId="77777777" w:rsidR="00170469" w:rsidRPr="00170469" w:rsidRDefault="00170469" w:rsidP="0052703E">
            <w:pPr>
              <w:rPr>
                <w:rFonts w:ascii="Arial" w:hAnsi="Arial" w:cs="Arial"/>
                <w:sz w:val="24"/>
                <w:szCs w:val="24"/>
              </w:rPr>
            </w:pPr>
            <w:r w:rsidRPr="00170469">
              <w:rPr>
                <w:rFonts w:ascii="Arial" w:hAnsi="Arial" w:cs="Arial"/>
                <w:sz w:val="24"/>
                <w:szCs w:val="24"/>
              </w:rPr>
              <w:lastRenderedPageBreak/>
              <w:t>Monthly</w:t>
            </w:r>
          </w:p>
        </w:tc>
        <w:tc>
          <w:tcPr>
            <w:tcW w:w="1592" w:type="dxa"/>
            <w:shd w:val="clear" w:color="auto" w:fill="auto"/>
          </w:tcPr>
          <w:p w14:paraId="19E61EB2" w14:textId="77777777" w:rsidR="00170469" w:rsidRPr="00170469" w:rsidRDefault="00170469" w:rsidP="0052703E">
            <w:pPr>
              <w:rPr>
                <w:rFonts w:ascii="Arial" w:hAnsi="Arial" w:cs="Arial"/>
                <w:sz w:val="24"/>
                <w:szCs w:val="24"/>
              </w:rPr>
            </w:pPr>
            <w:r w:rsidRPr="00170469">
              <w:rPr>
                <w:rFonts w:ascii="Arial" w:hAnsi="Arial" w:cs="Arial"/>
                <w:sz w:val="24"/>
                <w:szCs w:val="24"/>
              </w:rPr>
              <w:t>Provider</w:t>
            </w:r>
          </w:p>
        </w:tc>
        <w:tc>
          <w:tcPr>
            <w:tcW w:w="1570" w:type="dxa"/>
            <w:vMerge w:val="restart"/>
            <w:shd w:val="clear" w:color="auto" w:fill="auto"/>
          </w:tcPr>
          <w:p w14:paraId="2C344E29" w14:textId="77777777" w:rsidR="00170469" w:rsidRPr="00170469" w:rsidRDefault="00170469" w:rsidP="0052703E">
            <w:pPr>
              <w:rPr>
                <w:rFonts w:ascii="Arial" w:hAnsi="Arial" w:cs="Arial"/>
                <w:sz w:val="24"/>
                <w:szCs w:val="24"/>
              </w:rPr>
            </w:pPr>
            <w:r w:rsidRPr="00170469">
              <w:rPr>
                <w:rFonts w:ascii="Arial" w:hAnsi="Arial" w:cs="Arial"/>
                <w:sz w:val="24"/>
                <w:szCs w:val="24"/>
              </w:rPr>
              <w:t>All substances</w:t>
            </w:r>
          </w:p>
        </w:tc>
        <w:tc>
          <w:tcPr>
            <w:tcW w:w="937" w:type="dxa"/>
            <w:vMerge w:val="restart"/>
            <w:shd w:val="clear" w:color="auto" w:fill="auto"/>
          </w:tcPr>
          <w:p w14:paraId="6DA736E9" w14:textId="77777777" w:rsidR="00170469" w:rsidRPr="00170469" w:rsidRDefault="00170469" w:rsidP="0052703E">
            <w:pPr>
              <w:rPr>
                <w:rFonts w:ascii="Arial" w:hAnsi="Arial" w:cs="Arial"/>
                <w:sz w:val="24"/>
                <w:szCs w:val="24"/>
              </w:rPr>
            </w:pPr>
            <w:r w:rsidRPr="00170469">
              <w:rPr>
                <w:rFonts w:ascii="Arial" w:hAnsi="Arial" w:cs="Arial"/>
                <w:sz w:val="24"/>
                <w:szCs w:val="24"/>
              </w:rPr>
              <w:t>Young people</w:t>
            </w:r>
          </w:p>
        </w:tc>
        <w:tc>
          <w:tcPr>
            <w:tcW w:w="1253" w:type="dxa"/>
            <w:vMerge w:val="restart"/>
            <w:shd w:val="clear" w:color="auto" w:fill="auto"/>
          </w:tcPr>
          <w:p w14:paraId="42F27571" w14:textId="77777777" w:rsidR="00170469" w:rsidRPr="00170469" w:rsidRDefault="00170469" w:rsidP="0052703E">
            <w:pPr>
              <w:rPr>
                <w:rFonts w:ascii="Arial" w:hAnsi="Arial" w:cs="Arial"/>
                <w:sz w:val="24"/>
                <w:szCs w:val="24"/>
              </w:rPr>
            </w:pPr>
            <w:r w:rsidRPr="00170469">
              <w:rPr>
                <w:rFonts w:ascii="Arial" w:hAnsi="Arial" w:cs="Arial"/>
                <w:sz w:val="24"/>
                <w:szCs w:val="24"/>
              </w:rPr>
              <w:t>In month</w:t>
            </w:r>
          </w:p>
        </w:tc>
      </w:tr>
      <w:tr w:rsidR="00170469" w:rsidRPr="00170469" w14:paraId="6D7F1F80" w14:textId="77777777" w:rsidTr="00170469">
        <w:tc>
          <w:tcPr>
            <w:tcW w:w="399" w:type="dxa"/>
            <w:vMerge/>
            <w:shd w:val="clear" w:color="auto" w:fill="auto"/>
          </w:tcPr>
          <w:p w14:paraId="3AF41292" w14:textId="77777777" w:rsidR="00170469" w:rsidRPr="00170469" w:rsidRDefault="00170469" w:rsidP="0052703E">
            <w:pPr>
              <w:rPr>
                <w:rFonts w:ascii="Arial" w:hAnsi="Arial" w:cs="Arial"/>
                <w:sz w:val="24"/>
                <w:szCs w:val="24"/>
              </w:rPr>
            </w:pPr>
          </w:p>
        </w:tc>
        <w:tc>
          <w:tcPr>
            <w:tcW w:w="1745" w:type="dxa"/>
            <w:vMerge/>
            <w:shd w:val="clear" w:color="auto" w:fill="auto"/>
          </w:tcPr>
          <w:p w14:paraId="40794B52" w14:textId="77777777" w:rsidR="00170469" w:rsidRPr="00170469" w:rsidRDefault="00170469" w:rsidP="0052703E">
            <w:pPr>
              <w:rPr>
                <w:rFonts w:ascii="Arial" w:hAnsi="Arial" w:cs="Arial"/>
                <w:sz w:val="24"/>
                <w:szCs w:val="24"/>
              </w:rPr>
            </w:pPr>
          </w:p>
        </w:tc>
        <w:tc>
          <w:tcPr>
            <w:tcW w:w="1430" w:type="dxa"/>
            <w:vMerge/>
            <w:shd w:val="clear" w:color="auto" w:fill="auto"/>
          </w:tcPr>
          <w:p w14:paraId="084B724B" w14:textId="77777777" w:rsidR="00170469" w:rsidRPr="00170469" w:rsidRDefault="00170469" w:rsidP="0052703E">
            <w:pPr>
              <w:rPr>
                <w:rFonts w:ascii="Arial" w:hAnsi="Arial" w:cs="Arial"/>
                <w:sz w:val="24"/>
                <w:szCs w:val="24"/>
              </w:rPr>
            </w:pPr>
          </w:p>
        </w:tc>
        <w:tc>
          <w:tcPr>
            <w:tcW w:w="1592" w:type="dxa"/>
            <w:shd w:val="clear" w:color="auto" w:fill="auto"/>
          </w:tcPr>
          <w:p w14:paraId="516C5121" w14:textId="77777777" w:rsidR="00170469" w:rsidRPr="00170469" w:rsidRDefault="00170469" w:rsidP="0052703E">
            <w:pPr>
              <w:rPr>
                <w:rFonts w:ascii="Arial" w:hAnsi="Arial" w:cs="Arial"/>
                <w:sz w:val="24"/>
                <w:szCs w:val="24"/>
              </w:rPr>
            </w:pPr>
            <w:r w:rsidRPr="00170469">
              <w:rPr>
                <w:rFonts w:ascii="Arial" w:hAnsi="Arial" w:cs="Arial"/>
                <w:sz w:val="24"/>
                <w:szCs w:val="24"/>
              </w:rPr>
              <w:t>Partnership</w:t>
            </w:r>
          </w:p>
        </w:tc>
        <w:tc>
          <w:tcPr>
            <w:tcW w:w="1570" w:type="dxa"/>
            <w:vMerge/>
            <w:shd w:val="clear" w:color="auto" w:fill="auto"/>
          </w:tcPr>
          <w:p w14:paraId="43714D6F" w14:textId="77777777" w:rsidR="00170469" w:rsidRPr="00170469" w:rsidRDefault="00170469" w:rsidP="0052703E">
            <w:pPr>
              <w:rPr>
                <w:rFonts w:ascii="Arial" w:hAnsi="Arial" w:cs="Arial"/>
                <w:sz w:val="24"/>
                <w:szCs w:val="24"/>
              </w:rPr>
            </w:pPr>
          </w:p>
        </w:tc>
        <w:tc>
          <w:tcPr>
            <w:tcW w:w="937" w:type="dxa"/>
            <w:vMerge/>
            <w:shd w:val="clear" w:color="auto" w:fill="auto"/>
          </w:tcPr>
          <w:p w14:paraId="6CB46B1F" w14:textId="77777777" w:rsidR="00170469" w:rsidRPr="00170469" w:rsidRDefault="00170469" w:rsidP="0052703E">
            <w:pPr>
              <w:rPr>
                <w:rFonts w:ascii="Arial" w:hAnsi="Arial" w:cs="Arial"/>
                <w:sz w:val="24"/>
                <w:szCs w:val="24"/>
              </w:rPr>
            </w:pPr>
          </w:p>
        </w:tc>
        <w:tc>
          <w:tcPr>
            <w:tcW w:w="1253" w:type="dxa"/>
            <w:vMerge/>
            <w:shd w:val="clear" w:color="auto" w:fill="auto"/>
          </w:tcPr>
          <w:p w14:paraId="607E6F42" w14:textId="77777777" w:rsidR="00170469" w:rsidRPr="00170469" w:rsidRDefault="00170469" w:rsidP="0052703E">
            <w:pPr>
              <w:rPr>
                <w:rFonts w:ascii="Arial" w:hAnsi="Arial" w:cs="Arial"/>
                <w:sz w:val="24"/>
                <w:szCs w:val="24"/>
              </w:rPr>
            </w:pPr>
          </w:p>
        </w:tc>
      </w:tr>
      <w:tr w:rsidR="00170469" w:rsidRPr="00170469" w14:paraId="49637F23" w14:textId="77777777" w:rsidTr="00170469">
        <w:tc>
          <w:tcPr>
            <w:tcW w:w="399" w:type="dxa"/>
            <w:vMerge/>
            <w:shd w:val="clear" w:color="auto" w:fill="auto"/>
          </w:tcPr>
          <w:p w14:paraId="40E85A40" w14:textId="77777777" w:rsidR="00170469" w:rsidRPr="00170469" w:rsidRDefault="00170469" w:rsidP="00170469">
            <w:pPr>
              <w:rPr>
                <w:rFonts w:ascii="Arial" w:hAnsi="Arial" w:cs="Arial"/>
                <w:sz w:val="24"/>
                <w:szCs w:val="24"/>
              </w:rPr>
            </w:pPr>
          </w:p>
        </w:tc>
        <w:tc>
          <w:tcPr>
            <w:tcW w:w="1745" w:type="dxa"/>
            <w:vMerge/>
            <w:shd w:val="clear" w:color="auto" w:fill="auto"/>
          </w:tcPr>
          <w:p w14:paraId="2CDB20B1" w14:textId="77777777" w:rsidR="00170469" w:rsidRPr="00170469" w:rsidRDefault="00170469" w:rsidP="00170469">
            <w:pPr>
              <w:rPr>
                <w:rFonts w:ascii="Arial" w:hAnsi="Arial" w:cs="Arial"/>
                <w:sz w:val="24"/>
                <w:szCs w:val="24"/>
              </w:rPr>
            </w:pPr>
          </w:p>
        </w:tc>
        <w:tc>
          <w:tcPr>
            <w:tcW w:w="1430" w:type="dxa"/>
            <w:vMerge/>
            <w:shd w:val="clear" w:color="auto" w:fill="auto"/>
          </w:tcPr>
          <w:p w14:paraId="6D81FF2A" w14:textId="77777777" w:rsidR="00170469" w:rsidRPr="00170469" w:rsidRDefault="00170469" w:rsidP="00170469">
            <w:pPr>
              <w:rPr>
                <w:rFonts w:ascii="Arial" w:hAnsi="Arial" w:cs="Arial"/>
                <w:sz w:val="24"/>
                <w:szCs w:val="24"/>
              </w:rPr>
            </w:pPr>
          </w:p>
        </w:tc>
        <w:tc>
          <w:tcPr>
            <w:tcW w:w="1592" w:type="dxa"/>
            <w:shd w:val="clear" w:color="auto" w:fill="auto"/>
          </w:tcPr>
          <w:p w14:paraId="2F26D86F" w14:textId="3F13CEC4" w:rsidR="00170469" w:rsidRPr="00170469" w:rsidRDefault="00170469" w:rsidP="00170469">
            <w:pPr>
              <w:rPr>
                <w:rFonts w:ascii="Arial" w:hAnsi="Arial" w:cs="Arial"/>
                <w:sz w:val="24"/>
                <w:szCs w:val="24"/>
              </w:rPr>
            </w:pPr>
            <w:r>
              <w:rPr>
                <w:rFonts w:ascii="Arial" w:hAnsi="Arial" w:cs="Arial"/>
                <w:sz w:val="24"/>
                <w:szCs w:val="24"/>
              </w:rPr>
              <w:t>PHE</w:t>
            </w:r>
            <w:r w:rsidRPr="00170469">
              <w:rPr>
                <w:rFonts w:ascii="Arial" w:hAnsi="Arial" w:cs="Arial"/>
                <w:sz w:val="24"/>
                <w:szCs w:val="24"/>
              </w:rPr>
              <w:t xml:space="preserve"> Centre</w:t>
            </w:r>
          </w:p>
        </w:tc>
        <w:tc>
          <w:tcPr>
            <w:tcW w:w="1570" w:type="dxa"/>
            <w:vMerge/>
            <w:shd w:val="clear" w:color="auto" w:fill="auto"/>
          </w:tcPr>
          <w:p w14:paraId="0049DCA4" w14:textId="77777777" w:rsidR="00170469" w:rsidRPr="00170469" w:rsidRDefault="00170469" w:rsidP="00170469">
            <w:pPr>
              <w:rPr>
                <w:rFonts w:ascii="Arial" w:hAnsi="Arial" w:cs="Arial"/>
                <w:sz w:val="24"/>
                <w:szCs w:val="24"/>
              </w:rPr>
            </w:pPr>
          </w:p>
        </w:tc>
        <w:tc>
          <w:tcPr>
            <w:tcW w:w="937" w:type="dxa"/>
            <w:vMerge/>
            <w:shd w:val="clear" w:color="auto" w:fill="auto"/>
          </w:tcPr>
          <w:p w14:paraId="2CA2298A" w14:textId="77777777" w:rsidR="00170469" w:rsidRPr="00170469" w:rsidRDefault="00170469" w:rsidP="00170469">
            <w:pPr>
              <w:rPr>
                <w:rFonts w:ascii="Arial" w:hAnsi="Arial" w:cs="Arial"/>
                <w:sz w:val="24"/>
                <w:szCs w:val="24"/>
              </w:rPr>
            </w:pPr>
          </w:p>
        </w:tc>
        <w:tc>
          <w:tcPr>
            <w:tcW w:w="1253" w:type="dxa"/>
            <w:vMerge/>
            <w:shd w:val="clear" w:color="auto" w:fill="auto"/>
          </w:tcPr>
          <w:p w14:paraId="6420622F" w14:textId="77777777" w:rsidR="00170469" w:rsidRPr="00170469" w:rsidRDefault="00170469" w:rsidP="00170469">
            <w:pPr>
              <w:rPr>
                <w:rFonts w:ascii="Arial" w:hAnsi="Arial" w:cs="Arial"/>
                <w:sz w:val="24"/>
                <w:szCs w:val="24"/>
              </w:rPr>
            </w:pPr>
          </w:p>
        </w:tc>
      </w:tr>
      <w:tr w:rsidR="00170469" w:rsidRPr="00170469" w14:paraId="4DC48E5A" w14:textId="77777777" w:rsidTr="00170469">
        <w:tc>
          <w:tcPr>
            <w:tcW w:w="399" w:type="dxa"/>
            <w:vMerge/>
            <w:shd w:val="clear" w:color="auto" w:fill="auto"/>
          </w:tcPr>
          <w:p w14:paraId="0911484C" w14:textId="77777777" w:rsidR="00170469" w:rsidRPr="00170469" w:rsidRDefault="00170469" w:rsidP="0052703E">
            <w:pPr>
              <w:rPr>
                <w:rFonts w:ascii="Arial" w:hAnsi="Arial" w:cs="Arial"/>
                <w:sz w:val="24"/>
                <w:szCs w:val="24"/>
              </w:rPr>
            </w:pPr>
          </w:p>
        </w:tc>
        <w:tc>
          <w:tcPr>
            <w:tcW w:w="1745" w:type="dxa"/>
            <w:vMerge/>
            <w:shd w:val="clear" w:color="auto" w:fill="auto"/>
          </w:tcPr>
          <w:p w14:paraId="770F3245" w14:textId="77777777" w:rsidR="00170469" w:rsidRPr="00170469" w:rsidRDefault="00170469" w:rsidP="0052703E">
            <w:pPr>
              <w:rPr>
                <w:rFonts w:ascii="Arial" w:hAnsi="Arial" w:cs="Arial"/>
                <w:sz w:val="24"/>
                <w:szCs w:val="24"/>
              </w:rPr>
            </w:pPr>
          </w:p>
        </w:tc>
        <w:tc>
          <w:tcPr>
            <w:tcW w:w="1430" w:type="dxa"/>
            <w:vMerge/>
            <w:shd w:val="clear" w:color="auto" w:fill="auto"/>
          </w:tcPr>
          <w:p w14:paraId="1D0876C8" w14:textId="77777777" w:rsidR="00170469" w:rsidRPr="00170469" w:rsidRDefault="00170469" w:rsidP="0052703E">
            <w:pPr>
              <w:rPr>
                <w:rFonts w:ascii="Arial" w:hAnsi="Arial" w:cs="Arial"/>
                <w:sz w:val="24"/>
                <w:szCs w:val="24"/>
              </w:rPr>
            </w:pPr>
          </w:p>
        </w:tc>
        <w:tc>
          <w:tcPr>
            <w:tcW w:w="1592" w:type="dxa"/>
            <w:shd w:val="clear" w:color="auto" w:fill="auto"/>
          </w:tcPr>
          <w:p w14:paraId="68C197EB" w14:textId="77777777" w:rsidR="00170469" w:rsidRPr="00170469" w:rsidRDefault="00170469" w:rsidP="0052703E">
            <w:pPr>
              <w:rPr>
                <w:rFonts w:ascii="Arial" w:hAnsi="Arial" w:cs="Arial"/>
                <w:sz w:val="24"/>
                <w:szCs w:val="24"/>
              </w:rPr>
            </w:pPr>
            <w:r w:rsidRPr="00170469">
              <w:rPr>
                <w:rFonts w:ascii="Arial" w:hAnsi="Arial" w:cs="Arial"/>
                <w:sz w:val="24"/>
                <w:szCs w:val="24"/>
              </w:rPr>
              <w:t>National</w:t>
            </w:r>
          </w:p>
        </w:tc>
        <w:tc>
          <w:tcPr>
            <w:tcW w:w="1570" w:type="dxa"/>
            <w:vMerge/>
            <w:shd w:val="clear" w:color="auto" w:fill="auto"/>
          </w:tcPr>
          <w:p w14:paraId="65EDF43A" w14:textId="77777777" w:rsidR="00170469" w:rsidRPr="00170469" w:rsidRDefault="00170469" w:rsidP="0052703E">
            <w:pPr>
              <w:rPr>
                <w:rFonts w:ascii="Arial" w:hAnsi="Arial" w:cs="Arial"/>
                <w:sz w:val="24"/>
                <w:szCs w:val="24"/>
              </w:rPr>
            </w:pPr>
          </w:p>
        </w:tc>
        <w:tc>
          <w:tcPr>
            <w:tcW w:w="937" w:type="dxa"/>
            <w:vMerge/>
            <w:shd w:val="clear" w:color="auto" w:fill="auto"/>
          </w:tcPr>
          <w:p w14:paraId="74BF3773" w14:textId="77777777" w:rsidR="00170469" w:rsidRPr="00170469" w:rsidRDefault="00170469" w:rsidP="0052703E">
            <w:pPr>
              <w:rPr>
                <w:rFonts w:ascii="Arial" w:hAnsi="Arial" w:cs="Arial"/>
                <w:sz w:val="24"/>
                <w:szCs w:val="24"/>
              </w:rPr>
            </w:pPr>
          </w:p>
        </w:tc>
        <w:tc>
          <w:tcPr>
            <w:tcW w:w="1253" w:type="dxa"/>
            <w:vMerge/>
            <w:shd w:val="clear" w:color="auto" w:fill="auto"/>
          </w:tcPr>
          <w:p w14:paraId="66BF2392" w14:textId="77777777" w:rsidR="00170469" w:rsidRPr="00170469" w:rsidRDefault="00170469" w:rsidP="0052703E">
            <w:pPr>
              <w:rPr>
                <w:rFonts w:ascii="Arial" w:hAnsi="Arial" w:cs="Arial"/>
                <w:sz w:val="24"/>
                <w:szCs w:val="24"/>
              </w:rPr>
            </w:pPr>
          </w:p>
        </w:tc>
      </w:tr>
      <w:tr w:rsidR="00170469" w:rsidRPr="00170469" w14:paraId="16CA561B" w14:textId="77777777" w:rsidTr="00170469">
        <w:tc>
          <w:tcPr>
            <w:tcW w:w="399" w:type="dxa"/>
            <w:vMerge w:val="restart"/>
            <w:shd w:val="clear" w:color="auto" w:fill="auto"/>
          </w:tcPr>
          <w:p w14:paraId="0895E545" w14:textId="77777777" w:rsidR="00170469" w:rsidRPr="00170469" w:rsidRDefault="00170469" w:rsidP="0052703E">
            <w:pPr>
              <w:rPr>
                <w:rFonts w:ascii="Arial" w:hAnsi="Arial" w:cs="Arial"/>
                <w:sz w:val="24"/>
                <w:szCs w:val="24"/>
              </w:rPr>
            </w:pPr>
            <w:r w:rsidRPr="00170469">
              <w:rPr>
                <w:rFonts w:ascii="Arial" w:hAnsi="Arial" w:cs="Arial"/>
                <w:sz w:val="24"/>
                <w:szCs w:val="24"/>
              </w:rPr>
              <w:t>7</w:t>
            </w:r>
          </w:p>
        </w:tc>
        <w:tc>
          <w:tcPr>
            <w:tcW w:w="1745" w:type="dxa"/>
            <w:vMerge w:val="restart"/>
            <w:shd w:val="clear" w:color="auto" w:fill="auto"/>
          </w:tcPr>
          <w:p w14:paraId="798941FC" w14:textId="103D2D11" w:rsidR="00170469" w:rsidRPr="00170469" w:rsidRDefault="00170469" w:rsidP="0052703E">
            <w:pPr>
              <w:rPr>
                <w:rFonts w:ascii="Arial" w:hAnsi="Arial" w:cs="Arial"/>
                <w:sz w:val="24"/>
                <w:szCs w:val="24"/>
              </w:rPr>
            </w:pPr>
            <w:r>
              <w:rPr>
                <w:rFonts w:ascii="Arial" w:hAnsi="Arial" w:cs="Arial"/>
                <w:sz w:val="24"/>
                <w:szCs w:val="24"/>
              </w:rPr>
              <w:t>Young people</w:t>
            </w:r>
            <w:r w:rsidRPr="00170469">
              <w:rPr>
                <w:rFonts w:ascii="Arial" w:hAnsi="Arial" w:cs="Arial"/>
                <w:sz w:val="24"/>
                <w:szCs w:val="24"/>
              </w:rPr>
              <w:t xml:space="preserve"> in treatment (4 data items and 4 reports in total)</w:t>
            </w:r>
          </w:p>
        </w:tc>
        <w:tc>
          <w:tcPr>
            <w:tcW w:w="1430" w:type="dxa"/>
            <w:vMerge w:val="restart"/>
            <w:shd w:val="clear" w:color="auto" w:fill="auto"/>
          </w:tcPr>
          <w:p w14:paraId="21B54A0C" w14:textId="77777777" w:rsidR="00170469" w:rsidRPr="00170469" w:rsidRDefault="00170469" w:rsidP="0052703E">
            <w:pPr>
              <w:rPr>
                <w:rFonts w:ascii="Arial" w:hAnsi="Arial" w:cs="Arial"/>
                <w:sz w:val="24"/>
                <w:szCs w:val="24"/>
              </w:rPr>
            </w:pPr>
            <w:r w:rsidRPr="00170469">
              <w:rPr>
                <w:rFonts w:ascii="Arial" w:hAnsi="Arial" w:cs="Arial"/>
                <w:sz w:val="24"/>
                <w:szCs w:val="24"/>
              </w:rPr>
              <w:t>Monthly</w:t>
            </w:r>
          </w:p>
        </w:tc>
        <w:tc>
          <w:tcPr>
            <w:tcW w:w="1592" w:type="dxa"/>
            <w:shd w:val="clear" w:color="auto" w:fill="auto"/>
          </w:tcPr>
          <w:p w14:paraId="42E67E9C" w14:textId="77777777" w:rsidR="00170469" w:rsidRPr="00170469" w:rsidRDefault="00170469" w:rsidP="0052703E">
            <w:pPr>
              <w:rPr>
                <w:rFonts w:ascii="Arial" w:hAnsi="Arial" w:cs="Arial"/>
                <w:sz w:val="24"/>
                <w:szCs w:val="24"/>
              </w:rPr>
            </w:pPr>
            <w:r w:rsidRPr="00170469">
              <w:rPr>
                <w:rFonts w:ascii="Arial" w:hAnsi="Arial" w:cs="Arial"/>
                <w:sz w:val="24"/>
                <w:szCs w:val="24"/>
              </w:rPr>
              <w:t>Provider</w:t>
            </w:r>
          </w:p>
        </w:tc>
        <w:tc>
          <w:tcPr>
            <w:tcW w:w="1570" w:type="dxa"/>
            <w:vMerge w:val="restart"/>
            <w:shd w:val="clear" w:color="auto" w:fill="auto"/>
          </w:tcPr>
          <w:p w14:paraId="1F93EEC1" w14:textId="77777777" w:rsidR="00170469" w:rsidRPr="00170469" w:rsidRDefault="00170469" w:rsidP="0052703E">
            <w:pPr>
              <w:rPr>
                <w:rFonts w:ascii="Arial" w:hAnsi="Arial" w:cs="Arial"/>
                <w:sz w:val="24"/>
                <w:szCs w:val="24"/>
              </w:rPr>
            </w:pPr>
            <w:r w:rsidRPr="00170469">
              <w:rPr>
                <w:rFonts w:ascii="Arial" w:hAnsi="Arial" w:cs="Arial"/>
                <w:sz w:val="24"/>
                <w:szCs w:val="24"/>
              </w:rPr>
              <w:t>All substances</w:t>
            </w:r>
          </w:p>
        </w:tc>
        <w:tc>
          <w:tcPr>
            <w:tcW w:w="937" w:type="dxa"/>
            <w:vMerge w:val="restart"/>
            <w:shd w:val="clear" w:color="auto" w:fill="auto"/>
          </w:tcPr>
          <w:p w14:paraId="093B31EA" w14:textId="77777777" w:rsidR="00170469" w:rsidRPr="00170469" w:rsidRDefault="00170469" w:rsidP="0052703E">
            <w:pPr>
              <w:rPr>
                <w:rFonts w:ascii="Arial" w:hAnsi="Arial" w:cs="Arial"/>
                <w:sz w:val="24"/>
                <w:szCs w:val="24"/>
              </w:rPr>
            </w:pPr>
            <w:r w:rsidRPr="00170469">
              <w:rPr>
                <w:rFonts w:ascii="Arial" w:hAnsi="Arial" w:cs="Arial"/>
                <w:sz w:val="24"/>
                <w:szCs w:val="24"/>
              </w:rPr>
              <w:t>Young people</w:t>
            </w:r>
          </w:p>
        </w:tc>
        <w:tc>
          <w:tcPr>
            <w:tcW w:w="1253" w:type="dxa"/>
            <w:vMerge w:val="restart"/>
            <w:shd w:val="clear" w:color="auto" w:fill="auto"/>
          </w:tcPr>
          <w:p w14:paraId="3EF6A2A4" w14:textId="77777777" w:rsidR="00170469" w:rsidRPr="00170469" w:rsidRDefault="00170469" w:rsidP="0052703E">
            <w:pPr>
              <w:rPr>
                <w:rFonts w:ascii="Arial" w:hAnsi="Arial" w:cs="Arial"/>
                <w:sz w:val="24"/>
                <w:szCs w:val="24"/>
              </w:rPr>
            </w:pPr>
            <w:r w:rsidRPr="00170469">
              <w:rPr>
                <w:rFonts w:ascii="Arial" w:hAnsi="Arial" w:cs="Arial"/>
                <w:sz w:val="24"/>
                <w:szCs w:val="24"/>
              </w:rPr>
              <w:t>Year to date</w:t>
            </w:r>
          </w:p>
        </w:tc>
      </w:tr>
      <w:tr w:rsidR="00170469" w:rsidRPr="00170469" w14:paraId="283D2A00" w14:textId="77777777" w:rsidTr="00170469">
        <w:tc>
          <w:tcPr>
            <w:tcW w:w="399" w:type="dxa"/>
            <w:vMerge/>
            <w:shd w:val="clear" w:color="auto" w:fill="auto"/>
          </w:tcPr>
          <w:p w14:paraId="6B560C31" w14:textId="77777777" w:rsidR="00170469" w:rsidRPr="00170469" w:rsidRDefault="00170469" w:rsidP="0052703E">
            <w:pPr>
              <w:rPr>
                <w:rFonts w:ascii="Arial" w:hAnsi="Arial" w:cs="Arial"/>
                <w:sz w:val="24"/>
                <w:szCs w:val="24"/>
              </w:rPr>
            </w:pPr>
          </w:p>
        </w:tc>
        <w:tc>
          <w:tcPr>
            <w:tcW w:w="1745" w:type="dxa"/>
            <w:vMerge/>
            <w:shd w:val="clear" w:color="auto" w:fill="auto"/>
          </w:tcPr>
          <w:p w14:paraId="5F1EB174" w14:textId="77777777" w:rsidR="00170469" w:rsidRPr="00170469" w:rsidRDefault="00170469" w:rsidP="0052703E">
            <w:pPr>
              <w:rPr>
                <w:rFonts w:ascii="Arial" w:hAnsi="Arial" w:cs="Arial"/>
                <w:sz w:val="24"/>
                <w:szCs w:val="24"/>
              </w:rPr>
            </w:pPr>
          </w:p>
        </w:tc>
        <w:tc>
          <w:tcPr>
            <w:tcW w:w="1430" w:type="dxa"/>
            <w:vMerge/>
            <w:shd w:val="clear" w:color="auto" w:fill="auto"/>
          </w:tcPr>
          <w:p w14:paraId="378AA082" w14:textId="77777777" w:rsidR="00170469" w:rsidRPr="00170469" w:rsidRDefault="00170469" w:rsidP="0052703E">
            <w:pPr>
              <w:rPr>
                <w:rFonts w:ascii="Arial" w:hAnsi="Arial" w:cs="Arial"/>
                <w:sz w:val="24"/>
                <w:szCs w:val="24"/>
              </w:rPr>
            </w:pPr>
          </w:p>
        </w:tc>
        <w:tc>
          <w:tcPr>
            <w:tcW w:w="1592" w:type="dxa"/>
            <w:shd w:val="clear" w:color="auto" w:fill="auto"/>
          </w:tcPr>
          <w:p w14:paraId="5C3C6E3F" w14:textId="77777777" w:rsidR="00170469" w:rsidRPr="00170469" w:rsidRDefault="00170469" w:rsidP="0052703E">
            <w:pPr>
              <w:rPr>
                <w:rFonts w:ascii="Arial" w:hAnsi="Arial" w:cs="Arial"/>
                <w:sz w:val="24"/>
                <w:szCs w:val="24"/>
              </w:rPr>
            </w:pPr>
            <w:r w:rsidRPr="00170469">
              <w:rPr>
                <w:rFonts w:ascii="Arial" w:hAnsi="Arial" w:cs="Arial"/>
                <w:sz w:val="24"/>
                <w:szCs w:val="24"/>
              </w:rPr>
              <w:t>Partnership</w:t>
            </w:r>
          </w:p>
        </w:tc>
        <w:tc>
          <w:tcPr>
            <w:tcW w:w="1570" w:type="dxa"/>
            <w:vMerge/>
            <w:shd w:val="clear" w:color="auto" w:fill="auto"/>
          </w:tcPr>
          <w:p w14:paraId="155E4A9F" w14:textId="77777777" w:rsidR="00170469" w:rsidRPr="00170469" w:rsidRDefault="00170469" w:rsidP="0052703E">
            <w:pPr>
              <w:rPr>
                <w:rFonts w:ascii="Arial" w:hAnsi="Arial" w:cs="Arial"/>
                <w:sz w:val="24"/>
                <w:szCs w:val="24"/>
              </w:rPr>
            </w:pPr>
          </w:p>
        </w:tc>
        <w:tc>
          <w:tcPr>
            <w:tcW w:w="937" w:type="dxa"/>
            <w:vMerge/>
            <w:shd w:val="clear" w:color="auto" w:fill="auto"/>
          </w:tcPr>
          <w:p w14:paraId="5D61602B" w14:textId="77777777" w:rsidR="00170469" w:rsidRPr="00170469" w:rsidRDefault="00170469" w:rsidP="0052703E">
            <w:pPr>
              <w:rPr>
                <w:rFonts w:ascii="Arial" w:hAnsi="Arial" w:cs="Arial"/>
                <w:sz w:val="24"/>
                <w:szCs w:val="24"/>
              </w:rPr>
            </w:pPr>
          </w:p>
        </w:tc>
        <w:tc>
          <w:tcPr>
            <w:tcW w:w="1253" w:type="dxa"/>
            <w:vMerge/>
            <w:shd w:val="clear" w:color="auto" w:fill="auto"/>
          </w:tcPr>
          <w:p w14:paraId="7BB34A7A" w14:textId="77777777" w:rsidR="00170469" w:rsidRPr="00170469" w:rsidRDefault="00170469" w:rsidP="0052703E">
            <w:pPr>
              <w:rPr>
                <w:rFonts w:ascii="Arial" w:hAnsi="Arial" w:cs="Arial"/>
                <w:sz w:val="24"/>
                <w:szCs w:val="24"/>
              </w:rPr>
            </w:pPr>
          </w:p>
        </w:tc>
      </w:tr>
      <w:tr w:rsidR="00170469" w:rsidRPr="00170469" w14:paraId="307509DB" w14:textId="77777777" w:rsidTr="00170469">
        <w:tc>
          <w:tcPr>
            <w:tcW w:w="399" w:type="dxa"/>
            <w:vMerge/>
            <w:shd w:val="clear" w:color="auto" w:fill="auto"/>
          </w:tcPr>
          <w:p w14:paraId="4D810942" w14:textId="77777777" w:rsidR="00170469" w:rsidRPr="00170469" w:rsidRDefault="00170469" w:rsidP="00170469">
            <w:pPr>
              <w:rPr>
                <w:rFonts w:ascii="Arial" w:hAnsi="Arial" w:cs="Arial"/>
                <w:sz w:val="24"/>
                <w:szCs w:val="24"/>
              </w:rPr>
            </w:pPr>
          </w:p>
        </w:tc>
        <w:tc>
          <w:tcPr>
            <w:tcW w:w="1745" w:type="dxa"/>
            <w:vMerge/>
            <w:shd w:val="clear" w:color="auto" w:fill="auto"/>
          </w:tcPr>
          <w:p w14:paraId="6A4CF8D9" w14:textId="77777777" w:rsidR="00170469" w:rsidRPr="00170469" w:rsidRDefault="00170469" w:rsidP="00170469">
            <w:pPr>
              <w:rPr>
                <w:rFonts w:ascii="Arial" w:hAnsi="Arial" w:cs="Arial"/>
                <w:sz w:val="24"/>
                <w:szCs w:val="24"/>
              </w:rPr>
            </w:pPr>
          </w:p>
        </w:tc>
        <w:tc>
          <w:tcPr>
            <w:tcW w:w="1430" w:type="dxa"/>
            <w:vMerge/>
            <w:shd w:val="clear" w:color="auto" w:fill="auto"/>
          </w:tcPr>
          <w:p w14:paraId="25F38ECD" w14:textId="77777777" w:rsidR="00170469" w:rsidRPr="00170469" w:rsidRDefault="00170469" w:rsidP="00170469">
            <w:pPr>
              <w:rPr>
                <w:rFonts w:ascii="Arial" w:hAnsi="Arial" w:cs="Arial"/>
                <w:sz w:val="24"/>
                <w:szCs w:val="24"/>
              </w:rPr>
            </w:pPr>
          </w:p>
        </w:tc>
        <w:tc>
          <w:tcPr>
            <w:tcW w:w="1592" w:type="dxa"/>
            <w:shd w:val="clear" w:color="auto" w:fill="auto"/>
          </w:tcPr>
          <w:p w14:paraId="0BBA0C84" w14:textId="6D64A63E" w:rsidR="00170469" w:rsidRPr="00170469" w:rsidRDefault="00170469" w:rsidP="00170469">
            <w:pPr>
              <w:rPr>
                <w:rFonts w:ascii="Arial" w:hAnsi="Arial" w:cs="Arial"/>
                <w:sz w:val="24"/>
                <w:szCs w:val="24"/>
              </w:rPr>
            </w:pPr>
            <w:r>
              <w:rPr>
                <w:rFonts w:ascii="Arial" w:hAnsi="Arial" w:cs="Arial"/>
                <w:sz w:val="24"/>
                <w:szCs w:val="24"/>
              </w:rPr>
              <w:t>PHE</w:t>
            </w:r>
            <w:r w:rsidRPr="00170469">
              <w:rPr>
                <w:rFonts w:ascii="Arial" w:hAnsi="Arial" w:cs="Arial"/>
                <w:sz w:val="24"/>
                <w:szCs w:val="24"/>
              </w:rPr>
              <w:t xml:space="preserve"> Centre</w:t>
            </w:r>
          </w:p>
        </w:tc>
        <w:tc>
          <w:tcPr>
            <w:tcW w:w="1570" w:type="dxa"/>
            <w:vMerge/>
            <w:shd w:val="clear" w:color="auto" w:fill="auto"/>
          </w:tcPr>
          <w:p w14:paraId="7B7EE6B6" w14:textId="77777777" w:rsidR="00170469" w:rsidRPr="00170469" w:rsidRDefault="00170469" w:rsidP="00170469">
            <w:pPr>
              <w:rPr>
                <w:rFonts w:ascii="Arial" w:hAnsi="Arial" w:cs="Arial"/>
                <w:sz w:val="24"/>
                <w:szCs w:val="24"/>
              </w:rPr>
            </w:pPr>
          </w:p>
        </w:tc>
        <w:tc>
          <w:tcPr>
            <w:tcW w:w="937" w:type="dxa"/>
            <w:vMerge/>
            <w:shd w:val="clear" w:color="auto" w:fill="auto"/>
          </w:tcPr>
          <w:p w14:paraId="4E65CE40" w14:textId="77777777" w:rsidR="00170469" w:rsidRPr="00170469" w:rsidRDefault="00170469" w:rsidP="00170469">
            <w:pPr>
              <w:rPr>
                <w:rFonts w:ascii="Arial" w:hAnsi="Arial" w:cs="Arial"/>
                <w:sz w:val="24"/>
                <w:szCs w:val="24"/>
              </w:rPr>
            </w:pPr>
          </w:p>
        </w:tc>
        <w:tc>
          <w:tcPr>
            <w:tcW w:w="1253" w:type="dxa"/>
            <w:vMerge/>
            <w:shd w:val="clear" w:color="auto" w:fill="auto"/>
          </w:tcPr>
          <w:p w14:paraId="32A64A16" w14:textId="77777777" w:rsidR="00170469" w:rsidRPr="00170469" w:rsidRDefault="00170469" w:rsidP="00170469">
            <w:pPr>
              <w:rPr>
                <w:rFonts w:ascii="Arial" w:hAnsi="Arial" w:cs="Arial"/>
                <w:sz w:val="24"/>
                <w:szCs w:val="24"/>
              </w:rPr>
            </w:pPr>
          </w:p>
        </w:tc>
      </w:tr>
      <w:tr w:rsidR="00170469" w:rsidRPr="00170469" w14:paraId="7789E84C" w14:textId="77777777" w:rsidTr="00170469">
        <w:tc>
          <w:tcPr>
            <w:tcW w:w="399" w:type="dxa"/>
            <w:vMerge/>
            <w:shd w:val="clear" w:color="auto" w:fill="auto"/>
          </w:tcPr>
          <w:p w14:paraId="1507E490" w14:textId="77777777" w:rsidR="00170469" w:rsidRPr="00170469" w:rsidRDefault="00170469" w:rsidP="0052703E">
            <w:pPr>
              <w:rPr>
                <w:rFonts w:ascii="Arial" w:hAnsi="Arial" w:cs="Arial"/>
                <w:sz w:val="24"/>
                <w:szCs w:val="24"/>
              </w:rPr>
            </w:pPr>
          </w:p>
        </w:tc>
        <w:tc>
          <w:tcPr>
            <w:tcW w:w="1745" w:type="dxa"/>
            <w:vMerge/>
            <w:shd w:val="clear" w:color="auto" w:fill="auto"/>
          </w:tcPr>
          <w:p w14:paraId="6AD81F28" w14:textId="77777777" w:rsidR="00170469" w:rsidRPr="00170469" w:rsidRDefault="00170469" w:rsidP="0052703E">
            <w:pPr>
              <w:rPr>
                <w:rFonts w:ascii="Arial" w:hAnsi="Arial" w:cs="Arial"/>
                <w:sz w:val="24"/>
                <w:szCs w:val="24"/>
              </w:rPr>
            </w:pPr>
          </w:p>
        </w:tc>
        <w:tc>
          <w:tcPr>
            <w:tcW w:w="1430" w:type="dxa"/>
            <w:vMerge/>
            <w:shd w:val="clear" w:color="auto" w:fill="auto"/>
          </w:tcPr>
          <w:p w14:paraId="0030403D" w14:textId="77777777" w:rsidR="00170469" w:rsidRPr="00170469" w:rsidRDefault="00170469" w:rsidP="0052703E">
            <w:pPr>
              <w:rPr>
                <w:rFonts w:ascii="Arial" w:hAnsi="Arial" w:cs="Arial"/>
                <w:sz w:val="24"/>
                <w:szCs w:val="24"/>
              </w:rPr>
            </w:pPr>
          </w:p>
        </w:tc>
        <w:tc>
          <w:tcPr>
            <w:tcW w:w="1592" w:type="dxa"/>
            <w:shd w:val="clear" w:color="auto" w:fill="auto"/>
          </w:tcPr>
          <w:p w14:paraId="561D1DA1" w14:textId="77777777" w:rsidR="00170469" w:rsidRPr="00170469" w:rsidRDefault="00170469" w:rsidP="0052703E">
            <w:pPr>
              <w:rPr>
                <w:rFonts w:ascii="Arial" w:hAnsi="Arial" w:cs="Arial"/>
                <w:sz w:val="24"/>
                <w:szCs w:val="24"/>
              </w:rPr>
            </w:pPr>
            <w:r w:rsidRPr="00170469">
              <w:rPr>
                <w:rFonts w:ascii="Arial" w:hAnsi="Arial" w:cs="Arial"/>
                <w:sz w:val="24"/>
                <w:szCs w:val="24"/>
              </w:rPr>
              <w:t>National</w:t>
            </w:r>
          </w:p>
        </w:tc>
        <w:tc>
          <w:tcPr>
            <w:tcW w:w="1570" w:type="dxa"/>
            <w:vMerge/>
            <w:shd w:val="clear" w:color="auto" w:fill="auto"/>
          </w:tcPr>
          <w:p w14:paraId="36068F8B" w14:textId="77777777" w:rsidR="00170469" w:rsidRPr="00170469" w:rsidRDefault="00170469" w:rsidP="0052703E">
            <w:pPr>
              <w:rPr>
                <w:rFonts w:ascii="Arial" w:hAnsi="Arial" w:cs="Arial"/>
                <w:sz w:val="24"/>
                <w:szCs w:val="24"/>
              </w:rPr>
            </w:pPr>
          </w:p>
        </w:tc>
        <w:tc>
          <w:tcPr>
            <w:tcW w:w="937" w:type="dxa"/>
            <w:vMerge/>
            <w:shd w:val="clear" w:color="auto" w:fill="auto"/>
          </w:tcPr>
          <w:p w14:paraId="34BD987F" w14:textId="77777777" w:rsidR="00170469" w:rsidRPr="00170469" w:rsidRDefault="00170469" w:rsidP="0052703E">
            <w:pPr>
              <w:rPr>
                <w:rFonts w:ascii="Arial" w:hAnsi="Arial" w:cs="Arial"/>
                <w:sz w:val="24"/>
                <w:szCs w:val="24"/>
              </w:rPr>
            </w:pPr>
          </w:p>
        </w:tc>
        <w:tc>
          <w:tcPr>
            <w:tcW w:w="1253" w:type="dxa"/>
            <w:vMerge/>
            <w:shd w:val="clear" w:color="auto" w:fill="auto"/>
          </w:tcPr>
          <w:p w14:paraId="6890012C" w14:textId="77777777" w:rsidR="00170469" w:rsidRPr="00170469" w:rsidRDefault="00170469" w:rsidP="0052703E">
            <w:pPr>
              <w:rPr>
                <w:rFonts w:ascii="Arial" w:hAnsi="Arial" w:cs="Arial"/>
                <w:sz w:val="24"/>
                <w:szCs w:val="24"/>
              </w:rPr>
            </w:pPr>
          </w:p>
        </w:tc>
      </w:tr>
      <w:tr w:rsidR="00170469" w:rsidRPr="00170469" w14:paraId="1E3E4A27" w14:textId="77777777" w:rsidTr="00170469">
        <w:tc>
          <w:tcPr>
            <w:tcW w:w="399" w:type="dxa"/>
            <w:vMerge w:val="restart"/>
            <w:shd w:val="clear" w:color="auto" w:fill="auto"/>
          </w:tcPr>
          <w:p w14:paraId="00A19A5C" w14:textId="77777777" w:rsidR="00170469" w:rsidRPr="00170469" w:rsidRDefault="00170469" w:rsidP="0052703E">
            <w:pPr>
              <w:rPr>
                <w:rFonts w:ascii="Arial" w:hAnsi="Arial" w:cs="Arial"/>
                <w:sz w:val="24"/>
                <w:szCs w:val="24"/>
              </w:rPr>
            </w:pPr>
            <w:r w:rsidRPr="00170469">
              <w:rPr>
                <w:rFonts w:ascii="Arial" w:hAnsi="Arial" w:cs="Arial"/>
                <w:sz w:val="24"/>
                <w:szCs w:val="24"/>
              </w:rPr>
              <w:t>8</w:t>
            </w:r>
          </w:p>
        </w:tc>
        <w:tc>
          <w:tcPr>
            <w:tcW w:w="1745" w:type="dxa"/>
            <w:vMerge w:val="restart"/>
            <w:shd w:val="clear" w:color="auto" w:fill="auto"/>
          </w:tcPr>
          <w:p w14:paraId="52AB5A84" w14:textId="668765C8" w:rsidR="00170469" w:rsidRPr="00170469" w:rsidRDefault="00170469" w:rsidP="0052703E">
            <w:pPr>
              <w:rPr>
                <w:rFonts w:ascii="Arial" w:hAnsi="Arial" w:cs="Arial"/>
                <w:sz w:val="24"/>
                <w:szCs w:val="24"/>
              </w:rPr>
            </w:pPr>
            <w:r>
              <w:rPr>
                <w:rFonts w:ascii="Arial" w:hAnsi="Arial" w:cs="Arial"/>
                <w:sz w:val="24"/>
                <w:szCs w:val="24"/>
              </w:rPr>
              <w:t>Young people discharged</w:t>
            </w:r>
            <w:r w:rsidRPr="00170469">
              <w:rPr>
                <w:rFonts w:ascii="Arial" w:hAnsi="Arial" w:cs="Arial"/>
                <w:sz w:val="24"/>
                <w:szCs w:val="24"/>
              </w:rPr>
              <w:t xml:space="preserve"> (4 data items and 4 reports in total)</w:t>
            </w:r>
          </w:p>
        </w:tc>
        <w:tc>
          <w:tcPr>
            <w:tcW w:w="1430" w:type="dxa"/>
            <w:vMerge w:val="restart"/>
            <w:shd w:val="clear" w:color="auto" w:fill="auto"/>
          </w:tcPr>
          <w:p w14:paraId="12BC6268" w14:textId="77777777" w:rsidR="00170469" w:rsidRPr="00170469" w:rsidRDefault="00170469" w:rsidP="0052703E">
            <w:pPr>
              <w:rPr>
                <w:rFonts w:ascii="Arial" w:hAnsi="Arial" w:cs="Arial"/>
                <w:sz w:val="24"/>
                <w:szCs w:val="24"/>
              </w:rPr>
            </w:pPr>
            <w:r w:rsidRPr="00170469">
              <w:rPr>
                <w:rFonts w:ascii="Arial" w:hAnsi="Arial" w:cs="Arial"/>
                <w:sz w:val="24"/>
                <w:szCs w:val="24"/>
              </w:rPr>
              <w:t>Monthly</w:t>
            </w:r>
          </w:p>
        </w:tc>
        <w:tc>
          <w:tcPr>
            <w:tcW w:w="1592" w:type="dxa"/>
            <w:shd w:val="clear" w:color="auto" w:fill="auto"/>
          </w:tcPr>
          <w:p w14:paraId="6017F6A9" w14:textId="77777777" w:rsidR="00170469" w:rsidRPr="00170469" w:rsidRDefault="00170469" w:rsidP="0052703E">
            <w:pPr>
              <w:rPr>
                <w:rFonts w:ascii="Arial" w:hAnsi="Arial" w:cs="Arial"/>
                <w:sz w:val="24"/>
                <w:szCs w:val="24"/>
              </w:rPr>
            </w:pPr>
            <w:r w:rsidRPr="00170469">
              <w:rPr>
                <w:rFonts w:ascii="Arial" w:hAnsi="Arial" w:cs="Arial"/>
                <w:sz w:val="24"/>
                <w:szCs w:val="24"/>
              </w:rPr>
              <w:t>Provider</w:t>
            </w:r>
          </w:p>
        </w:tc>
        <w:tc>
          <w:tcPr>
            <w:tcW w:w="1570" w:type="dxa"/>
            <w:vMerge w:val="restart"/>
            <w:shd w:val="clear" w:color="auto" w:fill="auto"/>
          </w:tcPr>
          <w:p w14:paraId="125EAB28" w14:textId="77777777" w:rsidR="00170469" w:rsidRPr="00170469" w:rsidRDefault="00170469" w:rsidP="0052703E">
            <w:pPr>
              <w:rPr>
                <w:rFonts w:ascii="Arial" w:hAnsi="Arial" w:cs="Arial"/>
                <w:sz w:val="24"/>
                <w:szCs w:val="24"/>
              </w:rPr>
            </w:pPr>
            <w:r w:rsidRPr="00170469">
              <w:rPr>
                <w:rFonts w:ascii="Arial" w:hAnsi="Arial" w:cs="Arial"/>
                <w:sz w:val="24"/>
                <w:szCs w:val="24"/>
              </w:rPr>
              <w:t>All substances</w:t>
            </w:r>
          </w:p>
        </w:tc>
        <w:tc>
          <w:tcPr>
            <w:tcW w:w="937" w:type="dxa"/>
            <w:vMerge w:val="restart"/>
            <w:shd w:val="clear" w:color="auto" w:fill="auto"/>
          </w:tcPr>
          <w:p w14:paraId="54D8D760" w14:textId="77777777" w:rsidR="00170469" w:rsidRPr="00170469" w:rsidRDefault="00170469" w:rsidP="0052703E">
            <w:pPr>
              <w:rPr>
                <w:rFonts w:ascii="Arial" w:hAnsi="Arial" w:cs="Arial"/>
                <w:sz w:val="24"/>
                <w:szCs w:val="24"/>
              </w:rPr>
            </w:pPr>
            <w:r w:rsidRPr="00170469">
              <w:rPr>
                <w:rFonts w:ascii="Arial" w:hAnsi="Arial" w:cs="Arial"/>
                <w:sz w:val="24"/>
                <w:szCs w:val="24"/>
              </w:rPr>
              <w:t>Young people</w:t>
            </w:r>
          </w:p>
        </w:tc>
        <w:tc>
          <w:tcPr>
            <w:tcW w:w="1253" w:type="dxa"/>
            <w:vMerge w:val="restart"/>
            <w:shd w:val="clear" w:color="auto" w:fill="auto"/>
          </w:tcPr>
          <w:p w14:paraId="1DCB6068" w14:textId="77777777" w:rsidR="00170469" w:rsidRPr="00170469" w:rsidRDefault="00170469" w:rsidP="0052703E">
            <w:pPr>
              <w:rPr>
                <w:rFonts w:ascii="Arial" w:hAnsi="Arial" w:cs="Arial"/>
                <w:sz w:val="24"/>
                <w:szCs w:val="24"/>
              </w:rPr>
            </w:pPr>
            <w:r w:rsidRPr="00170469">
              <w:rPr>
                <w:rFonts w:ascii="Arial" w:hAnsi="Arial" w:cs="Arial"/>
                <w:sz w:val="24"/>
                <w:szCs w:val="24"/>
              </w:rPr>
              <w:t>In month</w:t>
            </w:r>
          </w:p>
        </w:tc>
      </w:tr>
      <w:tr w:rsidR="00170469" w:rsidRPr="00170469" w14:paraId="0332782F" w14:textId="77777777" w:rsidTr="00170469">
        <w:tc>
          <w:tcPr>
            <w:tcW w:w="399" w:type="dxa"/>
            <w:vMerge/>
            <w:shd w:val="clear" w:color="auto" w:fill="auto"/>
          </w:tcPr>
          <w:p w14:paraId="56AF81E0" w14:textId="77777777" w:rsidR="00170469" w:rsidRPr="00170469" w:rsidRDefault="00170469" w:rsidP="0052703E">
            <w:pPr>
              <w:rPr>
                <w:rFonts w:ascii="Arial" w:hAnsi="Arial" w:cs="Arial"/>
                <w:sz w:val="24"/>
                <w:szCs w:val="24"/>
              </w:rPr>
            </w:pPr>
          </w:p>
        </w:tc>
        <w:tc>
          <w:tcPr>
            <w:tcW w:w="1745" w:type="dxa"/>
            <w:vMerge/>
            <w:shd w:val="clear" w:color="auto" w:fill="auto"/>
          </w:tcPr>
          <w:p w14:paraId="261641B2" w14:textId="77777777" w:rsidR="00170469" w:rsidRPr="00170469" w:rsidRDefault="00170469" w:rsidP="0052703E">
            <w:pPr>
              <w:rPr>
                <w:rFonts w:ascii="Arial" w:hAnsi="Arial" w:cs="Arial"/>
                <w:sz w:val="24"/>
                <w:szCs w:val="24"/>
              </w:rPr>
            </w:pPr>
          </w:p>
        </w:tc>
        <w:tc>
          <w:tcPr>
            <w:tcW w:w="1430" w:type="dxa"/>
            <w:vMerge/>
            <w:shd w:val="clear" w:color="auto" w:fill="auto"/>
          </w:tcPr>
          <w:p w14:paraId="3EE322E7" w14:textId="77777777" w:rsidR="00170469" w:rsidRPr="00170469" w:rsidRDefault="00170469" w:rsidP="0052703E">
            <w:pPr>
              <w:rPr>
                <w:rFonts w:ascii="Arial" w:hAnsi="Arial" w:cs="Arial"/>
                <w:sz w:val="24"/>
                <w:szCs w:val="24"/>
              </w:rPr>
            </w:pPr>
          </w:p>
        </w:tc>
        <w:tc>
          <w:tcPr>
            <w:tcW w:w="1592" w:type="dxa"/>
            <w:shd w:val="clear" w:color="auto" w:fill="auto"/>
          </w:tcPr>
          <w:p w14:paraId="2ABEDE92" w14:textId="77777777" w:rsidR="00170469" w:rsidRPr="00170469" w:rsidRDefault="00170469" w:rsidP="0052703E">
            <w:pPr>
              <w:rPr>
                <w:rFonts w:ascii="Arial" w:hAnsi="Arial" w:cs="Arial"/>
                <w:sz w:val="24"/>
                <w:szCs w:val="24"/>
              </w:rPr>
            </w:pPr>
            <w:r w:rsidRPr="00170469">
              <w:rPr>
                <w:rFonts w:ascii="Arial" w:hAnsi="Arial" w:cs="Arial"/>
                <w:sz w:val="24"/>
                <w:szCs w:val="24"/>
              </w:rPr>
              <w:t>Partnership</w:t>
            </w:r>
          </w:p>
        </w:tc>
        <w:tc>
          <w:tcPr>
            <w:tcW w:w="1570" w:type="dxa"/>
            <w:vMerge/>
            <w:shd w:val="clear" w:color="auto" w:fill="auto"/>
          </w:tcPr>
          <w:p w14:paraId="776D5B08" w14:textId="77777777" w:rsidR="00170469" w:rsidRPr="00170469" w:rsidRDefault="00170469" w:rsidP="0052703E">
            <w:pPr>
              <w:rPr>
                <w:rFonts w:ascii="Arial" w:hAnsi="Arial" w:cs="Arial"/>
                <w:sz w:val="24"/>
                <w:szCs w:val="24"/>
              </w:rPr>
            </w:pPr>
          </w:p>
        </w:tc>
        <w:tc>
          <w:tcPr>
            <w:tcW w:w="937" w:type="dxa"/>
            <w:vMerge/>
            <w:shd w:val="clear" w:color="auto" w:fill="auto"/>
          </w:tcPr>
          <w:p w14:paraId="394A3380" w14:textId="77777777" w:rsidR="00170469" w:rsidRPr="00170469" w:rsidRDefault="00170469" w:rsidP="0052703E">
            <w:pPr>
              <w:rPr>
                <w:rFonts w:ascii="Arial" w:hAnsi="Arial" w:cs="Arial"/>
                <w:sz w:val="24"/>
                <w:szCs w:val="24"/>
              </w:rPr>
            </w:pPr>
          </w:p>
        </w:tc>
        <w:tc>
          <w:tcPr>
            <w:tcW w:w="1253" w:type="dxa"/>
            <w:vMerge/>
            <w:shd w:val="clear" w:color="auto" w:fill="auto"/>
          </w:tcPr>
          <w:p w14:paraId="6EA6770F" w14:textId="77777777" w:rsidR="00170469" w:rsidRPr="00170469" w:rsidRDefault="00170469" w:rsidP="0052703E">
            <w:pPr>
              <w:rPr>
                <w:rFonts w:ascii="Arial" w:hAnsi="Arial" w:cs="Arial"/>
                <w:sz w:val="24"/>
                <w:szCs w:val="24"/>
              </w:rPr>
            </w:pPr>
          </w:p>
        </w:tc>
      </w:tr>
      <w:tr w:rsidR="00170469" w:rsidRPr="00170469" w14:paraId="2A1DC640" w14:textId="77777777" w:rsidTr="00170469">
        <w:tc>
          <w:tcPr>
            <w:tcW w:w="399" w:type="dxa"/>
            <w:vMerge/>
            <w:shd w:val="clear" w:color="auto" w:fill="auto"/>
          </w:tcPr>
          <w:p w14:paraId="42394EC2" w14:textId="77777777" w:rsidR="00170469" w:rsidRPr="00170469" w:rsidRDefault="00170469" w:rsidP="00170469">
            <w:pPr>
              <w:rPr>
                <w:rFonts w:ascii="Arial" w:hAnsi="Arial" w:cs="Arial"/>
                <w:sz w:val="24"/>
                <w:szCs w:val="24"/>
              </w:rPr>
            </w:pPr>
          </w:p>
        </w:tc>
        <w:tc>
          <w:tcPr>
            <w:tcW w:w="1745" w:type="dxa"/>
            <w:vMerge/>
            <w:shd w:val="clear" w:color="auto" w:fill="auto"/>
          </w:tcPr>
          <w:p w14:paraId="2B8F3E59" w14:textId="77777777" w:rsidR="00170469" w:rsidRPr="00170469" w:rsidRDefault="00170469" w:rsidP="00170469">
            <w:pPr>
              <w:rPr>
                <w:rFonts w:ascii="Arial" w:hAnsi="Arial" w:cs="Arial"/>
                <w:sz w:val="24"/>
                <w:szCs w:val="24"/>
              </w:rPr>
            </w:pPr>
          </w:p>
        </w:tc>
        <w:tc>
          <w:tcPr>
            <w:tcW w:w="1430" w:type="dxa"/>
            <w:vMerge/>
            <w:shd w:val="clear" w:color="auto" w:fill="auto"/>
          </w:tcPr>
          <w:p w14:paraId="3157ACF5" w14:textId="77777777" w:rsidR="00170469" w:rsidRPr="00170469" w:rsidRDefault="00170469" w:rsidP="00170469">
            <w:pPr>
              <w:rPr>
                <w:rFonts w:ascii="Arial" w:hAnsi="Arial" w:cs="Arial"/>
                <w:sz w:val="24"/>
                <w:szCs w:val="24"/>
              </w:rPr>
            </w:pPr>
          </w:p>
        </w:tc>
        <w:tc>
          <w:tcPr>
            <w:tcW w:w="1592" w:type="dxa"/>
            <w:shd w:val="clear" w:color="auto" w:fill="auto"/>
          </w:tcPr>
          <w:p w14:paraId="0B92F791" w14:textId="5119DD1B" w:rsidR="00170469" w:rsidRPr="00170469" w:rsidRDefault="00170469" w:rsidP="00170469">
            <w:pPr>
              <w:rPr>
                <w:rFonts w:ascii="Arial" w:hAnsi="Arial" w:cs="Arial"/>
                <w:sz w:val="24"/>
                <w:szCs w:val="24"/>
              </w:rPr>
            </w:pPr>
            <w:r>
              <w:rPr>
                <w:rFonts w:ascii="Arial" w:hAnsi="Arial" w:cs="Arial"/>
                <w:sz w:val="24"/>
                <w:szCs w:val="24"/>
              </w:rPr>
              <w:t>PHE</w:t>
            </w:r>
            <w:r w:rsidRPr="00170469">
              <w:rPr>
                <w:rFonts w:ascii="Arial" w:hAnsi="Arial" w:cs="Arial"/>
                <w:sz w:val="24"/>
                <w:szCs w:val="24"/>
              </w:rPr>
              <w:t xml:space="preserve"> Centre</w:t>
            </w:r>
          </w:p>
        </w:tc>
        <w:tc>
          <w:tcPr>
            <w:tcW w:w="1570" w:type="dxa"/>
            <w:vMerge/>
            <w:shd w:val="clear" w:color="auto" w:fill="auto"/>
          </w:tcPr>
          <w:p w14:paraId="203030DF" w14:textId="77777777" w:rsidR="00170469" w:rsidRPr="00170469" w:rsidRDefault="00170469" w:rsidP="00170469">
            <w:pPr>
              <w:rPr>
                <w:rFonts w:ascii="Arial" w:hAnsi="Arial" w:cs="Arial"/>
                <w:sz w:val="24"/>
                <w:szCs w:val="24"/>
              </w:rPr>
            </w:pPr>
          </w:p>
        </w:tc>
        <w:tc>
          <w:tcPr>
            <w:tcW w:w="937" w:type="dxa"/>
            <w:vMerge/>
            <w:shd w:val="clear" w:color="auto" w:fill="auto"/>
          </w:tcPr>
          <w:p w14:paraId="73CFA184" w14:textId="77777777" w:rsidR="00170469" w:rsidRPr="00170469" w:rsidRDefault="00170469" w:rsidP="00170469">
            <w:pPr>
              <w:rPr>
                <w:rFonts w:ascii="Arial" w:hAnsi="Arial" w:cs="Arial"/>
                <w:sz w:val="24"/>
                <w:szCs w:val="24"/>
              </w:rPr>
            </w:pPr>
          </w:p>
        </w:tc>
        <w:tc>
          <w:tcPr>
            <w:tcW w:w="1253" w:type="dxa"/>
            <w:vMerge/>
            <w:shd w:val="clear" w:color="auto" w:fill="auto"/>
          </w:tcPr>
          <w:p w14:paraId="7F74423B" w14:textId="77777777" w:rsidR="00170469" w:rsidRPr="00170469" w:rsidRDefault="00170469" w:rsidP="00170469">
            <w:pPr>
              <w:rPr>
                <w:rFonts w:ascii="Arial" w:hAnsi="Arial" w:cs="Arial"/>
                <w:sz w:val="24"/>
                <w:szCs w:val="24"/>
              </w:rPr>
            </w:pPr>
          </w:p>
        </w:tc>
      </w:tr>
      <w:tr w:rsidR="00170469" w:rsidRPr="00170469" w14:paraId="063F5F98" w14:textId="77777777" w:rsidTr="00170469">
        <w:tc>
          <w:tcPr>
            <w:tcW w:w="399" w:type="dxa"/>
            <w:vMerge/>
            <w:shd w:val="clear" w:color="auto" w:fill="auto"/>
          </w:tcPr>
          <w:p w14:paraId="534B3F9E" w14:textId="77777777" w:rsidR="00170469" w:rsidRPr="00170469" w:rsidRDefault="00170469" w:rsidP="0052703E">
            <w:pPr>
              <w:rPr>
                <w:rFonts w:ascii="Arial" w:hAnsi="Arial" w:cs="Arial"/>
                <w:sz w:val="24"/>
                <w:szCs w:val="24"/>
              </w:rPr>
            </w:pPr>
          </w:p>
        </w:tc>
        <w:tc>
          <w:tcPr>
            <w:tcW w:w="1745" w:type="dxa"/>
            <w:vMerge/>
            <w:shd w:val="clear" w:color="auto" w:fill="auto"/>
          </w:tcPr>
          <w:p w14:paraId="08D47D59" w14:textId="77777777" w:rsidR="00170469" w:rsidRPr="00170469" w:rsidRDefault="00170469" w:rsidP="0052703E">
            <w:pPr>
              <w:rPr>
                <w:rFonts w:ascii="Arial" w:hAnsi="Arial" w:cs="Arial"/>
                <w:sz w:val="24"/>
                <w:szCs w:val="24"/>
              </w:rPr>
            </w:pPr>
          </w:p>
        </w:tc>
        <w:tc>
          <w:tcPr>
            <w:tcW w:w="1430" w:type="dxa"/>
            <w:vMerge/>
            <w:shd w:val="clear" w:color="auto" w:fill="auto"/>
          </w:tcPr>
          <w:p w14:paraId="5AD976DA" w14:textId="77777777" w:rsidR="00170469" w:rsidRPr="00170469" w:rsidRDefault="00170469" w:rsidP="0052703E">
            <w:pPr>
              <w:rPr>
                <w:rFonts w:ascii="Arial" w:hAnsi="Arial" w:cs="Arial"/>
                <w:sz w:val="24"/>
                <w:szCs w:val="24"/>
              </w:rPr>
            </w:pPr>
          </w:p>
        </w:tc>
        <w:tc>
          <w:tcPr>
            <w:tcW w:w="1592" w:type="dxa"/>
            <w:shd w:val="clear" w:color="auto" w:fill="auto"/>
          </w:tcPr>
          <w:p w14:paraId="63B179E3" w14:textId="77777777" w:rsidR="00170469" w:rsidRPr="00170469" w:rsidRDefault="00170469" w:rsidP="0052703E">
            <w:pPr>
              <w:rPr>
                <w:rFonts w:ascii="Arial" w:hAnsi="Arial" w:cs="Arial"/>
                <w:sz w:val="24"/>
                <w:szCs w:val="24"/>
              </w:rPr>
            </w:pPr>
            <w:r w:rsidRPr="00170469">
              <w:rPr>
                <w:rFonts w:ascii="Arial" w:hAnsi="Arial" w:cs="Arial"/>
                <w:sz w:val="24"/>
                <w:szCs w:val="24"/>
              </w:rPr>
              <w:t>National</w:t>
            </w:r>
          </w:p>
        </w:tc>
        <w:tc>
          <w:tcPr>
            <w:tcW w:w="1570" w:type="dxa"/>
            <w:vMerge/>
            <w:shd w:val="clear" w:color="auto" w:fill="auto"/>
          </w:tcPr>
          <w:p w14:paraId="2A9DDA80" w14:textId="77777777" w:rsidR="00170469" w:rsidRPr="00170469" w:rsidRDefault="00170469" w:rsidP="0052703E">
            <w:pPr>
              <w:rPr>
                <w:rFonts w:ascii="Arial" w:hAnsi="Arial" w:cs="Arial"/>
                <w:sz w:val="24"/>
                <w:szCs w:val="24"/>
              </w:rPr>
            </w:pPr>
          </w:p>
        </w:tc>
        <w:tc>
          <w:tcPr>
            <w:tcW w:w="937" w:type="dxa"/>
            <w:vMerge/>
            <w:shd w:val="clear" w:color="auto" w:fill="auto"/>
          </w:tcPr>
          <w:p w14:paraId="04D41C99" w14:textId="77777777" w:rsidR="00170469" w:rsidRPr="00170469" w:rsidRDefault="00170469" w:rsidP="0052703E">
            <w:pPr>
              <w:rPr>
                <w:rFonts w:ascii="Arial" w:hAnsi="Arial" w:cs="Arial"/>
                <w:sz w:val="24"/>
                <w:szCs w:val="24"/>
              </w:rPr>
            </w:pPr>
          </w:p>
        </w:tc>
        <w:tc>
          <w:tcPr>
            <w:tcW w:w="1253" w:type="dxa"/>
            <w:vMerge/>
            <w:shd w:val="clear" w:color="auto" w:fill="auto"/>
          </w:tcPr>
          <w:p w14:paraId="5859C09E" w14:textId="77777777" w:rsidR="00170469" w:rsidRPr="00170469" w:rsidRDefault="00170469" w:rsidP="0052703E">
            <w:pPr>
              <w:rPr>
                <w:rFonts w:ascii="Arial" w:hAnsi="Arial" w:cs="Arial"/>
                <w:sz w:val="24"/>
                <w:szCs w:val="24"/>
              </w:rPr>
            </w:pPr>
          </w:p>
        </w:tc>
      </w:tr>
      <w:tr w:rsidR="00170469" w:rsidRPr="00170469" w14:paraId="551C85D3" w14:textId="77777777" w:rsidTr="00170469">
        <w:trPr>
          <w:trHeight w:val="330"/>
        </w:trPr>
        <w:tc>
          <w:tcPr>
            <w:tcW w:w="399" w:type="dxa"/>
            <w:vMerge w:val="restart"/>
            <w:shd w:val="clear" w:color="auto" w:fill="auto"/>
          </w:tcPr>
          <w:p w14:paraId="4842F6CD" w14:textId="77777777" w:rsidR="00170469" w:rsidRPr="00170469" w:rsidRDefault="00170469" w:rsidP="0052703E">
            <w:pPr>
              <w:rPr>
                <w:rFonts w:ascii="Arial" w:hAnsi="Arial" w:cs="Arial"/>
                <w:sz w:val="24"/>
                <w:szCs w:val="24"/>
              </w:rPr>
            </w:pPr>
            <w:r w:rsidRPr="00170469">
              <w:rPr>
                <w:rFonts w:ascii="Arial" w:hAnsi="Arial" w:cs="Arial"/>
                <w:sz w:val="24"/>
                <w:szCs w:val="24"/>
              </w:rPr>
              <w:t>9</w:t>
            </w:r>
          </w:p>
        </w:tc>
        <w:tc>
          <w:tcPr>
            <w:tcW w:w="1745" w:type="dxa"/>
            <w:vMerge w:val="restart"/>
            <w:shd w:val="clear" w:color="auto" w:fill="auto"/>
          </w:tcPr>
          <w:p w14:paraId="4C02F33C" w14:textId="133992F1" w:rsidR="00170469" w:rsidRPr="00170469" w:rsidRDefault="00170469" w:rsidP="0052703E">
            <w:pPr>
              <w:rPr>
                <w:rFonts w:ascii="Arial" w:hAnsi="Arial" w:cs="Arial"/>
                <w:sz w:val="24"/>
                <w:szCs w:val="24"/>
              </w:rPr>
            </w:pPr>
            <w:r w:rsidRPr="00170469">
              <w:rPr>
                <w:rFonts w:ascii="Arial" w:hAnsi="Arial" w:cs="Arial"/>
                <w:sz w:val="24"/>
                <w:szCs w:val="24"/>
              </w:rPr>
              <w:t xml:space="preserve">PHOF Indicator </w:t>
            </w:r>
            <w:r>
              <w:rPr>
                <w:rFonts w:ascii="Arial" w:hAnsi="Arial" w:cs="Arial"/>
                <w:sz w:val="24"/>
                <w:szCs w:val="24"/>
              </w:rPr>
              <w:t>C19a, b and c</w:t>
            </w:r>
            <w:r w:rsidRPr="00170469">
              <w:rPr>
                <w:rFonts w:ascii="Arial" w:hAnsi="Arial" w:cs="Arial"/>
                <w:sz w:val="24"/>
                <w:szCs w:val="24"/>
              </w:rPr>
              <w:t xml:space="preserve"> (3 data items and 3 reports in </w:t>
            </w:r>
            <w:r>
              <w:rPr>
                <w:rFonts w:ascii="Arial" w:hAnsi="Arial" w:cs="Arial"/>
                <w:sz w:val="24"/>
                <w:szCs w:val="24"/>
              </w:rPr>
              <w:t>each</w:t>
            </w:r>
            <w:r w:rsidRPr="00170469">
              <w:rPr>
                <w:rFonts w:ascii="Arial" w:hAnsi="Arial" w:cs="Arial"/>
                <w:sz w:val="24"/>
                <w:szCs w:val="24"/>
              </w:rPr>
              <w:t>)</w:t>
            </w:r>
          </w:p>
        </w:tc>
        <w:tc>
          <w:tcPr>
            <w:tcW w:w="1430" w:type="dxa"/>
            <w:vMerge w:val="restart"/>
            <w:shd w:val="clear" w:color="auto" w:fill="auto"/>
          </w:tcPr>
          <w:p w14:paraId="283A19B1" w14:textId="77777777" w:rsidR="00170469" w:rsidRPr="00170469" w:rsidRDefault="00170469" w:rsidP="0052703E">
            <w:pPr>
              <w:rPr>
                <w:rFonts w:ascii="Arial" w:hAnsi="Arial" w:cs="Arial"/>
                <w:sz w:val="24"/>
                <w:szCs w:val="24"/>
              </w:rPr>
            </w:pPr>
            <w:r w:rsidRPr="00170469">
              <w:rPr>
                <w:rFonts w:ascii="Arial" w:hAnsi="Arial" w:cs="Arial"/>
                <w:sz w:val="24"/>
                <w:szCs w:val="24"/>
              </w:rPr>
              <w:t>Monthly</w:t>
            </w:r>
          </w:p>
        </w:tc>
        <w:tc>
          <w:tcPr>
            <w:tcW w:w="1592" w:type="dxa"/>
            <w:shd w:val="clear" w:color="auto" w:fill="auto"/>
          </w:tcPr>
          <w:p w14:paraId="57F86D6C" w14:textId="77777777" w:rsidR="00170469" w:rsidRPr="00170469" w:rsidRDefault="00170469" w:rsidP="0052703E">
            <w:pPr>
              <w:rPr>
                <w:rFonts w:ascii="Arial" w:hAnsi="Arial" w:cs="Arial"/>
                <w:sz w:val="24"/>
                <w:szCs w:val="24"/>
              </w:rPr>
            </w:pPr>
            <w:r w:rsidRPr="00170469">
              <w:rPr>
                <w:rFonts w:ascii="Arial" w:hAnsi="Arial" w:cs="Arial"/>
                <w:sz w:val="24"/>
                <w:szCs w:val="24"/>
              </w:rPr>
              <w:t>Partnership</w:t>
            </w:r>
          </w:p>
        </w:tc>
        <w:tc>
          <w:tcPr>
            <w:tcW w:w="1570" w:type="dxa"/>
            <w:shd w:val="clear" w:color="auto" w:fill="auto"/>
          </w:tcPr>
          <w:p w14:paraId="708AA511" w14:textId="77777777" w:rsidR="00170469" w:rsidRPr="00170469" w:rsidRDefault="00170469" w:rsidP="0052703E">
            <w:pPr>
              <w:rPr>
                <w:rFonts w:ascii="Arial" w:hAnsi="Arial" w:cs="Arial"/>
                <w:sz w:val="24"/>
                <w:szCs w:val="24"/>
              </w:rPr>
            </w:pPr>
            <w:r w:rsidRPr="00170469">
              <w:rPr>
                <w:rFonts w:ascii="Arial" w:hAnsi="Arial" w:cs="Arial"/>
                <w:sz w:val="24"/>
                <w:szCs w:val="24"/>
              </w:rPr>
              <w:t>Opiate</w:t>
            </w:r>
          </w:p>
        </w:tc>
        <w:tc>
          <w:tcPr>
            <w:tcW w:w="937" w:type="dxa"/>
            <w:vMerge w:val="restart"/>
            <w:shd w:val="clear" w:color="auto" w:fill="auto"/>
          </w:tcPr>
          <w:p w14:paraId="11EB7F68" w14:textId="77777777" w:rsidR="00170469" w:rsidRPr="00170469" w:rsidRDefault="00170469" w:rsidP="0052703E">
            <w:pPr>
              <w:rPr>
                <w:rFonts w:ascii="Arial" w:hAnsi="Arial" w:cs="Arial"/>
                <w:sz w:val="24"/>
                <w:szCs w:val="24"/>
              </w:rPr>
            </w:pPr>
            <w:r w:rsidRPr="00170469">
              <w:rPr>
                <w:rFonts w:ascii="Arial" w:hAnsi="Arial" w:cs="Arial"/>
                <w:sz w:val="24"/>
                <w:szCs w:val="24"/>
              </w:rPr>
              <w:t>18 and over</w:t>
            </w:r>
          </w:p>
        </w:tc>
        <w:tc>
          <w:tcPr>
            <w:tcW w:w="1253" w:type="dxa"/>
            <w:vMerge w:val="restart"/>
            <w:shd w:val="clear" w:color="auto" w:fill="auto"/>
          </w:tcPr>
          <w:p w14:paraId="12836092" w14:textId="77777777" w:rsidR="00170469" w:rsidRPr="00170469" w:rsidRDefault="00170469" w:rsidP="0052703E">
            <w:pPr>
              <w:rPr>
                <w:rFonts w:ascii="Arial" w:hAnsi="Arial" w:cs="Arial"/>
                <w:sz w:val="24"/>
                <w:szCs w:val="24"/>
              </w:rPr>
            </w:pPr>
            <w:r w:rsidRPr="00170469">
              <w:rPr>
                <w:rFonts w:ascii="Arial" w:hAnsi="Arial" w:cs="Arial"/>
                <w:sz w:val="24"/>
                <w:szCs w:val="24"/>
              </w:rPr>
              <w:t>Rolling 12 months</w:t>
            </w:r>
          </w:p>
        </w:tc>
      </w:tr>
      <w:tr w:rsidR="00170469" w:rsidRPr="00170469" w14:paraId="778F6724" w14:textId="77777777" w:rsidTr="00170469">
        <w:trPr>
          <w:trHeight w:val="331"/>
        </w:trPr>
        <w:tc>
          <w:tcPr>
            <w:tcW w:w="399" w:type="dxa"/>
            <w:vMerge/>
            <w:shd w:val="clear" w:color="auto" w:fill="auto"/>
          </w:tcPr>
          <w:p w14:paraId="4246BFC0" w14:textId="77777777" w:rsidR="00170469" w:rsidRPr="00170469" w:rsidRDefault="00170469" w:rsidP="00170469">
            <w:pPr>
              <w:rPr>
                <w:rFonts w:ascii="Arial" w:hAnsi="Arial" w:cs="Arial"/>
                <w:sz w:val="24"/>
                <w:szCs w:val="24"/>
              </w:rPr>
            </w:pPr>
          </w:p>
        </w:tc>
        <w:tc>
          <w:tcPr>
            <w:tcW w:w="1745" w:type="dxa"/>
            <w:vMerge/>
            <w:shd w:val="clear" w:color="auto" w:fill="auto"/>
          </w:tcPr>
          <w:p w14:paraId="2F370942" w14:textId="77777777" w:rsidR="00170469" w:rsidRPr="00170469" w:rsidRDefault="00170469" w:rsidP="00170469">
            <w:pPr>
              <w:rPr>
                <w:rFonts w:ascii="Arial" w:hAnsi="Arial" w:cs="Arial"/>
                <w:sz w:val="24"/>
                <w:szCs w:val="24"/>
              </w:rPr>
            </w:pPr>
          </w:p>
        </w:tc>
        <w:tc>
          <w:tcPr>
            <w:tcW w:w="1430" w:type="dxa"/>
            <w:vMerge/>
            <w:shd w:val="clear" w:color="auto" w:fill="auto"/>
          </w:tcPr>
          <w:p w14:paraId="6D6B0104" w14:textId="77777777" w:rsidR="00170469" w:rsidRPr="00170469" w:rsidRDefault="00170469" w:rsidP="00170469">
            <w:pPr>
              <w:rPr>
                <w:rFonts w:ascii="Arial" w:hAnsi="Arial" w:cs="Arial"/>
                <w:sz w:val="24"/>
                <w:szCs w:val="24"/>
              </w:rPr>
            </w:pPr>
          </w:p>
        </w:tc>
        <w:tc>
          <w:tcPr>
            <w:tcW w:w="1592" w:type="dxa"/>
            <w:shd w:val="clear" w:color="auto" w:fill="auto"/>
          </w:tcPr>
          <w:p w14:paraId="3D12E0B4" w14:textId="6FCBC658" w:rsidR="00170469" w:rsidRPr="00170469" w:rsidRDefault="00170469" w:rsidP="00170469">
            <w:pPr>
              <w:rPr>
                <w:rFonts w:ascii="Arial" w:hAnsi="Arial" w:cs="Arial"/>
                <w:sz w:val="24"/>
                <w:szCs w:val="24"/>
              </w:rPr>
            </w:pPr>
            <w:r>
              <w:rPr>
                <w:rFonts w:ascii="Arial" w:hAnsi="Arial" w:cs="Arial"/>
                <w:sz w:val="24"/>
                <w:szCs w:val="24"/>
              </w:rPr>
              <w:t>PHE</w:t>
            </w:r>
            <w:r w:rsidRPr="00170469">
              <w:rPr>
                <w:rFonts w:ascii="Arial" w:hAnsi="Arial" w:cs="Arial"/>
                <w:sz w:val="24"/>
                <w:szCs w:val="24"/>
              </w:rPr>
              <w:t xml:space="preserve"> Centre</w:t>
            </w:r>
          </w:p>
        </w:tc>
        <w:tc>
          <w:tcPr>
            <w:tcW w:w="1570" w:type="dxa"/>
            <w:shd w:val="clear" w:color="auto" w:fill="auto"/>
          </w:tcPr>
          <w:p w14:paraId="184322C0" w14:textId="77777777" w:rsidR="00170469" w:rsidRPr="00170469" w:rsidRDefault="00170469" w:rsidP="00170469">
            <w:pPr>
              <w:rPr>
                <w:rFonts w:ascii="Arial" w:hAnsi="Arial" w:cs="Arial"/>
                <w:sz w:val="24"/>
                <w:szCs w:val="24"/>
              </w:rPr>
            </w:pPr>
            <w:r w:rsidRPr="00170469">
              <w:rPr>
                <w:rFonts w:ascii="Arial" w:hAnsi="Arial" w:cs="Arial"/>
                <w:sz w:val="24"/>
                <w:szCs w:val="24"/>
              </w:rPr>
              <w:t>Non-opiate</w:t>
            </w:r>
          </w:p>
        </w:tc>
        <w:tc>
          <w:tcPr>
            <w:tcW w:w="937" w:type="dxa"/>
            <w:vMerge/>
            <w:shd w:val="clear" w:color="auto" w:fill="auto"/>
          </w:tcPr>
          <w:p w14:paraId="6298CC8E" w14:textId="77777777" w:rsidR="00170469" w:rsidRPr="00170469" w:rsidRDefault="00170469" w:rsidP="00170469">
            <w:pPr>
              <w:rPr>
                <w:rFonts w:ascii="Arial" w:hAnsi="Arial" w:cs="Arial"/>
                <w:sz w:val="24"/>
                <w:szCs w:val="24"/>
              </w:rPr>
            </w:pPr>
          </w:p>
        </w:tc>
        <w:tc>
          <w:tcPr>
            <w:tcW w:w="1253" w:type="dxa"/>
            <w:vMerge/>
            <w:shd w:val="clear" w:color="auto" w:fill="auto"/>
          </w:tcPr>
          <w:p w14:paraId="1AEC5541" w14:textId="77777777" w:rsidR="00170469" w:rsidRPr="00170469" w:rsidRDefault="00170469" w:rsidP="00170469">
            <w:pPr>
              <w:rPr>
                <w:rFonts w:ascii="Arial" w:hAnsi="Arial" w:cs="Arial"/>
                <w:sz w:val="24"/>
                <w:szCs w:val="24"/>
              </w:rPr>
            </w:pPr>
          </w:p>
        </w:tc>
      </w:tr>
      <w:tr w:rsidR="00170469" w:rsidRPr="00170469" w14:paraId="1BC91A70" w14:textId="77777777" w:rsidTr="00170469">
        <w:trPr>
          <w:trHeight w:val="331"/>
        </w:trPr>
        <w:tc>
          <w:tcPr>
            <w:tcW w:w="399" w:type="dxa"/>
            <w:vMerge/>
            <w:shd w:val="clear" w:color="auto" w:fill="auto"/>
          </w:tcPr>
          <w:p w14:paraId="5374C9B0" w14:textId="77777777" w:rsidR="00170469" w:rsidRPr="00170469" w:rsidRDefault="00170469" w:rsidP="0052703E">
            <w:pPr>
              <w:rPr>
                <w:rFonts w:ascii="Arial" w:hAnsi="Arial" w:cs="Arial"/>
                <w:sz w:val="24"/>
                <w:szCs w:val="24"/>
              </w:rPr>
            </w:pPr>
          </w:p>
        </w:tc>
        <w:tc>
          <w:tcPr>
            <w:tcW w:w="1745" w:type="dxa"/>
            <w:vMerge/>
            <w:shd w:val="clear" w:color="auto" w:fill="auto"/>
          </w:tcPr>
          <w:p w14:paraId="426A3749" w14:textId="77777777" w:rsidR="00170469" w:rsidRPr="00170469" w:rsidRDefault="00170469" w:rsidP="0052703E">
            <w:pPr>
              <w:rPr>
                <w:rFonts w:ascii="Arial" w:hAnsi="Arial" w:cs="Arial"/>
                <w:sz w:val="24"/>
                <w:szCs w:val="24"/>
              </w:rPr>
            </w:pPr>
          </w:p>
        </w:tc>
        <w:tc>
          <w:tcPr>
            <w:tcW w:w="1430" w:type="dxa"/>
            <w:vMerge/>
            <w:shd w:val="clear" w:color="auto" w:fill="auto"/>
          </w:tcPr>
          <w:p w14:paraId="7FD7B6E5" w14:textId="77777777" w:rsidR="00170469" w:rsidRPr="00170469" w:rsidRDefault="00170469" w:rsidP="0052703E">
            <w:pPr>
              <w:rPr>
                <w:rFonts w:ascii="Arial" w:hAnsi="Arial" w:cs="Arial"/>
                <w:sz w:val="24"/>
                <w:szCs w:val="24"/>
              </w:rPr>
            </w:pPr>
          </w:p>
        </w:tc>
        <w:tc>
          <w:tcPr>
            <w:tcW w:w="1592" w:type="dxa"/>
            <w:shd w:val="clear" w:color="auto" w:fill="auto"/>
          </w:tcPr>
          <w:p w14:paraId="1190650F" w14:textId="77777777" w:rsidR="00170469" w:rsidRPr="00170469" w:rsidRDefault="00170469" w:rsidP="0052703E">
            <w:pPr>
              <w:rPr>
                <w:rFonts w:ascii="Arial" w:hAnsi="Arial" w:cs="Arial"/>
                <w:sz w:val="24"/>
                <w:szCs w:val="24"/>
              </w:rPr>
            </w:pPr>
            <w:r w:rsidRPr="00170469">
              <w:rPr>
                <w:rFonts w:ascii="Arial" w:hAnsi="Arial" w:cs="Arial"/>
                <w:sz w:val="24"/>
                <w:szCs w:val="24"/>
              </w:rPr>
              <w:t>National</w:t>
            </w:r>
          </w:p>
        </w:tc>
        <w:tc>
          <w:tcPr>
            <w:tcW w:w="1570" w:type="dxa"/>
            <w:shd w:val="clear" w:color="auto" w:fill="auto"/>
          </w:tcPr>
          <w:p w14:paraId="6B819948" w14:textId="77777777" w:rsidR="00170469" w:rsidRPr="00170469" w:rsidRDefault="00170469" w:rsidP="0052703E">
            <w:pPr>
              <w:rPr>
                <w:rFonts w:ascii="Arial" w:hAnsi="Arial" w:cs="Arial"/>
                <w:sz w:val="24"/>
                <w:szCs w:val="24"/>
              </w:rPr>
            </w:pPr>
            <w:r w:rsidRPr="00170469">
              <w:rPr>
                <w:rFonts w:ascii="Arial" w:hAnsi="Arial" w:cs="Arial"/>
                <w:sz w:val="24"/>
                <w:szCs w:val="24"/>
              </w:rPr>
              <w:t>Alcohol</w:t>
            </w:r>
          </w:p>
        </w:tc>
        <w:tc>
          <w:tcPr>
            <w:tcW w:w="937" w:type="dxa"/>
            <w:vMerge/>
            <w:shd w:val="clear" w:color="auto" w:fill="auto"/>
          </w:tcPr>
          <w:p w14:paraId="65E25F22" w14:textId="77777777" w:rsidR="00170469" w:rsidRPr="00170469" w:rsidRDefault="00170469" w:rsidP="0052703E">
            <w:pPr>
              <w:rPr>
                <w:rFonts w:ascii="Arial" w:hAnsi="Arial" w:cs="Arial"/>
                <w:sz w:val="24"/>
                <w:szCs w:val="24"/>
              </w:rPr>
            </w:pPr>
          </w:p>
        </w:tc>
        <w:tc>
          <w:tcPr>
            <w:tcW w:w="1253" w:type="dxa"/>
            <w:vMerge/>
            <w:shd w:val="clear" w:color="auto" w:fill="auto"/>
          </w:tcPr>
          <w:p w14:paraId="38687E7C" w14:textId="77777777" w:rsidR="00170469" w:rsidRPr="00170469" w:rsidRDefault="00170469" w:rsidP="0052703E">
            <w:pPr>
              <w:rPr>
                <w:rFonts w:ascii="Arial" w:hAnsi="Arial" w:cs="Arial"/>
                <w:sz w:val="24"/>
                <w:szCs w:val="24"/>
              </w:rPr>
            </w:pPr>
          </w:p>
        </w:tc>
      </w:tr>
    </w:tbl>
    <w:p w14:paraId="434676F0" w14:textId="77777777" w:rsidR="00170469" w:rsidRDefault="00170469" w:rsidP="00170469">
      <w:pPr>
        <w:spacing w:after="0" w:line="240" w:lineRule="auto"/>
        <w:rPr>
          <w:rFonts w:ascii="Arial" w:eastAsia="Times New Roman" w:hAnsi="Arial" w:cs="Arial"/>
          <w:sz w:val="24"/>
          <w:szCs w:val="24"/>
          <w:lang w:eastAsia="en-GB"/>
        </w:rPr>
      </w:pPr>
    </w:p>
    <w:p w14:paraId="2D0C2EED" w14:textId="7664BCE7" w:rsidR="006C33FF" w:rsidRDefault="00170469" w:rsidP="00170469">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following</w:t>
      </w:r>
      <w:r w:rsidRPr="00170469">
        <w:rPr>
          <w:rFonts w:ascii="Arial" w:eastAsia="Times New Roman" w:hAnsi="Arial" w:cs="Arial"/>
          <w:sz w:val="24"/>
          <w:szCs w:val="24"/>
          <w:lang w:eastAsia="en-GB"/>
        </w:rPr>
        <w:t xml:space="preserve"> </w:t>
      </w:r>
      <w:r>
        <w:rPr>
          <w:rFonts w:ascii="Arial" w:eastAsia="Times New Roman" w:hAnsi="Arial" w:cs="Arial"/>
          <w:sz w:val="24"/>
          <w:szCs w:val="24"/>
          <w:lang w:eastAsia="en-GB"/>
        </w:rPr>
        <w:t>table</w:t>
      </w:r>
      <w:r w:rsidRPr="00170469">
        <w:rPr>
          <w:rFonts w:ascii="Arial" w:eastAsia="Times New Roman" w:hAnsi="Arial" w:cs="Arial"/>
          <w:sz w:val="24"/>
          <w:szCs w:val="24"/>
          <w:lang w:eastAsia="en-GB"/>
        </w:rPr>
        <w:t xml:space="preserve"> relates to the </w:t>
      </w:r>
      <w:r>
        <w:rPr>
          <w:rFonts w:ascii="Arial" w:eastAsia="Times New Roman" w:hAnsi="Arial" w:cs="Arial"/>
          <w:sz w:val="24"/>
          <w:szCs w:val="24"/>
          <w:lang w:eastAsia="en-GB"/>
        </w:rPr>
        <w:t>proposed</w:t>
      </w:r>
      <w:r w:rsidRPr="00170469">
        <w:rPr>
          <w:rFonts w:ascii="Arial" w:eastAsia="Times New Roman" w:hAnsi="Arial" w:cs="Arial"/>
          <w:sz w:val="24"/>
          <w:szCs w:val="24"/>
          <w:lang w:eastAsia="en-GB"/>
        </w:rPr>
        <w:t xml:space="preserve"> list of </w:t>
      </w:r>
      <w:r>
        <w:rPr>
          <w:rFonts w:ascii="Arial" w:eastAsia="Times New Roman" w:hAnsi="Arial" w:cs="Arial"/>
          <w:sz w:val="24"/>
          <w:szCs w:val="24"/>
          <w:lang w:eastAsia="en-GB"/>
        </w:rPr>
        <w:t xml:space="preserve">national statistics </w:t>
      </w:r>
      <w:r w:rsidR="0052703E">
        <w:rPr>
          <w:rFonts w:ascii="Arial" w:eastAsia="Times New Roman" w:hAnsi="Arial" w:cs="Arial"/>
          <w:sz w:val="24"/>
          <w:szCs w:val="24"/>
          <w:lang w:eastAsia="en-GB"/>
        </w:rPr>
        <w:t>data for adults</w:t>
      </w:r>
      <w:r w:rsidRPr="00170469">
        <w:rPr>
          <w:rFonts w:ascii="Arial" w:eastAsia="Times New Roman" w:hAnsi="Arial" w:cs="Arial"/>
          <w:sz w:val="24"/>
          <w:szCs w:val="24"/>
          <w:lang w:eastAsia="en-GB"/>
        </w:rPr>
        <w:t xml:space="preserve"> </w:t>
      </w:r>
      <w:r>
        <w:rPr>
          <w:rFonts w:ascii="Arial" w:eastAsia="Times New Roman" w:hAnsi="Arial" w:cs="Arial"/>
          <w:sz w:val="24"/>
          <w:szCs w:val="24"/>
          <w:lang w:eastAsia="en-GB"/>
        </w:rPr>
        <w:t>(</w:t>
      </w:r>
      <w:r w:rsidRPr="00170469">
        <w:rPr>
          <w:rFonts w:ascii="Arial" w:eastAsia="Times New Roman" w:hAnsi="Arial" w:cs="Arial"/>
          <w:sz w:val="24"/>
          <w:szCs w:val="24"/>
          <w:lang w:eastAsia="en-GB"/>
        </w:rPr>
        <w:t xml:space="preserve">distributed online </w:t>
      </w:r>
      <w:r>
        <w:rPr>
          <w:rFonts w:ascii="Arial" w:eastAsia="Times New Roman" w:hAnsi="Arial" w:cs="Arial"/>
          <w:sz w:val="24"/>
          <w:szCs w:val="24"/>
          <w:lang w:eastAsia="en-GB"/>
        </w:rPr>
        <w:t xml:space="preserve">via the web solution requirement as outlined in 3.2 in the web services section in this document) </w:t>
      </w:r>
      <w:r w:rsidRPr="00170469">
        <w:rPr>
          <w:rFonts w:ascii="Arial" w:eastAsia="Times New Roman" w:hAnsi="Arial" w:cs="Arial"/>
          <w:sz w:val="24"/>
          <w:szCs w:val="24"/>
          <w:lang w:eastAsia="en-GB"/>
        </w:rPr>
        <w:t xml:space="preserve">to </w:t>
      </w:r>
      <w:r>
        <w:rPr>
          <w:rFonts w:ascii="Arial" w:eastAsia="Times New Roman" w:hAnsi="Arial" w:cs="Arial"/>
          <w:sz w:val="24"/>
          <w:szCs w:val="24"/>
          <w:lang w:eastAsia="en-GB"/>
        </w:rPr>
        <w:t>coincide with release dates of substance misuse national statistics reports</w:t>
      </w:r>
      <w:r w:rsidR="00503E54">
        <w:rPr>
          <w:rFonts w:ascii="Arial" w:eastAsia="Times New Roman" w:hAnsi="Arial" w:cs="Arial"/>
          <w:sz w:val="24"/>
          <w:szCs w:val="24"/>
          <w:lang w:eastAsia="en-GB"/>
        </w:rPr>
        <w:t xml:space="preserve"> each year</w:t>
      </w:r>
      <w:r w:rsidRPr="00170469">
        <w:rPr>
          <w:rFonts w:ascii="Arial" w:eastAsia="Times New Roman" w:hAnsi="Arial" w:cs="Arial"/>
          <w:sz w:val="24"/>
          <w:szCs w:val="24"/>
          <w:lang w:eastAsia="en-GB"/>
        </w:rPr>
        <w:t xml:space="preserve">. </w:t>
      </w:r>
      <w:r w:rsidR="006C33FF">
        <w:rPr>
          <w:rFonts w:ascii="Arial" w:eastAsia="Times New Roman" w:hAnsi="Arial" w:cs="Arial"/>
          <w:sz w:val="24"/>
          <w:szCs w:val="24"/>
          <w:lang w:eastAsia="en-GB"/>
        </w:rPr>
        <w:t>The following data items will need to be reported by:</w:t>
      </w:r>
    </w:p>
    <w:p w14:paraId="11AFED0C" w14:textId="77777777" w:rsidR="00240ADE" w:rsidRDefault="00240ADE" w:rsidP="00170469">
      <w:pPr>
        <w:spacing w:after="0" w:line="240" w:lineRule="auto"/>
        <w:rPr>
          <w:rFonts w:ascii="Arial" w:eastAsia="Times New Roman" w:hAnsi="Arial" w:cs="Arial"/>
          <w:sz w:val="24"/>
          <w:szCs w:val="24"/>
          <w:lang w:eastAsia="en-GB"/>
        </w:rPr>
      </w:pPr>
    </w:p>
    <w:p w14:paraId="3E83F5CB" w14:textId="77777777" w:rsidR="006C33FF" w:rsidRPr="00503E54" w:rsidRDefault="006C33FF" w:rsidP="00503E54">
      <w:pPr>
        <w:pStyle w:val="ListParagraph"/>
        <w:numPr>
          <w:ilvl w:val="0"/>
          <w:numId w:val="39"/>
        </w:numPr>
        <w:spacing w:after="0" w:line="240" w:lineRule="auto"/>
        <w:rPr>
          <w:rFonts w:ascii="Arial" w:eastAsia="Times New Roman" w:hAnsi="Arial" w:cs="Arial"/>
          <w:sz w:val="24"/>
          <w:szCs w:val="24"/>
          <w:lang w:eastAsia="en-GB"/>
        </w:rPr>
      </w:pPr>
      <w:r w:rsidRPr="00503E54">
        <w:rPr>
          <w:rFonts w:ascii="Arial" w:eastAsia="Times New Roman" w:hAnsi="Arial" w:cs="Arial"/>
          <w:sz w:val="24"/>
          <w:szCs w:val="24"/>
          <w:lang w:eastAsia="en-GB"/>
        </w:rPr>
        <w:t>the four main substances groups (opiate users, alcohol only users, non-opiate users and non-opiate and alcohol users)</w:t>
      </w:r>
    </w:p>
    <w:p w14:paraId="0CF2AC0D" w14:textId="6084E148" w:rsidR="00503E54" w:rsidRPr="00503E54" w:rsidRDefault="006C33FF" w:rsidP="00503E54">
      <w:pPr>
        <w:pStyle w:val="ListParagraph"/>
        <w:numPr>
          <w:ilvl w:val="0"/>
          <w:numId w:val="39"/>
        </w:numPr>
        <w:spacing w:after="0" w:line="240" w:lineRule="auto"/>
        <w:rPr>
          <w:rFonts w:ascii="Arial" w:eastAsia="Times New Roman" w:hAnsi="Arial" w:cs="Arial"/>
          <w:sz w:val="24"/>
          <w:szCs w:val="24"/>
          <w:lang w:eastAsia="en-GB"/>
        </w:rPr>
      </w:pPr>
      <w:r w:rsidRPr="00503E54">
        <w:rPr>
          <w:rFonts w:ascii="Arial" w:eastAsia="Times New Roman" w:hAnsi="Arial" w:cs="Arial"/>
          <w:sz w:val="24"/>
          <w:szCs w:val="24"/>
          <w:lang w:eastAsia="en-GB"/>
        </w:rPr>
        <w:t>age groups (</w:t>
      </w:r>
      <w:r w:rsidR="00503E54">
        <w:rPr>
          <w:rFonts w:ascii="Arial" w:eastAsia="Times New Roman" w:hAnsi="Arial" w:cs="Arial"/>
          <w:sz w:val="24"/>
          <w:szCs w:val="24"/>
          <w:lang w:eastAsia="en-GB"/>
        </w:rPr>
        <w:t>18-29, 30-49 and 50+</w:t>
      </w:r>
      <w:r w:rsidR="00503E54" w:rsidRPr="00503E54">
        <w:rPr>
          <w:rFonts w:ascii="Arial" w:eastAsia="Times New Roman" w:hAnsi="Arial" w:cs="Arial"/>
          <w:sz w:val="24"/>
          <w:szCs w:val="24"/>
          <w:lang w:eastAsia="en-GB"/>
        </w:rPr>
        <w:t>)</w:t>
      </w:r>
    </w:p>
    <w:p w14:paraId="78C3B315" w14:textId="77777777" w:rsidR="00503E54" w:rsidRPr="00503E54" w:rsidRDefault="006C33FF" w:rsidP="00503E54">
      <w:pPr>
        <w:pStyle w:val="ListParagraph"/>
        <w:numPr>
          <w:ilvl w:val="0"/>
          <w:numId w:val="39"/>
        </w:numPr>
        <w:spacing w:after="0" w:line="240" w:lineRule="auto"/>
        <w:rPr>
          <w:rFonts w:ascii="Arial" w:eastAsia="Times New Roman" w:hAnsi="Arial" w:cs="Arial"/>
          <w:sz w:val="24"/>
          <w:szCs w:val="24"/>
          <w:lang w:eastAsia="en-GB"/>
        </w:rPr>
      </w:pPr>
      <w:r w:rsidRPr="00503E54">
        <w:rPr>
          <w:rFonts w:ascii="Arial" w:eastAsia="Times New Roman" w:hAnsi="Arial" w:cs="Arial"/>
          <w:sz w:val="24"/>
          <w:szCs w:val="24"/>
          <w:lang w:eastAsia="en-GB"/>
        </w:rPr>
        <w:t>from 2009-2010 to the latest published year (currently 2019-2020)</w:t>
      </w:r>
    </w:p>
    <w:p w14:paraId="54B6419D" w14:textId="77777777" w:rsidR="00503E54" w:rsidRPr="00503E54" w:rsidRDefault="00503E54" w:rsidP="00503E54">
      <w:pPr>
        <w:pStyle w:val="ListParagraph"/>
        <w:numPr>
          <w:ilvl w:val="0"/>
          <w:numId w:val="39"/>
        </w:numPr>
        <w:spacing w:after="0" w:line="240" w:lineRule="auto"/>
        <w:rPr>
          <w:rFonts w:ascii="Arial" w:eastAsia="Times New Roman" w:hAnsi="Arial" w:cs="Arial"/>
          <w:sz w:val="24"/>
          <w:szCs w:val="24"/>
          <w:lang w:eastAsia="en-GB"/>
        </w:rPr>
      </w:pPr>
      <w:r w:rsidRPr="00503E54">
        <w:rPr>
          <w:rFonts w:ascii="Arial" w:eastAsia="Times New Roman" w:hAnsi="Arial" w:cs="Arial"/>
          <w:sz w:val="24"/>
          <w:szCs w:val="24"/>
          <w:lang w:eastAsia="en-GB"/>
        </w:rPr>
        <w:t>local authority, PHE centre and national level geographies</w:t>
      </w:r>
    </w:p>
    <w:p w14:paraId="704AAE8F" w14:textId="77777777" w:rsidR="00503E54" w:rsidRDefault="00503E54" w:rsidP="00170469">
      <w:pPr>
        <w:spacing w:after="0" w:line="240" w:lineRule="auto"/>
        <w:rPr>
          <w:rFonts w:ascii="Arial" w:eastAsia="Times New Roman" w:hAnsi="Arial" w:cs="Arial"/>
          <w:sz w:val="24"/>
          <w:szCs w:val="24"/>
          <w:lang w:eastAsia="en-GB"/>
        </w:rPr>
      </w:pPr>
    </w:p>
    <w:p w14:paraId="7569DCC5" w14:textId="7C1790F7" w:rsidR="00170469" w:rsidRDefault="00170469" w:rsidP="00170469">
      <w:pPr>
        <w:spacing w:after="0" w:line="240" w:lineRule="auto"/>
        <w:rPr>
          <w:rFonts w:ascii="Arial" w:eastAsia="Times New Roman" w:hAnsi="Arial" w:cs="Arial"/>
          <w:sz w:val="24"/>
          <w:szCs w:val="24"/>
          <w:lang w:eastAsia="en-GB"/>
        </w:rPr>
      </w:pPr>
      <w:r w:rsidRPr="00170469">
        <w:rPr>
          <w:rFonts w:ascii="Arial" w:eastAsia="Times New Roman" w:hAnsi="Arial" w:cs="Arial"/>
          <w:sz w:val="24"/>
          <w:szCs w:val="24"/>
          <w:lang w:eastAsia="en-GB"/>
        </w:rPr>
        <w:t xml:space="preserve">Publication dates are </w:t>
      </w:r>
      <w:r>
        <w:rPr>
          <w:rFonts w:ascii="Arial" w:eastAsia="Times New Roman" w:hAnsi="Arial" w:cs="Arial"/>
          <w:sz w:val="24"/>
          <w:szCs w:val="24"/>
          <w:lang w:eastAsia="en-GB"/>
        </w:rPr>
        <w:t>set out in the delivery timescale section of this document along with additional deliverables</w:t>
      </w:r>
      <w:r w:rsidRPr="00170469">
        <w:rPr>
          <w:rFonts w:ascii="Arial" w:eastAsia="Times New Roman" w:hAnsi="Arial" w:cs="Arial"/>
          <w:sz w:val="24"/>
          <w:szCs w:val="24"/>
          <w:lang w:eastAsia="en-GB"/>
        </w:rPr>
        <w:t>.</w:t>
      </w:r>
      <w:r w:rsidR="0052703E">
        <w:rPr>
          <w:rFonts w:ascii="Arial" w:eastAsia="Times New Roman" w:hAnsi="Arial" w:cs="Arial"/>
          <w:sz w:val="24"/>
          <w:szCs w:val="24"/>
          <w:lang w:eastAsia="en-GB"/>
        </w:rPr>
        <w:t xml:space="preserve"> There will be similar requirements for national statistics data for young people and secure settings.</w:t>
      </w:r>
    </w:p>
    <w:p w14:paraId="3163665C" w14:textId="7F320309" w:rsidR="00170469" w:rsidRDefault="00170469" w:rsidP="00170469">
      <w:pPr>
        <w:spacing w:after="0" w:line="240" w:lineRule="auto"/>
        <w:rPr>
          <w:rFonts w:ascii="Arial" w:eastAsia="Times New Roman" w:hAnsi="Arial" w:cs="Arial"/>
          <w:sz w:val="24"/>
          <w:szCs w:val="24"/>
          <w:lang w:eastAsia="en-GB"/>
        </w:rPr>
      </w:pPr>
    </w:p>
    <w:tbl>
      <w:tblPr>
        <w:tblW w:w="7360" w:type="dxa"/>
        <w:tblLook w:val="04A0" w:firstRow="1" w:lastRow="0" w:firstColumn="1" w:lastColumn="0" w:noHBand="0" w:noVBand="1"/>
      </w:tblPr>
      <w:tblGrid>
        <w:gridCol w:w="960"/>
        <w:gridCol w:w="6400"/>
      </w:tblGrid>
      <w:tr w:rsidR="00954EB4" w:rsidRPr="00954EB4" w14:paraId="6B35F30D" w14:textId="77777777" w:rsidTr="00954EB4">
        <w:trPr>
          <w:trHeight w:val="3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6A933" w14:textId="77777777" w:rsidR="00954EB4" w:rsidRPr="00954EB4" w:rsidRDefault="00954EB4" w:rsidP="00954EB4">
            <w:pPr>
              <w:spacing w:after="0" w:line="240" w:lineRule="auto"/>
              <w:rPr>
                <w:rFonts w:ascii="Arial" w:eastAsia="Times New Roman" w:hAnsi="Arial" w:cs="Arial"/>
                <w:b/>
                <w:bCs/>
                <w:color w:val="000000"/>
                <w:sz w:val="24"/>
                <w:szCs w:val="24"/>
                <w:lang w:eastAsia="en-GB"/>
              </w:rPr>
            </w:pPr>
            <w:r w:rsidRPr="00954EB4">
              <w:rPr>
                <w:rFonts w:ascii="Arial" w:eastAsia="Times New Roman" w:hAnsi="Arial" w:cs="Arial"/>
                <w:b/>
                <w:bCs/>
                <w:color w:val="000000"/>
                <w:sz w:val="24"/>
                <w:szCs w:val="24"/>
                <w:lang w:eastAsia="en-GB"/>
              </w:rPr>
              <w:lastRenderedPageBreak/>
              <w:t> </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14:paraId="4E45EA2F" w14:textId="77777777" w:rsidR="00954EB4" w:rsidRPr="00954EB4" w:rsidRDefault="00954EB4" w:rsidP="00954EB4">
            <w:pPr>
              <w:spacing w:after="0" w:line="240" w:lineRule="auto"/>
              <w:rPr>
                <w:rFonts w:ascii="Arial" w:eastAsia="Times New Roman" w:hAnsi="Arial" w:cs="Arial"/>
                <w:b/>
                <w:bCs/>
                <w:color w:val="000000"/>
                <w:sz w:val="24"/>
                <w:szCs w:val="24"/>
                <w:lang w:eastAsia="en-GB"/>
              </w:rPr>
            </w:pPr>
            <w:r w:rsidRPr="00954EB4">
              <w:rPr>
                <w:rFonts w:ascii="Arial" w:eastAsia="Times New Roman" w:hAnsi="Arial" w:cs="Arial"/>
                <w:b/>
                <w:bCs/>
                <w:color w:val="000000"/>
                <w:sz w:val="24"/>
                <w:szCs w:val="24"/>
                <w:lang w:eastAsia="en-GB"/>
              </w:rPr>
              <w:t>Indicator</w:t>
            </w:r>
          </w:p>
        </w:tc>
      </w:tr>
      <w:tr w:rsidR="00954EB4" w:rsidRPr="00954EB4" w14:paraId="6BCA4F04"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BA1BBB" w14:textId="1B1BD13F" w:rsidR="00954EB4" w:rsidRPr="00954EB4" w:rsidRDefault="00954EB4" w:rsidP="00954EB4">
            <w:pPr>
              <w:spacing w:after="0" w:line="240" w:lineRule="auto"/>
              <w:jc w:val="right"/>
              <w:rPr>
                <w:rFonts w:ascii="Arial" w:eastAsia="Times New Roman" w:hAnsi="Arial" w:cs="Arial"/>
                <w:color w:val="000000"/>
                <w:sz w:val="24"/>
                <w:szCs w:val="24"/>
                <w:lang w:eastAsia="en-GB"/>
              </w:rPr>
            </w:pPr>
            <w:bookmarkStart w:id="3" w:name="RANGE!A2"/>
            <w:bookmarkStart w:id="4" w:name="_Hlk57640680"/>
            <w:r w:rsidRPr="00954EB4">
              <w:rPr>
                <w:rFonts w:ascii="Arial" w:eastAsia="Times New Roman" w:hAnsi="Arial" w:cs="Arial"/>
                <w:color w:val="000000"/>
                <w:sz w:val="24"/>
                <w:szCs w:val="24"/>
                <w:lang w:eastAsia="en-GB"/>
              </w:rPr>
              <w:t> </w:t>
            </w:r>
            <w:bookmarkEnd w:id="3"/>
            <w:r>
              <w:rPr>
                <w:rFonts w:ascii="Arial" w:eastAsia="Times New Roman" w:hAnsi="Arial" w:cs="Arial"/>
                <w:color w:val="000000"/>
                <w:sz w:val="24"/>
                <w:szCs w:val="24"/>
                <w:lang w:eastAsia="en-GB"/>
              </w:rPr>
              <w:t>1</w:t>
            </w:r>
          </w:p>
        </w:tc>
        <w:tc>
          <w:tcPr>
            <w:tcW w:w="6400" w:type="dxa"/>
            <w:tcBorders>
              <w:top w:val="nil"/>
              <w:left w:val="nil"/>
              <w:bottom w:val="single" w:sz="4" w:space="0" w:color="auto"/>
              <w:right w:val="single" w:sz="4" w:space="0" w:color="auto"/>
            </w:tcBorders>
            <w:shd w:val="clear" w:color="auto" w:fill="auto"/>
            <w:vAlign w:val="center"/>
            <w:hideMark/>
          </w:tcPr>
          <w:p w14:paraId="71C69EE3"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Adults in treatment</w:t>
            </w:r>
          </w:p>
        </w:tc>
      </w:tr>
      <w:tr w:rsidR="00954EB4" w:rsidRPr="00954EB4" w14:paraId="1EF801C6"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643AA"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bookmarkStart w:id="5" w:name="RANGE!A3"/>
            <w:bookmarkStart w:id="6" w:name="_Hlk57640809" w:colFirst="1" w:colLast="1"/>
            <w:r w:rsidRPr="00954EB4">
              <w:rPr>
                <w:rFonts w:ascii="Arial" w:eastAsia="Times New Roman" w:hAnsi="Arial" w:cs="Arial"/>
                <w:color w:val="000000"/>
                <w:sz w:val="24"/>
                <w:szCs w:val="24"/>
                <w:lang w:eastAsia="en-GB"/>
              </w:rPr>
              <w:t>2</w:t>
            </w:r>
            <w:bookmarkEnd w:id="5"/>
          </w:p>
        </w:tc>
        <w:tc>
          <w:tcPr>
            <w:tcW w:w="6400" w:type="dxa"/>
            <w:tcBorders>
              <w:top w:val="nil"/>
              <w:left w:val="nil"/>
              <w:bottom w:val="single" w:sz="4" w:space="0" w:color="auto"/>
              <w:right w:val="single" w:sz="4" w:space="0" w:color="auto"/>
            </w:tcBorders>
            <w:shd w:val="clear" w:color="auto" w:fill="auto"/>
            <w:vAlign w:val="center"/>
            <w:hideMark/>
          </w:tcPr>
          <w:p w14:paraId="619EAA4C"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Adults newly presenting to treatment</w:t>
            </w:r>
          </w:p>
        </w:tc>
      </w:tr>
      <w:tr w:rsidR="00954EB4" w:rsidRPr="00954EB4" w14:paraId="069DC723"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68CC71"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3</w:t>
            </w:r>
          </w:p>
        </w:tc>
        <w:tc>
          <w:tcPr>
            <w:tcW w:w="6400" w:type="dxa"/>
            <w:tcBorders>
              <w:top w:val="nil"/>
              <w:left w:val="nil"/>
              <w:bottom w:val="single" w:sz="4" w:space="0" w:color="auto"/>
              <w:right w:val="single" w:sz="4" w:space="0" w:color="auto"/>
            </w:tcBorders>
            <w:shd w:val="clear" w:color="auto" w:fill="auto"/>
            <w:vAlign w:val="center"/>
            <w:hideMark/>
          </w:tcPr>
          <w:p w14:paraId="6E77D7C6"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Prevalence and unmet need</w:t>
            </w:r>
          </w:p>
        </w:tc>
      </w:tr>
      <w:tr w:rsidR="00954EB4" w:rsidRPr="00954EB4" w14:paraId="6221194E"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ED3519"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bookmarkStart w:id="7" w:name="RANGE!A5"/>
            <w:bookmarkStart w:id="8" w:name="_Hlk57640859" w:colFirst="1" w:colLast="1"/>
            <w:r w:rsidRPr="00954EB4">
              <w:rPr>
                <w:rFonts w:ascii="Arial" w:eastAsia="Times New Roman" w:hAnsi="Arial" w:cs="Arial"/>
                <w:color w:val="000000"/>
                <w:sz w:val="24"/>
                <w:szCs w:val="24"/>
                <w:lang w:eastAsia="en-GB"/>
              </w:rPr>
              <w:t>4</w:t>
            </w:r>
            <w:bookmarkEnd w:id="7"/>
          </w:p>
        </w:tc>
        <w:tc>
          <w:tcPr>
            <w:tcW w:w="6400" w:type="dxa"/>
            <w:tcBorders>
              <w:top w:val="nil"/>
              <w:left w:val="nil"/>
              <w:bottom w:val="single" w:sz="4" w:space="0" w:color="auto"/>
              <w:right w:val="single" w:sz="4" w:space="0" w:color="auto"/>
            </w:tcBorders>
            <w:shd w:val="clear" w:color="auto" w:fill="auto"/>
            <w:vAlign w:val="center"/>
            <w:hideMark/>
          </w:tcPr>
          <w:p w14:paraId="401AE071"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Age</w:t>
            </w:r>
          </w:p>
        </w:tc>
      </w:tr>
      <w:tr w:rsidR="00954EB4" w:rsidRPr="00954EB4" w14:paraId="5EAFFDE0"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D49F67"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5</w:t>
            </w:r>
          </w:p>
        </w:tc>
        <w:tc>
          <w:tcPr>
            <w:tcW w:w="6400" w:type="dxa"/>
            <w:tcBorders>
              <w:top w:val="nil"/>
              <w:left w:val="nil"/>
              <w:bottom w:val="single" w:sz="4" w:space="0" w:color="auto"/>
              <w:right w:val="single" w:sz="4" w:space="0" w:color="auto"/>
            </w:tcBorders>
            <w:shd w:val="clear" w:color="auto" w:fill="auto"/>
            <w:vAlign w:val="center"/>
            <w:hideMark/>
          </w:tcPr>
          <w:p w14:paraId="39F3F2A2"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Sex</w:t>
            </w:r>
          </w:p>
        </w:tc>
      </w:tr>
      <w:tr w:rsidR="00954EB4" w:rsidRPr="00954EB4" w14:paraId="1FE12663"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AB7017"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6</w:t>
            </w:r>
          </w:p>
        </w:tc>
        <w:tc>
          <w:tcPr>
            <w:tcW w:w="6400" w:type="dxa"/>
            <w:tcBorders>
              <w:top w:val="nil"/>
              <w:left w:val="nil"/>
              <w:bottom w:val="single" w:sz="4" w:space="0" w:color="auto"/>
              <w:right w:val="single" w:sz="4" w:space="0" w:color="auto"/>
            </w:tcBorders>
            <w:shd w:val="clear" w:color="auto" w:fill="auto"/>
            <w:vAlign w:val="center"/>
            <w:hideMark/>
          </w:tcPr>
          <w:p w14:paraId="6BF7E38A"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Ethnicity</w:t>
            </w:r>
          </w:p>
        </w:tc>
      </w:tr>
      <w:tr w:rsidR="00954EB4" w:rsidRPr="00954EB4" w14:paraId="4512F302"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8A642E"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7</w:t>
            </w:r>
          </w:p>
        </w:tc>
        <w:tc>
          <w:tcPr>
            <w:tcW w:w="6400" w:type="dxa"/>
            <w:tcBorders>
              <w:top w:val="nil"/>
              <w:left w:val="nil"/>
              <w:bottom w:val="single" w:sz="4" w:space="0" w:color="auto"/>
              <w:right w:val="single" w:sz="4" w:space="0" w:color="auto"/>
            </w:tcBorders>
            <w:shd w:val="clear" w:color="auto" w:fill="auto"/>
            <w:vAlign w:val="center"/>
            <w:hideMark/>
          </w:tcPr>
          <w:p w14:paraId="273205BD"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Disability</w:t>
            </w:r>
          </w:p>
        </w:tc>
      </w:tr>
      <w:tr w:rsidR="00954EB4" w:rsidRPr="00954EB4" w14:paraId="285C52B8"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017B48"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8</w:t>
            </w:r>
          </w:p>
        </w:tc>
        <w:tc>
          <w:tcPr>
            <w:tcW w:w="6400" w:type="dxa"/>
            <w:tcBorders>
              <w:top w:val="nil"/>
              <w:left w:val="nil"/>
              <w:bottom w:val="single" w:sz="4" w:space="0" w:color="auto"/>
              <w:right w:val="single" w:sz="4" w:space="0" w:color="auto"/>
            </w:tcBorders>
            <w:shd w:val="clear" w:color="auto" w:fill="auto"/>
            <w:vAlign w:val="center"/>
            <w:hideMark/>
          </w:tcPr>
          <w:p w14:paraId="6AE32DAE"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Religion</w:t>
            </w:r>
          </w:p>
        </w:tc>
      </w:tr>
      <w:tr w:rsidR="00954EB4" w:rsidRPr="00954EB4" w14:paraId="69841A98"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DE139D"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9</w:t>
            </w:r>
          </w:p>
        </w:tc>
        <w:tc>
          <w:tcPr>
            <w:tcW w:w="6400" w:type="dxa"/>
            <w:tcBorders>
              <w:top w:val="nil"/>
              <w:left w:val="nil"/>
              <w:bottom w:val="single" w:sz="4" w:space="0" w:color="auto"/>
              <w:right w:val="single" w:sz="4" w:space="0" w:color="auto"/>
            </w:tcBorders>
            <w:shd w:val="clear" w:color="auto" w:fill="auto"/>
            <w:vAlign w:val="center"/>
            <w:hideMark/>
          </w:tcPr>
          <w:p w14:paraId="7AA365C4"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Sexual orientation</w:t>
            </w:r>
          </w:p>
        </w:tc>
      </w:tr>
      <w:tr w:rsidR="00954EB4" w:rsidRPr="00954EB4" w14:paraId="271BD31A"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FD25F1"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10</w:t>
            </w:r>
          </w:p>
        </w:tc>
        <w:tc>
          <w:tcPr>
            <w:tcW w:w="6400" w:type="dxa"/>
            <w:tcBorders>
              <w:top w:val="nil"/>
              <w:left w:val="nil"/>
              <w:bottom w:val="single" w:sz="4" w:space="0" w:color="auto"/>
              <w:right w:val="single" w:sz="4" w:space="0" w:color="auto"/>
            </w:tcBorders>
            <w:shd w:val="clear" w:color="auto" w:fill="auto"/>
            <w:vAlign w:val="center"/>
            <w:hideMark/>
          </w:tcPr>
          <w:p w14:paraId="09A55789"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Housing situation</w:t>
            </w:r>
          </w:p>
        </w:tc>
      </w:tr>
      <w:tr w:rsidR="00954EB4" w:rsidRPr="00954EB4" w14:paraId="58817A63"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7E45FD"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11</w:t>
            </w:r>
          </w:p>
        </w:tc>
        <w:tc>
          <w:tcPr>
            <w:tcW w:w="6400" w:type="dxa"/>
            <w:tcBorders>
              <w:top w:val="nil"/>
              <w:left w:val="nil"/>
              <w:bottom w:val="single" w:sz="4" w:space="0" w:color="auto"/>
              <w:right w:val="single" w:sz="4" w:space="0" w:color="auto"/>
            </w:tcBorders>
            <w:shd w:val="clear" w:color="auto" w:fill="auto"/>
            <w:vAlign w:val="center"/>
            <w:hideMark/>
          </w:tcPr>
          <w:p w14:paraId="144FE7EF"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Employment status</w:t>
            </w:r>
          </w:p>
        </w:tc>
      </w:tr>
      <w:tr w:rsidR="00954EB4" w:rsidRPr="00954EB4" w14:paraId="703DEE30"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411B80"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bookmarkStart w:id="9" w:name="RANGE!A13"/>
            <w:bookmarkStart w:id="10" w:name="_Hlk57641274" w:colFirst="1" w:colLast="1"/>
            <w:r w:rsidRPr="00954EB4">
              <w:rPr>
                <w:rFonts w:ascii="Arial" w:eastAsia="Times New Roman" w:hAnsi="Arial" w:cs="Arial"/>
                <w:color w:val="000000"/>
                <w:sz w:val="24"/>
                <w:szCs w:val="24"/>
                <w:lang w:eastAsia="en-GB"/>
              </w:rPr>
              <w:t>12</w:t>
            </w:r>
            <w:bookmarkEnd w:id="9"/>
          </w:p>
        </w:tc>
        <w:tc>
          <w:tcPr>
            <w:tcW w:w="6400" w:type="dxa"/>
            <w:tcBorders>
              <w:top w:val="nil"/>
              <w:left w:val="nil"/>
              <w:bottom w:val="single" w:sz="4" w:space="0" w:color="auto"/>
              <w:right w:val="single" w:sz="4" w:space="0" w:color="auto"/>
            </w:tcBorders>
            <w:shd w:val="clear" w:color="auto" w:fill="auto"/>
            <w:vAlign w:val="center"/>
            <w:hideMark/>
          </w:tcPr>
          <w:p w14:paraId="2EC90126"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Clients who are parents / carers</w:t>
            </w:r>
          </w:p>
        </w:tc>
      </w:tr>
      <w:tr w:rsidR="00954EB4" w:rsidRPr="00954EB4" w14:paraId="5531DDD4"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E78A0C"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13</w:t>
            </w:r>
          </w:p>
        </w:tc>
        <w:tc>
          <w:tcPr>
            <w:tcW w:w="6400" w:type="dxa"/>
            <w:tcBorders>
              <w:top w:val="nil"/>
              <w:left w:val="nil"/>
              <w:bottom w:val="single" w:sz="4" w:space="0" w:color="auto"/>
              <w:right w:val="single" w:sz="4" w:space="0" w:color="auto"/>
            </w:tcBorders>
            <w:shd w:val="clear" w:color="auto" w:fill="auto"/>
            <w:vAlign w:val="center"/>
            <w:hideMark/>
          </w:tcPr>
          <w:p w14:paraId="57A7A355"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Substance use</w:t>
            </w:r>
          </w:p>
        </w:tc>
      </w:tr>
      <w:tr w:rsidR="00954EB4" w:rsidRPr="00954EB4" w14:paraId="5C9D5BCA"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17E1B5"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14</w:t>
            </w:r>
          </w:p>
        </w:tc>
        <w:tc>
          <w:tcPr>
            <w:tcW w:w="6400" w:type="dxa"/>
            <w:tcBorders>
              <w:top w:val="nil"/>
              <w:left w:val="nil"/>
              <w:bottom w:val="single" w:sz="4" w:space="0" w:color="auto"/>
              <w:right w:val="single" w:sz="4" w:space="0" w:color="auto"/>
            </w:tcBorders>
            <w:shd w:val="clear" w:color="auto" w:fill="auto"/>
            <w:vAlign w:val="center"/>
            <w:hideMark/>
          </w:tcPr>
          <w:p w14:paraId="303AD8D6"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Injecting behaviour</w:t>
            </w:r>
          </w:p>
        </w:tc>
      </w:tr>
      <w:tr w:rsidR="00954EB4" w:rsidRPr="00954EB4" w14:paraId="53DB006C"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D72A41"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15</w:t>
            </w:r>
          </w:p>
        </w:tc>
        <w:tc>
          <w:tcPr>
            <w:tcW w:w="6400" w:type="dxa"/>
            <w:tcBorders>
              <w:top w:val="nil"/>
              <w:left w:val="nil"/>
              <w:bottom w:val="single" w:sz="4" w:space="0" w:color="auto"/>
              <w:right w:val="single" w:sz="4" w:space="0" w:color="auto"/>
            </w:tcBorders>
            <w:shd w:val="clear" w:color="auto" w:fill="auto"/>
            <w:vAlign w:val="center"/>
            <w:hideMark/>
          </w:tcPr>
          <w:p w14:paraId="287CB93C"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Alcohol consumption</w:t>
            </w:r>
          </w:p>
        </w:tc>
      </w:tr>
      <w:tr w:rsidR="00954EB4" w:rsidRPr="00954EB4" w14:paraId="1015C1BC"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AC0FF8"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16</w:t>
            </w:r>
          </w:p>
        </w:tc>
        <w:tc>
          <w:tcPr>
            <w:tcW w:w="6400" w:type="dxa"/>
            <w:tcBorders>
              <w:top w:val="nil"/>
              <w:left w:val="nil"/>
              <w:bottom w:val="single" w:sz="4" w:space="0" w:color="auto"/>
              <w:right w:val="single" w:sz="4" w:space="0" w:color="auto"/>
            </w:tcBorders>
            <w:shd w:val="clear" w:color="auto" w:fill="auto"/>
            <w:vAlign w:val="center"/>
            <w:hideMark/>
          </w:tcPr>
          <w:p w14:paraId="4AED63AD"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Source of referral</w:t>
            </w:r>
          </w:p>
        </w:tc>
      </w:tr>
      <w:tr w:rsidR="00954EB4" w:rsidRPr="00954EB4" w14:paraId="6CF45AFC"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DB613A1"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17</w:t>
            </w:r>
          </w:p>
        </w:tc>
        <w:tc>
          <w:tcPr>
            <w:tcW w:w="6400" w:type="dxa"/>
            <w:tcBorders>
              <w:top w:val="nil"/>
              <w:left w:val="nil"/>
              <w:bottom w:val="single" w:sz="4" w:space="0" w:color="auto"/>
              <w:right w:val="single" w:sz="4" w:space="0" w:color="auto"/>
            </w:tcBorders>
            <w:shd w:val="clear" w:color="auto" w:fill="auto"/>
            <w:vAlign w:val="center"/>
            <w:hideMark/>
          </w:tcPr>
          <w:p w14:paraId="3D1BC228"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Waiting times</w:t>
            </w:r>
          </w:p>
        </w:tc>
      </w:tr>
      <w:tr w:rsidR="00954EB4" w:rsidRPr="00954EB4" w14:paraId="2AE4F6B9"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53694F"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18</w:t>
            </w:r>
          </w:p>
        </w:tc>
        <w:tc>
          <w:tcPr>
            <w:tcW w:w="6400" w:type="dxa"/>
            <w:tcBorders>
              <w:top w:val="nil"/>
              <w:left w:val="nil"/>
              <w:bottom w:val="single" w:sz="4" w:space="0" w:color="auto"/>
              <w:right w:val="single" w:sz="4" w:space="0" w:color="auto"/>
            </w:tcBorders>
            <w:shd w:val="clear" w:color="auto" w:fill="auto"/>
            <w:vAlign w:val="center"/>
            <w:hideMark/>
          </w:tcPr>
          <w:p w14:paraId="1BFBEDF8"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Interventions</w:t>
            </w:r>
          </w:p>
        </w:tc>
      </w:tr>
      <w:tr w:rsidR="00954EB4" w:rsidRPr="00954EB4" w14:paraId="2636BCDC"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D9D074"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19</w:t>
            </w:r>
          </w:p>
        </w:tc>
        <w:tc>
          <w:tcPr>
            <w:tcW w:w="6400" w:type="dxa"/>
            <w:tcBorders>
              <w:top w:val="nil"/>
              <w:left w:val="nil"/>
              <w:bottom w:val="single" w:sz="4" w:space="0" w:color="auto"/>
              <w:right w:val="single" w:sz="4" w:space="0" w:color="auto"/>
            </w:tcBorders>
            <w:shd w:val="clear" w:color="auto" w:fill="auto"/>
            <w:vAlign w:val="center"/>
            <w:hideMark/>
          </w:tcPr>
          <w:p w14:paraId="3B1EC34A"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Length in treatment for those that have exited treatment</w:t>
            </w:r>
          </w:p>
        </w:tc>
      </w:tr>
      <w:tr w:rsidR="00954EB4" w:rsidRPr="00954EB4" w14:paraId="4C893CD0"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F808A2"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20</w:t>
            </w:r>
          </w:p>
        </w:tc>
        <w:tc>
          <w:tcPr>
            <w:tcW w:w="6400" w:type="dxa"/>
            <w:tcBorders>
              <w:top w:val="nil"/>
              <w:left w:val="nil"/>
              <w:bottom w:val="single" w:sz="4" w:space="0" w:color="auto"/>
              <w:right w:val="single" w:sz="4" w:space="0" w:color="auto"/>
            </w:tcBorders>
            <w:shd w:val="clear" w:color="auto" w:fill="auto"/>
            <w:vAlign w:val="center"/>
            <w:hideMark/>
          </w:tcPr>
          <w:p w14:paraId="726FF7FB"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In treatment six-month outcomes</w:t>
            </w:r>
          </w:p>
        </w:tc>
      </w:tr>
      <w:tr w:rsidR="00954EB4" w:rsidRPr="00954EB4" w14:paraId="50156CCE"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EECF4E"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21</w:t>
            </w:r>
          </w:p>
        </w:tc>
        <w:tc>
          <w:tcPr>
            <w:tcW w:w="6400" w:type="dxa"/>
            <w:tcBorders>
              <w:top w:val="nil"/>
              <w:left w:val="nil"/>
              <w:bottom w:val="single" w:sz="4" w:space="0" w:color="auto"/>
              <w:right w:val="single" w:sz="4" w:space="0" w:color="auto"/>
            </w:tcBorders>
            <w:shd w:val="clear" w:color="auto" w:fill="auto"/>
            <w:vAlign w:val="center"/>
            <w:hideMark/>
          </w:tcPr>
          <w:p w14:paraId="2F93B1B6"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Completed and not re-presented</w:t>
            </w:r>
          </w:p>
        </w:tc>
      </w:tr>
      <w:tr w:rsidR="00954EB4" w:rsidRPr="00954EB4" w14:paraId="670E23FA"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FC04EF"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22</w:t>
            </w:r>
          </w:p>
        </w:tc>
        <w:tc>
          <w:tcPr>
            <w:tcW w:w="6400" w:type="dxa"/>
            <w:tcBorders>
              <w:top w:val="nil"/>
              <w:left w:val="nil"/>
              <w:bottom w:val="single" w:sz="4" w:space="0" w:color="auto"/>
              <w:right w:val="single" w:sz="4" w:space="0" w:color="auto"/>
            </w:tcBorders>
            <w:shd w:val="clear" w:color="auto" w:fill="auto"/>
            <w:vAlign w:val="center"/>
            <w:hideMark/>
          </w:tcPr>
          <w:p w14:paraId="3F562675"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Length in treatment</w:t>
            </w:r>
          </w:p>
        </w:tc>
      </w:tr>
      <w:tr w:rsidR="00954EB4" w:rsidRPr="00954EB4" w14:paraId="47913BDD" w14:textId="77777777" w:rsidTr="00954EB4">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8726FB" w14:textId="77777777" w:rsidR="00954EB4" w:rsidRPr="00954EB4" w:rsidRDefault="00954EB4" w:rsidP="00954EB4">
            <w:pPr>
              <w:spacing w:after="0" w:line="240" w:lineRule="auto"/>
              <w:jc w:val="right"/>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23</w:t>
            </w:r>
          </w:p>
        </w:tc>
        <w:tc>
          <w:tcPr>
            <w:tcW w:w="6400" w:type="dxa"/>
            <w:tcBorders>
              <w:top w:val="nil"/>
              <w:left w:val="nil"/>
              <w:bottom w:val="single" w:sz="4" w:space="0" w:color="auto"/>
              <w:right w:val="single" w:sz="4" w:space="0" w:color="auto"/>
            </w:tcBorders>
            <w:shd w:val="clear" w:color="auto" w:fill="auto"/>
            <w:vAlign w:val="center"/>
            <w:hideMark/>
          </w:tcPr>
          <w:p w14:paraId="6FEF3A01" w14:textId="77777777" w:rsidR="00954EB4" w:rsidRPr="00954EB4" w:rsidRDefault="00954EB4" w:rsidP="00954EB4">
            <w:pPr>
              <w:spacing w:after="0" w:line="240" w:lineRule="auto"/>
              <w:rPr>
                <w:rFonts w:ascii="Arial" w:eastAsia="Times New Roman" w:hAnsi="Arial" w:cs="Arial"/>
                <w:color w:val="000000"/>
                <w:sz w:val="24"/>
                <w:szCs w:val="24"/>
                <w:lang w:eastAsia="en-GB"/>
              </w:rPr>
            </w:pPr>
            <w:r w:rsidRPr="00954EB4">
              <w:rPr>
                <w:rFonts w:ascii="Arial" w:eastAsia="Times New Roman" w:hAnsi="Arial" w:cs="Arial"/>
                <w:color w:val="000000"/>
                <w:sz w:val="24"/>
                <w:szCs w:val="24"/>
                <w:lang w:eastAsia="en-GB"/>
              </w:rPr>
              <w:t>Treatment exits</w:t>
            </w:r>
            <w:bookmarkEnd w:id="4"/>
          </w:p>
        </w:tc>
      </w:tr>
    </w:tbl>
    <w:bookmarkEnd w:id="6"/>
    <w:bookmarkEnd w:id="8"/>
    <w:bookmarkEnd w:id="10"/>
    <w:p w14:paraId="167B090A" w14:textId="77777777" w:rsidR="00417F74" w:rsidRPr="00A46F17" w:rsidRDefault="004461A9" w:rsidP="00A377E5">
      <w:pPr>
        <w:spacing w:before="120" w:after="240" w:line="240" w:lineRule="auto"/>
        <w:rPr>
          <w:rFonts w:ascii="Arial" w:hAnsi="Arial" w:cs="Arial"/>
          <w:b/>
          <w:bCs/>
          <w:sz w:val="24"/>
          <w:szCs w:val="24"/>
        </w:rPr>
      </w:pPr>
      <w:r>
        <w:rPr>
          <w:rFonts w:ascii="Arial" w:hAnsi="Arial" w:cs="Arial"/>
          <w:b/>
          <w:bCs/>
          <w:sz w:val="24"/>
          <w:szCs w:val="24"/>
        </w:rPr>
        <w:t>Reporting arrangements</w:t>
      </w:r>
    </w:p>
    <w:p w14:paraId="091692B6" w14:textId="5F0D210C" w:rsidR="00417F74"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delivery partner</w:t>
      </w:r>
      <w:r w:rsidR="00417F74">
        <w:rPr>
          <w:rFonts w:ascii="Arial" w:hAnsi="Arial" w:cs="Arial"/>
          <w:bCs/>
          <w:sz w:val="24"/>
          <w:szCs w:val="24"/>
        </w:rPr>
        <w:t xml:space="preserve"> should work closely with PHE to plan, implem</w:t>
      </w:r>
      <w:r>
        <w:rPr>
          <w:rFonts w:ascii="Arial" w:hAnsi="Arial" w:cs="Arial"/>
          <w:bCs/>
          <w:sz w:val="24"/>
          <w:szCs w:val="24"/>
        </w:rPr>
        <w:t>ent and report on the project</w:t>
      </w:r>
      <w:r w:rsidR="00417F74">
        <w:rPr>
          <w:rFonts w:ascii="Arial" w:hAnsi="Arial" w:cs="Arial"/>
          <w:bCs/>
          <w:sz w:val="24"/>
          <w:szCs w:val="24"/>
        </w:rPr>
        <w:t>.</w:t>
      </w:r>
    </w:p>
    <w:p w14:paraId="735AAC20" w14:textId="3F8D80CE" w:rsidR="00852B04" w:rsidRDefault="00A23757"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Processes relating to the deliverables</w:t>
      </w:r>
      <w:r w:rsidR="00593BC5" w:rsidRPr="00A46F17">
        <w:rPr>
          <w:rFonts w:ascii="Arial" w:hAnsi="Arial" w:cs="Arial"/>
          <w:bCs/>
          <w:sz w:val="24"/>
          <w:szCs w:val="24"/>
        </w:rPr>
        <w:t xml:space="preserve"> should be t</w:t>
      </w:r>
      <w:r w:rsidR="00852B04" w:rsidRPr="00A46F17">
        <w:rPr>
          <w:rFonts w:ascii="Arial" w:hAnsi="Arial" w:cs="Arial"/>
          <w:bCs/>
          <w:sz w:val="24"/>
          <w:szCs w:val="24"/>
        </w:rPr>
        <w:t>ranspar</w:t>
      </w:r>
      <w:r w:rsidR="00593BC5" w:rsidRPr="00A46F17">
        <w:rPr>
          <w:rFonts w:ascii="Arial" w:hAnsi="Arial" w:cs="Arial"/>
          <w:bCs/>
          <w:sz w:val="24"/>
          <w:szCs w:val="24"/>
        </w:rPr>
        <w:t>ent</w:t>
      </w:r>
      <w:r w:rsidR="00852B04" w:rsidRPr="00A46F17">
        <w:rPr>
          <w:rFonts w:ascii="Arial" w:hAnsi="Arial" w:cs="Arial"/>
          <w:bCs/>
          <w:sz w:val="24"/>
          <w:szCs w:val="24"/>
        </w:rPr>
        <w:t xml:space="preserve"> – </w:t>
      </w:r>
      <w:r w:rsidR="00593BC5" w:rsidRPr="00A46F17">
        <w:rPr>
          <w:rFonts w:ascii="Arial" w:hAnsi="Arial" w:cs="Arial"/>
          <w:bCs/>
          <w:sz w:val="24"/>
          <w:szCs w:val="24"/>
        </w:rPr>
        <w:t xml:space="preserve">sharing information </w:t>
      </w:r>
      <w:r w:rsidR="00BB36F2" w:rsidRPr="00A46F17">
        <w:rPr>
          <w:rFonts w:ascii="Arial" w:hAnsi="Arial" w:cs="Arial"/>
          <w:bCs/>
          <w:sz w:val="24"/>
          <w:szCs w:val="24"/>
        </w:rPr>
        <w:t>on objectives, plan</w:t>
      </w:r>
      <w:r w:rsidR="008859E8">
        <w:rPr>
          <w:rFonts w:ascii="Arial" w:hAnsi="Arial" w:cs="Arial"/>
          <w:bCs/>
          <w:sz w:val="24"/>
          <w:szCs w:val="24"/>
        </w:rPr>
        <w:t xml:space="preserve">, </w:t>
      </w:r>
      <w:r w:rsidR="00BB36F2" w:rsidRPr="00A46F17">
        <w:rPr>
          <w:rFonts w:ascii="Arial" w:hAnsi="Arial" w:cs="Arial"/>
          <w:bCs/>
          <w:sz w:val="24"/>
          <w:szCs w:val="24"/>
        </w:rPr>
        <w:t xml:space="preserve">timetable and </w:t>
      </w:r>
      <w:r w:rsidR="008859E8">
        <w:rPr>
          <w:rFonts w:ascii="Arial" w:hAnsi="Arial" w:cs="Arial"/>
          <w:bCs/>
          <w:sz w:val="24"/>
          <w:szCs w:val="24"/>
        </w:rPr>
        <w:t>outputs</w:t>
      </w:r>
      <w:r w:rsidR="00BB36F2" w:rsidRPr="00A46F17">
        <w:rPr>
          <w:rFonts w:ascii="Arial" w:hAnsi="Arial" w:cs="Arial"/>
          <w:bCs/>
          <w:sz w:val="24"/>
          <w:szCs w:val="24"/>
        </w:rPr>
        <w:t xml:space="preserve"> </w:t>
      </w:r>
      <w:r w:rsidR="00593BC5" w:rsidRPr="00A46F17">
        <w:rPr>
          <w:rFonts w:ascii="Arial" w:hAnsi="Arial" w:cs="Arial"/>
          <w:bCs/>
          <w:sz w:val="24"/>
          <w:szCs w:val="24"/>
        </w:rPr>
        <w:t xml:space="preserve">with </w:t>
      </w:r>
      <w:r w:rsidRPr="008859E8">
        <w:rPr>
          <w:rFonts w:ascii="Arial" w:hAnsi="Arial" w:cs="Arial"/>
          <w:bCs/>
          <w:sz w:val="24"/>
          <w:szCs w:val="24"/>
        </w:rPr>
        <w:t>PHE</w:t>
      </w:r>
      <w:r w:rsidR="00852B04" w:rsidRPr="00A46F17">
        <w:rPr>
          <w:rFonts w:ascii="Arial" w:hAnsi="Arial" w:cs="Arial"/>
          <w:bCs/>
          <w:sz w:val="24"/>
          <w:szCs w:val="24"/>
        </w:rPr>
        <w:t>.</w:t>
      </w:r>
    </w:p>
    <w:p w14:paraId="546AFC99" w14:textId="6DFB73CC" w:rsidR="008859E8" w:rsidRPr="008859E8" w:rsidRDefault="008859E8" w:rsidP="008859E8">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859E8">
        <w:rPr>
          <w:rFonts w:ascii="Arial" w:hAnsi="Arial" w:cs="Arial"/>
          <w:bCs/>
          <w:sz w:val="24"/>
          <w:szCs w:val="24"/>
        </w:rPr>
        <w:lastRenderedPageBreak/>
        <w:t>The PHE lead for this work is Kevin Shelton, Senior Programme Manager</w:t>
      </w:r>
      <w:r>
        <w:rPr>
          <w:rFonts w:ascii="Arial" w:hAnsi="Arial" w:cs="Arial"/>
          <w:bCs/>
          <w:sz w:val="24"/>
          <w:szCs w:val="24"/>
        </w:rPr>
        <w:t>,</w:t>
      </w:r>
      <w:r w:rsidRPr="008859E8">
        <w:rPr>
          <w:rFonts w:ascii="Arial" w:hAnsi="Arial" w:cs="Arial"/>
          <w:bCs/>
          <w:sz w:val="24"/>
          <w:szCs w:val="24"/>
        </w:rPr>
        <w:t xml:space="preserve"> who will liaise with the supplier and provide day-to-day support from PHE. </w:t>
      </w:r>
    </w:p>
    <w:p w14:paraId="0EE8C574" w14:textId="77777777" w:rsidR="008859E8" w:rsidRPr="008859E8" w:rsidRDefault="008859E8" w:rsidP="008859E8">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859E8">
        <w:rPr>
          <w:rFonts w:ascii="Arial" w:hAnsi="Arial" w:cs="Arial"/>
          <w:bCs/>
          <w:sz w:val="24"/>
          <w:szCs w:val="24"/>
        </w:rPr>
        <w:t>The successful supplier is expected to meet with the PHE lead at the initiation and at six monthly intervals thereafter up to the end point of the contract.</w:t>
      </w:r>
    </w:p>
    <w:p w14:paraId="41CD2A45" w14:textId="32822D76" w:rsidR="00431732" w:rsidRPr="00431732"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431732">
        <w:rPr>
          <w:rFonts w:ascii="Arial" w:hAnsi="Arial" w:cs="Arial"/>
          <w:b/>
          <w:bCs/>
          <w:sz w:val="24"/>
          <w:szCs w:val="24"/>
        </w:rPr>
        <w:t>Data Handling and Provision</w:t>
      </w:r>
    </w:p>
    <w:p w14:paraId="5BEAFEEB" w14:textId="2525940B" w:rsidR="00431732"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31732">
        <w:rPr>
          <w:rFonts w:ascii="Arial" w:hAnsi="Arial" w:cs="Arial"/>
          <w:bCs/>
          <w:sz w:val="24"/>
          <w:szCs w:val="24"/>
        </w:rPr>
        <w:t>All personal data (as defined within the General Data Protection Regulation - GDPR) collected, stored, anal</w:t>
      </w:r>
      <w:r w:rsidR="002C67FE">
        <w:rPr>
          <w:rFonts w:ascii="Arial" w:hAnsi="Arial" w:cs="Arial"/>
          <w:bCs/>
          <w:sz w:val="24"/>
          <w:szCs w:val="24"/>
        </w:rPr>
        <w:t>y</w:t>
      </w:r>
      <w:r w:rsidRPr="00431732">
        <w:rPr>
          <w:rFonts w:ascii="Arial" w:hAnsi="Arial" w:cs="Arial"/>
          <w:bCs/>
          <w:sz w:val="24"/>
          <w:szCs w:val="24"/>
        </w:rPr>
        <w:t xml:space="preserve">sed or shared must be carried out in compliance with the Data Protection Act 2018, GDPR and must conform with the policy statements specified in the PHE Information Governance Policy framework.    </w:t>
      </w:r>
    </w:p>
    <w:p w14:paraId="4FD89CB9" w14:textId="1A504512" w:rsidR="00431732" w:rsidRDefault="00431732" w:rsidP="0043173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071649">
        <w:rPr>
          <w:rFonts w:ascii="Arial" w:hAnsi="Arial" w:cs="Arial"/>
          <w:bCs/>
          <w:sz w:val="24"/>
          <w:szCs w:val="24"/>
        </w:rPr>
        <w:t xml:space="preserve">The successful provider must adhere to </w:t>
      </w:r>
      <w:r>
        <w:rPr>
          <w:rFonts w:ascii="Arial" w:hAnsi="Arial" w:cs="Arial"/>
          <w:bCs/>
          <w:sz w:val="24"/>
          <w:szCs w:val="24"/>
        </w:rPr>
        <w:t>t</w:t>
      </w:r>
      <w:r w:rsidRPr="00071649">
        <w:rPr>
          <w:rFonts w:ascii="Arial" w:hAnsi="Arial" w:cs="Arial"/>
          <w:bCs/>
          <w:sz w:val="24"/>
          <w:szCs w:val="24"/>
        </w:rPr>
        <w:t xml:space="preserve">he Freedom of Information Act (2000). </w:t>
      </w:r>
    </w:p>
    <w:p w14:paraId="34F3B9A1" w14:textId="77777777"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Risk Management</w:t>
      </w:r>
    </w:p>
    <w:p w14:paraId="05252B23" w14:textId="77777777"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14:paraId="7DF4826D" w14:textId="2C41DF21"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 risk is defined as any factor which may delay, disrupt or prevent the full achievement of a project objective</w:t>
      </w:r>
      <w:r w:rsidR="008722C8">
        <w:rPr>
          <w:rFonts w:ascii="Arial" w:hAnsi="Arial" w:cs="Arial"/>
          <w:bCs/>
          <w:sz w:val="24"/>
          <w:szCs w:val="24"/>
          <w:lang w:val="en-US"/>
        </w:rPr>
        <w:t xml:space="preserve">, which includes any potential </w:t>
      </w:r>
      <w:r w:rsidR="008722C8" w:rsidRPr="008722C8">
        <w:rPr>
          <w:rFonts w:ascii="Arial" w:hAnsi="Arial" w:cs="Arial"/>
          <w:b/>
          <w:bCs/>
          <w:sz w:val="24"/>
          <w:szCs w:val="24"/>
          <w:lang w:val="en-US"/>
        </w:rPr>
        <w:t>conflicts of interest</w:t>
      </w:r>
      <w:r w:rsidRPr="00071649">
        <w:rPr>
          <w:rFonts w:ascii="Arial" w:hAnsi="Arial" w:cs="Arial"/>
          <w:bCs/>
          <w:sz w:val="24"/>
          <w:szCs w:val="24"/>
          <w:lang w:val="en-US"/>
        </w:rPr>
        <w:t>. All risks should be identified. The summary should include an assessment of each risk, together with a rating of the risk</w:t>
      </w:r>
      <w:r w:rsidR="007D0F19">
        <w:rPr>
          <w:rFonts w:ascii="Arial" w:hAnsi="Arial" w:cs="Arial"/>
          <w:bCs/>
          <w:sz w:val="24"/>
          <w:szCs w:val="24"/>
          <w:lang w:val="en-US"/>
        </w:rPr>
        <w:t>’</w:t>
      </w:r>
      <w:r w:rsidRPr="00071649">
        <w:rPr>
          <w:rFonts w:ascii="Arial" w:hAnsi="Arial" w:cs="Arial"/>
          <w:bCs/>
          <w:sz w:val="24"/>
          <w:szCs w:val="24"/>
          <w:lang w:val="en-US"/>
        </w:rPr>
        <w:t>s likelihood and its impact on a project objective (using a high, medium or low classification for both). The risk assessment should also identify appropriate actions that would reduce or eliminate each risk, or its impact.</w:t>
      </w:r>
    </w:p>
    <w:p w14:paraId="366B3CF6" w14:textId="4D8A0DF2" w:rsidR="00071649" w:rsidRPr="00071649" w:rsidRDefault="00FD6F6D"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Pr>
          <w:rFonts w:ascii="Arial" w:hAnsi="Arial" w:cs="Arial"/>
          <w:b/>
          <w:bCs/>
          <w:sz w:val="24"/>
          <w:szCs w:val="24"/>
          <w:lang w:val="en-US"/>
        </w:rPr>
        <w:t>Stakeholder</w:t>
      </w:r>
      <w:r w:rsidR="00071649" w:rsidRPr="00071649">
        <w:rPr>
          <w:rFonts w:ascii="Arial" w:hAnsi="Arial" w:cs="Arial"/>
          <w:b/>
          <w:bCs/>
          <w:sz w:val="24"/>
          <w:szCs w:val="24"/>
          <w:lang w:val="en-US"/>
        </w:rPr>
        <w:t xml:space="preserve"> and Public Involvement </w:t>
      </w:r>
    </w:p>
    <w:p w14:paraId="068A3CE7" w14:textId="390B728F" w:rsidR="00107571"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 xml:space="preserve">The provider will be undertaking direct engagement with </w:t>
      </w:r>
      <w:r w:rsidR="008859E8">
        <w:rPr>
          <w:rFonts w:ascii="Arial" w:hAnsi="Arial" w:cs="Arial"/>
          <w:bCs/>
          <w:sz w:val="24"/>
          <w:szCs w:val="24"/>
          <w:lang w:val="en-US"/>
        </w:rPr>
        <w:t>users</w:t>
      </w:r>
      <w:r w:rsidRPr="00071649">
        <w:rPr>
          <w:rFonts w:ascii="Arial" w:hAnsi="Arial" w:cs="Arial"/>
          <w:bCs/>
          <w:sz w:val="24"/>
          <w:szCs w:val="24"/>
          <w:lang w:val="en-US"/>
        </w:rPr>
        <w:t xml:space="preserve"> as appropriate.</w:t>
      </w:r>
      <w:r>
        <w:rPr>
          <w:rFonts w:ascii="Arial" w:hAnsi="Arial" w:cs="Arial"/>
          <w:bCs/>
          <w:sz w:val="24"/>
          <w:szCs w:val="24"/>
          <w:lang w:val="en-US"/>
        </w:rPr>
        <w:t xml:space="preserve"> The provider will be expect</w:t>
      </w:r>
      <w:r w:rsidR="00FD6F6D">
        <w:rPr>
          <w:rFonts w:ascii="Arial" w:hAnsi="Arial" w:cs="Arial"/>
          <w:bCs/>
          <w:sz w:val="24"/>
          <w:szCs w:val="24"/>
          <w:lang w:val="en-US"/>
        </w:rPr>
        <w:t>ed</w:t>
      </w:r>
      <w:r>
        <w:rPr>
          <w:rFonts w:ascii="Arial" w:hAnsi="Arial" w:cs="Arial"/>
          <w:bCs/>
          <w:sz w:val="24"/>
          <w:szCs w:val="24"/>
          <w:lang w:val="en-US"/>
        </w:rPr>
        <w:t xml:space="preserve"> to submit as part of their application their m</w:t>
      </w:r>
      <w:r w:rsidR="00FD6F6D">
        <w:rPr>
          <w:rFonts w:ascii="Arial" w:hAnsi="Arial" w:cs="Arial"/>
          <w:bCs/>
          <w:sz w:val="24"/>
          <w:szCs w:val="24"/>
          <w:lang w:val="en-US"/>
        </w:rPr>
        <w:t xml:space="preserve">echanism for engaging </w:t>
      </w:r>
      <w:r w:rsidR="006A57E5">
        <w:rPr>
          <w:rFonts w:ascii="Arial" w:hAnsi="Arial" w:cs="Arial"/>
          <w:bCs/>
          <w:sz w:val="24"/>
          <w:szCs w:val="24"/>
          <w:lang w:val="en-US"/>
        </w:rPr>
        <w:t xml:space="preserve">with </w:t>
      </w:r>
      <w:r w:rsidR="008859E8">
        <w:rPr>
          <w:rFonts w:ascii="Arial" w:hAnsi="Arial" w:cs="Arial"/>
          <w:bCs/>
          <w:sz w:val="24"/>
          <w:szCs w:val="24"/>
          <w:lang w:val="en-US"/>
        </w:rPr>
        <w:t>users</w:t>
      </w:r>
      <w:r w:rsidR="006A57E5">
        <w:rPr>
          <w:rFonts w:ascii="Arial" w:hAnsi="Arial" w:cs="Arial"/>
          <w:bCs/>
          <w:sz w:val="24"/>
          <w:szCs w:val="24"/>
          <w:lang w:val="en-US"/>
        </w:rPr>
        <w:t xml:space="preserve"> from </w:t>
      </w:r>
      <w:r w:rsidR="008859E8">
        <w:rPr>
          <w:rFonts w:ascii="Arial" w:hAnsi="Arial" w:cs="Arial"/>
          <w:bCs/>
          <w:sz w:val="24"/>
          <w:szCs w:val="24"/>
          <w:lang w:val="en-US"/>
        </w:rPr>
        <w:t>local government, treatment providers</w:t>
      </w:r>
      <w:r>
        <w:rPr>
          <w:rFonts w:ascii="Arial" w:hAnsi="Arial" w:cs="Arial"/>
          <w:bCs/>
          <w:sz w:val="24"/>
          <w:szCs w:val="24"/>
          <w:lang w:val="en-US"/>
        </w:rPr>
        <w:t xml:space="preserve"> </w:t>
      </w:r>
      <w:r w:rsidR="00FD6F6D">
        <w:rPr>
          <w:rFonts w:ascii="Arial" w:hAnsi="Arial" w:cs="Arial"/>
          <w:bCs/>
          <w:sz w:val="24"/>
          <w:szCs w:val="24"/>
          <w:lang w:val="en-US"/>
        </w:rPr>
        <w:t>and the public</w:t>
      </w:r>
      <w:r>
        <w:rPr>
          <w:rFonts w:ascii="Arial" w:hAnsi="Arial" w:cs="Arial"/>
          <w:bCs/>
          <w:sz w:val="24"/>
          <w:szCs w:val="24"/>
          <w:lang w:val="en-US"/>
        </w:rPr>
        <w:t>.</w:t>
      </w:r>
      <w:r w:rsidR="00AA0363">
        <w:rPr>
          <w:rFonts w:ascii="Arial" w:hAnsi="Arial" w:cs="Arial"/>
          <w:bCs/>
          <w:sz w:val="24"/>
          <w:szCs w:val="24"/>
          <w:lang w:val="en-US"/>
        </w:rPr>
        <w:t xml:space="preserve"> </w:t>
      </w:r>
      <w:r w:rsidR="00AA0363" w:rsidRPr="00AA0363">
        <w:rPr>
          <w:rFonts w:ascii="Arial" w:hAnsi="Arial" w:cs="Arial"/>
          <w:bCs/>
          <w:sz w:val="24"/>
          <w:szCs w:val="24"/>
          <w:lang w:val="en-US"/>
        </w:rPr>
        <w:t>This should include regular user surveys and consultations at annual intervals or after significant product or service changes are made.</w:t>
      </w:r>
    </w:p>
    <w:p w14:paraId="3879EF69" w14:textId="454901AA" w:rsidR="006B7369" w:rsidRPr="006B7369" w:rsidRDefault="006B736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6B7369">
        <w:rPr>
          <w:rFonts w:ascii="Arial" w:hAnsi="Arial" w:cs="Arial"/>
          <w:b/>
          <w:bCs/>
          <w:sz w:val="24"/>
          <w:szCs w:val="24"/>
          <w:lang w:val="en-US"/>
        </w:rPr>
        <w:t>Accessibility</w:t>
      </w:r>
    </w:p>
    <w:p w14:paraId="1CD1BA31" w14:textId="62CCECE0" w:rsidR="006B7369" w:rsidRDefault="00AA036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Pr>
          <w:rFonts w:ascii="Arial" w:eastAsia="Times New Roman" w:hAnsi="Arial" w:cs="Arial"/>
          <w:sz w:val="24"/>
          <w:szCs w:val="24"/>
          <w:lang w:eastAsia="en-GB"/>
        </w:rPr>
        <w:t>The provider will ensure that the web solution complies with the Government Digital Service accessibility guidelines and regulations (</w:t>
      </w:r>
      <w:hyperlink r:id="rId10" w:history="1">
        <w:r w:rsidRPr="005C5514">
          <w:rPr>
            <w:rStyle w:val="Hyperlink"/>
            <w:rFonts w:ascii="Arial" w:eastAsia="Times New Roman" w:hAnsi="Arial" w:cs="Arial"/>
            <w:sz w:val="24"/>
            <w:szCs w:val="24"/>
            <w:lang w:eastAsia="en-GB"/>
          </w:rPr>
          <w:t>https://accessibility.campaign.gov.uk/?utm_source=Blogs&amp;utm_medium=GDS&amp;utm_campaign=access_regs</w:t>
        </w:r>
      </w:hyperlink>
      <w:r>
        <w:rPr>
          <w:rFonts w:ascii="Arial" w:eastAsia="Times New Roman" w:hAnsi="Arial" w:cs="Arial"/>
          <w:sz w:val="24"/>
          <w:szCs w:val="24"/>
          <w:lang w:eastAsia="en-GB"/>
        </w:rPr>
        <w:t>)</w:t>
      </w:r>
    </w:p>
    <w:p w14:paraId="0D9EB9D8" w14:textId="0036E799" w:rsidR="006B7369" w:rsidRDefault="00E254EE"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11" w:history="1">
        <w:r w:rsidR="006B7369" w:rsidRPr="006B7369">
          <w:rPr>
            <w:rStyle w:val="Hyperlink"/>
            <w:rFonts w:ascii="Arial" w:hAnsi="Arial" w:cs="Arial"/>
            <w:bCs/>
            <w:sz w:val="24"/>
            <w:szCs w:val="24"/>
          </w:rPr>
          <w:t>https://www.gov.uk/guidance/accessibility-requirements-for-public-sector-websites-and-apps</w:t>
        </w:r>
      </w:hyperlink>
    </w:p>
    <w:p w14:paraId="555F81B7" w14:textId="0E52CAC8" w:rsidR="006B7369" w:rsidRDefault="00E254EE"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12" w:history="1">
        <w:r w:rsidR="006B7369" w:rsidRPr="006B7369">
          <w:rPr>
            <w:rStyle w:val="Hyperlink"/>
            <w:rFonts w:ascii="Arial" w:hAnsi="Arial" w:cs="Arial"/>
            <w:bCs/>
            <w:sz w:val="24"/>
            <w:szCs w:val="24"/>
          </w:rPr>
          <w:t>https://gds.blog.gov.uk/2018/06/20/creating-the-uk-governments-accessibility-empathy-lab/</w:t>
        </w:r>
      </w:hyperlink>
    </w:p>
    <w:p w14:paraId="407C9120" w14:textId="7DC74C42" w:rsidR="006B7369" w:rsidRDefault="00E254EE"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13" w:history="1">
        <w:r w:rsidR="006B7369" w:rsidRPr="006B7369">
          <w:rPr>
            <w:rStyle w:val="Hyperlink"/>
            <w:rFonts w:ascii="Arial" w:hAnsi="Arial" w:cs="Arial"/>
            <w:bCs/>
            <w:sz w:val="24"/>
            <w:szCs w:val="24"/>
          </w:rPr>
          <w:t>https://www.gov.uk/service-manual/helping-people-to-use-your-service/getting-an-accessibility-audit</w:t>
        </w:r>
      </w:hyperlink>
    </w:p>
    <w:p w14:paraId="004F2F02" w14:textId="298F3414" w:rsidR="00345DEA"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170469">
        <w:rPr>
          <w:rFonts w:ascii="Arial" w:hAnsi="Arial" w:cs="Arial"/>
          <w:b/>
          <w:bCs/>
          <w:sz w:val="24"/>
          <w:szCs w:val="24"/>
        </w:rPr>
        <w:t>Delivery Timescale</w:t>
      </w:r>
    </w:p>
    <w:p w14:paraId="75CDB010" w14:textId="0DD69C27" w:rsidR="00170469" w:rsidRPr="00170469" w:rsidRDefault="0017046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eastAsia="en-GB"/>
        </w:rPr>
      </w:pPr>
      <w:r w:rsidRPr="00170469">
        <w:rPr>
          <w:rFonts w:ascii="Arial" w:eastAsia="Times New Roman" w:hAnsi="Arial" w:cs="Arial"/>
          <w:sz w:val="24"/>
          <w:szCs w:val="24"/>
          <w:lang w:eastAsia="en-GB"/>
        </w:rPr>
        <w:t xml:space="preserve">The key milestones are listed below and will be reviewed in biannual contract reviews between the contract holder and </w:t>
      </w:r>
      <w:r>
        <w:rPr>
          <w:rFonts w:ascii="Arial" w:eastAsia="Times New Roman" w:hAnsi="Arial" w:cs="Arial"/>
          <w:sz w:val="24"/>
          <w:szCs w:val="24"/>
          <w:lang w:eastAsia="en-GB"/>
        </w:rPr>
        <w:t>PHE</w:t>
      </w:r>
      <w:r w:rsidRPr="00170469">
        <w:rPr>
          <w:rFonts w:ascii="Arial" w:eastAsia="Times New Roman" w:hAnsi="Arial" w:cs="Arial"/>
          <w:sz w:val="24"/>
          <w:szCs w:val="24"/>
          <w:lang w:eastAsia="en-GB"/>
        </w:rPr>
        <w:t>. More detailed deliverables over the lifetime of the contract will be agreed through this process</w:t>
      </w:r>
      <w:r>
        <w:rPr>
          <w:rFonts w:ascii="Arial" w:eastAsia="Times New Roman" w:hAnsi="Arial" w:cs="Arial"/>
          <w:sz w:val="24"/>
          <w:szCs w:val="24"/>
          <w:lang w:eastAsia="en-GB"/>
        </w:rPr>
        <w:t>.</w:t>
      </w:r>
    </w:p>
    <w:tbl>
      <w:tblPr>
        <w:tblStyle w:val="TableGrid"/>
        <w:tblW w:w="0" w:type="auto"/>
        <w:tblLook w:val="04A0" w:firstRow="1" w:lastRow="0" w:firstColumn="1" w:lastColumn="0" w:noHBand="0" w:noVBand="1"/>
      </w:tblPr>
      <w:tblGrid>
        <w:gridCol w:w="3005"/>
        <w:gridCol w:w="3005"/>
        <w:gridCol w:w="3006"/>
      </w:tblGrid>
      <w:tr w:rsidR="002A5976" w:rsidRPr="00170469" w14:paraId="47C618CF" w14:textId="77777777" w:rsidTr="002A5976">
        <w:tc>
          <w:tcPr>
            <w:tcW w:w="3005" w:type="dxa"/>
          </w:tcPr>
          <w:p w14:paraId="2DA3164E" w14:textId="36BFBA5E" w:rsidR="002A5976" w:rsidRPr="00170469"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sz w:val="24"/>
                <w:szCs w:val="24"/>
              </w:rPr>
            </w:pPr>
            <w:r w:rsidRPr="00170469">
              <w:rPr>
                <w:rFonts w:ascii="Arial" w:hAnsi="Arial" w:cs="Arial"/>
                <w:b/>
                <w:sz w:val="24"/>
                <w:szCs w:val="24"/>
              </w:rPr>
              <w:t>Milestone</w:t>
            </w:r>
          </w:p>
        </w:tc>
        <w:tc>
          <w:tcPr>
            <w:tcW w:w="3005" w:type="dxa"/>
          </w:tcPr>
          <w:p w14:paraId="649B7C1C" w14:textId="7461FC7B" w:rsidR="002A5976" w:rsidRPr="00170469"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sz w:val="24"/>
                <w:szCs w:val="24"/>
              </w:rPr>
            </w:pPr>
            <w:r w:rsidRPr="00170469">
              <w:rPr>
                <w:rFonts w:ascii="Arial" w:hAnsi="Arial" w:cs="Arial"/>
                <w:b/>
                <w:sz w:val="24"/>
                <w:szCs w:val="24"/>
              </w:rPr>
              <w:t>Detail</w:t>
            </w:r>
          </w:p>
        </w:tc>
        <w:tc>
          <w:tcPr>
            <w:tcW w:w="3006" w:type="dxa"/>
          </w:tcPr>
          <w:p w14:paraId="3BF52CD7" w14:textId="056FE630" w:rsidR="002A5976" w:rsidRPr="00170469"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sz w:val="24"/>
                <w:szCs w:val="24"/>
              </w:rPr>
            </w:pPr>
            <w:r w:rsidRPr="00170469">
              <w:rPr>
                <w:rFonts w:ascii="Arial" w:hAnsi="Arial" w:cs="Arial"/>
                <w:b/>
                <w:sz w:val="24"/>
                <w:szCs w:val="24"/>
              </w:rPr>
              <w:t>Due date</w:t>
            </w:r>
          </w:p>
        </w:tc>
      </w:tr>
      <w:tr w:rsidR="002A5976" w14:paraId="10FC0BC7" w14:textId="77777777" w:rsidTr="002A5976">
        <w:tc>
          <w:tcPr>
            <w:tcW w:w="3005" w:type="dxa"/>
          </w:tcPr>
          <w:p w14:paraId="15B29BD6" w14:textId="0062070D"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Data production for national statistics publications and related data</w:t>
            </w:r>
          </w:p>
        </w:tc>
        <w:tc>
          <w:tcPr>
            <w:tcW w:w="3005" w:type="dxa"/>
          </w:tcPr>
          <w:p w14:paraId="00112408" w14:textId="6B54864E"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Data to support national statistics publications, commissioning support products and related data publications via the web solution</w:t>
            </w:r>
          </w:p>
        </w:tc>
        <w:tc>
          <w:tcPr>
            <w:tcW w:w="3006" w:type="dxa"/>
          </w:tcPr>
          <w:p w14:paraId="0A18DE97" w14:textId="77777777"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September/October 2021</w:t>
            </w:r>
          </w:p>
          <w:p w14:paraId="6032F31C" w14:textId="6C9932CD" w:rsidR="002A5976" w:rsidRDefault="002A5976" w:rsidP="002A597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September/October 2022</w:t>
            </w:r>
          </w:p>
          <w:p w14:paraId="2C9FFEBB" w14:textId="590F4781" w:rsidR="002A5976" w:rsidRDefault="002A5976" w:rsidP="002A597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September/October 2023</w:t>
            </w:r>
          </w:p>
        </w:tc>
      </w:tr>
      <w:tr w:rsidR="002A5976" w14:paraId="5AF833D9" w14:textId="77777777" w:rsidTr="002A5976">
        <w:tc>
          <w:tcPr>
            <w:tcW w:w="3005" w:type="dxa"/>
          </w:tcPr>
          <w:p w14:paraId="65A3B3EE" w14:textId="5DDE38AC"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National statistics publications</w:t>
            </w:r>
          </w:p>
        </w:tc>
        <w:tc>
          <w:tcPr>
            <w:tcW w:w="3005" w:type="dxa"/>
          </w:tcPr>
          <w:p w14:paraId="543A932B" w14:textId="001D541F"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Data release via the web solution to coincide with the release of the adult and young people substance misuse treatment statistics in community and secure settings (three products in total)</w:t>
            </w:r>
          </w:p>
        </w:tc>
        <w:tc>
          <w:tcPr>
            <w:tcW w:w="3006" w:type="dxa"/>
          </w:tcPr>
          <w:p w14:paraId="5AF01B65" w14:textId="6D54E743"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October 2021 to January 2022</w:t>
            </w:r>
          </w:p>
          <w:p w14:paraId="4C6D2E80" w14:textId="6566378D" w:rsidR="002A5976" w:rsidRDefault="002A5976" w:rsidP="002A5976">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October 2022 to January 2023</w:t>
            </w:r>
          </w:p>
          <w:p w14:paraId="662CAD10" w14:textId="72B660F9"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October 2023 to January 2024</w:t>
            </w:r>
          </w:p>
        </w:tc>
      </w:tr>
      <w:tr w:rsidR="002A5976" w14:paraId="795EE734" w14:textId="77777777" w:rsidTr="002A5976">
        <w:tc>
          <w:tcPr>
            <w:tcW w:w="3005" w:type="dxa"/>
          </w:tcPr>
          <w:p w14:paraId="305C891E" w14:textId="2CA46121"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Provisional monthly statistics</w:t>
            </w:r>
          </w:p>
        </w:tc>
        <w:tc>
          <w:tcPr>
            <w:tcW w:w="3005" w:type="dxa"/>
          </w:tcPr>
          <w:p w14:paraId="690503BC" w14:textId="730BA896"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Publication of monthly statistics on drug and alcohol treatment for adults and young people via the web solution</w:t>
            </w:r>
          </w:p>
        </w:tc>
        <w:tc>
          <w:tcPr>
            <w:tcW w:w="3006" w:type="dxa"/>
          </w:tcPr>
          <w:p w14:paraId="006D3A36" w14:textId="6F4E6992"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Within the first three working days of each month from 01 July 2021 to 30 June 2024</w:t>
            </w:r>
          </w:p>
        </w:tc>
      </w:tr>
      <w:tr w:rsidR="002A5976" w14:paraId="142F2729" w14:textId="77777777" w:rsidTr="002A5976">
        <w:tc>
          <w:tcPr>
            <w:tcW w:w="3005" w:type="dxa"/>
          </w:tcPr>
          <w:p w14:paraId="48D8C1EF" w14:textId="32B0F984"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Research publications</w:t>
            </w:r>
          </w:p>
        </w:tc>
        <w:tc>
          <w:tcPr>
            <w:tcW w:w="3005" w:type="dxa"/>
          </w:tcPr>
          <w:p w14:paraId="3E94BF92" w14:textId="27B4D49D"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One research paper to be submitted for peer-review </w:t>
            </w:r>
            <w:r>
              <w:rPr>
                <w:rFonts w:ascii="Arial" w:hAnsi="Arial" w:cs="Arial"/>
                <w:bCs/>
                <w:sz w:val="24"/>
                <w:szCs w:val="24"/>
              </w:rPr>
              <w:lastRenderedPageBreak/>
              <w:t>publication each year</w:t>
            </w:r>
          </w:p>
        </w:tc>
        <w:tc>
          <w:tcPr>
            <w:tcW w:w="3006" w:type="dxa"/>
          </w:tcPr>
          <w:p w14:paraId="6B862465" w14:textId="18A5D106" w:rsidR="002A5976" w:rsidRDefault="002A5976"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lastRenderedPageBreak/>
              <w:t xml:space="preserve">By 30 June 2022, 30 June </w:t>
            </w:r>
            <w:r>
              <w:rPr>
                <w:rFonts w:ascii="Arial" w:hAnsi="Arial" w:cs="Arial"/>
                <w:bCs/>
                <w:sz w:val="24"/>
                <w:szCs w:val="24"/>
              </w:rPr>
              <w:lastRenderedPageBreak/>
              <w:t>2023 and 30 June 2024</w:t>
            </w:r>
          </w:p>
        </w:tc>
      </w:tr>
    </w:tbl>
    <w:p w14:paraId="24AC8C0A" w14:textId="2DAD23B1"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lastRenderedPageBreak/>
        <w:t>Contract Period</w:t>
      </w:r>
    </w:p>
    <w:p w14:paraId="0A852D88" w14:textId="4D3C44D5" w:rsidR="00345DEA" w:rsidRPr="00A46F17" w:rsidRDefault="00345DEA" w:rsidP="00A377E5">
      <w:pPr>
        <w:spacing w:before="120" w:after="240" w:line="240" w:lineRule="auto"/>
        <w:rPr>
          <w:rFonts w:ascii="Arial" w:hAnsi="Arial" w:cs="Arial"/>
          <w:sz w:val="24"/>
          <w:szCs w:val="24"/>
        </w:rPr>
      </w:pPr>
      <w:bookmarkStart w:id="11" w:name="_Hlk58944899"/>
      <w:r w:rsidRPr="007D0F19">
        <w:rPr>
          <w:rFonts w:ascii="Arial" w:hAnsi="Arial" w:cs="Arial"/>
          <w:sz w:val="24"/>
          <w:szCs w:val="24"/>
        </w:rPr>
        <w:t>The contract will</w:t>
      </w:r>
      <w:r w:rsidR="00CA444A" w:rsidRPr="007D0F19">
        <w:rPr>
          <w:rFonts w:ascii="Arial" w:hAnsi="Arial" w:cs="Arial"/>
          <w:sz w:val="24"/>
          <w:szCs w:val="24"/>
        </w:rPr>
        <w:t xml:space="preserve"> run for a period of three years commen</w:t>
      </w:r>
      <w:r w:rsidR="0030380D" w:rsidRPr="007D0F19">
        <w:rPr>
          <w:rFonts w:ascii="Arial" w:hAnsi="Arial" w:cs="Arial"/>
          <w:sz w:val="24"/>
          <w:szCs w:val="24"/>
        </w:rPr>
        <w:t>c</w:t>
      </w:r>
      <w:r w:rsidR="00CA444A" w:rsidRPr="007D0F19">
        <w:rPr>
          <w:rFonts w:ascii="Arial" w:hAnsi="Arial" w:cs="Arial"/>
          <w:sz w:val="24"/>
          <w:szCs w:val="24"/>
        </w:rPr>
        <w:t xml:space="preserve">ing between April and July </w:t>
      </w:r>
      <w:r w:rsidR="00FE1EDE" w:rsidRPr="007D0F19">
        <w:rPr>
          <w:rFonts w:ascii="Arial" w:hAnsi="Arial" w:cs="Arial"/>
          <w:sz w:val="24"/>
          <w:szCs w:val="24"/>
        </w:rPr>
        <w:t>2021</w:t>
      </w:r>
      <w:r w:rsidR="007D0F19" w:rsidRPr="007D0F19">
        <w:rPr>
          <w:rFonts w:ascii="Arial" w:hAnsi="Arial" w:cs="Arial"/>
          <w:sz w:val="24"/>
          <w:szCs w:val="24"/>
        </w:rPr>
        <w:t xml:space="preserve"> </w:t>
      </w:r>
      <w:r w:rsidR="00FD6F6D" w:rsidRPr="007D0F19">
        <w:rPr>
          <w:rFonts w:ascii="Arial" w:hAnsi="Arial" w:cs="Arial"/>
          <w:sz w:val="24"/>
          <w:szCs w:val="24"/>
        </w:rPr>
        <w:t>as per the commissioning timetable below.</w:t>
      </w:r>
      <w:r w:rsidR="00FD6F6D">
        <w:rPr>
          <w:rFonts w:ascii="Arial" w:hAnsi="Arial" w:cs="Arial"/>
          <w:sz w:val="24"/>
          <w:szCs w:val="24"/>
        </w:rPr>
        <w:t xml:space="preserve"> </w:t>
      </w:r>
    </w:p>
    <w:bookmarkEnd w:id="11"/>
    <w:p w14:paraId="6B22EA8E" w14:textId="4E0AE278" w:rsidR="003C5E53" w:rsidRPr="00A46F17" w:rsidRDefault="00345DEA" w:rsidP="00A377E5">
      <w:pPr>
        <w:spacing w:before="120" w:after="240" w:line="240" w:lineRule="auto"/>
        <w:rPr>
          <w:rFonts w:ascii="Arial" w:hAnsi="Arial" w:cs="Arial"/>
          <w:sz w:val="24"/>
          <w:szCs w:val="24"/>
        </w:rPr>
      </w:pPr>
      <w:r w:rsidRPr="00A46F17">
        <w:rPr>
          <w:rFonts w:ascii="Arial" w:hAnsi="Arial" w:cs="Arial"/>
          <w:sz w:val="24"/>
          <w:szCs w:val="24"/>
        </w:rPr>
        <w:t xml:space="preserve">Standard break clauses for each contract will be enforced prior to the contract renewal.  </w:t>
      </w:r>
    </w:p>
    <w:p w14:paraId="7DAF9977"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Contact Point(s)</w:t>
      </w:r>
    </w:p>
    <w:p w14:paraId="549F785E" w14:textId="310D1C8C" w:rsidR="00345DEA" w:rsidRPr="00BD32B8"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It is expected that the supplier will appoint a n</w:t>
      </w:r>
      <w:r w:rsidR="008C01A6">
        <w:rPr>
          <w:rFonts w:ascii="Arial" w:eastAsia="Calibri" w:hAnsi="Arial" w:cs="Arial"/>
          <w:sz w:val="24"/>
          <w:szCs w:val="24"/>
        </w:rPr>
        <w:t>amed, suitably qualified evaluation lead</w:t>
      </w:r>
      <w:r w:rsidRPr="00BD32B8">
        <w:rPr>
          <w:rFonts w:ascii="Arial" w:eastAsia="Calibri" w:hAnsi="Arial" w:cs="Arial"/>
          <w:sz w:val="24"/>
          <w:szCs w:val="24"/>
        </w:rPr>
        <w:t xml:space="preserve"> Manager who will be the main point of contact with Public Health England.  </w:t>
      </w:r>
    </w:p>
    <w:p w14:paraId="20087457" w14:textId="5A7E8DF2" w:rsidR="00BC245C" w:rsidRDefault="00345DEA" w:rsidP="00FD6F6D">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libri" w:hAnsi="Arial" w:cs="Arial"/>
          <w:color w:val="000000" w:themeColor="text1"/>
          <w:sz w:val="24"/>
          <w:szCs w:val="24"/>
        </w:rPr>
      </w:pPr>
      <w:r w:rsidRPr="00BD32B8">
        <w:rPr>
          <w:rFonts w:ascii="Arial" w:eastAsia="Calibri" w:hAnsi="Arial" w:cs="Arial"/>
          <w:sz w:val="24"/>
          <w:szCs w:val="24"/>
        </w:rPr>
        <w:t xml:space="preserve">The key contact points at PHE will </w:t>
      </w:r>
      <w:r w:rsidR="008D7F38">
        <w:rPr>
          <w:rFonts w:ascii="Arial" w:eastAsia="Calibri" w:hAnsi="Arial" w:cs="Arial"/>
          <w:sz w:val="24"/>
          <w:szCs w:val="24"/>
        </w:rPr>
        <w:t xml:space="preserve">be </w:t>
      </w:r>
      <w:r w:rsidR="00FE1EDE">
        <w:rPr>
          <w:rFonts w:ascii="Arial" w:eastAsia="Calibri" w:hAnsi="Arial" w:cs="Arial"/>
          <w:sz w:val="24"/>
          <w:szCs w:val="24"/>
        </w:rPr>
        <w:t>Kevin Shelton and Jonathan Knight</w:t>
      </w:r>
      <w:r w:rsidR="008D7F38">
        <w:rPr>
          <w:rFonts w:ascii="Arial" w:eastAsia="Calibri" w:hAnsi="Arial" w:cs="Arial"/>
          <w:sz w:val="24"/>
          <w:szCs w:val="24"/>
        </w:rPr>
        <w:t xml:space="preserve">. </w:t>
      </w:r>
      <w:r w:rsidR="00FD6F6D">
        <w:rPr>
          <w:rFonts w:ascii="Arial" w:eastAsia="Calibri" w:hAnsi="Arial" w:cs="Arial"/>
          <w:sz w:val="24"/>
          <w:szCs w:val="24"/>
        </w:rPr>
        <w:t xml:space="preserve">All </w:t>
      </w:r>
      <w:r w:rsidRPr="00BD32B8">
        <w:rPr>
          <w:rFonts w:ascii="Arial" w:eastAsia="Calibri" w:hAnsi="Arial" w:cs="Arial"/>
          <w:sz w:val="24"/>
          <w:szCs w:val="24"/>
        </w:rPr>
        <w:t>members of staff will be available for telephone or face to face advice throughout the project lifetime.</w:t>
      </w:r>
      <w:r w:rsidR="00FD7500">
        <w:rPr>
          <w:rFonts w:ascii="Arial" w:eastAsia="Calibri" w:hAnsi="Arial" w:cs="Arial"/>
          <w:sz w:val="24"/>
          <w:szCs w:val="24"/>
        </w:rPr>
        <w:t xml:space="preserve"> </w:t>
      </w:r>
      <w:r w:rsidR="008C01A6">
        <w:rPr>
          <w:rFonts w:ascii="Arial" w:eastAsia="Calibri" w:hAnsi="Arial" w:cs="Arial"/>
          <w:color w:val="000000" w:themeColor="text1"/>
          <w:sz w:val="24"/>
          <w:szCs w:val="24"/>
        </w:rPr>
        <w:t>PHE can facilitate discussions with other t</w:t>
      </w:r>
      <w:r w:rsidR="00FD7500" w:rsidRPr="008C01A6">
        <w:rPr>
          <w:rFonts w:ascii="Arial" w:eastAsia="Calibri" w:hAnsi="Arial" w:cs="Arial"/>
          <w:color w:val="000000" w:themeColor="text1"/>
          <w:sz w:val="24"/>
          <w:szCs w:val="24"/>
        </w:rPr>
        <w:t xml:space="preserve">opics experts from </w:t>
      </w:r>
      <w:r w:rsidR="008C01A6">
        <w:rPr>
          <w:rFonts w:ascii="Arial" w:eastAsia="Calibri" w:hAnsi="Arial" w:cs="Arial"/>
          <w:color w:val="000000" w:themeColor="text1"/>
          <w:sz w:val="24"/>
          <w:szCs w:val="24"/>
        </w:rPr>
        <w:t>within PHE and other key partners.</w:t>
      </w:r>
    </w:p>
    <w:p w14:paraId="49A6B760" w14:textId="77777777" w:rsidR="00433A29" w:rsidRPr="00BD32B8"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Costs</w:t>
      </w:r>
    </w:p>
    <w:p w14:paraId="1BD5A728" w14:textId="77777777" w:rsidR="00433A29" w:rsidRPr="00A46F17" w:rsidRDefault="008E339C" w:rsidP="00433A29">
      <w:pPr>
        <w:spacing w:before="120" w:after="240" w:line="240" w:lineRule="auto"/>
        <w:rPr>
          <w:rFonts w:ascii="Arial" w:eastAsia="Calibri" w:hAnsi="Arial" w:cs="Arial"/>
          <w:sz w:val="24"/>
          <w:szCs w:val="24"/>
        </w:rPr>
      </w:pPr>
      <w:r>
        <w:rPr>
          <w:rFonts w:ascii="Arial" w:eastAsia="Calibri" w:hAnsi="Arial" w:cs="Arial"/>
          <w:sz w:val="24"/>
          <w:szCs w:val="24"/>
        </w:rPr>
        <w:t xml:space="preserve">The provider </w:t>
      </w:r>
      <w:r w:rsidR="00433A29" w:rsidRPr="00A46F17">
        <w:rPr>
          <w:rFonts w:ascii="Arial" w:eastAsia="Calibri" w:hAnsi="Arial" w:cs="Arial"/>
          <w:sz w:val="24"/>
          <w:szCs w:val="24"/>
        </w:rPr>
        <w:t>will need to give a detailed breakdown of their costs. Please note that applicants will need to demonstrate value for money.</w:t>
      </w:r>
    </w:p>
    <w:p w14:paraId="6E7A75BB" w14:textId="1093953A" w:rsidR="004F3A7D" w:rsidRDefault="00433A29" w:rsidP="00A56E29">
      <w:pPr>
        <w:spacing w:before="120" w:after="240" w:line="240" w:lineRule="auto"/>
        <w:rPr>
          <w:rFonts w:ascii="Arial" w:eastAsia="Calibri" w:hAnsi="Arial" w:cs="Arial"/>
          <w:sz w:val="24"/>
          <w:szCs w:val="24"/>
        </w:rPr>
      </w:pPr>
      <w:bookmarkStart w:id="12" w:name="_Hlk58944941"/>
      <w:r w:rsidRPr="007D0F19">
        <w:rPr>
          <w:rFonts w:ascii="Arial" w:eastAsia="Calibri" w:hAnsi="Arial" w:cs="Arial"/>
          <w:sz w:val="24"/>
          <w:szCs w:val="24"/>
        </w:rPr>
        <w:t>The overall contract va</w:t>
      </w:r>
      <w:r w:rsidR="008722C8" w:rsidRPr="007D0F19">
        <w:rPr>
          <w:rFonts w:ascii="Arial" w:eastAsia="Calibri" w:hAnsi="Arial" w:cs="Arial"/>
          <w:sz w:val="24"/>
          <w:szCs w:val="24"/>
        </w:rPr>
        <w:t>lue will be for a maximum</w:t>
      </w:r>
      <w:r w:rsidR="00574AA3" w:rsidRPr="007D0F19">
        <w:rPr>
          <w:rFonts w:ascii="Arial" w:eastAsia="Calibri" w:hAnsi="Arial" w:cs="Arial"/>
          <w:sz w:val="24"/>
          <w:szCs w:val="24"/>
        </w:rPr>
        <w:t xml:space="preserve"> of £</w:t>
      </w:r>
      <w:r w:rsidR="00AB0F4A" w:rsidRPr="007D0F19">
        <w:rPr>
          <w:rFonts w:ascii="Arial" w:eastAsia="Calibri" w:hAnsi="Arial" w:cs="Arial"/>
          <w:sz w:val="24"/>
          <w:szCs w:val="24"/>
        </w:rPr>
        <w:t>1,080,00</w:t>
      </w:r>
      <w:r w:rsidRPr="007D0F19">
        <w:rPr>
          <w:rFonts w:ascii="Arial" w:eastAsia="Calibri" w:hAnsi="Arial" w:cs="Arial"/>
          <w:sz w:val="24"/>
          <w:szCs w:val="24"/>
        </w:rPr>
        <w:t xml:space="preserve"> </w:t>
      </w:r>
      <w:r w:rsidR="008E339C" w:rsidRPr="007D0F19">
        <w:rPr>
          <w:rFonts w:ascii="Arial" w:eastAsia="Calibri" w:hAnsi="Arial" w:cs="Arial"/>
          <w:sz w:val="24"/>
          <w:szCs w:val="24"/>
        </w:rPr>
        <w:t>(</w:t>
      </w:r>
      <w:r w:rsidR="000F01E6" w:rsidRPr="007D0F19">
        <w:rPr>
          <w:rFonts w:ascii="Arial" w:eastAsia="Calibri" w:hAnsi="Arial" w:cs="Arial"/>
          <w:sz w:val="24"/>
          <w:szCs w:val="24"/>
        </w:rPr>
        <w:t>excluding</w:t>
      </w:r>
      <w:r w:rsidR="00955A3A" w:rsidRPr="007D0F19">
        <w:rPr>
          <w:rFonts w:ascii="Arial" w:eastAsia="Calibri" w:hAnsi="Arial" w:cs="Arial"/>
          <w:sz w:val="24"/>
          <w:szCs w:val="24"/>
        </w:rPr>
        <w:t xml:space="preserve"> VAT)</w:t>
      </w:r>
      <w:r w:rsidR="00CA444A" w:rsidRPr="007D0F19">
        <w:rPr>
          <w:rFonts w:ascii="Arial" w:eastAsia="Calibri" w:hAnsi="Arial" w:cs="Arial"/>
          <w:sz w:val="24"/>
          <w:szCs w:val="24"/>
        </w:rPr>
        <w:t xml:space="preserve"> for a period of three years</w:t>
      </w:r>
      <w:r w:rsidR="00BC3EA6" w:rsidRPr="007D0F19">
        <w:rPr>
          <w:rFonts w:ascii="Arial" w:eastAsia="Calibri" w:hAnsi="Arial" w:cs="Arial"/>
          <w:sz w:val="24"/>
          <w:szCs w:val="24"/>
        </w:rPr>
        <w:t xml:space="preserve"> </w:t>
      </w:r>
      <w:r w:rsidR="007D0F19" w:rsidRPr="007D0F19">
        <w:rPr>
          <w:rFonts w:ascii="Arial" w:eastAsia="Calibri" w:hAnsi="Arial" w:cs="Arial"/>
          <w:sz w:val="24"/>
          <w:szCs w:val="24"/>
        </w:rPr>
        <w:t>(</w:t>
      </w:r>
      <w:r w:rsidR="007D0F19">
        <w:rPr>
          <w:rFonts w:ascii="Arial" w:eastAsia="Calibri" w:hAnsi="Arial" w:cs="Arial"/>
          <w:sz w:val="24"/>
          <w:szCs w:val="24"/>
        </w:rPr>
        <w:t xml:space="preserve">e.g. </w:t>
      </w:r>
      <w:r w:rsidR="00BC3EA6" w:rsidRPr="007D0F19">
        <w:rPr>
          <w:rFonts w:ascii="Arial" w:eastAsia="Calibri" w:hAnsi="Arial" w:cs="Arial"/>
          <w:sz w:val="24"/>
          <w:szCs w:val="24"/>
        </w:rPr>
        <w:t>£360,000 per annum</w:t>
      </w:r>
      <w:r w:rsidR="007D0F19">
        <w:rPr>
          <w:rFonts w:ascii="Arial" w:eastAsia="Calibri" w:hAnsi="Arial" w:cs="Arial"/>
          <w:sz w:val="24"/>
          <w:szCs w:val="24"/>
        </w:rPr>
        <w:t xml:space="preserve"> max.</w:t>
      </w:r>
      <w:r w:rsidR="00BC3EA6" w:rsidRPr="007D0F19">
        <w:rPr>
          <w:rFonts w:ascii="Arial" w:eastAsia="Calibri" w:hAnsi="Arial" w:cs="Arial"/>
          <w:sz w:val="24"/>
          <w:szCs w:val="24"/>
        </w:rPr>
        <w:t>)</w:t>
      </w:r>
      <w:r w:rsidR="00107571" w:rsidRPr="007D0F19">
        <w:rPr>
          <w:rFonts w:ascii="Arial" w:eastAsia="Calibri" w:hAnsi="Arial" w:cs="Arial"/>
          <w:sz w:val="24"/>
          <w:szCs w:val="24"/>
        </w:rPr>
        <w:t xml:space="preserve">. </w:t>
      </w:r>
      <w:r w:rsidR="002B7431" w:rsidRPr="007D0F19">
        <w:rPr>
          <w:rFonts w:ascii="Arial" w:eastAsia="Calibri" w:hAnsi="Arial" w:cs="Arial"/>
          <w:sz w:val="24"/>
          <w:szCs w:val="24"/>
        </w:rPr>
        <w:t xml:space="preserve">This is with an expected start date </w:t>
      </w:r>
      <w:r w:rsidR="00CA444A" w:rsidRPr="007D0F19">
        <w:rPr>
          <w:rFonts w:ascii="Arial" w:eastAsia="Calibri" w:hAnsi="Arial" w:cs="Arial"/>
          <w:sz w:val="24"/>
          <w:szCs w:val="24"/>
        </w:rPr>
        <w:t xml:space="preserve">between April and July </w:t>
      </w:r>
      <w:r w:rsidR="00BC3EA6" w:rsidRPr="007D0F19">
        <w:rPr>
          <w:rFonts w:ascii="Arial" w:eastAsia="Calibri" w:hAnsi="Arial" w:cs="Arial"/>
          <w:sz w:val="24"/>
          <w:szCs w:val="24"/>
        </w:rPr>
        <w:t>2021</w:t>
      </w:r>
      <w:r w:rsidR="002C67FE" w:rsidRPr="007D0F19">
        <w:rPr>
          <w:rFonts w:ascii="Arial" w:eastAsia="Calibri" w:hAnsi="Arial" w:cs="Arial"/>
          <w:sz w:val="24"/>
          <w:szCs w:val="24"/>
        </w:rPr>
        <w:t>.</w:t>
      </w:r>
    </w:p>
    <w:bookmarkEnd w:id="12"/>
    <w:p w14:paraId="7FD48D5C"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 xml:space="preserve">Application Process </w:t>
      </w:r>
    </w:p>
    <w:p w14:paraId="183FFFA1"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14:paraId="6A3E8B0B" w14:textId="1325231B"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Supporting statement setting out</w:t>
      </w:r>
      <w:r w:rsidR="00434C3A">
        <w:rPr>
          <w:rFonts w:ascii="Arial" w:hAnsi="Arial" w:cs="Arial"/>
          <w:bCs/>
          <w:sz w:val="24"/>
          <w:szCs w:val="24"/>
          <w:lang w:val="en-US"/>
        </w:rPr>
        <w:t xml:space="preserve"> and</w:t>
      </w:r>
      <w:r w:rsidRPr="00071649">
        <w:rPr>
          <w:rFonts w:ascii="Arial" w:hAnsi="Arial" w:cs="Arial"/>
          <w:bCs/>
          <w:sz w:val="24"/>
          <w:szCs w:val="24"/>
          <w:lang w:val="en-US"/>
        </w:rPr>
        <w:t xml:space="preserve"> establishing suitability to undertake the project, including evidence of </w:t>
      </w:r>
      <w:r w:rsidR="00094330">
        <w:rPr>
          <w:rFonts w:ascii="Arial" w:hAnsi="Arial" w:cs="Arial"/>
          <w:bCs/>
          <w:sz w:val="24"/>
          <w:szCs w:val="24"/>
          <w:lang w:val="en-US"/>
        </w:rPr>
        <w:t>carrying out work of a similar nature</w:t>
      </w:r>
      <w:r w:rsidR="004A237E">
        <w:rPr>
          <w:rFonts w:ascii="Arial" w:hAnsi="Arial" w:cs="Arial"/>
          <w:bCs/>
          <w:sz w:val="24"/>
          <w:szCs w:val="24"/>
          <w:lang w:val="en-US"/>
        </w:rPr>
        <w:t>.</w:t>
      </w:r>
      <w:r w:rsidR="008C01A6">
        <w:rPr>
          <w:rFonts w:ascii="Arial" w:hAnsi="Arial" w:cs="Arial"/>
          <w:bCs/>
          <w:sz w:val="24"/>
          <w:szCs w:val="24"/>
          <w:lang w:val="en-US"/>
        </w:rPr>
        <w:t xml:space="preserve"> </w:t>
      </w:r>
      <w:r w:rsidRPr="00071649">
        <w:rPr>
          <w:rFonts w:ascii="Arial" w:hAnsi="Arial" w:cs="Arial"/>
          <w:bCs/>
          <w:sz w:val="24"/>
          <w:szCs w:val="24"/>
          <w:lang w:val="en-US"/>
        </w:rPr>
        <w:t xml:space="preserve"> </w:t>
      </w:r>
    </w:p>
    <w:p w14:paraId="7C6910BD" w14:textId="4F1F3B15" w:rsidR="00071649" w:rsidRPr="00071649" w:rsidRDefault="00FD2919" w:rsidP="00071649">
      <w:pPr>
        <w:numPr>
          <w:ilvl w:val="0"/>
          <w:numId w:val="20"/>
        </w:numPr>
        <w:rPr>
          <w:rFonts w:ascii="Arial" w:hAnsi="Arial" w:cs="Arial"/>
          <w:bCs/>
          <w:sz w:val="24"/>
          <w:szCs w:val="24"/>
          <w:lang w:val="en-US"/>
        </w:rPr>
      </w:pPr>
      <w:r>
        <w:rPr>
          <w:rFonts w:ascii="Arial" w:hAnsi="Arial" w:cs="Arial"/>
          <w:bCs/>
          <w:sz w:val="24"/>
          <w:szCs w:val="24"/>
          <w:lang w:val="en-US"/>
        </w:rPr>
        <w:t>Project o</w:t>
      </w:r>
      <w:r w:rsidR="008C01A6">
        <w:rPr>
          <w:rFonts w:ascii="Arial" w:hAnsi="Arial" w:cs="Arial"/>
          <w:bCs/>
          <w:sz w:val="24"/>
          <w:szCs w:val="24"/>
          <w:lang w:val="en-US"/>
        </w:rPr>
        <w:t>utline</w:t>
      </w:r>
      <w:r w:rsidR="006A5E87">
        <w:rPr>
          <w:rFonts w:ascii="Arial" w:hAnsi="Arial" w:cs="Arial"/>
          <w:bCs/>
          <w:sz w:val="24"/>
          <w:szCs w:val="24"/>
          <w:lang w:val="en-US"/>
        </w:rPr>
        <w:t xml:space="preserve"> including, where appropriate,</w:t>
      </w:r>
      <w:r>
        <w:rPr>
          <w:rFonts w:ascii="Arial" w:hAnsi="Arial" w:cs="Arial"/>
          <w:bCs/>
          <w:sz w:val="24"/>
          <w:szCs w:val="24"/>
          <w:lang w:val="en-US"/>
        </w:rPr>
        <w:t xml:space="preserve"> details of</w:t>
      </w:r>
      <w:r w:rsidR="008C01A6">
        <w:rPr>
          <w:rFonts w:ascii="Arial" w:hAnsi="Arial" w:cs="Arial"/>
          <w:bCs/>
          <w:sz w:val="24"/>
          <w:szCs w:val="24"/>
          <w:lang w:val="en-US"/>
        </w:rPr>
        <w:t xml:space="preserve"> evaluation </w:t>
      </w:r>
      <w:r w:rsidR="00071649" w:rsidRPr="00071649">
        <w:rPr>
          <w:rFonts w:ascii="Arial" w:hAnsi="Arial" w:cs="Arial"/>
          <w:bCs/>
          <w:sz w:val="24"/>
          <w:szCs w:val="24"/>
          <w:lang w:val="en-US"/>
        </w:rPr>
        <w:t>plan</w:t>
      </w:r>
      <w:r w:rsidR="00676BC2">
        <w:rPr>
          <w:rFonts w:ascii="Arial" w:hAnsi="Arial" w:cs="Arial"/>
          <w:bCs/>
          <w:sz w:val="24"/>
          <w:szCs w:val="24"/>
          <w:lang w:val="en-US"/>
        </w:rPr>
        <w:t>, communications plan</w:t>
      </w:r>
      <w:r w:rsidR="00071649" w:rsidRPr="00071649">
        <w:rPr>
          <w:rFonts w:ascii="Arial" w:hAnsi="Arial" w:cs="Arial"/>
          <w:bCs/>
          <w:sz w:val="24"/>
          <w:szCs w:val="24"/>
          <w:lang w:val="en-US"/>
        </w:rPr>
        <w:t xml:space="preserve"> &amp; methodology</w:t>
      </w:r>
      <w:r w:rsidR="006A5E87">
        <w:rPr>
          <w:rFonts w:ascii="Arial" w:hAnsi="Arial" w:cs="Arial"/>
          <w:bCs/>
          <w:sz w:val="24"/>
          <w:szCs w:val="24"/>
          <w:lang w:val="en-US"/>
        </w:rPr>
        <w:t>,</w:t>
      </w:r>
      <w:r w:rsidR="00071649">
        <w:rPr>
          <w:rFonts w:ascii="Arial" w:hAnsi="Arial" w:cs="Arial"/>
          <w:bCs/>
          <w:sz w:val="24"/>
          <w:szCs w:val="24"/>
          <w:lang w:val="en-US"/>
        </w:rPr>
        <w:t xml:space="preserve"> </w:t>
      </w:r>
      <w:r w:rsidR="00434C3A">
        <w:rPr>
          <w:rFonts w:ascii="Arial" w:hAnsi="Arial" w:cs="Arial"/>
          <w:bCs/>
          <w:sz w:val="24"/>
          <w:szCs w:val="24"/>
          <w:lang w:val="en-US"/>
        </w:rPr>
        <w:t>evaluation logic model, timescales and stakeholder engagement plan.</w:t>
      </w:r>
    </w:p>
    <w:p w14:paraId="65B42A81" w14:textId="0643767C" w:rsid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Budget</w:t>
      </w:r>
      <w:r w:rsidR="00434C3A">
        <w:rPr>
          <w:rFonts w:ascii="Arial" w:hAnsi="Arial" w:cs="Arial"/>
          <w:bCs/>
          <w:sz w:val="24"/>
          <w:szCs w:val="24"/>
          <w:lang w:val="en-US"/>
        </w:rPr>
        <w:t xml:space="preserve"> (including </w:t>
      </w:r>
      <w:r w:rsidR="00F9641C">
        <w:rPr>
          <w:rFonts w:ascii="Arial" w:hAnsi="Arial" w:cs="Arial"/>
          <w:bCs/>
          <w:sz w:val="24"/>
          <w:szCs w:val="24"/>
          <w:lang w:val="en-US"/>
        </w:rPr>
        <w:t xml:space="preserve">detailed </w:t>
      </w:r>
      <w:r w:rsidR="00434C3A">
        <w:rPr>
          <w:rFonts w:ascii="Arial" w:hAnsi="Arial" w:cs="Arial"/>
          <w:bCs/>
          <w:sz w:val="24"/>
          <w:szCs w:val="24"/>
          <w:lang w:val="en-US"/>
        </w:rPr>
        <w:t>breakdown of spend)</w:t>
      </w:r>
      <w:r w:rsidR="00835646">
        <w:rPr>
          <w:rFonts w:ascii="Arial" w:hAnsi="Arial" w:cs="Arial"/>
          <w:bCs/>
          <w:sz w:val="24"/>
          <w:szCs w:val="24"/>
          <w:lang w:val="en-US"/>
        </w:rPr>
        <w:t>.</w:t>
      </w:r>
    </w:p>
    <w:p w14:paraId="4BCF7CD7" w14:textId="6525307C"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lastRenderedPageBreak/>
        <w:t>Risk mapping and associated risk register</w:t>
      </w:r>
      <w:r w:rsidR="006A5E87">
        <w:rPr>
          <w:rFonts w:ascii="Arial" w:hAnsi="Arial" w:cs="Arial"/>
          <w:bCs/>
          <w:sz w:val="24"/>
          <w:szCs w:val="24"/>
          <w:lang w:val="en-US"/>
        </w:rPr>
        <w:t>, including any potential conflicts of interest</w:t>
      </w:r>
      <w:r w:rsidR="00835646">
        <w:rPr>
          <w:rFonts w:ascii="Arial" w:hAnsi="Arial" w:cs="Arial"/>
          <w:bCs/>
          <w:sz w:val="24"/>
          <w:szCs w:val="24"/>
          <w:lang w:val="en-US"/>
        </w:rPr>
        <w:t>.</w:t>
      </w:r>
    </w:p>
    <w:p w14:paraId="71F5261C" w14:textId="5EC20326"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 xml:space="preserve">Evaluation and project </w:t>
      </w:r>
      <w:r w:rsidR="00071649" w:rsidRPr="00071649">
        <w:rPr>
          <w:rFonts w:ascii="Arial" w:hAnsi="Arial" w:cs="Arial"/>
          <w:bCs/>
          <w:sz w:val="24"/>
          <w:szCs w:val="24"/>
          <w:lang w:val="en-US"/>
        </w:rPr>
        <w:t>team CVs</w:t>
      </w:r>
      <w:r w:rsidR="00835646">
        <w:rPr>
          <w:rFonts w:ascii="Arial" w:hAnsi="Arial" w:cs="Arial"/>
          <w:bCs/>
          <w:sz w:val="24"/>
          <w:szCs w:val="24"/>
          <w:lang w:val="en-US"/>
        </w:rPr>
        <w:t>.</w:t>
      </w:r>
    </w:p>
    <w:p w14:paraId="64C3F07D" w14:textId="6108F206"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Word count (excluding Project</w:t>
      </w:r>
      <w:r w:rsidR="00FD6F6D">
        <w:rPr>
          <w:rFonts w:ascii="Arial" w:hAnsi="Arial" w:cs="Arial"/>
          <w:bCs/>
          <w:sz w:val="24"/>
          <w:szCs w:val="24"/>
          <w:lang w:val="en-US"/>
        </w:rPr>
        <w:t xml:space="preserve"> / Evaluation Team CVs) is a max</w:t>
      </w:r>
      <w:r w:rsidR="00FD2919">
        <w:rPr>
          <w:rFonts w:ascii="Arial" w:hAnsi="Arial" w:cs="Arial"/>
          <w:bCs/>
          <w:sz w:val="24"/>
          <w:szCs w:val="24"/>
          <w:lang w:val="en-US"/>
        </w:rPr>
        <w:t xml:space="preserve"> of 2</w:t>
      </w:r>
      <w:r w:rsidR="00F9641C">
        <w:rPr>
          <w:rFonts w:ascii="Arial" w:hAnsi="Arial" w:cs="Arial"/>
          <w:bCs/>
          <w:sz w:val="24"/>
          <w:szCs w:val="24"/>
          <w:lang w:val="en-US"/>
        </w:rPr>
        <w:t>,0</w:t>
      </w:r>
      <w:r w:rsidRPr="00071649">
        <w:rPr>
          <w:rFonts w:ascii="Arial" w:hAnsi="Arial" w:cs="Arial"/>
          <w:bCs/>
          <w:sz w:val="24"/>
          <w:szCs w:val="24"/>
          <w:lang w:val="en-US"/>
        </w:rPr>
        <w:t>00 words</w:t>
      </w:r>
      <w:r w:rsidR="00FD2919">
        <w:rPr>
          <w:rFonts w:ascii="Arial" w:hAnsi="Arial" w:cs="Arial"/>
          <w:bCs/>
          <w:sz w:val="24"/>
          <w:szCs w:val="24"/>
          <w:lang w:val="en-US"/>
        </w:rPr>
        <w:t xml:space="preserve"> per document</w:t>
      </w:r>
      <w:r w:rsidRPr="00071649">
        <w:rPr>
          <w:rFonts w:ascii="Arial" w:hAnsi="Arial" w:cs="Arial"/>
          <w:bCs/>
          <w:sz w:val="24"/>
          <w:szCs w:val="24"/>
          <w:lang w:val="en-US"/>
        </w:rPr>
        <w:t xml:space="preserve">. </w:t>
      </w:r>
    </w:p>
    <w:p w14:paraId="4BEDD00A"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will be reviewed by an internal PHE panel and candidates will be informed electronically of the result.</w:t>
      </w:r>
    </w:p>
    <w:p w14:paraId="7D52E74C" w14:textId="5465EF51" w:rsidR="00071649" w:rsidRDefault="00071649" w:rsidP="00071649">
      <w:pPr>
        <w:rPr>
          <w:rFonts w:ascii="Arial" w:hAnsi="Arial" w:cs="Arial"/>
          <w:bCs/>
          <w:sz w:val="24"/>
          <w:szCs w:val="24"/>
          <w:lang w:val="en-US"/>
        </w:rPr>
      </w:pPr>
      <w:r w:rsidRPr="00071649">
        <w:rPr>
          <w:rFonts w:ascii="Arial" w:hAnsi="Arial" w:cs="Arial"/>
          <w:bCs/>
          <w:sz w:val="24"/>
          <w:szCs w:val="24"/>
          <w:lang w:val="en-US"/>
        </w:rPr>
        <w:t>If two applications are scored identically then both applicants will be invited to a verbal presentation</w:t>
      </w:r>
      <w:r w:rsidR="00FD6F6D">
        <w:rPr>
          <w:rFonts w:ascii="Arial" w:hAnsi="Arial" w:cs="Arial"/>
          <w:bCs/>
          <w:sz w:val="24"/>
          <w:szCs w:val="24"/>
          <w:lang w:val="en-US"/>
        </w:rPr>
        <w:t xml:space="preserve"> to decide the outcome</w:t>
      </w:r>
      <w:r w:rsidRPr="00071649">
        <w:rPr>
          <w:rFonts w:ascii="Arial" w:hAnsi="Arial" w:cs="Arial"/>
          <w:bCs/>
          <w:sz w:val="24"/>
          <w:szCs w:val="24"/>
          <w:lang w:val="en-US"/>
        </w:rPr>
        <w:t>.</w:t>
      </w:r>
      <w:r w:rsidR="003C5E53">
        <w:rPr>
          <w:rFonts w:ascii="Arial" w:hAnsi="Arial" w:cs="Arial"/>
          <w:bCs/>
          <w:sz w:val="24"/>
          <w:szCs w:val="24"/>
          <w:lang w:val="en-US"/>
        </w:rPr>
        <w:t xml:space="preserve"> </w:t>
      </w:r>
    </w:p>
    <w:p w14:paraId="02993321"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Selection Criteria</w:t>
      </w:r>
    </w:p>
    <w:p w14:paraId="3EA57D8C" w14:textId="33FD3175"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Criteria used by members of the PHE panel to assess applications for funding from the project include:</w:t>
      </w:r>
    </w:p>
    <w:p w14:paraId="6DCE32D5" w14:textId="135F3471"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RELEVANCE</w:t>
      </w:r>
      <w:r w:rsidRPr="00071649">
        <w:rPr>
          <w:rFonts w:ascii="Arial" w:hAnsi="Arial" w:cs="Arial"/>
          <w:sz w:val="24"/>
          <w:szCs w:val="24"/>
          <w:lang w:val="en-US"/>
        </w:rPr>
        <w:t xml:space="preserve"> of the proposed project plan and </w:t>
      </w:r>
      <w:r w:rsidR="00434C3A">
        <w:rPr>
          <w:rFonts w:ascii="Arial" w:hAnsi="Arial" w:cs="Arial"/>
          <w:sz w:val="24"/>
          <w:szCs w:val="24"/>
          <w:lang w:val="en-US"/>
        </w:rPr>
        <w:t xml:space="preserve">evaluation </w:t>
      </w:r>
      <w:r w:rsidRPr="00071649">
        <w:rPr>
          <w:rFonts w:ascii="Arial" w:hAnsi="Arial" w:cs="Arial"/>
          <w:sz w:val="24"/>
          <w:szCs w:val="24"/>
          <w:lang w:val="en-US"/>
        </w:rPr>
        <w:t xml:space="preserve">methodology to the aims and objectives of the project </w:t>
      </w:r>
    </w:p>
    <w:p w14:paraId="1A810074"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QUALITY</w:t>
      </w:r>
      <w:r w:rsidRPr="00071649">
        <w:rPr>
          <w:rFonts w:ascii="Arial" w:hAnsi="Arial" w:cs="Arial"/>
          <w:sz w:val="24"/>
          <w:szCs w:val="24"/>
          <w:lang w:val="en-US"/>
        </w:rPr>
        <w:t xml:space="preserve"> of the work plan and proposed management arrangements</w:t>
      </w:r>
    </w:p>
    <w:p w14:paraId="61FB2B58"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STRENGTH</w:t>
      </w:r>
      <w:r w:rsidRPr="00071649">
        <w:rPr>
          <w:rFonts w:ascii="Arial" w:hAnsi="Arial" w:cs="Arial"/>
          <w:sz w:val="24"/>
          <w:szCs w:val="24"/>
          <w:lang w:val="en-US"/>
        </w:rPr>
        <w:t xml:space="preserve"> of the project team</w:t>
      </w:r>
    </w:p>
    <w:p w14:paraId="7BBABA90"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IMPACT</w:t>
      </w:r>
      <w:r w:rsidRPr="00071649">
        <w:rPr>
          <w:rFonts w:ascii="Arial" w:hAnsi="Arial" w:cs="Arial"/>
          <w:sz w:val="24"/>
          <w:szCs w:val="24"/>
          <w:lang w:val="en-US"/>
        </w:rPr>
        <w:t xml:space="preserve"> of the proposed work </w:t>
      </w:r>
    </w:p>
    <w:p w14:paraId="45942039"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 xml:space="preserve">VALUE </w:t>
      </w:r>
      <w:r w:rsidRPr="00071649">
        <w:rPr>
          <w:rFonts w:ascii="Arial" w:hAnsi="Arial" w:cs="Arial"/>
          <w:sz w:val="24"/>
          <w:szCs w:val="24"/>
          <w:lang w:val="en-US"/>
        </w:rPr>
        <w:t xml:space="preserve">for money (justification of the proposed costs) </w:t>
      </w:r>
    </w:p>
    <w:p w14:paraId="3831350A" w14:textId="04A4E1B2" w:rsid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INVOLVEMENT</w:t>
      </w:r>
      <w:r w:rsidR="00C809DE">
        <w:rPr>
          <w:rFonts w:ascii="Arial" w:hAnsi="Arial" w:cs="Arial"/>
          <w:sz w:val="24"/>
          <w:szCs w:val="24"/>
          <w:lang w:val="en-US"/>
        </w:rPr>
        <w:t xml:space="preserve"> of key partners </w:t>
      </w:r>
      <w:r w:rsidRPr="00071649">
        <w:rPr>
          <w:rFonts w:ascii="Arial" w:hAnsi="Arial" w:cs="Arial"/>
          <w:sz w:val="24"/>
          <w:szCs w:val="24"/>
          <w:lang w:val="en-US"/>
        </w:rPr>
        <w:t>and the public</w:t>
      </w:r>
    </w:p>
    <w:p w14:paraId="52CC81BF" w14:textId="77777777" w:rsidR="00071649" w:rsidRPr="00071649" w:rsidRDefault="00071649" w:rsidP="00071649">
      <w:pPr>
        <w:rPr>
          <w:rFonts w:ascii="Arial" w:hAnsi="Arial" w:cs="Arial"/>
          <w:b/>
          <w:bCs/>
          <w:sz w:val="24"/>
          <w:szCs w:val="24"/>
          <w:lang w:val="en-US"/>
        </w:rPr>
      </w:pPr>
      <w:r>
        <w:rPr>
          <w:rFonts w:ascii="Arial" w:hAnsi="Arial" w:cs="Arial"/>
          <w:b/>
          <w:bCs/>
          <w:sz w:val="24"/>
          <w:szCs w:val="24"/>
          <w:lang w:val="en-US"/>
        </w:rPr>
        <w:t xml:space="preserve">Commissioning </w:t>
      </w:r>
      <w:r w:rsidRPr="00071649">
        <w:rPr>
          <w:rFonts w:ascii="Arial" w:hAnsi="Arial" w:cs="Arial"/>
          <w:b/>
          <w:bCs/>
          <w:sz w:val="24"/>
          <w:szCs w:val="24"/>
          <w:lang w:val="en-US"/>
        </w:rPr>
        <w:t>Timetable</w:t>
      </w:r>
    </w:p>
    <w:p w14:paraId="0A9A504F"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It is anticipated that commissioning of this project will occur to the following approximate timetable: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4977"/>
      </w:tblGrid>
      <w:tr w:rsidR="00071649" w:rsidRPr="00071649" w14:paraId="63CF7AB6" w14:textId="77777777" w:rsidTr="003C5E53">
        <w:tc>
          <w:tcPr>
            <w:tcW w:w="2864" w:type="dxa"/>
            <w:shd w:val="clear" w:color="auto" w:fill="BFBFBF"/>
          </w:tcPr>
          <w:p w14:paraId="5D07AAF5" w14:textId="77777777" w:rsidR="00071649" w:rsidRPr="00071649" w:rsidRDefault="00071649" w:rsidP="00071649">
            <w:pPr>
              <w:rPr>
                <w:rFonts w:ascii="Arial" w:hAnsi="Arial" w:cs="Arial"/>
                <w:b/>
                <w:sz w:val="24"/>
                <w:szCs w:val="24"/>
              </w:rPr>
            </w:pPr>
            <w:r w:rsidRPr="00071649">
              <w:rPr>
                <w:rFonts w:ascii="Arial" w:hAnsi="Arial" w:cs="Arial"/>
                <w:b/>
                <w:sz w:val="24"/>
                <w:szCs w:val="24"/>
              </w:rPr>
              <w:t>Date</w:t>
            </w:r>
          </w:p>
        </w:tc>
        <w:tc>
          <w:tcPr>
            <w:tcW w:w="4977" w:type="dxa"/>
            <w:shd w:val="clear" w:color="auto" w:fill="BFBFBF"/>
          </w:tcPr>
          <w:p w14:paraId="0A36650E" w14:textId="77777777" w:rsidR="00071649" w:rsidRPr="00071649" w:rsidRDefault="00071649" w:rsidP="00071649">
            <w:pPr>
              <w:rPr>
                <w:rFonts w:ascii="Arial" w:hAnsi="Arial" w:cs="Arial"/>
                <w:b/>
                <w:sz w:val="24"/>
                <w:szCs w:val="24"/>
              </w:rPr>
            </w:pPr>
            <w:r w:rsidRPr="00071649">
              <w:rPr>
                <w:rFonts w:ascii="Arial" w:hAnsi="Arial" w:cs="Arial"/>
                <w:b/>
                <w:sz w:val="24"/>
                <w:szCs w:val="24"/>
              </w:rPr>
              <w:t>Action</w:t>
            </w:r>
          </w:p>
        </w:tc>
      </w:tr>
      <w:tr w:rsidR="00071649" w:rsidRPr="00071649" w14:paraId="23AF47B6" w14:textId="77777777" w:rsidTr="003C5E53">
        <w:tc>
          <w:tcPr>
            <w:tcW w:w="2864" w:type="dxa"/>
            <w:shd w:val="clear" w:color="auto" w:fill="auto"/>
          </w:tcPr>
          <w:p w14:paraId="29A393E7" w14:textId="53FFBD8B" w:rsidR="00071649" w:rsidRPr="00FD6F6D" w:rsidRDefault="008F7BBE" w:rsidP="00071649">
            <w:pPr>
              <w:rPr>
                <w:rFonts w:ascii="Arial" w:hAnsi="Arial" w:cs="Arial"/>
                <w:b/>
                <w:sz w:val="24"/>
                <w:szCs w:val="24"/>
              </w:rPr>
            </w:pPr>
            <w:r>
              <w:rPr>
                <w:rFonts w:ascii="Arial" w:hAnsi="Arial" w:cs="Arial"/>
                <w:b/>
                <w:sz w:val="24"/>
                <w:szCs w:val="24"/>
              </w:rPr>
              <w:t>31/12/2020</w:t>
            </w:r>
          </w:p>
        </w:tc>
        <w:tc>
          <w:tcPr>
            <w:tcW w:w="4977" w:type="dxa"/>
            <w:shd w:val="clear" w:color="auto" w:fill="auto"/>
          </w:tcPr>
          <w:p w14:paraId="036DBB18" w14:textId="4A1A5E64" w:rsidR="00071649" w:rsidRPr="00071649" w:rsidRDefault="00071649" w:rsidP="00071649">
            <w:pPr>
              <w:rPr>
                <w:rFonts w:ascii="Arial" w:hAnsi="Arial" w:cs="Arial"/>
                <w:sz w:val="24"/>
                <w:szCs w:val="24"/>
                <w:lang w:val="en-US"/>
              </w:rPr>
            </w:pPr>
            <w:r w:rsidRPr="00071649">
              <w:rPr>
                <w:rFonts w:ascii="Arial" w:hAnsi="Arial" w:cs="Arial"/>
                <w:sz w:val="24"/>
                <w:szCs w:val="24"/>
                <w:lang w:val="en-US"/>
              </w:rPr>
              <w:t>Issue of invitation to tender via BRAVO</w:t>
            </w:r>
          </w:p>
        </w:tc>
      </w:tr>
      <w:tr w:rsidR="00071649" w:rsidRPr="00071649" w14:paraId="37D6C571" w14:textId="77777777" w:rsidTr="003C5E53">
        <w:tc>
          <w:tcPr>
            <w:tcW w:w="2864" w:type="dxa"/>
            <w:shd w:val="clear" w:color="auto" w:fill="auto"/>
          </w:tcPr>
          <w:p w14:paraId="165EC93E" w14:textId="7580FE79" w:rsidR="00071649" w:rsidRPr="00FD6F6D" w:rsidRDefault="003C5E53" w:rsidP="00071649">
            <w:pPr>
              <w:rPr>
                <w:rFonts w:ascii="Arial" w:hAnsi="Arial" w:cs="Arial"/>
                <w:b/>
                <w:sz w:val="24"/>
                <w:szCs w:val="24"/>
              </w:rPr>
            </w:pPr>
            <w:r>
              <w:rPr>
                <w:rFonts w:ascii="Arial" w:hAnsi="Arial" w:cs="Arial"/>
                <w:b/>
                <w:sz w:val="24"/>
                <w:szCs w:val="24"/>
              </w:rPr>
              <w:t>05/02/2021</w:t>
            </w:r>
          </w:p>
        </w:tc>
        <w:tc>
          <w:tcPr>
            <w:tcW w:w="4977" w:type="dxa"/>
            <w:shd w:val="clear" w:color="auto" w:fill="auto"/>
          </w:tcPr>
          <w:p w14:paraId="4D5B04DF" w14:textId="77777777" w:rsidR="00071649" w:rsidRPr="00071649" w:rsidRDefault="00071649" w:rsidP="00071649">
            <w:pPr>
              <w:rPr>
                <w:rFonts w:ascii="Arial" w:hAnsi="Arial" w:cs="Arial"/>
                <w:sz w:val="24"/>
                <w:szCs w:val="24"/>
              </w:rPr>
            </w:pPr>
            <w:r w:rsidRPr="00071649">
              <w:rPr>
                <w:rFonts w:ascii="Arial" w:hAnsi="Arial" w:cs="Arial"/>
                <w:sz w:val="24"/>
                <w:szCs w:val="24"/>
              </w:rPr>
              <w:t>Deadline for receipt of applications</w:t>
            </w:r>
          </w:p>
        </w:tc>
      </w:tr>
      <w:tr w:rsidR="006A5E87" w:rsidRPr="00071649" w14:paraId="15B17991" w14:textId="77777777" w:rsidTr="003C5E53">
        <w:tc>
          <w:tcPr>
            <w:tcW w:w="2864" w:type="dxa"/>
            <w:shd w:val="clear" w:color="auto" w:fill="auto"/>
          </w:tcPr>
          <w:p w14:paraId="5E8C32D1" w14:textId="11F4F182" w:rsidR="006A5E87" w:rsidRPr="003C5E53" w:rsidRDefault="003C5E53" w:rsidP="00071649">
            <w:pPr>
              <w:rPr>
                <w:rFonts w:ascii="Arial" w:hAnsi="Arial" w:cs="Arial"/>
                <w:b/>
                <w:sz w:val="24"/>
                <w:szCs w:val="24"/>
              </w:rPr>
            </w:pPr>
            <w:r w:rsidRPr="003C5E53">
              <w:rPr>
                <w:rFonts w:ascii="Arial" w:hAnsi="Arial" w:cs="Arial"/>
                <w:b/>
                <w:sz w:val="24"/>
                <w:szCs w:val="24"/>
                <w:lang w:val="en-US"/>
              </w:rPr>
              <w:t xml:space="preserve">Between </w:t>
            </w:r>
            <w:r w:rsidR="00BC3EA6">
              <w:rPr>
                <w:rFonts w:ascii="Arial" w:hAnsi="Arial" w:cs="Arial"/>
                <w:b/>
                <w:sz w:val="24"/>
                <w:szCs w:val="24"/>
                <w:lang w:val="en-US"/>
              </w:rPr>
              <w:t>08/02/2021</w:t>
            </w:r>
            <w:r w:rsidRPr="003C5E53">
              <w:rPr>
                <w:rFonts w:ascii="Arial" w:hAnsi="Arial" w:cs="Arial"/>
                <w:b/>
                <w:sz w:val="24"/>
                <w:szCs w:val="24"/>
                <w:lang w:val="en-US"/>
              </w:rPr>
              <w:t xml:space="preserve"> and </w:t>
            </w:r>
            <w:r w:rsidR="00BC3EA6">
              <w:rPr>
                <w:rFonts w:ascii="Arial" w:hAnsi="Arial" w:cs="Arial"/>
                <w:b/>
                <w:sz w:val="24"/>
                <w:szCs w:val="24"/>
                <w:lang w:val="en-US"/>
              </w:rPr>
              <w:t>12</w:t>
            </w:r>
            <w:r>
              <w:rPr>
                <w:rFonts w:ascii="Arial" w:hAnsi="Arial" w:cs="Arial"/>
                <w:b/>
                <w:sz w:val="24"/>
                <w:szCs w:val="24"/>
                <w:lang w:val="en-US"/>
              </w:rPr>
              <w:t>/</w:t>
            </w:r>
            <w:r w:rsidR="00BC3EA6">
              <w:rPr>
                <w:rFonts w:ascii="Arial" w:hAnsi="Arial" w:cs="Arial"/>
                <w:b/>
                <w:sz w:val="24"/>
                <w:szCs w:val="24"/>
                <w:lang w:val="en-US"/>
              </w:rPr>
              <w:t>02</w:t>
            </w:r>
            <w:r w:rsidRPr="003C5E53">
              <w:rPr>
                <w:rFonts w:ascii="Arial" w:hAnsi="Arial" w:cs="Arial"/>
                <w:b/>
                <w:sz w:val="24"/>
                <w:szCs w:val="24"/>
                <w:lang w:val="en-US"/>
              </w:rPr>
              <w:t>/2021</w:t>
            </w:r>
          </w:p>
        </w:tc>
        <w:tc>
          <w:tcPr>
            <w:tcW w:w="4977" w:type="dxa"/>
            <w:shd w:val="clear" w:color="auto" w:fill="auto"/>
          </w:tcPr>
          <w:p w14:paraId="438663DA" w14:textId="3FB7A260" w:rsidR="006A5E87" w:rsidRPr="00071649" w:rsidRDefault="006A5E87" w:rsidP="00071649">
            <w:pPr>
              <w:rPr>
                <w:rFonts w:ascii="Arial" w:hAnsi="Arial" w:cs="Arial"/>
                <w:sz w:val="24"/>
                <w:szCs w:val="24"/>
              </w:rPr>
            </w:pPr>
            <w:r>
              <w:rPr>
                <w:rFonts w:ascii="Arial" w:hAnsi="Arial" w:cs="Arial"/>
                <w:sz w:val="24"/>
                <w:szCs w:val="24"/>
              </w:rPr>
              <w:t>Dates for potential clarification meetings</w:t>
            </w:r>
          </w:p>
        </w:tc>
      </w:tr>
      <w:tr w:rsidR="00071649" w:rsidRPr="00071649" w14:paraId="6B8BC9EC" w14:textId="77777777" w:rsidTr="003C5E53">
        <w:tc>
          <w:tcPr>
            <w:tcW w:w="2864" w:type="dxa"/>
            <w:shd w:val="clear" w:color="auto" w:fill="auto"/>
          </w:tcPr>
          <w:p w14:paraId="45613F24" w14:textId="1B3FC99E" w:rsidR="00071649" w:rsidRPr="00FD6F6D" w:rsidRDefault="00BC3EA6" w:rsidP="00FD6F6D">
            <w:pPr>
              <w:rPr>
                <w:rFonts w:ascii="Arial" w:hAnsi="Arial" w:cs="Arial"/>
                <w:b/>
                <w:sz w:val="24"/>
                <w:szCs w:val="24"/>
              </w:rPr>
            </w:pPr>
            <w:r>
              <w:rPr>
                <w:rFonts w:ascii="Arial" w:hAnsi="Arial" w:cs="Arial"/>
                <w:b/>
                <w:sz w:val="24"/>
                <w:szCs w:val="24"/>
              </w:rPr>
              <w:lastRenderedPageBreak/>
              <w:t>15</w:t>
            </w:r>
            <w:r w:rsidR="003C5E53">
              <w:rPr>
                <w:rFonts w:ascii="Arial" w:hAnsi="Arial" w:cs="Arial"/>
                <w:b/>
                <w:sz w:val="24"/>
                <w:szCs w:val="24"/>
              </w:rPr>
              <w:t>/</w:t>
            </w:r>
            <w:r>
              <w:rPr>
                <w:rFonts w:ascii="Arial" w:hAnsi="Arial" w:cs="Arial"/>
                <w:b/>
                <w:sz w:val="24"/>
                <w:szCs w:val="24"/>
              </w:rPr>
              <w:t>02</w:t>
            </w:r>
            <w:r w:rsidR="003C5E53">
              <w:rPr>
                <w:rFonts w:ascii="Arial" w:hAnsi="Arial" w:cs="Arial"/>
                <w:b/>
                <w:sz w:val="24"/>
                <w:szCs w:val="24"/>
              </w:rPr>
              <w:t>/2021</w:t>
            </w:r>
          </w:p>
        </w:tc>
        <w:tc>
          <w:tcPr>
            <w:tcW w:w="4977" w:type="dxa"/>
            <w:shd w:val="clear" w:color="auto" w:fill="auto"/>
          </w:tcPr>
          <w:p w14:paraId="3EC01FAB" w14:textId="77777777" w:rsidR="00071649" w:rsidRPr="00071649" w:rsidRDefault="00071649" w:rsidP="00071649">
            <w:pPr>
              <w:rPr>
                <w:rFonts w:ascii="Arial" w:hAnsi="Arial" w:cs="Arial"/>
                <w:sz w:val="24"/>
                <w:szCs w:val="24"/>
              </w:rPr>
            </w:pPr>
            <w:r w:rsidRPr="00071649">
              <w:rPr>
                <w:rFonts w:ascii="Arial" w:hAnsi="Arial" w:cs="Arial"/>
                <w:sz w:val="24"/>
                <w:szCs w:val="24"/>
              </w:rPr>
              <w:t>Notification of outcome of applications review</w:t>
            </w:r>
          </w:p>
        </w:tc>
      </w:tr>
      <w:tr w:rsidR="00071649" w:rsidRPr="00071649" w14:paraId="1CDF2F6E" w14:textId="77777777" w:rsidTr="003C5E53">
        <w:trPr>
          <w:trHeight w:val="487"/>
        </w:trPr>
        <w:tc>
          <w:tcPr>
            <w:tcW w:w="2864" w:type="dxa"/>
            <w:shd w:val="clear" w:color="auto" w:fill="auto"/>
          </w:tcPr>
          <w:p w14:paraId="6CCE44AA" w14:textId="79267FDF" w:rsidR="00071649" w:rsidRPr="00FD6F6D" w:rsidRDefault="00BC3EA6" w:rsidP="00071649">
            <w:pPr>
              <w:rPr>
                <w:rFonts w:ascii="Arial" w:hAnsi="Arial" w:cs="Arial"/>
                <w:b/>
                <w:sz w:val="24"/>
                <w:szCs w:val="24"/>
              </w:rPr>
            </w:pPr>
            <w:r>
              <w:rPr>
                <w:rFonts w:ascii="Arial" w:hAnsi="Arial" w:cs="Arial"/>
                <w:b/>
                <w:sz w:val="24"/>
                <w:szCs w:val="24"/>
              </w:rPr>
              <w:t>02/03/2021</w:t>
            </w:r>
          </w:p>
        </w:tc>
        <w:tc>
          <w:tcPr>
            <w:tcW w:w="4977" w:type="dxa"/>
            <w:shd w:val="clear" w:color="auto" w:fill="auto"/>
          </w:tcPr>
          <w:p w14:paraId="402D172F" w14:textId="77777777" w:rsidR="00071649" w:rsidRPr="00071649" w:rsidRDefault="00071649" w:rsidP="00071649">
            <w:pPr>
              <w:rPr>
                <w:rFonts w:ascii="Arial" w:hAnsi="Arial" w:cs="Arial"/>
                <w:sz w:val="24"/>
                <w:szCs w:val="24"/>
              </w:rPr>
            </w:pPr>
            <w:r w:rsidRPr="00071649">
              <w:rPr>
                <w:rFonts w:ascii="Arial" w:hAnsi="Arial" w:cs="Arial"/>
                <w:sz w:val="24"/>
                <w:szCs w:val="24"/>
              </w:rPr>
              <w:t>Award of contract</w:t>
            </w:r>
          </w:p>
        </w:tc>
      </w:tr>
      <w:tr w:rsidR="00071649" w:rsidRPr="00071649" w14:paraId="20C15E90" w14:textId="77777777" w:rsidTr="003C5E53">
        <w:tc>
          <w:tcPr>
            <w:tcW w:w="2864" w:type="dxa"/>
            <w:shd w:val="clear" w:color="auto" w:fill="auto"/>
          </w:tcPr>
          <w:p w14:paraId="392B6222" w14:textId="14015BA2" w:rsidR="00071649" w:rsidRPr="00FD6F6D" w:rsidRDefault="00423701" w:rsidP="00FD6F6D">
            <w:pPr>
              <w:rPr>
                <w:rFonts w:ascii="Arial" w:hAnsi="Arial" w:cs="Arial"/>
                <w:b/>
                <w:sz w:val="24"/>
                <w:szCs w:val="24"/>
              </w:rPr>
            </w:pPr>
            <w:r>
              <w:rPr>
                <w:rFonts w:ascii="Arial" w:hAnsi="Arial" w:cs="Arial"/>
                <w:b/>
                <w:sz w:val="24"/>
                <w:szCs w:val="24"/>
              </w:rPr>
              <w:t>30/06/2024</w:t>
            </w:r>
            <w:r w:rsidR="004A237E">
              <w:rPr>
                <w:rFonts w:ascii="Arial" w:hAnsi="Arial" w:cs="Arial"/>
                <w:b/>
                <w:sz w:val="24"/>
                <w:szCs w:val="24"/>
              </w:rPr>
              <w:t xml:space="preserve"> at latest</w:t>
            </w:r>
          </w:p>
        </w:tc>
        <w:tc>
          <w:tcPr>
            <w:tcW w:w="4977" w:type="dxa"/>
            <w:shd w:val="clear" w:color="auto" w:fill="auto"/>
          </w:tcPr>
          <w:p w14:paraId="50607DA7" w14:textId="77777777" w:rsidR="00071649" w:rsidRPr="00071649" w:rsidRDefault="00071649" w:rsidP="00071649">
            <w:pPr>
              <w:rPr>
                <w:rFonts w:ascii="Arial" w:hAnsi="Arial" w:cs="Arial"/>
                <w:sz w:val="24"/>
                <w:szCs w:val="24"/>
              </w:rPr>
            </w:pPr>
            <w:r w:rsidRPr="00071649">
              <w:rPr>
                <w:rFonts w:ascii="Arial" w:hAnsi="Arial" w:cs="Arial"/>
                <w:sz w:val="24"/>
                <w:szCs w:val="24"/>
              </w:rPr>
              <w:t>Project completion</w:t>
            </w:r>
          </w:p>
        </w:tc>
      </w:tr>
    </w:tbl>
    <w:p w14:paraId="2E247939" w14:textId="77777777" w:rsidR="00071649" w:rsidRPr="00071649" w:rsidRDefault="00071649" w:rsidP="00071649">
      <w:pPr>
        <w:rPr>
          <w:rFonts w:ascii="Arial" w:hAnsi="Arial" w:cs="Arial"/>
          <w:sz w:val="24"/>
          <w:szCs w:val="24"/>
        </w:rPr>
      </w:pPr>
    </w:p>
    <w:sectPr w:rsidR="00071649" w:rsidRPr="00071649" w:rsidSect="002C67FE">
      <w:headerReference w:type="default" r:id="rId14"/>
      <w:footerReference w:type="default" r:id="rId15"/>
      <w:endnotePr>
        <w:numFmt w:val="decimal"/>
      </w:endnotePr>
      <w:pgSz w:w="11906" w:h="16838"/>
      <w:pgMar w:top="99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27D7C" w14:textId="77777777" w:rsidR="00CA444A" w:rsidRDefault="00CA444A" w:rsidP="000D6E1B">
      <w:pPr>
        <w:spacing w:after="0" w:line="240" w:lineRule="auto"/>
      </w:pPr>
      <w:r>
        <w:separator/>
      </w:r>
    </w:p>
  </w:endnote>
  <w:endnote w:type="continuationSeparator" w:id="0">
    <w:p w14:paraId="0D8996F6" w14:textId="77777777" w:rsidR="00CA444A" w:rsidRDefault="00CA444A"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014566"/>
      <w:docPartObj>
        <w:docPartGallery w:val="Page Numbers (Bottom of Page)"/>
        <w:docPartUnique/>
      </w:docPartObj>
    </w:sdtPr>
    <w:sdtEndPr>
      <w:rPr>
        <w:noProof/>
      </w:rPr>
    </w:sdtEndPr>
    <w:sdtContent>
      <w:p w14:paraId="037161B6" w14:textId="6BD2080D" w:rsidR="00CA444A" w:rsidRDefault="00CA444A">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2FBE26DC" w14:textId="77777777" w:rsidR="00CA444A" w:rsidRDefault="00CA4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675AC" w14:textId="77777777" w:rsidR="00CA444A" w:rsidRDefault="00CA444A" w:rsidP="000D6E1B">
      <w:pPr>
        <w:spacing w:after="0" w:line="240" w:lineRule="auto"/>
      </w:pPr>
      <w:r>
        <w:separator/>
      </w:r>
    </w:p>
  </w:footnote>
  <w:footnote w:type="continuationSeparator" w:id="0">
    <w:p w14:paraId="3505528A" w14:textId="77777777" w:rsidR="00CA444A" w:rsidRDefault="00CA444A" w:rsidP="000D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9047" w14:textId="77777777" w:rsidR="00CA444A" w:rsidRDefault="00CA444A">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11" name="Picture 11"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F547B"/>
    <w:multiLevelType w:val="hybridMultilevel"/>
    <w:tmpl w:val="91BC42C6"/>
    <w:lvl w:ilvl="0" w:tplc="8B8C1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11EF5"/>
    <w:multiLevelType w:val="hybridMultilevel"/>
    <w:tmpl w:val="DE261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212E46"/>
    <w:multiLevelType w:val="hybridMultilevel"/>
    <w:tmpl w:val="F9FE0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35FC8"/>
    <w:multiLevelType w:val="hybridMultilevel"/>
    <w:tmpl w:val="942E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41CF4"/>
    <w:multiLevelType w:val="hybridMultilevel"/>
    <w:tmpl w:val="05921470"/>
    <w:lvl w:ilvl="0" w:tplc="79202D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9648A9"/>
    <w:multiLevelType w:val="hybridMultilevel"/>
    <w:tmpl w:val="9CEEECFC"/>
    <w:lvl w:ilvl="0" w:tplc="79202D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C28DB"/>
    <w:multiLevelType w:val="hybridMultilevel"/>
    <w:tmpl w:val="CAE40382"/>
    <w:lvl w:ilvl="0" w:tplc="8B8C1916">
      <w:start w:val="1"/>
      <w:numFmt w:val="decimal"/>
      <w:lvlText w:val="%1."/>
      <w:lvlJc w:val="left"/>
      <w:pPr>
        <w:ind w:left="720" w:hanging="360"/>
      </w:pPr>
      <w:rPr>
        <w:rFonts w:hint="default"/>
      </w:rPr>
    </w:lvl>
    <w:lvl w:ilvl="1" w:tplc="D662EE1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D01A58"/>
    <w:multiLevelType w:val="hybridMultilevel"/>
    <w:tmpl w:val="BDAAA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16B63"/>
    <w:multiLevelType w:val="hybridMultilevel"/>
    <w:tmpl w:val="F5DC8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32"/>
  </w:num>
  <w:num w:numId="3">
    <w:abstractNumId w:val="3"/>
  </w:num>
  <w:num w:numId="4">
    <w:abstractNumId w:val="35"/>
  </w:num>
  <w:num w:numId="5">
    <w:abstractNumId w:val="18"/>
  </w:num>
  <w:num w:numId="6">
    <w:abstractNumId w:val="34"/>
  </w:num>
  <w:num w:numId="7">
    <w:abstractNumId w:val="0"/>
  </w:num>
  <w:num w:numId="8">
    <w:abstractNumId w:val="6"/>
  </w:num>
  <w:num w:numId="9">
    <w:abstractNumId w:val="9"/>
  </w:num>
  <w:num w:numId="10">
    <w:abstractNumId w:val="17"/>
  </w:num>
  <w:num w:numId="11">
    <w:abstractNumId w:val="2"/>
  </w:num>
  <w:num w:numId="12">
    <w:abstractNumId w:val="38"/>
  </w:num>
  <w:num w:numId="13">
    <w:abstractNumId w:val="36"/>
  </w:num>
  <w:num w:numId="14">
    <w:abstractNumId w:val="29"/>
  </w:num>
  <w:num w:numId="15">
    <w:abstractNumId w:val="12"/>
  </w:num>
  <w:num w:numId="16">
    <w:abstractNumId w:val="4"/>
  </w:num>
  <w:num w:numId="17">
    <w:abstractNumId w:val="22"/>
  </w:num>
  <w:num w:numId="18">
    <w:abstractNumId w:val="13"/>
  </w:num>
  <w:num w:numId="19">
    <w:abstractNumId w:val="37"/>
  </w:num>
  <w:num w:numId="20">
    <w:abstractNumId w:val="39"/>
  </w:num>
  <w:num w:numId="21">
    <w:abstractNumId w:val="28"/>
  </w:num>
  <w:num w:numId="22">
    <w:abstractNumId w:val="21"/>
  </w:num>
  <w:num w:numId="23">
    <w:abstractNumId w:val="25"/>
  </w:num>
  <w:num w:numId="24">
    <w:abstractNumId w:val="11"/>
  </w:num>
  <w:num w:numId="25">
    <w:abstractNumId w:val="20"/>
  </w:num>
  <w:num w:numId="26">
    <w:abstractNumId w:val="5"/>
  </w:num>
  <w:num w:numId="27">
    <w:abstractNumId w:val="10"/>
  </w:num>
  <w:num w:numId="28">
    <w:abstractNumId w:val="30"/>
  </w:num>
  <w:num w:numId="29">
    <w:abstractNumId w:val="8"/>
  </w:num>
  <w:num w:numId="30">
    <w:abstractNumId w:val="33"/>
  </w:num>
  <w:num w:numId="31">
    <w:abstractNumId w:val="27"/>
  </w:num>
  <w:num w:numId="32">
    <w:abstractNumId w:val="7"/>
  </w:num>
  <w:num w:numId="33">
    <w:abstractNumId w:val="24"/>
  </w:num>
  <w:num w:numId="34">
    <w:abstractNumId w:val="23"/>
  </w:num>
  <w:num w:numId="35">
    <w:abstractNumId w:val="1"/>
  </w:num>
  <w:num w:numId="36">
    <w:abstractNumId w:val="16"/>
  </w:num>
  <w:num w:numId="37">
    <w:abstractNumId w:val="15"/>
  </w:num>
  <w:num w:numId="38">
    <w:abstractNumId w:val="19"/>
  </w:num>
  <w:num w:numId="39">
    <w:abstractNumId w:val="14"/>
  </w:num>
  <w:num w:numId="4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D8"/>
    <w:rsid w:val="00001642"/>
    <w:rsid w:val="0000262A"/>
    <w:rsid w:val="00006702"/>
    <w:rsid w:val="00044057"/>
    <w:rsid w:val="000512CF"/>
    <w:rsid w:val="00066768"/>
    <w:rsid w:val="00067E8C"/>
    <w:rsid w:val="00071649"/>
    <w:rsid w:val="0008318C"/>
    <w:rsid w:val="00084547"/>
    <w:rsid w:val="0008516D"/>
    <w:rsid w:val="0008763D"/>
    <w:rsid w:val="00090464"/>
    <w:rsid w:val="00094330"/>
    <w:rsid w:val="000A61BA"/>
    <w:rsid w:val="000B33B2"/>
    <w:rsid w:val="000B4476"/>
    <w:rsid w:val="000C0D06"/>
    <w:rsid w:val="000C1183"/>
    <w:rsid w:val="000C35B2"/>
    <w:rsid w:val="000C757F"/>
    <w:rsid w:val="000D4791"/>
    <w:rsid w:val="000D6E1B"/>
    <w:rsid w:val="000E0421"/>
    <w:rsid w:val="000E1C2C"/>
    <w:rsid w:val="000E266F"/>
    <w:rsid w:val="000E3728"/>
    <w:rsid w:val="000F01E6"/>
    <w:rsid w:val="000F0925"/>
    <w:rsid w:val="000F4C0E"/>
    <w:rsid w:val="000F66E8"/>
    <w:rsid w:val="0010303A"/>
    <w:rsid w:val="00106080"/>
    <w:rsid w:val="00107571"/>
    <w:rsid w:val="00115A29"/>
    <w:rsid w:val="001238F3"/>
    <w:rsid w:val="001241C9"/>
    <w:rsid w:val="00124C56"/>
    <w:rsid w:val="001253AF"/>
    <w:rsid w:val="00132554"/>
    <w:rsid w:val="0013549B"/>
    <w:rsid w:val="00135739"/>
    <w:rsid w:val="00153245"/>
    <w:rsid w:val="001568D9"/>
    <w:rsid w:val="00156FBF"/>
    <w:rsid w:val="001572F6"/>
    <w:rsid w:val="00170469"/>
    <w:rsid w:val="00170B14"/>
    <w:rsid w:val="00180679"/>
    <w:rsid w:val="00184528"/>
    <w:rsid w:val="00185445"/>
    <w:rsid w:val="001907FA"/>
    <w:rsid w:val="00190C77"/>
    <w:rsid w:val="001929FE"/>
    <w:rsid w:val="00193EFC"/>
    <w:rsid w:val="00194F60"/>
    <w:rsid w:val="001A6908"/>
    <w:rsid w:val="001B0C33"/>
    <w:rsid w:val="001B694C"/>
    <w:rsid w:val="001C6391"/>
    <w:rsid w:val="001C72EB"/>
    <w:rsid w:val="001C7752"/>
    <w:rsid w:val="001C7794"/>
    <w:rsid w:val="001E0A4E"/>
    <w:rsid w:val="001E1728"/>
    <w:rsid w:val="001E17F0"/>
    <w:rsid w:val="001E1A35"/>
    <w:rsid w:val="001E3F42"/>
    <w:rsid w:val="001E63EB"/>
    <w:rsid w:val="001E7413"/>
    <w:rsid w:val="001F0CC0"/>
    <w:rsid w:val="001F54CA"/>
    <w:rsid w:val="00207660"/>
    <w:rsid w:val="00212267"/>
    <w:rsid w:val="002226AF"/>
    <w:rsid w:val="00222AFC"/>
    <w:rsid w:val="002230A3"/>
    <w:rsid w:val="00232D48"/>
    <w:rsid w:val="0023359B"/>
    <w:rsid w:val="00240ADE"/>
    <w:rsid w:val="002555BA"/>
    <w:rsid w:val="002662B4"/>
    <w:rsid w:val="00270CD7"/>
    <w:rsid w:val="00273F87"/>
    <w:rsid w:val="00275CAC"/>
    <w:rsid w:val="00276410"/>
    <w:rsid w:val="00277A5A"/>
    <w:rsid w:val="0028237B"/>
    <w:rsid w:val="002A0B58"/>
    <w:rsid w:val="002A5976"/>
    <w:rsid w:val="002A643E"/>
    <w:rsid w:val="002B1392"/>
    <w:rsid w:val="002B7431"/>
    <w:rsid w:val="002B7906"/>
    <w:rsid w:val="002C15A7"/>
    <w:rsid w:val="002C561D"/>
    <w:rsid w:val="002C67FE"/>
    <w:rsid w:val="002D247D"/>
    <w:rsid w:val="002D70E8"/>
    <w:rsid w:val="002D726B"/>
    <w:rsid w:val="002D7898"/>
    <w:rsid w:val="002E3156"/>
    <w:rsid w:val="002E4E05"/>
    <w:rsid w:val="002E601A"/>
    <w:rsid w:val="002E7B24"/>
    <w:rsid w:val="002F4EEB"/>
    <w:rsid w:val="0030380D"/>
    <w:rsid w:val="00315071"/>
    <w:rsid w:val="00316C8D"/>
    <w:rsid w:val="00320158"/>
    <w:rsid w:val="003212F2"/>
    <w:rsid w:val="003326DA"/>
    <w:rsid w:val="00332B1C"/>
    <w:rsid w:val="00342B7E"/>
    <w:rsid w:val="0034339C"/>
    <w:rsid w:val="00345A3B"/>
    <w:rsid w:val="00345DEA"/>
    <w:rsid w:val="00346C05"/>
    <w:rsid w:val="00347249"/>
    <w:rsid w:val="00357695"/>
    <w:rsid w:val="00361DE1"/>
    <w:rsid w:val="00363324"/>
    <w:rsid w:val="00365DBD"/>
    <w:rsid w:val="00372FDF"/>
    <w:rsid w:val="00376B8B"/>
    <w:rsid w:val="00383E92"/>
    <w:rsid w:val="00385459"/>
    <w:rsid w:val="00390D60"/>
    <w:rsid w:val="003A2D48"/>
    <w:rsid w:val="003A3FB1"/>
    <w:rsid w:val="003B0E2E"/>
    <w:rsid w:val="003B67F5"/>
    <w:rsid w:val="003C5E53"/>
    <w:rsid w:val="003D2BB2"/>
    <w:rsid w:val="003E77A6"/>
    <w:rsid w:val="003F1522"/>
    <w:rsid w:val="003F29AC"/>
    <w:rsid w:val="003F5065"/>
    <w:rsid w:val="003F7216"/>
    <w:rsid w:val="00400C6E"/>
    <w:rsid w:val="00402856"/>
    <w:rsid w:val="004125A9"/>
    <w:rsid w:val="00417F74"/>
    <w:rsid w:val="00417FC3"/>
    <w:rsid w:val="00423701"/>
    <w:rsid w:val="0042716F"/>
    <w:rsid w:val="00431732"/>
    <w:rsid w:val="00433A29"/>
    <w:rsid w:val="004349D1"/>
    <w:rsid w:val="00434C3A"/>
    <w:rsid w:val="0044217C"/>
    <w:rsid w:val="004461A9"/>
    <w:rsid w:val="004515CA"/>
    <w:rsid w:val="00454A8C"/>
    <w:rsid w:val="00457805"/>
    <w:rsid w:val="00460EF3"/>
    <w:rsid w:val="0046126C"/>
    <w:rsid w:val="0046171D"/>
    <w:rsid w:val="004626F9"/>
    <w:rsid w:val="004764DA"/>
    <w:rsid w:val="00481DBE"/>
    <w:rsid w:val="0048274B"/>
    <w:rsid w:val="00484543"/>
    <w:rsid w:val="00484803"/>
    <w:rsid w:val="00490FA2"/>
    <w:rsid w:val="00491D86"/>
    <w:rsid w:val="00494961"/>
    <w:rsid w:val="004964F2"/>
    <w:rsid w:val="004A237E"/>
    <w:rsid w:val="004B32EA"/>
    <w:rsid w:val="004B7ABA"/>
    <w:rsid w:val="004D1CD7"/>
    <w:rsid w:val="004D6666"/>
    <w:rsid w:val="004D6A37"/>
    <w:rsid w:val="004E18A3"/>
    <w:rsid w:val="004E7C9A"/>
    <w:rsid w:val="004F3A7D"/>
    <w:rsid w:val="004F72EF"/>
    <w:rsid w:val="0050131F"/>
    <w:rsid w:val="00502AB1"/>
    <w:rsid w:val="00503E54"/>
    <w:rsid w:val="005116B3"/>
    <w:rsid w:val="00512193"/>
    <w:rsid w:val="0051459F"/>
    <w:rsid w:val="005241E7"/>
    <w:rsid w:val="0052703E"/>
    <w:rsid w:val="00534DC9"/>
    <w:rsid w:val="00545B9D"/>
    <w:rsid w:val="0054612C"/>
    <w:rsid w:val="00546628"/>
    <w:rsid w:val="00546810"/>
    <w:rsid w:val="005525C7"/>
    <w:rsid w:val="00553CE7"/>
    <w:rsid w:val="00557A6B"/>
    <w:rsid w:val="00560575"/>
    <w:rsid w:val="005649DF"/>
    <w:rsid w:val="00565A5A"/>
    <w:rsid w:val="00570EB7"/>
    <w:rsid w:val="00570F79"/>
    <w:rsid w:val="00572ECC"/>
    <w:rsid w:val="00574AA3"/>
    <w:rsid w:val="00581AEA"/>
    <w:rsid w:val="00591E08"/>
    <w:rsid w:val="00591F4A"/>
    <w:rsid w:val="00593BC5"/>
    <w:rsid w:val="00593E3A"/>
    <w:rsid w:val="00594AF7"/>
    <w:rsid w:val="005A2E81"/>
    <w:rsid w:val="005A5F23"/>
    <w:rsid w:val="005B178A"/>
    <w:rsid w:val="005B1A3A"/>
    <w:rsid w:val="005B6148"/>
    <w:rsid w:val="005C638B"/>
    <w:rsid w:val="005E15B9"/>
    <w:rsid w:val="005E30D6"/>
    <w:rsid w:val="005E3FCF"/>
    <w:rsid w:val="00600475"/>
    <w:rsid w:val="00612D60"/>
    <w:rsid w:val="006227A8"/>
    <w:rsid w:val="00626EFB"/>
    <w:rsid w:val="00633D5D"/>
    <w:rsid w:val="00651D69"/>
    <w:rsid w:val="00653A4D"/>
    <w:rsid w:val="00654D38"/>
    <w:rsid w:val="00667AE3"/>
    <w:rsid w:val="00667C65"/>
    <w:rsid w:val="0067239D"/>
    <w:rsid w:val="00676BC2"/>
    <w:rsid w:val="006921F3"/>
    <w:rsid w:val="00694AA8"/>
    <w:rsid w:val="00695A4D"/>
    <w:rsid w:val="006A57E5"/>
    <w:rsid w:val="006A5E87"/>
    <w:rsid w:val="006B15D0"/>
    <w:rsid w:val="006B6556"/>
    <w:rsid w:val="006B7369"/>
    <w:rsid w:val="006C2058"/>
    <w:rsid w:val="006C33FF"/>
    <w:rsid w:val="006C6351"/>
    <w:rsid w:val="006D2804"/>
    <w:rsid w:val="006E167B"/>
    <w:rsid w:val="006E44E9"/>
    <w:rsid w:val="006E4E94"/>
    <w:rsid w:val="006E52EA"/>
    <w:rsid w:val="006F056E"/>
    <w:rsid w:val="006F2D00"/>
    <w:rsid w:val="006F7214"/>
    <w:rsid w:val="00701617"/>
    <w:rsid w:val="00701B57"/>
    <w:rsid w:val="0071352A"/>
    <w:rsid w:val="007327F4"/>
    <w:rsid w:val="0073378A"/>
    <w:rsid w:val="00743D68"/>
    <w:rsid w:val="007475FD"/>
    <w:rsid w:val="0075158B"/>
    <w:rsid w:val="00753DFE"/>
    <w:rsid w:val="007570EF"/>
    <w:rsid w:val="007645BD"/>
    <w:rsid w:val="007748D8"/>
    <w:rsid w:val="007826AE"/>
    <w:rsid w:val="0078798E"/>
    <w:rsid w:val="007A3021"/>
    <w:rsid w:val="007B7E55"/>
    <w:rsid w:val="007C0DDE"/>
    <w:rsid w:val="007C1243"/>
    <w:rsid w:val="007C1576"/>
    <w:rsid w:val="007C1E16"/>
    <w:rsid w:val="007C3763"/>
    <w:rsid w:val="007C3F93"/>
    <w:rsid w:val="007D0F19"/>
    <w:rsid w:val="007D32BC"/>
    <w:rsid w:val="007D3748"/>
    <w:rsid w:val="007D64B8"/>
    <w:rsid w:val="007F3EC5"/>
    <w:rsid w:val="007F5390"/>
    <w:rsid w:val="00801C5D"/>
    <w:rsid w:val="0080432B"/>
    <w:rsid w:val="008162F4"/>
    <w:rsid w:val="008204D6"/>
    <w:rsid w:val="00820D56"/>
    <w:rsid w:val="008214BA"/>
    <w:rsid w:val="00827489"/>
    <w:rsid w:val="00827D6F"/>
    <w:rsid w:val="00834BD9"/>
    <w:rsid w:val="00835646"/>
    <w:rsid w:val="00837B7C"/>
    <w:rsid w:val="008502B9"/>
    <w:rsid w:val="008528ED"/>
    <w:rsid w:val="00852B04"/>
    <w:rsid w:val="00854E68"/>
    <w:rsid w:val="00867AAE"/>
    <w:rsid w:val="008705A5"/>
    <w:rsid w:val="008722C8"/>
    <w:rsid w:val="00874247"/>
    <w:rsid w:val="008859E8"/>
    <w:rsid w:val="00890E26"/>
    <w:rsid w:val="008A5BB9"/>
    <w:rsid w:val="008C01A6"/>
    <w:rsid w:val="008C13AF"/>
    <w:rsid w:val="008C27D3"/>
    <w:rsid w:val="008C3553"/>
    <w:rsid w:val="008C3F93"/>
    <w:rsid w:val="008D2688"/>
    <w:rsid w:val="008D3AA8"/>
    <w:rsid w:val="008D7F38"/>
    <w:rsid w:val="008E339C"/>
    <w:rsid w:val="008F12DC"/>
    <w:rsid w:val="008F3EC9"/>
    <w:rsid w:val="008F7BBE"/>
    <w:rsid w:val="009004E1"/>
    <w:rsid w:val="00905667"/>
    <w:rsid w:val="00907343"/>
    <w:rsid w:val="0090767C"/>
    <w:rsid w:val="00913484"/>
    <w:rsid w:val="0091477F"/>
    <w:rsid w:val="00916408"/>
    <w:rsid w:val="00931DB4"/>
    <w:rsid w:val="00931F24"/>
    <w:rsid w:val="0093358C"/>
    <w:rsid w:val="00935069"/>
    <w:rsid w:val="009409F5"/>
    <w:rsid w:val="0095157A"/>
    <w:rsid w:val="00954EB4"/>
    <w:rsid w:val="00955A3A"/>
    <w:rsid w:val="00962E25"/>
    <w:rsid w:val="0097305F"/>
    <w:rsid w:val="0098201E"/>
    <w:rsid w:val="0099072C"/>
    <w:rsid w:val="009924D2"/>
    <w:rsid w:val="00993FF1"/>
    <w:rsid w:val="009956FA"/>
    <w:rsid w:val="00996E91"/>
    <w:rsid w:val="009A25EB"/>
    <w:rsid w:val="009A7965"/>
    <w:rsid w:val="009B0341"/>
    <w:rsid w:val="009B0BF1"/>
    <w:rsid w:val="009B10E1"/>
    <w:rsid w:val="009B20AA"/>
    <w:rsid w:val="009B3AF4"/>
    <w:rsid w:val="009B6EAA"/>
    <w:rsid w:val="009E44F6"/>
    <w:rsid w:val="00A025AB"/>
    <w:rsid w:val="00A17585"/>
    <w:rsid w:val="00A206BD"/>
    <w:rsid w:val="00A21F7A"/>
    <w:rsid w:val="00A23757"/>
    <w:rsid w:val="00A24118"/>
    <w:rsid w:val="00A377E5"/>
    <w:rsid w:val="00A42F01"/>
    <w:rsid w:val="00A44545"/>
    <w:rsid w:val="00A445B9"/>
    <w:rsid w:val="00A458F2"/>
    <w:rsid w:val="00A46F17"/>
    <w:rsid w:val="00A55215"/>
    <w:rsid w:val="00A557A9"/>
    <w:rsid w:val="00A566E2"/>
    <w:rsid w:val="00A56E29"/>
    <w:rsid w:val="00A57E00"/>
    <w:rsid w:val="00A6118C"/>
    <w:rsid w:val="00A6555B"/>
    <w:rsid w:val="00A6593D"/>
    <w:rsid w:val="00A704CF"/>
    <w:rsid w:val="00A80A07"/>
    <w:rsid w:val="00A90D8E"/>
    <w:rsid w:val="00A960BA"/>
    <w:rsid w:val="00A966C7"/>
    <w:rsid w:val="00AA0363"/>
    <w:rsid w:val="00AA2E61"/>
    <w:rsid w:val="00AA6F1B"/>
    <w:rsid w:val="00AB0F4A"/>
    <w:rsid w:val="00AB43B1"/>
    <w:rsid w:val="00AB79D8"/>
    <w:rsid w:val="00AC07B1"/>
    <w:rsid w:val="00AC3F65"/>
    <w:rsid w:val="00AC4AE4"/>
    <w:rsid w:val="00AD48E3"/>
    <w:rsid w:val="00AD704C"/>
    <w:rsid w:val="00AE2AEF"/>
    <w:rsid w:val="00AE3278"/>
    <w:rsid w:val="00AF3CAB"/>
    <w:rsid w:val="00AF4A8D"/>
    <w:rsid w:val="00B01457"/>
    <w:rsid w:val="00B0650C"/>
    <w:rsid w:val="00B1110E"/>
    <w:rsid w:val="00B11C85"/>
    <w:rsid w:val="00B2042A"/>
    <w:rsid w:val="00B2480C"/>
    <w:rsid w:val="00B3013D"/>
    <w:rsid w:val="00B43B8A"/>
    <w:rsid w:val="00B46675"/>
    <w:rsid w:val="00B5741B"/>
    <w:rsid w:val="00B620A4"/>
    <w:rsid w:val="00B74B40"/>
    <w:rsid w:val="00B76423"/>
    <w:rsid w:val="00B7675E"/>
    <w:rsid w:val="00B82F78"/>
    <w:rsid w:val="00B8394B"/>
    <w:rsid w:val="00B85F13"/>
    <w:rsid w:val="00B9417D"/>
    <w:rsid w:val="00B97B53"/>
    <w:rsid w:val="00BA4AE7"/>
    <w:rsid w:val="00BB36F2"/>
    <w:rsid w:val="00BC10FA"/>
    <w:rsid w:val="00BC121F"/>
    <w:rsid w:val="00BC245C"/>
    <w:rsid w:val="00BC3EA6"/>
    <w:rsid w:val="00BD32B8"/>
    <w:rsid w:val="00BE4D3A"/>
    <w:rsid w:val="00BE61C5"/>
    <w:rsid w:val="00BF0A72"/>
    <w:rsid w:val="00BF3F8D"/>
    <w:rsid w:val="00C125DC"/>
    <w:rsid w:val="00C25829"/>
    <w:rsid w:val="00C261DD"/>
    <w:rsid w:val="00C26FEC"/>
    <w:rsid w:val="00C2721F"/>
    <w:rsid w:val="00C35BC8"/>
    <w:rsid w:val="00C36214"/>
    <w:rsid w:val="00C503C9"/>
    <w:rsid w:val="00C56888"/>
    <w:rsid w:val="00C67DF2"/>
    <w:rsid w:val="00C73AF8"/>
    <w:rsid w:val="00C8058C"/>
    <w:rsid w:val="00C809DE"/>
    <w:rsid w:val="00C8382A"/>
    <w:rsid w:val="00C86F5F"/>
    <w:rsid w:val="00C872DC"/>
    <w:rsid w:val="00C912F7"/>
    <w:rsid w:val="00C915C3"/>
    <w:rsid w:val="00C939AD"/>
    <w:rsid w:val="00CA444A"/>
    <w:rsid w:val="00CB378B"/>
    <w:rsid w:val="00CC36DF"/>
    <w:rsid w:val="00CC3D5A"/>
    <w:rsid w:val="00CC41AD"/>
    <w:rsid w:val="00CC77A8"/>
    <w:rsid w:val="00CC78E8"/>
    <w:rsid w:val="00CC7EF7"/>
    <w:rsid w:val="00CD6C3B"/>
    <w:rsid w:val="00CE0652"/>
    <w:rsid w:val="00CE3B32"/>
    <w:rsid w:val="00CE4C21"/>
    <w:rsid w:val="00CE531E"/>
    <w:rsid w:val="00CF080C"/>
    <w:rsid w:val="00D04086"/>
    <w:rsid w:val="00D10F2B"/>
    <w:rsid w:val="00D12AF1"/>
    <w:rsid w:val="00D16D7B"/>
    <w:rsid w:val="00D2456C"/>
    <w:rsid w:val="00D345AD"/>
    <w:rsid w:val="00D41F46"/>
    <w:rsid w:val="00D50CFA"/>
    <w:rsid w:val="00D5442F"/>
    <w:rsid w:val="00D611FF"/>
    <w:rsid w:val="00D61A68"/>
    <w:rsid w:val="00D631E1"/>
    <w:rsid w:val="00D700A8"/>
    <w:rsid w:val="00D72CEB"/>
    <w:rsid w:val="00D73C7A"/>
    <w:rsid w:val="00D73D6F"/>
    <w:rsid w:val="00D742F0"/>
    <w:rsid w:val="00D847C9"/>
    <w:rsid w:val="00D92855"/>
    <w:rsid w:val="00D95245"/>
    <w:rsid w:val="00DC0374"/>
    <w:rsid w:val="00DC0AD1"/>
    <w:rsid w:val="00DC3EDC"/>
    <w:rsid w:val="00DC67D7"/>
    <w:rsid w:val="00DD022B"/>
    <w:rsid w:val="00DE4E4B"/>
    <w:rsid w:val="00DE648D"/>
    <w:rsid w:val="00DF2D0C"/>
    <w:rsid w:val="00E02FB3"/>
    <w:rsid w:val="00E04EC9"/>
    <w:rsid w:val="00E060D5"/>
    <w:rsid w:val="00E14466"/>
    <w:rsid w:val="00E254EE"/>
    <w:rsid w:val="00E35663"/>
    <w:rsid w:val="00E44D32"/>
    <w:rsid w:val="00E47130"/>
    <w:rsid w:val="00E47E0F"/>
    <w:rsid w:val="00E530A2"/>
    <w:rsid w:val="00E6058C"/>
    <w:rsid w:val="00E662D1"/>
    <w:rsid w:val="00E705DE"/>
    <w:rsid w:val="00E72583"/>
    <w:rsid w:val="00E7296B"/>
    <w:rsid w:val="00E74085"/>
    <w:rsid w:val="00E821B1"/>
    <w:rsid w:val="00E916B6"/>
    <w:rsid w:val="00EA3D50"/>
    <w:rsid w:val="00EB0E85"/>
    <w:rsid w:val="00EB49D3"/>
    <w:rsid w:val="00EB5104"/>
    <w:rsid w:val="00EC0351"/>
    <w:rsid w:val="00EC31C2"/>
    <w:rsid w:val="00EC43BC"/>
    <w:rsid w:val="00EC618E"/>
    <w:rsid w:val="00ED4F61"/>
    <w:rsid w:val="00EE2E0A"/>
    <w:rsid w:val="00EF360F"/>
    <w:rsid w:val="00F06BE3"/>
    <w:rsid w:val="00F1535D"/>
    <w:rsid w:val="00F179B6"/>
    <w:rsid w:val="00F230E9"/>
    <w:rsid w:val="00F41303"/>
    <w:rsid w:val="00F434C7"/>
    <w:rsid w:val="00F62CC4"/>
    <w:rsid w:val="00F66C4E"/>
    <w:rsid w:val="00F66FCD"/>
    <w:rsid w:val="00F6783F"/>
    <w:rsid w:val="00F73C4B"/>
    <w:rsid w:val="00F7758D"/>
    <w:rsid w:val="00F80A07"/>
    <w:rsid w:val="00F82551"/>
    <w:rsid w:val="00F82713"/>
    <w:rsid w:val="00F8435A"/>
    <w:rsid w:val="00F85354"/>
    <w:rsid w:val="00F9641C"/>
    <w:rsid w:val="00FA1388"/>
    <w:rsid w:val="00FA1900"/>
    <w:rsid w:val="00FA229D"/>
    <w:rsid w:val="00FA3D96"/>
    <w:rsid w:val="00FB36BA"/>
    <w:rsid w:val="00FB5352"/>
    <w:rsid w:val="00FB7B30"/>
    <w:rsid w:val="00FC336E"/>
    <w:rsid w:val="00FC4059"/>
    <w:rsid w:val="00FC74B7"/>
    <w:rsid w:val="00FD2919"/>
    <w:rsid w:val="00FD6F6D"/>
    <w:rsid w:val="00FD7340"/>
    <w:rsid w:val="00FD7500"/>
    <w:rsid w:val="00FE0319"/>
    <w:rsid w:val="00FE1EDE"/>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7006DF"/>
  <w15:docId w15:val="{738465EE-8931-4CE2-A0CF-8B8708A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 w:type="character" w:customStyle="1" w:styleId="UnresolvedMention1">
    <w:name w:val="Unresolved Mention1"/>
    <w:basedOn w:val="DefaultParagraphFont"/>
    <w:uiPriority w:val="99"/>
    <w:semiHidden/>
    <w:unhideWhenUsed/>
    <w:rsid w:val="006B7369"/>
    <w:rPr>
      <w:color w:val="808080"/>
      <w:shd w:val="clear" w:color="auto" w:fill="E6E6E6"/>
    </w:rPr>
  </w:style>
  <w:style w:type="paragraph" w:styleId="HTMLPreformatted">
    <w:name w:val="HTML Preformatted"/>
    <w:basedOn w:val="Normal"/>
    <w:link w:val="HTMLPreformattedChar"/>
    <w:rsid w:val="00170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170469"/>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0814306">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808937787">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571960334">
      <w:bodyDiv w:val="1"/>
      <w:marLeft w:val="0"/>
      <w:marRight w:val="0"/>
      <w:marTop w:val="0"/>
      <w:marBottom w:val="0"/>
      <w:divBdr>
        <w:top w:val="none" w:sz="0" w:space="0" w:color="auto"/>
        <w:left w:val="none" w:sz="0" w:space="0" w:color="auto"/>
        <w:bottom w:val="none" w:sz="0" w:space="0" w:color="auto"/>
        <w:right w:val="none" w:sz="0" w:space="0" w:color="auto"/>
      </w:divBdr>
      <w:divsChild>
        <w:div w:id="28142915">
          <w:marLeft w:val="0"/>
          <w:marRight w:val="0"/>
          <w:marTop w:val="0"/>
          <w:marBottom w:val="0"/>
          <w:divBdr>
            <w:top w:val="none" w:sz="0" w:space="0" w:color="auto"/>
            <w:left w:val="none" w:sz="0" w:space="0" w:color="auto"/>
            <w:bottom w:val="none" w:sz="0" w:space="0" w:color="auto"/>
            <w:right w:val="none" w:sz="0" w:space="0" w:color="auto"/>
          </w:divBdr>
        </w:div>
      </w:divsChild>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campaign.gov.uk/?utm_source=Blogs&amp;utm_medium=GDS&amp;utm_campaign=access_regs" TargetMode="External"/><Relationship Id="rId13" Type="http://schemas.openxmlformats.org/officeDocument/2006/relationships/hyperlink" Target="https://www.gov.uk/service-manual/helping-people-to-use-your-service/getting-an-accessibility-au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ds.blog.gov.uk/2018/06/20/creating-the-uk-governments-accessibility-empathy-la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accessibility-requirements-for-public-sector-websites-and-app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ccessibility.campaign.gov.uk/?utm_source=Blogs&amp;utm_medium=GDS&amp;utm_campaign=access_regs" TargetMode="External"/><Relationship Id="rId4" Type="http://schemas.openxmlformats.org/officeDocument/2006/relationships/settings" Target="settings.xml"/><Relationship Id="rId9" Type="http://schemas.openxmlformats.org/officeDocument/2006/relationships/hyperlink" Target="https://www.gov.uk/guidance/digital-data-and-technology-functional-standard-version-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1A823-053A-4F55-883D-229B17D6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E. Guerra</dc:creator>
  <cp:lastModifiedBy>Timothy Purchase</cp:lastModifiedBy>
  <cp:revision>3</cp:revision>
  <cp:lastPrinted>2017-02-08T11:23:00Z</cp:lastPrinted>
  <dcterms:created xsi:type="dcterms:W3CDTF">2020-12-21T09:44:00Z</dcterms:created>
  <dcterms:modified xsi:type="dcterms:W3CDTF">2020-12-21T09:48:00Z</dcterms:modified>
</cp:coreProperties>
</file>