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09" w:type="dxa"/>
        <w:tblLook w:val="04A0" w:firstRow="1" w:lastRow="0" w:firstColumn="1" w:lastColumn="0" w:noHBand="0" w:noVBand="1"/>
      </w:tblPr>
      <w:tblGrid>
        <w:gridCol w:w="1976"/>
        <w:gridCol w:w="7233"/>
      </w:tblGrid>
      <w:tr w:rsidR="006F0AF9" w14:paraId="0E17B06A" w14:textId="77777777" w:rsidTr="0028101F">
        <w:trPr>
          <w:trHeight w:val="536"/>
        </w:trPr>
        <w:tc>
          <w:tcPr>
            <w:tcW w:w="1838" w:type="dxa"/>
          </w:tcPr>
          <w:p w14:paraId="0612672E" w14:textId="77777777" w:rsidR="006F0AF9" w:rsidRPr="00066FCB" w:rsidRDefault="006F0AF9" w:rsidP="006F0AF9">
            <w:pPr>
              <w:rPr>
                <w:b/>
              </w:rPr>
            </w:pPr>
            <w:r>
              <w:rPr>
                <w:b/>
              </w:rPr>
              <w:t xml:space="preserve">1. Norwich Opportunity Area </w:t>
            </w:r>
            <w:r w:rsidRPr="00066FCB">
              <w:rPr>
                <w:b/>
              </w:rPr>
              <w:t>Priority</w:t>
            </w:r>
          </w:p>
        </w:tc>
        <w:tc>
          <w:tcPr>
            <w:tcW w:w="7371" w:type="dxa"/>
            <w:vAlign w:val="center"/>
          </w:tcPr>
          <w:p w14:paraId="0B0D08CF" w14:textId="58BA6E4F" w:rsidR="006F0AF9" w:rsidRDefault="006F0AF9" w:rsidP="006F0AF9">
            <w:r>
              <w:t xml:space="preserve">1. </w:t>
            </w:r>
            <w:r w:rsidRPr="00466089">
              <w:t>Improve early speech, language, listening and communication</w:t>
            </w:r>
          </w:p>
        </w:tc>
      </w:tr>
      <w:tr w:rsidR="006F0AF9" w14:paraId="515B518F" w14:textId="77777777" w:rsidTr="0028101F">
        <w:trPr>
          <w:trHeight w:val="536"/>
        </w:trPr>
        <w:tc>
          <w:tcPr>
            <w:tcW w:w="1838" w:type="dxa"/>
          </w:tcPr>
          <w:p w14:paraId="3DD7835D" w14:textId="77777777" w:rsidR="006F0AF9" w:rsidRPr="00066FCB" w:rsidRDefault="006F0AF9" w:rsidP="006F0AF9">
            <w:pPr>
              <w:rPr>
                <w:b/>
              </w:rPr>
            </w:pPr>
            <w:r>
              <w:rPr>
                <w:b/>
              </w:rPr>
              <w:t xml:space="preserve">2. </w:t>
            </w:r>
            <w:r w:rsidRPr="00066FCB">
              <w:rPr>
                <w:b/>
              </w:rPr>
              <w:t>Strand</w:t>
            </w:r>
          </w:p>
        </w:tc>
        <w:tc>
          <w:tcPr>
            <w:tcW w:w="7371" w:type="dxa"/>
          </w:tcPr>
          <w:p w14:paraId="0FD74AC0" w14:textId="58BA67C9" w:rsidR="006F0AF9" w:rsidRDefault="006F0AF9" w:rsidP="006F0AF9">
            <w:r>
              <w:t>1.1 Speech, Language Communication CPD Network</w:t>
            </w:r>
          </w:p>
        </w:tc>
      </w:tr>
      <w:tr w:rsidR="006F0AF9" w14:paraId="0B94E994" w14:textId="77777777" w:rsidTr="0028101F">
        <w:trPr>
          <w:trHeight w:val="536"/>
        </w:trPr>
        <w:tc>
          <w:tcPr>
            <w:tcW w:w="1838" w:type="dxa"/>
          </w:tcPr>
          <w:p w14:paraId="3754C26D" w14:textId="77777777" w:rsidR="006F0AF9" w:rsidRPr="00066FCB" w:rsidRDefault="006F0AF9" w:rsidP="006F0AF9">
            <w:pPr>
              <w:rPr>
                <w:b/>
              </w:rPr>
            </w:pPr>
            <w:r>
              <w:rPr>
                <w:b/>
              </w:rPr>
              <w:t xml:space="preserve">3. </w:t>
            </w:r>
            <w:r w:rsidRPr="00066FCB">
              <w:rPr>
                <w:b/>
              </w:rPr>
              <w:t>Activity Name</w:t>
            </w:r>
          </w:p>
        </w:tc>
        <w:tc>
          <w:tcPr>
            <w:tcW w:w="7371" w:type="dxa"/>
          </w:tcPr>
          <w:p w14:paraId="49B3A384" w14:textId="2C8EA098" w:rsidR="006F0AF9" w:rsidRDefault="006F0AF9" w:rsidP="006F0AF9">
            <w:r>
              <w:t>1.1.2 Communication Champion Initial Training</w:t>
            </w:r>
          </w:p>
        </w:tc>
      </w:tr>
      <w:tr w:rsidR="006F0AF9" w14:paraId="6F8B3D0F" w14:textId="77777777" w:rsidTr="0028101F">
        <w:trPr>
          <w:trHeight w:val="536"/>
        </w:trPr>
        <w:tc>
          <w:tcPr>
            <w:tcW w:w="1838" w:type="dxa"/>
          </w:tcPr>
          <w:p w14:paraId="6AD19872" w14:textId="77777777" w:rsidR="006F0AF9" w:rsidRPr="00066FCB" w:rsidRDefault="006F0AF9" w:rsidP="006F0AF9">
            <w:pPr>
              <w:rPr>
                <w:b/>
              </w:rPr>
            </w:pPr>
            <w:r>
              <w:rPr>
                <w:b/>
              </w:rPr>
              <w:t xml:space="preserve">4. </w:t>
            </w:r>
            <w:r w:rsidRPr="0056378B">
              <w:rPr>
                <w:b/>
              </w:rPr>
              <w:t>Background</w:t>
            </w:r>
          </w:p>
        </w:tc>
        <w:tc>
          <w:tcPr>
            <w:tcW w:w="7371" w:type="dxa"/>
          </w:tcPr>
          <w:p w14:paraId="20DBFBB9" w14:textId="77777777" w:rsidR="00A6759E" w:rsidRPr="00287530" w:rsidRDefault="00A6759E" w:rsidP="00A6759E">
            <w:pPr>
              <w:pStyle w:val="ListParagraph"/>
              <w:numPr>
                <w:ilvl w:val="0"/>
                <w:numId w:val="11"/>
              </w:numPr>
              <w:rPr>
                <w:b/>
              </w:rPr>
            </w:pPr>
            <w:r w:rsidRPr="00287530">
              <w:rPr>
                <w:rFonts w:cs="HelveticaNeueLT Pro 45 Lt"/>
                <w:color w:val="000000"/>
              </w:rPr>
              <w:t>Local partners such as schools and voluntary sector organisations tell us that pupils too often have poor communication, social and emotional skills at school entry and that there is more to do to engage parents. There is a wide variety of early education providers in Norwich and the progress children make can vary significantly between them.</w:t>
            </w:r>
          </w:p>
          <w:p w14:paraId="3254BF20" w14:textId="77777777" w:rsidR="00A6759E" w:rsidRPr="00287530" w:rsidRDefault="00A6759E" w:rsidP="00A6759E">
            <w:pPr>
              <w:pStyle w:val="ListParagraph"/>
              <w:numPr>
                <w:ilvl w:val="0"/>
                <w:numId w:val="11"/>
              </w:numPr>
              <w:rPr>
                <w:b/>
              </w:rPr>
            </w:pPr>
            <w:r w:rsidRPr="00287530">
              <w:rPr>
                <w:rFonts w:cs="HelveticaNeueLT Pro 45 Lt"/>
                <w:color w:val="000000"/>
              </w:rPr>
              <w:t>Schools can refer children for speech and language therapy but find that the available service does not necessarily meet the whole challenge and there remains a need for improving support within the classroom.</w:t>
            </w:r>
          </w:p>
          <w:p w14:paraId="7834FD12" w14:textId="08B22E15" w:rsidR="00A6759E" w:rsidRPr="00A6759E" w:rsidRDefault="00A6759E" w:rsidP="00A6759E">
            <w:pPr>
              <w:pStyle w:val="ListParagraph"/>
              <w:numPr>
                <w:ilvl w:val="0"/>
                <w:numId w:val="11"/>
              </w:numPr>
              <w:rPr>
                <w:b/>
              </w:rPr>
            </w:pPr>
            <w:r w:rsidRPr="00287530">
              <w:rPr>
                <w:rFonts w:cs="HelveticaNeueLT Pro 45 Lt"/>
                <w:color w:val="000000"/>
              </w:rPr>
              <w:t xml:space="preserve">We know that children that are behind at age five: too often struggle to catch up in school; fall further behind their peers; and risk lower life chances. </w:t>
            </w:r>
          </w:p>
          <w:p w14:paraId="369E7ED9" w14:textId="5B521CE0" w:rsidR="00A6759E" w:rsidRPr="00A6759E" w:rsidRDefault="00A6759E" w:rsidP="00A6759E">
            <w:pPr>
              <w:pStyle w:val="ListParagraph"/>
              <w:numPr>
                <w:ilvl w:val="0"/>
                <w:numId w:val="11"/>
              </w:numPr>
              <w:rPr>
                <w:rFonts w:cs="HelveticaNeueLT Pro 45 Lt"/>
                <w:color w:val="000000"/>
              </w:rPr>
            </w:pPr>
            <w:r w:rsidRPr="00A6759E">
              <w:rPr>
                <w:rFonts w:cs="HelveticaNeueLT Pro 45 Lt"/>
                <w:color w:val="000000"/>
              </w:rPr>
              <w:t>We would like to offer a universal approach to speech, language and communication development in Early Years which all school staff, not just teachers, can use in their daily interactions with children</w:t>
            </w:r>
          </w:p>
          <w:p w14:paraId="782AA30D" w14:textId="4D3C8759" w:rsidR="00A6759E" w:rsidRPr="00A6759E" w:rsidRDefault="00A6759E" w:rsidP="00A6759E">
            <w:pPr>
              <w:pStyle w:val="ListParagraph"/>
              <w:numPr>
                <w:ilvl w:val="0"/>
                <w:numId w:val="11"/>
              </w:numPr>
              <w:rPr>
                <w:rFonts w:cs="HelveticaNeueLT Pro 45 Lt"/>
                <w:color w:val="000000"/>
              </w:rPr>
            </w:pPr>
            <w:r w:rsidRPr="00A6759E">
              <w:rPr>
                <w:rFonts w:cs="HelveticaNeueLT Pro 45 Lt"/>
                <w:color w:val="000000"/>
              </w:rPr>
              <w:t>We would like to create “Communication Champions” within schools that</w:t>
            </w:r>
            <w:r>
              <w:rPr>
                <w:rFonts w:cs="HelveticaNeueLT Pro 45 Lt"/>
                <w:color w:val="000000"/>
              </w:rPr>
              <w:t xml:space="preserve"> can cascade learning to all staff in their school following a programme of CPD, and eventually form hubs in a network of schools across Norwich</w:t>
            </w:r>
          </w:p>
          <w:p w14:paraId="05D24AC6" w14:textId="3057BCAC" w:rsidR="006F0AF9" w:rsidRDefault="006F0AF9" w:rsidP="006F0AF9"/>
        </w:tc>
      </w:tr>
      <w:tr w:rsidR="006F0AF9" w14:paraId="586C96DF" w14:textId="77777777" w:rsidTr="0028101F">
        <w:trPr>
          <w:trHeight w:val="536"/>
        </w:trPr>
        <w:tc>
          <w:tcPr>
            <w:tcW w:w="1838" w:type="dxa"/>
          </w:tcPr>
          <w:p w14:paraId="4BB24BF4" w14:textId="77777777" w:rsidR="006F0AF9" w:rsidRPr="00066FCB" w:rsidRDefault="006F0AF9" w:rsidP="006F0AF9">
            <w:pPr>
              <w:rPr>
                <w:b/>
              </w:rPr>
            </w:pPr>
            <w:r>
              <w:rPr>
                <w:b/>
              </w:rPr>
              <w:t xml:space="preserve">5. </w:t>
            </w:r>
            <w:r w:rsidRPr="00066FCB">
              <w:rPr>
                <w:b/>
              </w:rPr>
              <w:t>Targeted individuals/schools</w:t>
            </w:r>
          </w:p>
        </w:tc>
        <w:tc>
          <w:tcPr>
            <w:tcW w:w="7371" w:type="dxa"/>
          </w:tcPr>
          <w:p w14:paraId="6AAEB5C8" w14:textId="307A6A9B" w:rsidR="006F0AF9" w:rsidRDefault="006F0AF9" w:rsidP="006F0AF9">
            <w:r>
              <w:t xml:space="preserve">SENCO plus 2 staff from </w:t>
            </w:r>
            <w:r w:rsidR="000E4D35">
              <w:t>7</w:t>
            </w:r>
            <w:r>
              <w:t xml:space="preserve"> primary schools in Norwich (schools tbc) = </w:t>
            </w:r>
            <w:r w:rsidR="000E4D35">
              <w:t>21</w:t>
            </w:r>
          </w:p>
          <w:p w14:paraId="7301473B" w14:textId="77777777" w:rsidR="006F0AF9" w:rsidRDefault="006F0AF9" w:rsidP="006F0AF9">
            <w:r>
              <w:t>Staff from 3 feeder settings per school = 30</w:t>
            </w:r>
          </w:p>
          <w:p w14:paraId="1218B1E0" w14:textId="2A9ABD25" w:rsidR="006F0AF9" w:rsidRDefault="000E4D35" w:rsidP="006F0AF9">
            <w:r>
              <w:t>51</w:t>
            </w:r>
            <w:r w:rsidR="006F0AF9">
              <w:t xml:space="preserve"> attendees</w:t>
            </w:r>
          </w:p>
        </w:tc>
      </w:tr>
      <w:tr w:rsidR="006F0AF9" w14:paraId="2DE56272" w14:textId="77777777" w:rsidTr="0028101F">
        <w:trPr>
          <w:trHeight w:val="536"/>
        </w:trPr>
        <w:tc>
          <w:tcPr>
            <w:tcW w:w="1838" w:type="dxa"/>
          </w:tcPr>
          <w:p w14:paraId="58E4C133" w14:textId="77777777" w:rsidR="006F0AF9" w:rsidRPr="00066FCB" w:rsidRDefault="006F0AF9" w:rsidP="006F0AF9">
            <w:pPr>
              <w:rPr>
                <w:b/>
              </w:rPr>
            </w:pPr>
            <w:r>
              <w:rPr>
                <w:b/>
              </w:rPr>
              <w:t>6. Anticipated costs and price cap</w:t>
            </w:r>
          </w:p>
        </w:tc>
        <w:tc>
          <w:tcPr>
            <w:tcW w:w="737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
              <w:gridCol w:w="5325"/>
              <w:gridCol w:w="992"/>
            </w:tblGrid>
            <w:tr w:rsidR="006F0AF9" w14:paraId="193A1F62" w14:textId="77777777" w:rsidTr="00BD46AD">
              <w:trPr>
                <w:trHeight w:val="935"/>
              </w:trPr>
              <w:tc>
                <w:tcPr>
                  <w:tcW w:w="374" w:type="dxa"/>
                </w:tcPr>
                <w:p w14:paraId="36F6D6A1" w14:textId="77777777" w:rsidR="006F0AF9" w:rsidRDefault="006F0AF9" w:rsidP="006F0AF9">
                  <w:r>
                    <w:t>1</w:t>
                  </w:r>
                </w:p>
              </w:tc>
              <w:tc>
                <w:tcPr>
                  <w:tcW w:w="5325" w:type="dxa"/>
                </w:tcPr>
                <w:p w14:paraId="3694BC13" w14:textId="77777777" w:rsidR="006F0AF9" w:rsidRDefault="006F0AF9" w:rsidP="006F0AF9">
                  <w:r>
                    <w:t>Development of programme and resources mapped to the Enhanced Level of The Communication Trust’s Speech, Language and Communication Framework</w:t>
                  </w:r>
                </w:p>
                <w:p w14:paraId="02FFF9BA" w14:textId="77777777" w:rsidR="006F0AF9" w:rsidRDefault="006F0AF9" w:rsidP="006F0AF9"/>
              </w:tc>
              <w:tc>
                <w:tcPr>
                  <w:tcW w:w="992" w:type="dxa"/>
                </w:tcPr>
                <w:p w14:paraId="311BF95D" w14:textId="501E9CCE" w:rsidR="006F0AF9" w:rsidRDefault="006F0AF9" w:rsidP="006F0AF9">
                  <w:pPr>
                    <w:jc w:val="right"/>
                  </w:pPr>
                </w:p>
              </w:tc>
            </w:tr>
            <w:tr w:rsidR="006F0AF9" w14:paraId="3354B96D" w14:textId="77777777" w:rsidTr="00BD46AD">
              <w:trPr>
                <w:trHeight w:val="627"/>
              </w:trPr>
              <w:tc>
                <w:tcPr>
                  <w:tcW w:w="374" w:type="dxa"/>
                </w:tcPr>
                <w:p w14:paraId="65D2BEBA" w14:textId="77777777" w:rsidR="006F0AF9" w:rsidRDefault="006F0AF9" w:rsidP="006F0AF9">
                  <w:r>
                    <w:t>2</w:t>
                  </w:r>
                </w:p>
              </w:tc>
              <w:tc>
                <w:tcPr>
                  <w:tcW w:w="5325" w:type="dxa"/>
                </w:tcPr>
                <w:p w14:paraId="60EBD463" w14:textId="77777777" w:rsidR="006F0AF9" w:rsidRDefault="006F0AF9" w:rsidP="006F0AF9">
                  <w:r>
                    <w:t>Delivery of 9 x 1.5h twilight training sessions</w:t>
                  </w:r>
                </w:p>
                <w:p w14:paraId="523FCC9B" w14:textId="77777777" w:rsidR="006F0AF9" w:rsidRDefault="006F0AF9" w:rsidP="006F0AF9"/>
              </w:tc>
              <w:tc>
                <w:tcPr>
                  <w:tcW w:w="992" w:type="dxa"/>
                </w:tcPr>
                <w:p w14:paraId="74992CB3" w14:textId="41727E27" w:rsidR="006F0AF9" w:rsidRDefault="006F0AF9" w:rsidP="006F0AF9">
                  <w:pPr>
                    <w:jc w:val="right"/>
                  </w:pPr>
                </w:p>
              </w:tc>
            </w:tr>
            <w:tr w:rsidR="006F0AF9" w14:paraId="33EB14DA" w14:textId="77777777" w:rsidTr="00BD46AD">
              <w:trPr>
                <w:trHeight w:val="627"/>
              </w:trPr>
              <w:tc>
                <w:tcPr>
                  <w:tcW w:w="374" w:type="dxa"/>
                </w:tcPr>
                <w:p w14:paraId="545A61BD" w14:textId="77777777" w:rsidR="006F0AF9" w:rsidRDefault="006F0AF9" w:rsidP="006F0AF9">
                  <w:r>
                    <w:t>3</w:t>
                  </w:r>
                </w:p>
              </w:tc>
              <w:tc>
                <w:tcPr>
                  <w:tcW w:w="5325" w:type="dxa"/>
                </w:tcPr>
                <w:p w14:paraId="2A647304" w14:textId="77777777" w:rsidR="006F0AF9" w:rsidRDefault="006F0AF9" w:rsidP="006F0AF9">
                  <w:r>
                    <w:t>Associated physical/electronic resource pack for attendees</w:t>
                  </w:r>
                </w:p>
                <w:p w14:paraId="6A9D34BF" w14:textId="77777777" w:rsidR="006F0AF9" w:rsidRDefault="006F0AF9" w:rsidP="006F0AF9"/>
              </w:tc>
              <w:tc>
                <w:tcPr>
                  <w:tcW w:w="992" w:type="dxa"/>
                </w:tcPr>
                <w:p w14:paraId="2BFD6A7D" w14:textId="2FFBE67F" w:rsidR="006F0AF9" w:rsidRDefault="006F0AF9" w:rsidP="006F0AF9">
                  <w:pPr>
                    <w:jc w:val="right"/>
                  </w:pPr>
                </w:p>
              </w:tc>
            </w:tr>
            <w:tr w:rsidR="006F0AF9" w14:paraId="13CB1E40" w14:textId="77777777" w:rsidTr="00BD46AD">
              <w:trPr>
                <w:trHeight w:val="613"/>
              </w:trPr>
              <w:tc>
                <w:tcPr>
                  <w:tcW w:w="374" w:type="dxa"/>
                </w:tcPr>
                <w:p w14:paraId="5C8BC80F" w14:textId="77777777" w:rsidR="006F0AF9" w:rsidRDefault="006F0AF9" w:rsidP="006F0AF9">
                  <w:r>
                    <w:t>4</w:t>
                  </w:r>
                </w:p>
              </w:tc>
              <w:tc>
                <w:tcPr>
                  <w:tcW w:w="5325" w:type="dxa"/>
                </w:tcPr>
                <w:p w14:paraId="7986D19F" w14:textId="77777777" w:rsidR="006F0AF9" w:rsidRDefault="006F0AF9" w:rsidP="006F0AF9">
                  <w:r>
                    <w:t>Venue hire</w:t>
                  </w:r>
                </w:p>
                <w:p w14:paraId="4424A95D" w14:textId="77777777" w:rsidR="006F0AF9" w:rsidRDefault="006F0AF9" w:rsidP="006F0AF9"/>
              </w:tc>
              <w:tc>
                <w:tcPr>
                  <w:tcW w:w="992" w:type="dxa"/>
                </w:tcPr>
                <w:p w14:paraId="4D821E24" w14:textId="6DC6506E" w:rsidR="006F0AF9" w:rsidRDefault="006F0AF9" w:rsidP="006F0AF9">
                  <w:pPr>
                    <w:jc w:val="right"/>
                  </w:pPr>
                </w:p>
              </w:tc>
            </w:tr>
            <w:tr w:rsidR="006F0AF9" w14:paraId="51FD1FB6" w14:textId="77777777" w:rsidTr="00BD46AD">
              <w:trPr>
                <w:trHeight w:val="613"/>
              </w:trPr>
              <w:tc>
                <w:tcPr>
                  <w:tcW w:w="374" w:type="dxa"/>
                </w:tcPr>
                <w:p w14:paraId="7254488D" w14:textId="77777777" w:rsidR="006F0AF9" w:rsidRDefault="006F0AF9" w:rsidP="006F0AF9">
                  <w:r>
                    <w:t>5</w:t>
                  </w:r>
                </w:p>
              </w:tc>
              <w:tc>
                <w:tcPr>
                  <w:tcW w:w="5325" w:type="dxa"/>
                </w:tcPr>
                <w:p w14:paraId="2670381E" w14:textId="77777777" w:rsidR="006F0AF9" w:rsidRDefault="006F0AF9" w:rsidP="006F0AF9">
                  <w:r>
                    <w:t>Event admin</w:t>
                  </w:r>
                </w:p>
              </w:tc>
              <w:tc>
                <w:tcPr>
                  <w:tcW w:w="992" w:type="dxa"/>
                </w:tcPr>
                <w:p w14:paraId="3A25AA25" w14:textId="6C0871F0" w:rsidR="006F0AF9" w:rsidRDefault="006F0AF9" w:rsidP="006F0AF9">
                  <w:pPr>
                    <w:jc w:val="right"/>
                  </w:pPr>
                </w:p>
              </w:tc>
            </w:tr>
            <w:tr w:rsidR="006F0AF9" w14:paraId="1829CD1D" w14:textId="77777777" w:rsidTr="00BD46AD">
              <w:trPr>
                <w:trHeight w:val="320"/>
              </w:trPr>
              <w:tc>
                <w:tcPr>
                  <w:tcW w:w="374" w:type="dxa"/>
                </w:tcPr>
                <w:p w14:paraId="76B673E3" w14:textId="77777777" w:rsidR="006F0AF9" w:rsidRDefault="006F0AF9" w:rsidP="006F0AF9"/>
              </w:tc>
              <w:tc>
                <w:tcPr>
                  <w:tcW w:w="5325" w:type="dxa"/>
                </w:tcPr>
                <w:p w14:paraId="5088C573" w14:textId="7C3ABB26" w:rsidR="006F0AF9" w:rsidRPr="00632AFA" w:rsidRDefault="00933607" w:rsidP="006F0AF9">
                  <w:pPr>
                    <w:rPr>
                      <w:b/>
                    </w:rPr>
                  </w:pPr>
                  <w:r>
                    <w:rPr>
                      <w:b/>
                    </w:rPr>
                    <w:t>Price cap £7000</w:t>
                  </w:r>
                </w:p>
              </w:tc>
              <w:tc>
                <w:tcPr>
                  <w:tcW w:w="992" w:type="dxa"/>
                </w:tcPr>
                <w:p w14:paraId="1A5A6037" w14:textId="77777777" w:rsidR="006F0AF9" w:rsidRPr="00632AFA" w:rsidRDefault="006F0AF9" w:rsidP="00FB04D3">
                  <w:pPr>
                    <w:jc w:val="right"/>
                    <w:rPr>
                      <w:b/>
                    </w:rPr>
                  </w:pPr>
                </w:p>
              </w:tc>
            </w:tr>
          </w:tbl>
          <w:p w14:paraId="5AD4B9B6" w14:textId="77777777" w:rsidR="006F0AF9" w:rsidRDefault="006F0AF9" w:rsidP="006F0AF9"/>
        </w:tc>
      </w:tr>
      <w:tr w:rsidR="006F0AF9" w14:paraId="17F4AC24" w14:textId="77777777" w:rsidTr="0028101F">
        <w:trPr>
          <w:trHeight w:val="536"/>
        </w:trPr>
        <w:tc>
          <w:tcPr>
            <w:tcW w:w="1838" w:type="dxa"/>
          </w:tcPr>
          <w:p w14:paraId="53FE7565" w14:textId="77777777" w:rsidR="006F0AF9" w:rsidRPr="00066FCB" w:rsidRDefault="006F0AF9" w:rsidP="006F0AF9">
            <w:pPr>
              <w:rPr>
                <w:b/>
              </w:rPr>
            </w:pPr>
            <w:r>
              <w:rPr>
                <w:b/>
              </w:rPr>
              <w:t xml:space="preserve">7. </w:t>
            </w:r>
            <w:r w:rsidRPr="00066FCB">
              <w:rPr>
                <w:b/>
              </w:rPr>
              <w:t>Outputs</w:t>
            </w:r>
          </w:p>
        </w:tc>
        <w:tc>
          <w:tcPr>
            <w:tcW w:w="7371" w:type="dxa"/>
          </w:tcPr>
          <w:p w14:paraId="447F33A9" w14:textId="102B8C59" w:rsidR="006F0AF9" w:rsidRDefault="006F0AF9" w:rsidP="006F0AF9">
            <w:r>
              <w:t>9 twilight sessions to cover:</w:t>
            </w:r>
          </w:p>
          <w:p w14:paraId="71B3DF83" w14:textId="77777777" w:rsidR="00A6759E" w:rsidRDefault="00A6759E" w:rsidP="006F0AF9"/>
          <w:p w14:paraId="5EEDBFD9" w14:textId="77777777" w:rsidR="006F0AF9" w:rsidRDefault="006F0AF9" w:rsidP="006F0AF9">
            <w:pPr>
              <w:pStyle w:val="ListParagraph"/>
              <w:numPr>
                <w:ilvl w:val="0"/>
                <w:numId w:val="10"/>
              </w:numPr>
            </w:pPr>
            <w:r>
              <w:t>Completion of Speech, Language and Communication Framework, and baseline assessments for children</w:t>
            </w:r>
          </w:p>
          <w:p w14:paraId="61E5BF6C" w14:textId="77777777" w:rsidR="006F0AF9" w:rsidRDefault="006F0AF9" w:rsidP="006F0AF9">
            <w:pPr>
              <w:pStyle w:val="ListParagraph"/>
              <w:numPr>
                <w:ilvl w:val="0"/>
                <w:numId w:val="10"/>
              </w:numPr>
            </w:pPr>
            <w:r>
              <w:t>Typical Speech, Language and Communication Development</w:t>
            </w:r>
          </w:p>
          <w:p w14:paraId="45ED7909" w14:textId="77777777" w:rsidR="006F0AF9" w:rsidRDefault="006F0AF9" w:rsidP="006F0AF9">
            <w:pPr>
              <w:pStyle w:val="ListParagraph"/>
              <w:numPr>
                <w:ilvl w:val="0"/>
                <w:numId w:val="10"/>
              </w:numPr>
            </w:pPr>
            <w:r>
              <w:t>Identification and Assessment of SLCN</w:t>
            </w:r>
          </w:p>
          <w:p w14:paraId="42493033" w14:textId="77777777" w:rsidR="006F0AF9" w:rsidRDefault="006F0AF9" w:rsidP="006F0AF9">
            <w:pPr>
              <w:pStyle w:val="ListParagraph"/>
              <w:numPr>
                <w:ilvl w:val="0"/>
                <w:numId w:val="10"/>
              </w:numPr>
            </w:pPr>
            <w:r>
              <w:t>Learning English as an Additional Language</w:t>
            </w:r>
          </w:p>
          <w:p w14:paraId="0CCAFDE1" w14:textId="77777777" w:rsidR="006F0AF9" w:rsidRDefault="006F0AF9" w:rsidP="006F0AF9">
            <w:pPr>
              <w:pStyle w:val="ListParagraph"/>
              <w:numPr>
                <w:ilvl w:val="0"/>
                <w:numId w:val="10"/>
              </w:numPr>
            </w:pPr>
            <w:r>
              <w:t xml:space="preserve">Relationship between SLCN and other areas of development </w:t>
            </w:r>
          </w:p>
          <w:p w14:paraId="627A630C" w14:textId="77777777" w:rsidR="006F0AF9" w:rsidRDefault="006F0AF9" w:rsidP="006F0AF9">
            <w:pPr>
              <w:pStyle w:val="ListParagraph"/>
              <w:numPr>
                <w:ilvl w:val="0"/>
                <w:numId w:val="10"/>
              </w:numPr>
            </w:pPr>
            <w:r>
              <w:t>The Communication Environment</w:t>
            </w:r>
          </w:p>
          <w:p w14:paraId="0C36BA0D" w14:textId="77777777" w:rsidR="006F0AF9" w:rsidRDefault="006F0AF9" w:rsidP="006F0AF9">
            <w:pPr>
              <w:pStyle w:val="ListParagraph"/>
              <w:numPr>
                <w:ilvl w:val="0"/>
                <w:numId w:val="10"/>
              </w:numPr>
            </w:pPr>
            <w:r>
              <w:t>Strategies and Support for Children with SLCN</w:t>
            </w:r>
          </w:p>
          <w:p w14:paraId="2A8C2D69" w14:textId="77777777" w:rsidR="006F0AF9" w:rsidRDefault="006F0AF9" w:rsidP="006F0AF9">
            <w:pPr>
              <w:pStyle w:val="ListParagraph"/>
              <w:numPr>
                <w:ilvl w:val="0"/>
                <w:numId w:val="10"/>
              </w:numPr>
            </w:pPr>
            <w:r>
              <w:lastRenderedPageBreak/>
              <w:t>Reflecting on professional development around SLCN, roles and responsibilities when working with children with SLCN</w:t>
            </w:r>
          </w:p>
          <w:p w14:paraId="399EB0E2" w14:textId="7709B328" w:rsidR="006F0AF9" w:rsidRDefault="006F0AF9" w:rsidP="006F0AF9">
            <w:pPr>
              <w:pStyle w:val="ListParagraph"/>
              <w:numPr>
                <w:ilvl w:val="0"/>
                <w:numId w:val="10"/>
              </w:numPr>
            </w:pPr>
            <w:r>
              <w:t>Involving children with SLCN, and working with parents, carers, peers and friends</w:t>
            </w:r>
          </w:p>
        </w:tc>
      </w:tr>
      <w:tr w:rsidR="006F0AF9" w14:paraId="617D56A9" w14:textId="77777777" w:rsidTr="0028101F">
        <w:trPr>
          <w:trHeight w:val="989"/>
        </w:trPr>
        <w:tc>
          <w:tcPr>
            <w:tcW w:w="1838" w:type="dxa"/>
          </w:tcPr>
          <w:p w14:paraId="207C92FC" w14:textId="77777777" w:rsidR="006F0AF9" w:rsidRPr="00066FCB" w:rsidRDefault="006F0AF9" w:rsidP="006F0AF9">
            <w:pPr>
              <w:rPr>
                <w:b/>
              </w:rPr>
            </w:pPr>
            <w:r>
              <w:rPr>
                <w:b/>
              </w:rPr>
              <w:lastRenderedPageBreak/>
              <w:t xml:space="preserve">8. </w:t>
            </w:r>
            <w:r w:rsidRPr="00066FCB">
              <w:rPr>
                <w:b/>
              </w:rPr>
              <w:t>Short term outcomes</w:t>
            </w:r>
          </w:p>
        </w:tc>
        <w:tc>
          <w:tcPr>
            <w:tcW w:w="7371" w:type="dxa"/>
            <w:vAlign w:val="center"/>
          </w:tcPr>
          <w:p w14:paraId="661F7FF9" w14:textId="7BA1D417" w:rsidR="006F0AF9" w:rsidRDefault="006F0AF9" w:rsidP="006F0AF9">
            <w:r w:rsidRPr="005D2526">
              <w:t xml:space="preserve">Trained members of staff from target schools become Communication Champions for their own schools, </w:t>
            </w:r>
            <w:r>
              <w:t>able to offer</w:t>
            </w:r>
            <w:r w:rsidRPr="005D2526">
              <w:t xml:space="preserve"> training</w:t>
            </w:r>
            <w:r>
              <w:t xml:space="preserve"> and support</w:t>
            </w:r>
            <w:r w:rsidRPr="005D2526">
              <w:t xml:space="preserve"> to colleagues</w:t>
            </w:r>
            <w:r>
              <w:t xml:space="preserve"> so that all staff in the target schools can support children’s SLCN</w:t>
            </w:r>
          </w:p>
        </w:tc>
      </w:tr>
      <w:tr w:rsidR="006F0AF9" w14:paraId="4DC326DE" w14:textId="77777777" w:rsidTr="0028101F">
        <w:trPr>
          <w:trHeight w:val="977"/>
        </w:trPr>
        <w:tc>
          <w:tcPr>
            <w:tcW w:w="1838" w:type="dxa"/>
          </w:tcPr>
          <w:p w14:paraId="20727E1E" w14:textId="77777777" w:rsidR="006F0AF9" w:rsidRPr="00066FCB" w:rsidRDefault="006F0AF9" w:rsidP="006F0AF9">
            <w:pPr>
              <w:rPr>
                <w:b/>
              </w:rPr>
            </w:pPr>
            <w:r>
              <w:rPr>
                <w:b/>
              </w:rPr>
              <w:t xml:space="preserve">9. </w:t>
            </w:r>
            <w:r w:rsidRPr="00066FCB">
              <w:rPr>
                <w:b/>
              </w:rPr>
              <w:t>Long term outcomes</w:t>
            </w:r>
          </w:p>
          <w:p w14:paraId="635D0DE0" w14:textId="77777777" w:rsidR="006F0AF9" w:rsidRPr="00066FCB" w:rsidRDefault="006F0AF9" w:rsidP="006F0AF9"/>
        </w:tc>
        <w:tc>
          <w:tcPr>
            <w:tcW w:w="7371" w:type="dxa"/>
          </w:tcPr>
          <w:p w14:paraId="4A4141F4" w14:textId="77777777" w:rsidR="006F0AF9" w:rsidRDefault="006F0AF9" w:rsidP="006F0AF9">
            <w:r>
              <w:t>With further training after this programme, a</w:t>
            </w:r>
            <w:r w:rsidRPr="00093585">
              <w:t xml:space="preserve"> sustainable network of Communication Champions support ongoing CPD in universal speech, language and communication across Norwich schools</w:t>
            </w:r>
          </w:p>
          <w:p w14:paraId="448BF858" w14:textId="77777777" w:rsidR="006F0AF9" w:rsidRDefault="006F0AF9" w:rsidP="006F0AF9"/>
          <w:p w14:paraId="03EA476F" w14:textId="48C3257B" w:rsidR="006F0AF9" w:rsidRPr="00B9481A" w:rsidRDefault="006F0AF9" w:rsidP="006F0AF9">
            <w:pPr>
              <w:rPr>
                <w:b/>
              </w:rPr>
            </w:pPr>
            <w:r>
              <w:t>Speech, Language and Communication Early Learning Goals become an area of strength with all schools within the Network, meeting or exceeding the national average in the Year following this training.</w:t>
            </w:r>
          </w:p>
        </w:tc>
      </w:tr>
      <w:tr w:rsidR="006F0AF9" w14:paraId="7CB96806" w14:textId="77777777" w:rsidTr="0028101F">
        <w:trPr>
          <w:trHeight w:val="731"/>
        </w:trPr>
        <w:tc>
          <w:tcPr>
            <w:tcW w:w="1838" w:type="dxa"/>
          </w:tcPr>
          <w:p w14:paraId="52B6FFAB" w14:textId="77777777" w:rsidR="006F0AF9" w:rsidRPr="00066FCB" w:rsidRDefault="006F0AF9" w:rsidP="006F0AF9">
            <w:pPr>
              <w:rPr>
                <w:b/>
              </w:rPr>
            </w:pPr>
            <w:r>
              <w:rPr>
                <w:b/>
              </w:rPr>
              <w:t xml:space="preserve">10. </w:t>
            </w:r>
            <w:r w:rsidRPr="00066FCB">
              <w:rPr>
                <w:b/>
              </w:rPr>
              <w:t>Evidence base</w:t>
            </w:r>
          </w:p>
        </w:tc>
        <w:tc>
          <w:tcPr>
            <w:tcW w:w="7371" w:type="dxa"/>
            <w:vAlign w:val="center"/>
          </w:tcPr>
          <w:p w14:paraId="4972022D" w14:textId="77777777" w:rsidR="006F0AF9" w:rsidRDefault="006F0AF9" w:rsidP="00A6759E">
            <w:r>
              <w:t>The Communication Trust – Talking about a generation</w:t>
            </w:r>
          </w:p>
          <w:p w14:paraId="517B27F9" w14:textId="35CA5B7B" w:rsidR="006F0AF9" w:rsidRDefault="006F0AF9" w:rsidP="00A6759E">
            <w:r>
              <w:t>The Early Intervention Foundation – Learning as a wellbeing indicator</w:t>
            </w:r>
          </w:p>
        </w:tc>
      </w:tr>
      <w:tr w:rsidR="006F0AF9" w14:paraId="575F7CDD" w14:textId="77777777" w:rsidTr="0028101F">
        <w:trPr>
          <w:trHeight w:val="731"/>
        </w:trPr>
        <w:tc>
          <w:tcPr>
            <w:tcW w:w="1838" w:type="dxa"/>
          </w:tcPr>
          <w:p w14:paraId="6FD8B5F2" w14:textId="77777777" w:rsidR="006F0AF9" w:rsidRPr="00066FCB" w:rsidRDefault="006F0AF9" w:rsidP="006F0AF9">
            <w:pPr>
              <w:rPr>
                <w:b/>
              </w:rPr>
            </w:pPr>
            <w:r>
              <w:rPr>
                <w:b/>
              </w:rPr>
              <w:t xml:space="preserve">11. </w:t>
            </w:r>
            <w:r w:rsidRPr="002B35E9">
              <w:rPr>
                <w:b/>
              </w:rPr>
              <w:t>Prospective providers should meet the following criteria:</w:t>
            </w:r>
          </w:p>
        </w:tc>
        <w:tc>
          <w:tcPr>
            <w:tcW w:w="7371" w:type="dxa"/>
            <w:vAlign w:val="center"/>
          </w:tcPr>
          <w:p w14:paraId="67C90A36" w14:textId="1779CAF7" w:rsidR="006F0AF9" w:rsidRPr="00A657DF" w:rsidRDefault="006F0AF9" w:rsidP="00A6759E">
            <w:r w:rsidRPr="00A657DF">
              <w:t>Expertise:</w:t>
            </w:r>
            <w:r w:rsidR="00A6759E">
              <w:t xml:space="preserve"> Qualified Speech and Language Therapist.</w:t>
            </w:r>
          </w:p>
          <w:p w14:paraId="6D89B7DD" w14:textId="35A0FADB" w:rsidR="006F0AF9" w:rsidRPr="00A657DF" w:rsidRDefault="006F0AF9" w:rsidP="00A6759E">
            <w:r w:rsidRPr="00A657DF">
              <w:t>Experience:</w:t>
            </w:r>
            <w:r w:rsidR="00A6759E">
              <w:t xml:space="preserve"> Use of/ familiarity with the resources offered by The Communication Trust.  Experience of delivering to schools.</w:t>
            </w:r>
          </w:p>
        </w:tc>
      </w:tr>
      <w:tr w:rsidR="006F0AF9" w14:paraId="4885873F" w14:textId="77777777" w:rsidTr="0028101F">
        <w:trPr>
          <w:trHeight w:val="983"/>
        </w:trPr>
        <w:tc>
          <w:tcPr>
            <w:tcW w:w="1838" w:type="dxa"/>
          </w:tcPr>
          <w:p w14:paraId="05461390" w14:textId="77777777" w:rsidR="006F0AF9" w:rsidRPr="00066FCB" w:rsidRDefault="006F0AF9" w:rsidP="006F0AF9">
            <w:pPr>
              <w:rPr>
                <w:b/>
              </w:rPr>
            </w:pPr>
            <w:r>
              <w:rPr>
                <w:b/>
              </w:rPr>
              <w:t>12. Prospective providers are invited to submit:</w:t>
            </w:r>
          </w:p>
        </w:tc>
        <w:tc>
          <w:tcPr>
            <w:tcW w:w="7371" w:type="dxa"/>
          </w:tcPr>
          <w:p w14:paraId="55482BAE" w14:textId="09A304BD" w:rsidR="00857842" w:rsidRDefault="00857842" w:rsidP="006F0AF9">
            <w:pPr>
              <w:numPr>
                <w:ilvl w:val="0"/>
                <w:numId w:val="9"/>
              </w:numPr>
              <w:tabs>
                <w:tab w:val="clear" w:pos="360"/>
                <w:tab w:val="num" w:pos="1080"/>
              </w:tabs>
            </w:pPr>
            <w:r>
              <w:t>Evidence of expertise and experience stated in section 11 above (Weighting 35%)</w:t>
            </w:r>
          </w:p>
          <w:p w14:paraId="6C6936A7" w14:textId="77A418D0" w:rsidR="006F0AF9" w:rsidRPr="00A657DF" w:rsidRDefault="006F0AF9" w:rsidP="006F0AF9">
            <w:pPr>
              <w:numPr>
                <w:ilvl w:val="0"/>
                <w:numId w:val="9"/>
              </w:numPr>
              <w:tabs>
                <w:tab w:val="clear" w:pos="360"/>
                <w:tab w:val="num" w:pos="1080"/>
              </w:tabs>
            </w:pPr>
            <w:r>
              <w:t>A</w:t>
            </w:r>
            <w:r w:rsidRPr="00A657DF">
              <w:t xml:space="preserve">pproach to this </w:t>
            </w:r>
            <w:r>
              <w:t>project</w:t>
            </w:r>
            <w:r w:rsidRPr="00A657DF">
              <w:t xml:space="preserve"> (no more than 1 side of A4).</w:t>
            </w:r>
            <w:r w:rsidR="00400AD0">
              <w:t xml:space="preserve"> </w:t>
            </w:r>
            <w:r w:rsidR="00857842">
              <w:t>Including staffing and a descriptio</w:t>
            </w:r>
            <w:bookmarkStart w:id="0" w:name="_GoBack"/>
            <w:bookmarkEnd w:id="0"/>
            <w:r w:rsidR="00857842">
              <w:t xml:space="preserve">n of any potential conflicts of interest and how you will deal with them </w:t>
            </w:r>
            <w:r w:rsidR="00400AD0">
              <w:t xml:space="preserve">(Weighting </w:t>
            </w:r>
            <w:r w:rsidR="00857842">
              <w:t>35</w:t>
            </w:r>
            <w:r w:rsidR="00400AD0">
              <w:t>%)</w:t>
            </w:r>
          </w:p>
          <w:p w14:paraId="6B360942" w14:textId="54AAB055" w:rsidR="00400AD0" w:rsidRPr="00A657DF" w:rsidRDefault="00400AD0" w:rsidP="00400AD0">
            <w:pPr>
              <w:numPr>
                <w:ilvl w:val="0"/>
                <w:numId w:val="9"/>
              </w:numPr>
              <w:tabs>
                <w:tab w:val="clear" w:pos="360"/>
                <w:tab w:val="num" w:pos="1080"/>
              </w:tabs>
            </w:pPr>
            <w:r w:rsidRPr="00A657DF">
              <w:t>Details of your time, fees and expenses required to meet the o</w:t>
            </w:r>
            <w:r>
              <w:t>utcomes</w:t>
            </w:r>
            <w:r w:rsidRPr="00A657DF">
              <w:t xml:space="preserve"> </w:t>
            </w:r>
            <w:r>
              <w:t xml:space="preserve">and </w:t>
            </w:r>
            <w:r w:rsidR="00295F82">
              <w:t xml:space="preserve">total price, which must be below the </w:t>
            </w:r>
            <w:r>
              <w:t>cap</w:t>
            </w:r>
            <w:r w:rsidR="00295F82">
              <w:t xml:space="preserve"> contained in section 6</w:t>
            </w:r>
            <w:r>
              <w:t xml:space="preserve"> (Weighting 30%)</w:t>
            </w:r>
          </w:p>
          <w:p w14:paraId="0396BAB6" w14:textId="77777777" w:rsidR="00400AD0" w:rsidRPr="00303AAC" w:rsidRDefault="00400AD0" w:rsidP="00295F82"/>
        </w:tc>
      </w:tr>
      <w:tr w:rsidR="006F0AF9" w14:paraId="25A6B3A6" w14:textId="77777777" w:rsidTr="0028101F">
        <w:trPr>
          <w:trHeight w:val="983"/>
        </w:trPr>
        <w:tc>
          <w:tcPr>
            <w:tcW w:w="1838" w:type="dxa"/>
          </w:tcPr>
          <w:p w14:paraId="45A25F64" w14:textId="77777777" w:rsidR="006F0AF9" w:rsidRDefault="006F0AF9" w:rsidP="006F0AF9">
            <w:pPr>
              <w:rPr>
                <w:b/>
              </w:rPr>
            </w:pPr>
            <w:r>
              <w:rPr>
                <w:b/>
              </w:rPr>
              <w:t xml:space="preserve">13. </w:t>
            </w:r>
            <w:r w:rsidRPr="00624A4C">
              <w:rPr>
                <w:b/>
              </w:rPr>
              <w:t>Timetable</w:t>
            </w:r>
          </w:p>
        </w:tc>
        <w:tc>
          <w:tcPr>
            <w:tcW w:w="7371" w:type="dxa"/>
          </w:tcPr>
          <w:p w14:paraId="01326190" w14:textId="0F64527D" w:rsidR="006F0AF9" w:rsidRPr="00303AAC" w:rsidRDefault="006F0AF9" w:rsidP="006F0AF9">
            <w:r w:rsidRPr="00303AAC">
              <w:t>Proposals should be submitted by:</w:t>
            </w:r>
            <w:r w:rsidR="00A6759E">
              <w:t xml:space="preserve"> 5/12</w:t>
            </w:r>
          </w:p>
          <w:p w14:paraId="04D589D0" w14:textId="535CE6FE" w:rsidR="006F0AF9" w:rsidRPr="00303AAC" w:rsidRDefault="006F0AF9" w:rsidP="006F0AF9">
            <w:r w:rsidRPr="00303AAC">
              <w:t>Appointment will be notified by:</w:t>
            </w:r>
            <w:r w:rsidR="00A6759E">
              <w:t xml:space="preserve"> 11/12/17</w:t>
            </w:r>
          </w:p>
          <w:p w14:paraId="0F14A265" w14:textId="4F367248" w:rsidR="006F0AF9" w:rsidRDefault="006F0AF9" w:rsidP="006F0AF9">
            <w:r w:rsidRPr="00303AAC">
              <w:t>Project should be completed by:</w:t>
            </w:r>
            <w:r w:rsidR="00956677">
              <w:t xml:space="preserve">  30/03/18</w:t>
            </w:r>
          </w:p>
        </w:tc>
      </w:tr>
      <w:tr w:rsidR="006F0AF9" w14:paraId="7B8E2F70" w14:textId="77777777" w:rsidTr="0028101F">
        <w:trPr>
          <w:trHeight w:val="500"/>
        </w:trPr>
        <w:tc>
          <w:tcPr>
            <w:tcW w:w="1838" w:type="dxa"/>
          </w:tcPr>
          <w:p w14:paraId="0746AF4C" w14:textId="77777777" w:rsidR="006F0AF9" w:rsidRDefault="006F0AF9" w:rsidP="006F0AF9">
            <w:pPr>
              <w:rPr>
                <w:b/>
              </w:rPr>
            </w:pPr>
            <w:r w:rsidRPr="00E839FE">
              <w:rPr>
                <w:b/>
              </w:rPr>
              <w:t>14. Additional information</w:t>
            </w:r>
          </w:p>
        </w:tc>
        <w:tc>
          <w:tcPr>
            <w:tcW w:w="7371" w:type="dxa"/>
          </w:tcPr>
          <w:p w14:paraId="5C293553" w14:textId="77777777" w:rsidR="006F0AF9" w:rsidRDefault="00956677" w:rsidP="006F0AF9">
            <w:r>
              <w:t>Provider should conduct evaluation</w:t>
            </w:r>
          </w:p>
          <w:p w14:paraId="3DBFA0F2" w14:textId="01FF7B1F" w:rsidR="00956677" w:rsidRPr="00303AAC" w:rsidRDefault="00956677" w:rsidP="006F0AF9">
            <w:r>
              <w:t>A second cohort of schools will be commissioned in Summer 2018</w:t>
            </w:r>
          </w:p>
        </w:tc>
      </w:tr>
    </w:tbl>
    <w:p w14:paraId="0A652214" w14:textId="7421DD8E" w:rsidR="006701CA" w:rsidRPr="00B9481A" w:rsidRDefault="006701CA" w:rsidP="00956677">
      <w:pPr>
        <w:spacing w:before="240"/>
        <w:rPr>
          <w:b/>
        </w:rPr>
      </w:pPr>
      <w:r w:rsidRPr="00B9481A">
        <w:rPr>
          <w:b/>
        </w:rPr>
        <w:t>Specification completed by</w:t>
      </w:r>
    </w:p>
    <w:tbl>
      <w:tblPr>
        <w:tblStyle w:val="TableGrid"/>
        <w:tblW w:w="0" w:type="auto"/>
        <w:tblLook w:val="04A0" w:firstRow="1" w:lastRow="0" w:firstColumn="1" w:lastColumn="0" w:noHBand="0" w:noVBand="1"/>
      </w:tblPr>
      <w:tblGrid>
        <w:gridCol w:w="1980"/>
        <w:gridCol w:w="7036"/>
      </w:tblGrid>
      <w:tr w:rsidR="006701CA" w14:paraId="4AE2CED5" w14:textId="77777777" w:rsidTr="00BC4C6B">
        <w:trPr>
          <w:trHeight w:val="567"/>
        </w:trPr>
        <w:tc>
          <w:tcPr>
            <w:tcW w:w="1980" w:type="dxa"/>
            <w:shd w:val="clear" w:color="auto" w:fill="F3FFFF"/>
            <w:vAlign w:val="center"/>
          </w:tcPr>
          <w:p w14:paraId="3D096DA7" w14:textId="4A7FA8D7" w:rsidR="006701CA" w:rsidRPr="00B9481A" w:rsidRDefault="006701CA" w:rsidP="00B9481A">
            <w:pPr>
              <w:rPr>
                <w:b/>
              </w:rPr>
            </w:pPr>
            <w:r w:rsidRPr="00B9481A">
              <w:rPr>
                <w:b/>
              </w:rPr>
              <w:t>Name</w:t>
            </w:r>
          </w:p>
        </w:tc>
        <w:tc>
          <w:tcPr>
            <w:tcW w:w="7036" w:type="dxa"/>
            <w:vAlign w:val="center"/>
          </w:tcPr>
          <w:p w14:paraId="2DC07204" w14:textId="2BC85186" w:rsidR="006701CA" w:rsidRDefault="00956677" w:rsidP="00B9481A">
            <w:r>
              <w:t>Jacqueline Bircham</w:t>
            </w:r>
          </w:p>
        </w:tc>
      </w:tr>
      <w:tr w:rsidR="006701CA" w14:paraId="75C6AEEE" w14:textId="77777777" w:rsidTr="00BC4C6B">
        <w:trPr>
          <w:trHeight w:val="567"/>
        </w:trPr>
        <w:tc>
          <w:tcPr>
            <w:tcW w:w="1980" w:type="dxa"/>
            <w:shd w:val="clear" w:color="auto" w:fill="F3FFFF"/>
            <w:vAlign w:val="center"/>
          </w:tcPr>
          <w:p w14:paraId="7A2590E0" w14:textId="3758A327" w:rsidR="006701CA" w:rsidRPr="00B9481A" w:rsidRDefault="006701CA" w:rsidP="00B9481A">
            <w:pPr>
              <w:rPr>
                <w:b/>
              </w:rPr>
            </w:pPr>
            <w:r w:rsidRPr="00B9481A">
              <w:rPr>
                <w:b/>
              </w:rPr>
              <w:t>Role</w:t>
            </w:r>
          </w:p>
        </w:tc>
        <w:tc>
          <w:tcPr>
            <w:tcW w:w="7036" w:type="dxa"/>
            <w:vAlign w:val="center"/>
          </w:tcPr>
          <w:p w14:paraId="0E33D6DE" w14:textId="355F8043" w:rsidR="006701CA" w:rsidRDefault="00956677" w:rsidP="00B9481A">
            <w:r>
              <w:t>Programme Director NOA</w:t>
            </w:r>
          </w:p>
        </w:tc>
      </w:tr>
      <w:tr w:rsidR="006701CA" w14:paraId="411F7680" w14:textId="77777777" w:rsidTr="00BC4C6B">
        <w:trPr>
          <w:trHeight w:val="567"/>
        </w:trPr>
        <w:tc>
          <w:tcPr>
            <w:tcW w:w="1980" w:type="dxa"/>
            <w:shd w:val="clear" w:color="auto" w:fill="F3FFFF"/>
            <w:vAlign w:val="center"/>
          </w:tcPr>
          <w:p w14:paraId="6231C7B6" w14:textId="188F57D7" w:rsidR="006701CA" w:rsidRPr="00B9481A" w:rsidRDefault="006701CA" w:rsidP="00B9481A">
            <w:pPr>
              <w:rPr>
                <w:b/>
              </w:rPr>
            </w:pPr>
            <w:r w:rsidRPr="00B9481A">
              <w:rPr>
                <w:b/>
              </w:rPr>
              <w:t>Organisation</w:t>
            </w:r>
          </w:p>
        </w:tc>
        <w:tc>
          <w:tcPr>
            <w:tcW w:w="7036" w:type="dxa"/>
            <w:vAlign w:val="center"/>
          </w:tcPr>
          <w:p w14:paraId="2AC776A6" w14:textId="4A05B7BA" w:rsidR="006701CA" w:rsidRDefault="00956677" w:rsidP="00B9481A">
            <w:r>
              <w:t xml:space="preserve">New Anglia </w:t>
            </w:r>
          </w:p>
        </w:tc>
      </w:tr>
      <w:tr w:rsidR="006701CA" w14:paraId="1005FF59" w14:textId="77777777" w:rsidTr="00BC4C6B">
        <w:trPr>
          <w:trHeight w:val="567"/>
        </w:trPr>
        <w:tc>
          <w:tcPr>
            <w:tcW w:w="1980" w:type="dxa"/>
            <w:shd w:val="clear" w:color="auto" w:fill="F3FFFF"/>
            <w:vAlign w:val="center"/>
          </w:tcPr>
          <w:p w14:paraId="443166CD" w14:textId="37C138EF" w:rsidR="006701CA" w:rsidRPr="00B9481A" w:rsidRDefault="006701CA" w:rsidP="00B9481A">
            <w:pPr>
              <w:rPr>
                <w:b/>
              </w:rPr>
            </w:pPr>
            <w:r w:rsidRPr="00B9481A">
              <w:rPr>
                <w:b/>
              </w:rPr>
              <w:t>Date</w:t>
            </w:r>
          </w:p>
        </w:tc>
        <w:tc>
          <w:tcPr>
            <w:tcW w:w="7036" w:type="dxa"/>
            <w:vAlign w:val="center"/>
          </w:tcPr>
          <w:p w14:paraId="3641A93B" w14:textId="0C1F84E3" w:rsidR="006701CA" w:rsidRDefault="00956677" w:rsidP="00B9481A">
            <w:r>
              <w:t>1/12/17</w:t>
            </w:r>
          </w:p>
        </w:tc>
      </w:tr>
    </w:tbl>
    <w:p w14:paraId="69FCBCFE" w14:textId="77777777" w:rsidR="006701CA" w:rsidRDefault="006701CA" w:rsidP="001C503C"/>
    <w:p w14:paraId="1EB77F6F" w14:textId="05963943" w:rsidR="00B9481A" w:rsidRPr="00B9481A" w:rsidRDefault="00B9481A" w:rsidP="001C503C">
      <w:pPr>
        <w:rPr>
          <w:b/>
        </w:rPr>
      </w:pPr>
      <w:r w:rsidRPr="00B9481A">
        <w:rPr>
          <w:b/>
        </w:rPr>
        <w:t>Approval by Partnership Board</w:t>
      </w:r>
    </w:p>
    <w:tbl>
      <w:tblPr>
        <w:tblStyle w:val="TableGrid"/>
        <w:tblW w:w="9134" w:type="dxa"/>
        <w:tblLook w:val="04A0" w:firstRow="1" w:lastRow="0" w:firstColumn="1" w:lastColumn="0" w:noHBand="0" w:noVBand="1"/>
      </w:tblPr>
      <w:tblGrid>
        <w:gridCol w:w="3256"/>
        <w:gridCol w:w="5878"/>
      </w:tblGrid>
      <w:tr w:rsidR="00B9481A" w14:paraId="297D7D36" w14:textId="77777777" w:rsidTr="00956677">
        <w:trPr>
          <w:trHeight w:val="649"/>
        </w:trPr>
        <w:tc>
          <w:tcPr>
            <w:tcW w:w="3256" w:type="dxa"/>
            <w:tcBorders>
              <w:bottom w:val="single" w:sz="4" w:space="0" w:color="auto"/>
            </w:tcBorders>
            <w:shd w:val="clear" w:color="auto" w:fill="F2E5FF"/>
            <w:vAlign w:val="center"/>
          </w:tcPr>
          <w:p w14:paraId="49081526" w14:textId="1A3EB711" w:rsidR="00B9481A" w:rsidRPr="00B9481A" w:rsidRDefault="00B9481A" w:rsidP="00B9481A">
            <w:pPr>
              <w:rPr>
                <w:b/>
              </w:rPr>
            </w:pPr>
            <w:r w:rsidRPr="00B9481A">
              <w:rPr>
                <w:b/>
              </w:rPr>
              <w:t>Date</w:t>
            </w:r>
          </w:p>
        </w:tc>
        <w:tc>
          <w:tcPr>
            <w:tcW w:w="5878" w:type="dxa"/>
          </w:tcPr>
          <w:p w14:paraId="56202021" w14:textId="63ECC639" w:rsidR="00B9481A" w:rsidRDefault="00FB04D3" w:rsidP="001C503C">
            <w:r>
              <w:t>14/11/17</w:t>
            </w:r>
          </w:p>
        </w:tc>
      </w:tr>
      <w:tr w:rsidR="00956677" w14:paraId="1817E125" w14:textId="77777777" w:rsidTr="00956677">
        <w:trPr>
          <w:trHeight w:val="679"/>
        </w:trPr>
        <w:tc>
          <w:tcPr>
            <w:tcW w:w="3256" w:type="dxa"/>
            <w:tcBorders>
              <w:bottom w:val="single" w:sz="4" w:space="0" w:color="auto"/>
            </w:tcBorders>
            <w:shd w:val="clear" w:color="auto" w:fill="F2E5FF"/>
          </w:tcPr>
          <w:p w14:paraId="6AA0F7AE" w14:textId="77777777" w:rsidR="00956677" w:rsidRPr="00B9481A" w:rsidRDefault="00956677" w:rsidP="00BD46AD">
            <w:pPr>
              <w:rPr>
                <w:b/>
              </w:rPr>
            </w:pPr>
            <w:r w:rsidRPr="00B9481A">
              <w:rPr>
                <w:b/>
              </w:rPr>
              <w:lastRenderedPageBreak/>
              <w:t>Signed off by Chair of Partnership Board</w:t>
            </w:r>
          </w:p>
        </w:tc>
        <w:tc>
          <w:tcPr>
            <w:tcW w:w="5878" w:type="dxa"/>
          </w:tcPr>
          <w:p w14:paraId="22791D7C" w14:textId="77777777" w:rsidR="00956677" w:rsidRDefault="00FB04D3" w:rsidP="00BD46AD">
            <w:r w:rsidRPr="00722A02">
              <w:rPr>
                <w:noProof/>
                <w:lang w:eastAsia="en-GB"/>
              </w:rPr>
              <w:drawing>
                <wp:inline distT="0" distB="0" distL="0" distR="0" wp14:anchorId="11FC4DEE" wp14:editId="174670DD">
                  <wp:extent cx="11715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71450"/>
                          </a:xfrm>
                          <a:prstGeom prst="rect">
                            <a:avLst/>
                          </a:prstGeom>
                          <a:noFill/>
                          <a:ln>
                            <a:noFill/>
                          </a:ln>
                        </pic:spPr>
                      </pic:pic>
                    </a:graphicData>
                  </a:graphic>
                </wp:inline>
              </w:drawing>
            </w:r>
          </w:p>
          <w:p w14:paraId="3C4AAE92" w14:textId="4E3D2D9A" w:rsidR="00FB04D3" w:rsidRDefault="00FB04D3" w:rsidP="00BD46AD">
            <w:r>
              <w:t>Tim Coulson</w:t>
            </w:r>
          </w:p>
        </w:tc>
      </w:tr>
    </w:tbl>
    <w:p w14:paraId="759F45CA" w14:textId="736C23F3" w:rsidR="00956677" w:rsidRDefault="00956677" w:rsidP="001A31E5"/>
    <w:p w14:paraId="3C8AA9A9" w14:textId="00807715" w:rsidR="0028101F" w:rsidRDefault="0028101F">
      <w:r>
        <w:t xml:space="preserve">Application from providers </w:t>
      </w:r>
      <w:r w:rsidR="00857842">
        <w:t>on the quality questions (not including price</w:t>
      </w:r>
      <w:r w:rsidR="00295F82">
        <w:t>) _</w:t>
      </w:r>
      <w:r>
        <w:t xml:space="preserve">should be scored using the following </w:t>
      </w:r>
      <w:r w:rsidR="00857842">
        <w:t xml:space="preserve">descriptors. </w:t>
      </w:r>
    </w:p>
    <w:p w14:paraId="2E9B8858" w14:textId="5B651215" w:rsidR="0028101F" w:rsidRPr="002674EE" w:rsidRDefault="0028101F" w:rsidP="0028101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8500"/>
        <w:gridCol w:w="1106"/>
      </w:tblGrid>
      <w:tr w:rsidR="0028101F" w:rsidRPr="001C734E" w14:paraId="6D909C01" w14:textId="77777777" w:rsidTr="00172773">
        <w:trPr>
          <w:cantSplit/>
          <w:trHeight w:val="487"/>
          <w:tblHeader/>
        </w:trPr>
        <w:tc>
          <w:tcPr>
            <w:tcW w:w="8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A6A8B" w14:textId="77777777" w:rsidR="0028101F" w:rsidRPr="002674EE" w:rsidRDefault="0028101F" w:rsidP="00172773">
            <w:pPr>
              <w:spacing w:after="0" w:line="240" w:lineRule="auto"/>
              <w:rPr>
                <w:b/>
                <w:i/>
                <w:iCs/>
              </w:rPr>
            </w:pPr>
            <w:r w:rsidRPr="002674EE">
              <w:rPr>
                <w:b/>
                <w:i/>
                <w:iCs/>
              </w:rPr>
              <w:t>Descriptor</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6106B" w14:textId="77777777" w:rsidR="0028101F" w:rsidRPr="002674EE" w:rsidRDefault="0028101F" w:rsidP="00172773">
            <w:pPr>
              <w:spacing w:after="0" w:line="240" w:lineRule="auto"/>
              <w:jc w:val="center"/>
              <w:rPr>
                <w:b/>
                <w:i/>
                <w:iCs/>
              </w:rPr>
            </w:pPr>
            <w:r w:rsidRPr="002674EE">
              <w:rPr>
                <w:b/>
                <w:i/>
                <w:iCs/>
              </w:rPr>
              <w:t>Mark awarded</w:t>
            </w:r>
          </w:p>
        </w:tc>
      </w:tr>
      <w:tr w:rsidR="0028101F" w:rsidRPr="001C734E" w14:paraId="2304F05F" w14:textId="77777777" w:rsidTr="00172773">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5FBDC8F9" w14:textId="77777777" w:rsidR="0028101F" w:rsidRPr="002674EE" w:rsidRDefault="0028101F" w:rsidP="00172773">
            <w:pPr>
              <w:spacing w:after="0" w:line="240" w:lineRule="auto"/>
            </w:pPr>
            <w:r w:rsidRPr="002674EE">
              <w:t xml:space="preserve">Applicant fails to provide a response or provides a response of such a poor standard as to provide no confidence that the </w:t>
            </w:r>
            <w:r>
              <w:t>A</w:t>
            </w:r>
            <w:r w:rsidRPr="002674EE">
              <w:t xml:space="preserve">pplicant </w:t>
            </w:r>
            <w:r>
              <w:t>could successfully deliver the project</w:t>
            </w:r>
            <w:r w:rsidRPr="002674EE">
              <w:t>.</w:t>
            </w:r>
          </w:p>
          <w:p w14:paraId="0ED3E6FB" w14:textId="77777777" w:rsidR="0028101F" w:rsidRPr="002674EE" w:rsidRDefault="0028101F" w:rsidP="00172773">
            <w:pPr>
              <w:spacing w:after="0" w:line="240" w:lineRule="auto"/>
              <w:rPr>
                <w:b/>
              </w:rPr>
            </w:pPr>
            <w:r w:rsidRPr="002674EE">
              <w:rPr>
                <w:b/>
              </w:rPr>
              <w:t xml:space="preserve">If </w:t>
            </w:r>
            <w:r>
              <w:rPr>
                <w:b/>
              </w:rPr>
              <w:t>the approach or credentials</w:t>
            </w:r>
            <w:r w:rsidRPr="002674EE">
              <w:rPr>
                <w:b/>
              </w:rPr>
              <w:t xml:space="preserve"> receive a score of ‘0’, the entire submission will be rejected.</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0DB96" w14:textId="77777777" w:rsidR="0028101F" w:rsidRPr="002674EE" w:rsidRDefault="0028101F" w:rsidP="00172773">
            <w:pPr>
              <w:spacing w:after="0" w:line="240" w:lineRule="auto"/>
              <w:jc w:val="center"/>
            </w:pPr>
            <w:r w:rsidRPr="002674EE">
              <w:t>0</w:t>
            </w:r>
          </w:p>
        </w:tc>
      </w:tr>
      <w:tr w:rsidR="0028101F" w:rsidRPr="001C734E" w14:paraId="57A4ADB3" w14:textId="77777777" w:rsidTr="00172773">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0F862F20" w14:textId="77777777" w:rsidR="0028101F" w:rsidRDefault="0028101F" w:rsidP="00172773">
            <w:pPr>
              <w:spacing w:after="0" w:line="240" w:lineRule="auto"/>
            </w:pPr>
            <w:r w:rsidRPr="002674EE">
              <w:t xml:space="preserve">Applicant provides a response of such a poor standard as to provide little confidence that the Applicant meets the requirements. The response shows </w:t>
            </w:r>
            <w:r w:rsidRPr="00223850">
              <w:rPr>
                <w:b/>
              </w:rPr>
              <w:t>many or all</w:t>
            </w:r>
            <w:r w:rsidRPr="002674EE">
              <w:t xml:space="preserve"> of the</w:t>
            </w:r>
            <w:r>
              <w:t xml:space="preserve"> following</w:t>
            </w:r>
            <w:r w:rsidRPr="002674EE">
              <w:t xml:space="preserve"> issues</w:t>
            </w:r>
            <w:r>
              <w:t>:</w:t>
            </w:r>
          </w:p>
          <w:p w14:paraId="29CAA476" w14:textId="77777777" w:rsidR="0028101F" w:rsidRPr="002674EE" w:rsidRDefault="0028101F" w:rsidP="0028101F">
            <w:pPr>
              <w:numPr>
                <w:ilvl w:val="0"/>
                <w:numId w:val="12"/>
              </w:numPr>
              <w:spacing w:after="0" w:line="240" w:lineRule="auto"/>
            </w:pPr>
            <w:r w:rsidRPr="002674EE">
              <w:t>The</w:t>
            </w:r>
            <w:r>
              <w:t xml:space="preserve"> information requested is only partially provided</w:t>
            </w:r>
          </w:p>
          <w:p w14:paraId="5E14016E" w14:textId="77777777" w:rsidR="0028101F" w:rsidRPr="002674EE" w:rsidRDefault="0028101F" w:rsidP="0028101F">
            <w:pPr>
              <w:numPr>
                <w:ilvl w:val="0"/>
                <w:numId w:val="12"/>
              </w:numPr>
              <w:spacing w:after="0" w:line="240" w:lineRule="auto"/>
            </w:pPr>
            <w:r w:rsidRPr="002674EE">
              <w:t xml:space="preserve">The </w:t>
            </w:r>
            <w:r>
              <w:t>response</w:t>
            </w:r>
            <w:r w:rsidRPr="002674EE">
              <w:t xml:space="preserve"> appears</w:t>
            </w:r>
            <w:r>
              <w:t xml:space="preserve"> likely</w:t>
            </w:r>
            <w:r w:rsidRPr="002674EE">
              <w:t xml:space="preserve"> to only partially meet the </w:t>
            </w:r>
            <w:r>
              <w:t>project outcomes</w:t>
            </w:r>
          </w:p>
          <w:p w14:paraId="4087CC80" w14:textId="77777777" w:rsidR="0028101F" w:rsidRPr="002674EE" w:rsidRDefault="0028101F" w:rsidP="0028101F">
            <w:pPr>
              <w:numPr>
                <w:ilvl w:val="0"/>
                <w:numId w:val="12"/>
              </w:numPr>
              <w:spacing w:after="0" w:line="240" w:lineRule="auto"/>
            </w:pPr>
            <w:r w:rsidRPr="002674EE">
              <w:t xml:space="preserve">The </w:t>
            </w:r>
            <w:r>
              <w:t>response</w:t>
            </w:r>
            <w:r w:rsidRPr="002674EE">
              <w:t xml:space="preserve"> does not reflect accepted good practice</w:t>
            </w:r>
            <w:r>
              <w:t>/ has a weak evidence base</w:t>
            </w:r>
          </w:p>
          <w:p w14:paraId="34BD27C9" w14:textId="77777777" w:rsidR="0028101F" w:rsidRPr="002674EE" w:rsidRDefault="0028101F" w:rsidP="0028101F">
            <w:pPr>
              <w:numPr>
                <w:ilvl w:val="0"/>
                <w:numId w:val="12"/>
              </w:numPr>
              <w:spacing w:after="0" w:line="240" w:lineRule="auto"/>
            </w:pPr>
            <w:r w:rsidRPr="002674EE">
              <w:t>The response is insufficiently specific</w:t>
            </w:r>
          </w:p>
          <w:p w14:paraId="57AC2954" w14:textId="77777777" w:rsidR="0028101F" w:rsidRPr="002674EE" w:rsidRDefault="0028101F" w:rsidP="0028101F">
            <w:pPr>
              <w:numPr>
                <w:ilvl w:val="0"/>
                <w:numId w:val="12"/>
              </w:numPr>
              <w:spacing w:after="0" w:line="240" w:lineRule="auto"/>
            </w:pPr>
            <w:r w:rsidRPr="002674EE">
              <w:t xml:space="preserve">The </w:t>
            </w:r>
            <w:r>
              <w:t>response</w:t>
            </w:r>
            <w:r w:rsidRPr="002674EE">
              <w:t xml:space="preserve"> appears not to deliver expected levels of </w:t>
            </w:r>
            <w:r>
              <w:t>detail</w:t>
            </w:r>
            <w:r w:rsidRPr="002674EE">
              <w:t xml:space="preserve">, performance, </w:t>
            </w:r>
            <w:r>
              <w:t>expertise</w:t>
            </w:r>
            <w:r w:rsidRPr="002674EE">
              <w:t xml:space="preserve">, outcome, </w:t>
            </w:r>
            <w:r>
              <w:t>supporting resources or other relevant characteristics</w:t>
            </w:r>
          </w:p>
          <w:p w14:paraId="02BA5728" w14:textId="77777777" w:rsidR="0028101F" w:rsidRPr="00223850" w:rsidRDefault="0028101F" w:rsidP="0028101F">
            <w:pPr>
              <w:pStyle w:val="ListParagraph"/>
              <w:numPr>
                <w:ilvl w:val="0"/>
                <w:numId w:val="12"/>
              </w:numPr>
              <w:spacing w:after="0" w:line="240" w:lineRule="auto"/>
            </w:pPr>
            <w:r>
              <w:t>S</w:t>
            </w:r>
            <w:r w:rsidRPr="00223850">
              <w:t>upporting documents (where requested) are of insufficient quality, depth or relevance.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E52A0" w14:textId="77777777" w:rsidR="0028101F" w:rsidRPr="002674EE" w:rsidRDefault="0028101F" w:rsidP="00172773">
            <w:pPr>
              <w:spacing w:after="0" w:line="240" w:lineRule="auto"/>
              <w:jc w:val="center"/>
            </w:pPr>
            <w:r w:rsidRPr="002674EE">
              <w:t>1</w:t>
            </w:r>
          </w:p>
        </w:tc>
      </w:tr>
      <w:tr w:rsidR="0028101F" w:rsidRPr="001C734E" w14:paraId="616D1070" w14:textId="77777777" w:rsidTr="00172773">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63A89A3F" w14:textId="77777777" w:rsidR="0028101F" w:rsidRPr="002674EE" w:rsidRDefault="0028101F" w:rsidP="00172773">
            <w:pPr>
              <w:spacing w:after="0" w:line="240" w:lineRule="auto"/>
            </w:pPr>
            <w:r w:rsidRPr="002674EE">
              <w:t xml:space="preserve">A response with some </w:t>
            </w:r>
            <w:r w:rsidRPr="00C27931">
              <w:rPr>
                <w:b/>
              </w:rPr>
              <w:t>clear strengths</w:t>
            </w:r>
            <w:r w:rsidRPr="002674EE">
              <w:t xml:space="preserve"> but </w:t>
            </w:r>
            <w:r>
              <w:t>demonstrating</w:t>
            </w:r>
            <w:r w:rsidRPr="002674EE">
              <w:t xml:space="preserve"> </w:t>
            </w:r>
            <w:r w:rsidRPr="00223850">
              <w:rPr>
                <w:b/>
              </w:rPr>
              <w:t>some</w:t>
            </w:r>
            <w:r>
              <w:t xml:space="preserve"> of the issues above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24425" w14:textId="77777777" w:rsidR="0028101F" w:rsidRPr="002674EE" w:rsidRDefault="0028101F" w:rsidP="00172773">
            <w:pPr>
              <w:spacing w:after="0" w:line="240" w:lineRule="auto"/>
              <w:jc w:val="center"/>
            </w:pPr>
            <w:r>
              <w:t>2</w:t>
            </w:r>
          </w:p>
        </w:tc>
      </w:tr>
      <w:tr w:rsidR="0028101F" w:rsidRPr="001C734E" w14:paraId="2A3A0215" w14:textId="77777777" w:rsidTr="00172773">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301C8017" w14:textId="77777777" w:rsidR="0028101F" w:rsidRPr="002674EE" w:rsidRDefault="0028101F" w:rsidP="00172773">
            <w:pPr>
              <w:spacing w:after="0" w:line="240" w:lineRule="auto"/>
            </w:pPr>
            <w:r w:rsidRPr="002674EE">
              <w:t xml:space="preserve">An acceptable response, with </w:t>
            </w:r>
            <w:r w:rsidRPr="00C27931">
              <w:rPr>
                <w:b/>
              </w:rPr>
              <w:t>some degree of weakness</w:t>
            </w:r>
            <w:r w:rsidRPr="002674EE">
              <w:t xml:space="preserve"> but where the weakness does not cause fundamental concerns and is </w:t>
            </w:r>
            <w:r w:rsidRPr="00C27931">
              <w:rPr>
                <w:b/>
              </w:rPr>
              <w:t>outweighed by the strengths.</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ABF4E" w14:textId="77777777" w:rsidR="0028101F" w:rsidRPr="002674EE" w:rsidRDefault="0028101F" w:rsidP="00172773">
            <w:pPr>
              <w:spacing w:after="0" w:line="240" w:lineRule="auto"/>
              <w:jc w:val="center"/>
            </w:pPr>
            <w:r>
              <w:t>3</w:t>
            </w:r>
          </w:p>
        </w:tc>
      </w:tr>
      <w:tr w:rsidR="0028101F" w:rsidRPr="001C734E" w14:paraId="5D74B449" w14:textId="77777777" w:rsidTr="00172773">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0E6EA4F1" w14:textId="77777777" w:rsidR="0028101F" w:rsidRDefault="0028101F" w:rsidP="00172773">
            <w:pPr>
              <w:spacing w:after="0" w:line="240" w:lineRule="auto"/>
            </w:pPr>
            <w:r w:rsidRPr="002674EE">
              <w:t>A good response where the strengths clearly outweigh any minor weakness(</w:t>
            </w:r>
            <w:proofErr w:type="spellStart"/>
            <w:r w:rsidRPr="002674EE">
              <w:t>es</w:t>
            </w:r>
            <w:proofErr w:type="spellEnd"/>
            <w:r w:rsidRPr="002674EE">
              <w:t xml:space="preserve">), and the </w:t>
            </w:r>
            <w:r w:rsidRPr="00C27931">
              <w:rPr>
                <w:b/>
              </w:rPr>
              <w:t>majority</w:t>
            </w:r>
            <w:r w:rsidRPr="002674EE">
              <w:t xml:space="preserve"> of aspects below apply: </w:t>
            </w:r>
          </w:p>
          <w:p w14:paraId="45BA65B3" w14:textId="77777777" w:rsidR="0028101F" w:rsidRPr="002674EE" w:rsidRDefault="0028101F" w:rsidP="0028101F">
            <w:pPr>
              <w:numPr>
                <w:ilvl w:val="0"/>
                <w:numId w:val="12"/>
              </w:numPr>
              <w:spacing w:after="0" w:line="240" w:lineRule="auto"/>
            </w:pPr>
            <w:r w:rsidRPr="002674EE">
              <w:t xml:space="preserve">All </w:t>
            </w:r>
            <w:r>
              <w:t>information requested has been provided in full</w:t>
            </w:r>
          </w:p>
          <w:p w14:paraId="1ADC6E0E" w14:textId="77777777" w:rsidR="0028101F" w:rsidRPr="002674EE" w:rsidRDefault="0028101F" w:rsidP="0028101F">
            <w:pPr>
              <w:numPr>
                <w:ilvl w:val="0"/>
                <w:numId w:val="12"/>
              </w:numPr>
              <w:spacing w:after="0" w:line="240" w:lineRule="auto"/>
            </w:pPr>
            <w:r w:rsidRPr="002674EE">
              <w:t xml:space="preserve">The </w:t>
            </w:r>
            <w:r>
              <w:t>response</w:t>
            </w:r>
            <w:r w:rsidRPr="002674EE">
              <w:t xml:space="preserve"> </w:t>
            </w:r>
            <w:r>
              <w:t>clearly explains how outcomes will be met</w:t>
            </w:r>
          </w:p>
          <w:p w14:paraId="1576C364" w14:textId="77777777" w:rsidR="0028101F" w:rsidRPr="002674EE" w:rsidRDefault="0028101F" w:rsidP="0028101F">
            <w:pPr>
              <w:numPr>
                <w:ilvl w:val="0"/>
                <w:numId w:val="12"/>
              </w:numPr>
              <w:spacing w:after="0" w:line="240" w:lineRule="auto"/>
            </w:pPr>
            <w:r w:rsidRPr="002674EE">
              <w:t xml:space="preserve">The </w:t>
            </w:r>
            <w:r>
              <w:t>response</w:t>
            </w:r>
            <w:r w:rsidRPr="002674EE">
              <w:t xml:space="preserve"> reflects accepted good practice</w:t>
            </w:r>
            <w:r>
              <w:t>/has a strong evidence base</w:t>
            </w:r>
          </w:p>
          <w:p w14:paraId="08327E91" w14:textId="77777777" w:rsidR="0028101F" w:rsidRPr="002674EE" w:rsidRDefault="0028101F" w:rsidP="0028101F">
            <w:pPr>
              <w:numPr>
                <w:ilvl w:val="0"/>
                <w:numId w:val="12"/>
              </w:numPr>
              <w:spacing w:after="0" w:line="240" w:lineRule="auto"/>
            </w:pPr>
            <w:r w:rsidRPr="002674EE">
              <w:t>The response is</w:t>
            </w:r>
            <w:r>
              <w:t xml:space="preserve"> well</w:t>
            </w:r>
            <w:r w:rsidRPr="002674EE">
              <w:t xml:space="preserve"> tailored to specific</w:t>
            </w:r>
            <w:r>
              <w:t xml:space="preserve"> stakeholders and</w:t>
            </w:r>
            <w:r w:rsidRPr="002674EE">
              <w:t xml:space="preserve"> circumstances</w:t>
            </w:r>
          </w:p>
          <w:p w14:paraId="142E2CBD" w14:textId="77777777" w:rsidR="0028101F" w:rsidRPr="002674EE" w:rsidRDefault="0028101F" w:rsidP="0028101F">
            <w:pPr>
              <w:numPr>
                <w:ilvl w:val="0"/>
                <w:numId w:val="12"/>
              </w:numPr>
              <w:spacing w:after="0" w:line="240" w:lineRule="auto"/>
            </w:pPr>
            <w:r w:rsidRPr="002674EE">
              <w:t xml:space="preserve">The </w:t>
            </w:r>
            <w:r>
              <w:t>response</w:t>
            </w:r>
            <w:r w:rsidRPr="002674EE">
              <w:t xml:space="preserve"> </w:t>
            </w:r>
            <w:r>
              <w:t>offers</w:t>
            </w:r>
            <w:r w:rsidRPr="002674EE">
              <w:t xml:space="preserve"> good levels of </w:t>
            </w:r>
            <w:r>
              <w:t>detail</w:t>
            </w:r>
            <w:r w:rsidRPr="002674EE">
              <w:t xml:space="preserve">, performance, </w:t>
            </w:r>
            <w:r>
              <w:t>expertise</w:t>
            </w:r>
            <w:r w:rsidRPr="002674EE">
              <w:t xml:space="preserve">, outcome, </w:t>
            </w:r>
            <w:r>
              <w:t>supporting resources or other relevant characteristics</w:t>
            </w:r>
          </w:p>
          <w:p w14:paraId="4A76FAA5" w14:textId="77777777" w:rsidR="0028101F" w:rsidRPr="002674EE" w:rsidRDefault="0028101F" w:rsidP="0028101F">
            <w:pPr>
              <w:numPr>
                <w:ilvl w:val="0"/>
                <w:numId w:val="12"/>
              </w:numPr>
              <w:spacing w:after="0" w:line="240" w:lineRule="auto"/>
            </w:pPr>
            <w:r>
              <w:t>S</w:t>
            </w:r>
            <w:r w:rsidRPr="002674EE">
              <w:t>upporting documents (where requested) are of good quality, relevant and of sufficient depth.</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A5752" w14:textId="77777777" w:rsidR="0028101F" w:rsidRPr="002674EE" w:rsidRDefault="0028101F" w:rsidP="00172773">
            <w:pPr>
              <w:spacing w:after="0" w:line="240" w:lineRule="auto"/>
              <w:jc w:val="center"/>
            </w:pPr>
            <w:r>
              <w:t>4</w:t>
            </w:r>
          </w:p>
        </w:tc>
      </w:tr>
      <w:tr w:rsidR="0028101F" w:rsidRPr="001C734E" w14:paraId="41F280C3" w14:textId="77777777" w:rsidTr="00172773">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61354A01" w14:textId="77777777" w:rsidR="0028101F" w:rsidRPr="002674EE" w:rsidRDefault="0028101F" w:rsidP="00172773">
            <w:pPr>
              <w:spacing w:after="0" w:line="240" w:lineRule="auto"/>
            </w:pPr>
            <w:r w:rsidRPr="002674EE">
              <w:t xml:space="preserve">An excellent response with </w:t>
            </w:r>
            <w:r>
              <w:t>no weaknesses, that provides confidence that the project outcomes would be fully met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015F" w14:textId="77777777" w:rsidR="0028101F" w:rsidRPr="002674EE" w:rsidRDefault="0028101F" w:rsidP="00172773">
            <w:pPr>
              <w:spacing w:after="0" w:line="240" w:lineRule="auto"/>
              <w:jc w:val="center"/>
            </w:pPr>
            <w:r>
              <w:t>5</w:t>
            </w:r>
          </w:p>
        </w:tc>
      </w:tr>
    </w:tbl>
    <w:p w14:paraId="211FD165" w14:textId="4FA80BD7" w:rsidR="00857842" w:rsidRPr="00295F82" w:rsidRDefault="00857842" w:rsidP="00295F82">
      <w:pPr>
        <w:spacing w:before="120" w:after="120" w:line="276" w:lineRule="auto"/>
        <w:rPr>
          <w:rFonts w:ascii="Calibri" w:hAnsi="Calibri"/>
        </w:rPr>
      </w:pPr>
      <w:r>
        <w:rPr>
          <w:rFonts w:ascii="Calibri" w:hAnsi="Calibri"/>
        </w:rPr>
        <w:t>Selection Process</w:t>
      </w:r>
    </w:p>
    <w:p w14:paraId="159F7387" w14:textId="77777777" w:rsidR="00857842" w:rsidRDefault="00857842" w:rsidP="00857842">
      <w:pPr>
        <w:pStyle w:val="ListParagraph"/>
        <w:numPr>
          <w:ilvl w:val="0"/>
          <w:numId w:val="13"/>
        </w:numPr>
        <w:spacing w:before="120" w:after="120" w:line="276" w:lineRule="auto"/>
        <w:ind w:hanging="578"/>
        <w:rPr>
          <w:rFonts w:ascii="Calibri" w:hAnsi="Calibri"/>
        </w:rPr>
      </w:pPr>
      <w:r w:rsidRPr="000B5E65">
        <w:rPr>
          <w:rFonts w:ascii="Calibri" w:hAnsi="Calibri"/>
        </w:rPr>
        <w:t xml:space="preserve">The score for each question will be divided by the maximum possible score of five (5) and then multiplied by the individual weighting for that question to give a weighted score. For example, if a score of 3 out of 5 is given and the question is worth 10% of total marks (3/5*10), then the weighted score will be 6. </w:t>
      </w:r>
    </w:p>
    <w:p w14:paraId="1755A508" w14:textId="77777777" w:rsidR="00857842" w:rsidRDefault="00857842" w:rsidP="00295F82">
      <w:pPr>
        <w:spacing w:before="120" w:after="120" w:line="276" w:lineRule="auto"/>
        <w:rPr>
          <w:rFonts w:ascii="Calibri" w:hAnsi="Calibri"/>
        </w:rPr>
      </w:pPr>
    </w:p>
    <w:p w14:paraId="62562710" w14:textId="77777777" w:rsidR="00857842" w:rsidRPr="000B5E65" w:rsidRDefault="00857842" w:rsidP="00857842">
      <w:pPr>
        <w:pStyle w:val="ListParagraph"/>
        <w:numPr>
          <w:ilvl w:val="0"/>
          <w:numId w:val="13"/>
        </w:numPr>
        <w:spacing w:before="120" w:after="120" w:line="276" w:lineRule="auto"/>
        <w:ind w:hanging="578"/>
        <w:rPr>
          <w:rFonts w:ascii="Calibri" w:hAnsi="Calibri"/>
        </w:rPr>
      </w:pPr>
      <w:r w:rsidRPr="000B5E65">
        <w:rPr>
          <w:rFonts w:ascii="Calibri" w:hAnsi="Calibri"/>
        </w:rPr>
        <w:t xml:space="preserve">The formula to be used to calculate the score for price is as follows: </w:t>
      </w:r>
    </w:p>
    <w:p w14:paraId="1E256A47" w14:textId="77777777" w:rsidR="00857842" w:rsidRDefault="00857842" w:rsidP="00857842">
      <w:pPr>
        <w:pStyle w:val="ListParagraph"/>
        <w:numPr>
          <w:ilvl w:val="1"/>
          <w:numId w:val="14"/>
        </w:numPr>
        <w:spacing w:before="120" w:after="120" w:line="276" w:lineRule="auto"/>
        <w:rPr>
          <w:rFonts w:ascii="Calibri" w:hAnsi="Calibri"/>
        </w:rPr>
      </w:pPr>
      <w:r w:rsidRPr="000B5E65">
        <w:rPr>
          <w:rFonts w:ascii="Calibri" w:hAnsi="Calibri"/>
        </w:rPr>
        <w:lastRenderedPageBreak/>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4F2B838A" w14:textId="3714AC5B" w:rsidR="00857842" w:rsidRDefault="00857842" w:rsidP="00857842">
      <w:pPr>
        <w:pStyle w:val="ListParagraph"/>
        <w:numPr>
          <w:ilvl w:val="1"/>
          <w:numId w:val="14"/>
        </w:numPr>
        <w:spacing w:before="120" w:after="120" w:line="276" w:lineRule="auto"/>
        <w:rPr>
          <w:rFonts w:ascii="Calibri" w:hAnsi="Calibri"/>
        </w:rPr>
      </w:pPr>
      <w:r w:rsidRPr="000B5E65">
        <w:rPr>
          <w:rFonts w:ascii="Calibri" w:hAnsi="Calibri"/>
        </w:rPr>
        <w:t xml:space="preserve">A total of </w:t>
      </w:r>
      <w:r>
        <w:rPr>
          <w:rFonts w:ascii="Calibri" w:hAnsi="Calibri"/>
        </w:rPr>
        <w:t>30</w:t>
      </w:r>
      <w:r w:rsidRPr="000B5E65">
        <w:rPr>
          <w:rFonts w:ascii="Calibri" w:hAnsi="Calibri"/>
        </w:rPr>
        <w:t>% of the overall score is allocated to Price.</w:t>
      </w:r>
    </w:p>
    <w:p w14:paraId="78FF7C84" w14:textId="08C94414" w:rsidR="00857842" w:rsidRDefault="00857842" w:rsidP="00295F82">
      <w:pPr>
        <w:pStyle w:val="ListParagraph"/>
        <w:spacing w:before="120" w:after="120" w:line="276" w:lineRule="auto"/>
        <w:ind w:left="1440"/>
        <w:rPr>
          <w:rFonts w:ascii="Calibri" w:hAnsi="Calibri"/>
        </w:rPr>
      </w:pPr>
    </w:p>
    <w:p w14:paraId="2C455B5B" w14:textId="4B4C2669" w:rsidR="00857842" w:rsidRDefault="00857842" w:rsidP="00295F82">
      <w:pPr>
        <w:pStyle w:val="ListParagraph"/>
        <w:numPr>
          <w:ilvl w:val="0"/>
          <w:numId w:val="13"/>
        </w:numPr>
        <w:spacing w:before="120" w:after="120" w:line="276" w:lineRule="auto"/>
        <w:ind w:hanging="644"/>
        <w:rPr>
          <w:rFonts w:ascii="Calibri" w:hAnsi="Calibri"/>
        </w:rPr>
      </w:pPr>
      <w:r>
        <w:rPr>
          <w:rFonts w:ascii="Calibri" w:hAnsi="Calibri"/>
        </w:rPr>
        <w:t>The contract will be awarded to the person who scores the highest when combining the quality and price score.</w:t>
      </w:r>
    </w:p>
    <w:p w14:paraId="4C2B297E" w14:textId="77777777" w:rsidR="00295F82" w:rsidRDefault="00295F82" w:rsidP="00295F82">
      <w:pPr>
        <w:pStyle w:val="ListParagraph"/>
        <w:spacing w:before="120" w:after="120" w:line="276" w:lineRule="auto"/>
        <w:ind w:left="502"/>
        <w:rPr>
          <w:rFonts w:ascii="Calibri" w:hAnsi="Calibri"/>
        </w:rPr>
      </w:pPr>
    </w:p>
    <w:p w14:paraId="2B25E0B0" w14:textId="7E6E8D63" w:rsidR="00295F82" w:rsidRDefault="00295F82" w:rsidP="00295F82">
      <w:pPr>
        <w:pStyle w:val="ListParagraph"/>
        <w:numPr>
          <w:ilvl w:val="0"/>
          <w:numId w:val="13"/>
        </w:numPr>
        <w:spacing w:before="120" w:after="120" w:line="276" w:lineRule="auto"/>
        <w:ind w:hanging="644"/>
        <w:rPr>
          <w:rFonts w:ascii="Calibri" w:hAnsi="Calibri"/>
        </w:rPr>
      </w:pPr>
      <w:r>
        <w:rPr>
          <w:rFonts w:ascii="Calibri" w:hAnsi="Calibri"/>
        </w:rPr>
        <w:t xml:space="preserve">Clarification questions should be sent to Sarah Hardy </w:t>
      </w:r>
      <w:hyperlink r:id="rId9" w:history="1">
        <w:r w:rsidRPr="004F5F7E">
          <w:rPr>
            <w:rStyle w:val="Hyperlink"/>
            <w:rFonts w:ascii="Calibri" w:hAnsi="Calibri"/>
          </w:rPr>
          <w:t>sarah.hardy@norfolk.gov.uk</w:t>
        </w:r>
      </w:hyperlink>
    </w:p>
    <w:p w14:paraId="2D666486" w14:textId="77777777" w:rsidR="00295F82" w:rsidRDefault="00295F82" w:rsidP="00295F82">
      <w:pPr>
        <w:pStyle w:val="ListParagraph"/>
        <w:spacing w:before="120" w:after="120" w:line="276" w:lineRule="auto"/>
        <w:ind w:left="502"/>
        <w:rPr>
          <w:rFonts w:ascii="Calibri" w:hAnsi="Calibri"/>
        </w:rPr>
      </w:pPr>
    </w:p>
    <w:p w14:paraId="67298804" w14:textId="72331981" w:rsidR="00295F82" w:rsidRPr="00295F82" w:rsidRDefault="00295F82" w:rsidP="00295F82">
      <w:pPr>
        <w:pStyle w:val="ListParagraph"/>
        <w:numPr>
          <w:ilvl w:val="0"/>
          <w:numId w:val="13"/>
        </w:numPr>
        <w:spacing w:before="120" w:after="120" w:line="276" w:lineRule="auto"/>
        <w:ind w:hanging="644"/>
        <w:rPr>
          <w:rFonts w:ascii="Calibri" w:hAnsi="Calibri"/>
        </w:rPr>
      </w:pPr>
      <w:r>
        <w:rPr>
          <w:rFonts w:ascii="Calibri" w:hAnsi="Calibri"/>
        </w:rPr>
        <w:t>Final bids should be submitted to Sarah Hardy sarah.hardy@norfolk.gov.uk</w:t>
      </w:r>
    </w:p>
    <w:p w14:paraId="2F24E21F" w14:textId="472A39A6" w:rsidR="00857842" w:rsidRDefault="00857842" w:rsidP="00295F82">
      <w:pPr>
        <w:spacing w:before="120" w:after="120" w:line="276" w:lineRule="auto"/>
        <w:rPr>
          <w:rFonts w:ascii="Calibri" w:hAnsi="Calibri"/>
        </w:rPr>
      </w:pPr>
    </w:p>
    <w:p w14:paraId="7B542926" w14:textId="438E9534" w:rsidR="00857842" w:rsidRPr="00295F82" w:rsidRDefault="00857842" w:rsidP="00295F82">
      <w:pPr>
        <w:spacing w:before="120" w:after="120" w:line="276" w:lineRule="auto"/>
        <w:rPr>
          <w:rFonts w:ascii="Calibri" w:hAnsi="Calibri"/>
        </w:rPr>
      </w:pPr>
    </w:p>
    <w:p w14:paraId="269B03F8" w14:textId="77777777" w:rsidR="00857842" w:rsidRPr="00295F82" w:rsidRDefault="00857842" w:rsidP="00295F82">
      <w:pPr>
        <w:spacing w:before="120" w:after="120" w:line="276" w:lineRule="auto"/>
        <w:rPr>
          <w:rFonts w:ascii="Calibri" w:hAnsi="Calibri"/>
        </w:rPr>
      </w:pPr>
    </w:p>
    <w:p w14:paraId="0F429E39" w14:textId="77777777" w:rsidR="0028101F" w:rsidRDefault="0028101F" w:rsidP="0028101F">
      <w:pPr>
        <w:rPr>
          <w:rStyle w:val="Heading1Char"/>
          <w:b w:val="0"/>
        </w:rPr>
      </w:pPr>
    </w:p>
    <w:p w14:paraId="16AC16FE" w14:textId="77777777" w:rsidR="0028101F" w:rsidRDefault="0028101F" w:rsidP="001A31E5"/>
    <w:sectPr w:rsidR="0028101F" w:rsidSect="00956677">
      <w:headerReference w:type="default" r:id="rId1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D4492" w14:textId="77777777" w:rsidR="00504417" w:rsidRDefault="00504417" w:rsidP="001C503C">
      <w:pPr>
        <w:spacing w:after="0" w:line="240" w:lineRule="auto"/>
      </w:pPr>
      <w:r>
        <w:separator/>
      </w:r>
    </w:p>
  </w:endnote>
  <w:endnote w:type="continuationSeparator" w:id="0">
    <w:p w14:paraId="64DC0316" w14:textId="77777777" w:rsidR="00504417" w:rsidRDefault="00504417" w:rsidP="001C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C3CBF" w14:textId="77777777" w:rsidR="00504417" w:rsidRDefault="00504417" w:rsidP="001C503C">
      <w:pPr>
        <w:spacing w:after="0" w:line="240" w:lineRule="auto"/>
      </w:pPr>
      <w:r>
        <w:separator/>
      </w:r>
    </w:p>
  </w:footnote>
  <w:footnote w:type="continuationSeparator" w:id="0">
    <w:p w14:paraId="6A0B95DE" w14:textId="77777777" w:rsidR="00504417" w:rsidRDefault="00504417" w:rsidP="001C5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44C5E" w14:textId="77777777" w:rsidR="001C503C" w:rsidRPr="001C503C" w:rsidRDefault="001C503C" w:rsidP="001C503C">
    <w:pPr>
      <w:jc w:val="center"/>
      <w:rPr>
        <w:b/>
        <w:sz w:val="24"/>
      </w:rPr>
    </w:pPr>
    <w:r w:rsidRPr="001C503C">
      <w:rPr>
        <w:b/>
        <w:color w:val="FF0000"/>
        <w:sz w:val="24"/>
      </w:rPr>
      <w:t xml:space="preserve">NOA F2 </w:t>
    </w:r>
    <w:r w:rsidRPr="001C503C">
      <w:rPr>
        <w:b/>
        <w:sz w:val="24"/>
      </w:rPr>
      <w:t>Specification for a commissioned activity for the Norwich Opportunity Area</w:t>
    </w:r>
  </w:p>
  <w:p w14:paraId="72F294C0" w14:textId="77777777" w:rsidR="001C503C" w:rsidRDefault="001C5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450pt" o:bullet="t">
        <v:imagedata r:id="rId1" o:title="Ic_check_box_outline_blank_48px"/>
      </v:shape>
    </w:pict>
  </w:numPicBullet>
  <w:abstractNum w:abstractNumId="0"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E81320"/>
    <w:multiLevelType w:val="hybridMultilevel"/>
    <w:tmpl w:val="8826B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17B9A"/>
    <w:multiLevelType w:val="hybridMultilevel"/>
    <w:tmpl w:val="F5742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B191A"/>
    <w:multiLevelType w:val="hybridMultilevel"/>
    <w:tmpl w:val="7E203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35531"/>
    <w:multiLevelType w:val="hybridMultilevel"/>
    <w:tmpl w:val="F5742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91FE2"/>
    <w:multiLevelType w:val="hybridMultilevel"/>
    <w:tmpl w:val="C2AE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21DA6"/>
    <w:multiLevelType w:val="hybridMultilevel"/>
    <w:tmpl w:val="C3DA32B8"/>
    <w:lvl w:ilvl="0" w:tplc="20B0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E22E16"/>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B0341A"/>
    <w:multiLevelType w:val="hybridMultilevel"/>
    <w:tmpl w:val="52C4A436"/>
    <w:lvl w:ilvl="0" w:tplc="F1B8DA1A">
      <w:start w:val="1"/>
      <w:numFmt w:val="bullet"/>
      <w:lvlText w:val=""/>
      <w:lvlJc w:val="left"/>
      <w:pPr>
        <w:ind w:left="1440" w:hanging="360"/>
      </w:pPr>
      <w:rPr>
        <w:rFonts w:ascii="Symbol" w:hAnsi="Symbol" w:hint="default"/>
      </w:rPr>
    </w:lvl>
    <w:lvl w:ilvl="1" w:tplc="64F207D6">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0376C"/>
    <w:multiLevelType w:val="hybridMultilevel"/>
    <w:tmpl w:val="D92C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D02695"/>
    <w:multiLevelType w:val="hybridMultilevel"/>
    <w:tmpl w:val="C3DA32B8"/>
    <w:lvl w:ilvl="0" w:tplc="20B0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682068"/>
    <w:multiLevelType w:val="hybridMultilevel"/>
    <w:tmpl w:val="90EC2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2"/>
  </w:num>
  <w:num w:numId="5">
    <w:abstractNumId w:val="10"/>
  </w:num>
  <w:num w:numId="6">
    <w:abstractNumId w:val="3"/>
  </w:num>
  <w:num w:numId="7">
    <w:abstractNumId w:val="6"/>
  </w:num>
  <w:num w:numId="8">
    <w:abstractNumId w:val="1"/>
  </w:num>
  <w:num w:numId="9">
    <w:abstractNumId w:val="8"/>
  </w:num>
  <w:num w:numId="10">
    <w:abstractNumId w:val="12"/>
  </w:num>
  <w:num w:numId="11">
    <w:abstractNumId w:val="11"/>
  </w:num>
  <w:num w:numId="12">
    <w:abstractNumId w:val="7"/>
  </w:num>
  <w:num w:numId="13">
    <w:abstractNumId w:val="9"/>
  </w:num>
  <w:num w:numId="1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3C"/>
    <w:rsid w:val="00022487"/>
    <w:rsid w:val="000E4D35"/>
    <w:rsid w:val="001A31E5"/>
    <w:rsid w:val="001C503C"/>
    <w:rsid w:val="001D4A14"/>
    <w:rsid w:val="0020018A"/>
    <w:rsid w:val="00252A11"/>
    <w:rsid w:val="0028101F"/>
    <w:rsid w:val="00295F82"/>
    <w:rsid w:val="0036343D"/>
    <w:rsid w:val="00400AD0"/>
    <w:rsid w:val="00466089"/>
    <w:rsid w:val="00504417"/>
    <w:rsid w:val="005B1C09"/>
    <w:rsid w:val="00632AFA"/>
    <w:rsid w:val="006701CA"/>
    <w:rsid w:val="006A1EF6"/>
    <w:rsid w:val="006F0AF9"/>
    <w:rsid w:val="006F4A5A"/>
    <w:rsid w:val="00711B8C"/>
    <w:rsid w:val="00857842"/>
    <w:rsid w:val="008A092A"/>
    <w:rsid w:val="008F44D1"/>
    <w:rsid w:val="0092117D"/>
    <w:rsid w:val="00933607"/>
    <w:rsid w:val="00956677"/>
    <w:rsid w:val="00A6759E"/>
    <w:rsid w:val="00B15772"/>
    <w:rsid w:val="00B9481A"/>
    <w:rsid w:val="00BC4C6B"/>
    <w:rsid w:val="00BE2AC0"/>
    <w:rsid w:val="00DF0943"/>
    <w:rsid w:val="00EC06A7"/>
    <w:rsid w:val="00FB0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3B76"/>
  <w15:chartTrackingRefBased/>
  <w15:docId w15:val="{D615A3E3-9D39-4A4C-B93C-201C147D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03C"/>
  </w:style>
  <w:style w:type="paragraph" w:styleId="Heading1">
    <w:name w:val="heading 1"/>
    <w:basedOn w:val="Normal"/>
    <w:next w:val="Normal"/>
    <w:link w:val="Heading1Char"/>
    <w:uiPriority w:val="9"/>
    <w:qFormat/>
    <w:rsid w:val="0028101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03C"/>
  </w:style>
  <w:style w:type="paragraph" w:styleId="Footer">
    <w:name w:val="footer"/>
    <w:basedOn w:val="Normal"/>
    <w:link w:val="FooterChar"/>
    <w:uiPriority w:val="99"/>
    <w:unhideWhenUsed/>
    <w:rsid w:val="001C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03C"/>
  </w:style>
  <w:style w:type="paragraph" w:styleId="ListParagraph">
    <w:name w:val="List Paragraph"/>
    <w:basedOn w:val="Normal"/>
    <w:link w:val="ListParagraphChar"/>
    <w:uiPriority w:val="34"/>
    <w:qFormat/>
    <w:rsid w:val="008A092A"/>
    <w:pPr>
      <w:ind w:left="720"/>
      <w:contextualSpacing/>
    </w:pPr>
  </w:style>
  <w:style w:type="table" w:styleId="TableGrid">
    <w:name w:val="Table Grid"/>
    <w:basedOn w:val="TableNormal"/>
    <w:uiPriority w:val="39"/>
    <w:rsid w:val="0046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0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943"/>
    <w:rPr>
      <w:rFonts w:ascii="Segoe UI" w:hAnsi="Segoe UI" w:cs="Segoe UI"/>
      <w:sz w:val="18"/>
      <w:szCs w:val="18"/>
    </w:rPr>
  </w:style>
  <w:style w:type="character" w:customStyle="1" w:styleId="Heading1Char">
    <w:name w:val="Heading 1 Char"/>
    <w:basedOn w:val="DefaultParagraphFont"/>
    <w:link w:val="Heading1"/>
    <w:uiPriority w:val="9"/>
    <w:rsid w:val="0028101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link w:val="ListParagraph"/>
    <w:uiPriority w:val="34"/>
    <w:locked/>
    <w:rsid w:val="00857842"/>
  </w:style>
  <w:style w:type="character" w:styleId="Hyperlink">
    <w:name w:val="Hyperlink"/>
    <w:basedOn w:val="DefaultParagraphFont"/>
    <w:uiPriority w:val="99"/>
    <w:unhideWhenUsed/>
    <w:rsid w:val="00295F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hardy@norfolk.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E7DB9-47A8-4A0A-AE11-421406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Bircham</dc:creator>
  <cp:keywords/>
  <dc:description/>
  <cp:lastModifiedBy>Hardy, Sarah</cp:lastModifiedBy>
  <cp:revision>2</cp:revision>
  <cp:lastPrinted>2017-11-13T18:01:00Z</cp:lastPrinted>
  <dcterms:created xsi:type="dcterms:W3CDTF">2017-11-22T08:25:00Z</dcterms:created>
  <dcterms:modified xsi:type="dcterms:W3CDTF">2017-11-22T08:25:00Z</dcterms:modified>
</cp:coreProperties>
</file>