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422" w:rsidRPr="00BD5933" w:rsidRDefault="00F23422" w:rsidP="004004E1">
      <w:pPr>
        <w:tabs>
          <w:tab w:val="center" w:pos="4153"/>
          <w:tab w:val="right" w:pos="8306"/>
        </w:tabs>
        <w:spacing w:after="0" w:line="240" w:lineRule="auto"/>
        <w:ind w:left="720"/>
        <w:rPr>
          <w:rFonts w:eastAsia="SimSun"/>
          <w:sz w:val="20"/>
          <w:szCs w:val="20"/>
          <w:lang w:eastAsia="zh-CN"/>
        </w:rPr>
      </w:pPr>
    </w:p>
    <w:p w:rsidR="00F23422" w:rsidRPr="00BD5933" w:rsidRDefault="00F23422" w:rsidP="004004E1">
      <w:pPr>
        <w:pStyle w:val="Heading1"/>
        <w:rPr>
          <w:rFonts w:ascii="Arial" w:hAnsi="Arial" w:cs="Arial"/>
          <w:b/>
          <w:color w:val="auto"/>
          <w:sz w:val="24"/>
          <w:szCs w:val="24"/>
        </w:rPr>
      </w:pPr>
    </w:p>
    <w:p w:rsidR="00F73CA3" w:rsidRPr="002F0F47" w:rsidRDefault="008B1249" w:rsidP="004004E1">
      <w:pPr>
        <w:pStyle w:val="Heading1"/>
        <w:rPr>
          <w:rFonts w:ascii="Arial" w:hAnsi="Arial" w:cs="Arial"/>
          <w:b/>
          <w:color w:val="auto"/>
          <w:sz w:val="28"/>
          <w:szCs w:val="28"/>
        </w:rPr>
      </w:pPr>
      <w:bookmarkStart w:id="0" w:name="_Hlk536516327"/>
      <w:r w:rsidRPr="002F0F47">
        <w:rPr>
          <w:rFonts w:ascii="Arial" w:hAnsi="Arial" w:cs="Arial"/>
          <w:b/>
          <w:color w:val="auto"/>
          <w:sz w:val="28"/>
          <w:szCs w:val="28"/>
        </w:rPr>
        <w:t xml:space="preserve">Auditing compliance with Section 54 of the </w:t>
      </w:r>
      <w:r w:rsidR="00FF71A5" w:rsidRPr="002F0F47">
        <w:rPr>
          <w:rFonts w:ascii="Arial" w:hAnsi="Arial" w:cs="Arial"/>
          <w:b/>
          <w:color w:val="auto"/>
          <w:sz w:val="28"/>
          <w:szCs w:val="28"/>
        </w:rPr>
        <w:t xml:space="preserve">Modern </w:t>
      </w:r>
      <w:r w:rsidR="001263E3" w:rsidRPr="002F0F47">
        <w:rPr>
          <w:rFonts w:ascii="Arial" w:hAnsi="Arial" w:cs="Arial"/>
          <w:b/>
          <w:color w:val="auto"/>
          <w:sz w:val="28"/>
          <w:szCs w:val="28"/>
        </w:rPr>
        <w:t>S</w:t>
      </w:r>
      <w:r w:rsidR="00FF71A5" w:rsidRPr="002F0F47">
        <w:rPr>
          <w:rFonts w:ascii="Arial" w:hAnsi="Arial" w:cs="Arial"/>
          <w:b/>
          <w:color w:val="auto"/>
          <w:sz w:val="28"/>
          <w:szCs w:val="28"/>
        </w:rPr>
        <w:t>lavery</w:t>
      </w:r>
      <w:r w:rsidRPr="002F0F47">
        <w:rPr>
          <w:rFonts w:ascii="Arial" w:hAnsi="Arial" w:cs="Arial"/>
          <w:b/>
          <w:color w:val="auto"/>
          <w:sz w:val="28"/>
          <w:szCs w:val="28"/>
        </w:rPr>
        <w:t xml:space="preserve"> Act 2015</w:t>
      </w:r>
    </w:p>
    <w:bookmarkEnd w:id="0"/>
    <w:p w:rsidR="001A2FCD" w:rsidRPr="002F0F47" w:rsidRDefault="001A2FCD" w:rsidP="004004E1"/>
    <w:p w:rsidR="001A2FCD" w:rsidRPr="002F0F47" w:rsidRDefault="00F73CA3" w:rsidP="004004E1">
      <w:pPr>
        <w:spacing w:after="0" w:line="240" w:lineRule="auto"/>
        <w:rPr>
          <w:rFonts w:eastAsia="SimSun"/>
          <w:b/>
          <w:sz w:val="22"/>
          <w:lang w:eastAsia="en-GB"/>
        </w:rPr>
      </w:pPr>
      <w:r w:rsidRPr="002F0F47">
        <w:rPr>
          <w:rFonts w:eastAsia="SimSun"/>
          <w:b/>
          <w:sz w:val="22"/>
          <w:lang w:eastAsia="en-GB"/>
        </w:rPr>
        <w:t>CONTENTS</w:t>
      </w:r>
    </w:p>
    <w:p w:rsidR="00F73CA3" w:rsidRPr="002F0F47" w:rsidRDefault="00F73CA3" w:rsidP="004004E1">
      <w:pPr>
        <w:spacing w:after="0" w:line="240" w:lineRule="auto"/>
        <w:rPr>
          <w:rFonts w:eastAsia="SimSun"/>
          <w:sz w:val="22"/>
          <w:szCs w:val="24"/>
          <w:lang w:eastAsia="zh-CN"/>
        </w:rPr>
      </w:pPr>
    </w:p>
    <w:p w:rsidR="00F73CA3" w:rsidRPr="002F0F47" w:rsidRDefault="00981E45" w:rsidP="004004E1">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Background_to_the" w:history="1">
        <w:r w:rsidR="00141A83" w:rsidRPr="002F0F47">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BACKGROUND TO THE CONTRACTING AUTHORITY</w:t>
        </w:r>
      </w:hyperlink>
      <w:r w:rsidR="00141A83" w:rsidRPr="002F0F4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141A83" w:rsidRPr="002F0F47" w:rsidRDefault="00981E45" w:rsidP="004004E1">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Purpose" w:history="1">
        <w:r w:rsidR="00141A83" w:rsidRPr="002F0F47">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w:t>
        </w:r>
      </w:hyperlink>
      <w:r w:rsidR="00141A83" w:rsidRPr="002F0F4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141A83" w:rsidRPr="002F0F47" w:rsidRDefault="00981E45" w:rsidP="004004E1">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Contracting_authority’s_responsibil" w:history="1">
        <w:r w:rsidR="00141A83" w:rsidRPr="002F0F47">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CONTRACTING AUTHORITY’S RESPONSIBILITIES</w:t>
        </w:r>
      </w:hyperlink>
      <w:r w:rsidR="006800F1" w:rsidRPr="002F0F4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7DB4">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141A83" w:rsidRPr="002F0F4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41A83" w:rsidRPr="002F0F47" w:rsidRDefault="00981E45" w:rsidP="004004E1">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he_requirement" w:history="1">
        <w:r w:rsidR="00141A83" w:rsidRPr="002F0F47">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REQUIREMENT</w:t>
        </w:r>
      </w:hyperlink>
      <w:r w:rsidR="00141A83" w:rsidRPr="002F0F4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7DB4">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141A83" w:rsidRPr="002F0F47" w:rsidRDefault="00981E45" w:rsidP="004004E1">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Budget" w:history="1">
        <w:r w:rsidR="00141A83" w:rsidRPr="002F0F47">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hyperlink>
      <w:r w:rsidR="00141A83" w:rsidRPr="002F0F4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7DB4">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141A83" w:rsidRPr="002F0F47" w:rsidRDefault="00981E45" w:rsidP="004004E1">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Annex__2" w:history="1">
        <w:r w:rsidR="00141A83" w:rsidRPr="002F0F47">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ANNEX 1: </w:t>
        </w:r>
      </w:hyperlink>
      <w:r w:rsidR="00C31EBE" w:rsidRPr="002F0F47">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PROCUREMENT T</w:t>
      </w:r>
      <w:bookmarkStart w:id="1" w:name="_Hlk536461637"/>
      <w:r w:rsidR="00C31EBE" w:rsidRPr="002F0F47">
        <w:rPr>
          <w:rStyle w:val="Hyperlink"/>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IMETABLE</w:t>
      </w:r>
      <w:r w:rsidR="00C31EBE" w:rsidRPr="002F0F47">
        <w:rPr>
          <w:rStyle w:val="Hyperlink"/>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41A83" w:rsidRPr="002F0F4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7DB4">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141A83" w:rsidRPr="002F0F4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1"/>
    </w:p>
    <w:p w:rsidR="003C4C1E" w:rsidRPr="002F0F47" w:rsidRDefault="003C4C1E" w:rsidP="004004E1">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C4C1E" w:rsidRPr="002F0F47" w:rsidRDefault="003C4C1E" w:rsidP="004004E1"/>
    <w:p w:rsidR="00F73CA3" w:rsidRPr="002F0F47" w:rsidRDefault="00F73CA3" w:rsidP="004004E1">
      <w:pPr>
        <w:rPr>
          <w:szCs w:val="24"/>
        </w:rPr>
      </w:pPr>
    </w:p>
    <w:p w:rsidR="00EC24B5" w:rsidRPr="002F0F47" w:rsidRDefault="00EC24B5" w:rsidP="004004E1">
      <w:pPr>
        <w:rPr>
          <w:szCs w:val="24"/>
        </w:rPr>
      </w:pPr>
    </w:p>
    <w:p w:rsidR="00EC24B5" w:rsidRPr="002F0F47" w:rsidRDefault="00EC24B5" w:rsidP="004004E1">
      <w:pPr>
        <w:rPr>
          <w:szCs w:val="24"/>
        </w:rPr>
      </w:pPr>
    </w:p>
    <w:p w:rsidR="00EC24B5" w:rsidRPr="002F0F47" w:rsidRDefault="00EC24B5" w:rsidP="004004E1">
      <w:pPr>
        <w:rPr>
          <w:szCs w:val="24"/>
        </w:rPr>
      </w:pPr>
    </w:p>
    <w:p w:rsidR="00EC24B5" w:rsidRPr="002F0F47" w:rsidRDefault="00EC24B5" w:rsidP="004004E1"/>
    <w:p w:rsidR="00F73CA3" w:rsidRPr="002F0F47" w:rsidRDefault="00F73CA3" w:rsidP="004004E1"/>
    <w:p w:rsidR="00F73CA3" w:rsidRPr="002F0F47" w:rsidRDefault="00F73CA3" w:rsidP="004004E1"/>
    <w:p w:rsidR="00F73CA3" w:rsidRPr="002F0F47" w:rsidRDefault="00F73CA3" w:rsidP="004004E1"/>
    <w:p w:rsidR="00F73CA3" w:rsidRPr="002F0F47" w:rsidRDefault="00F73CA3" w:rsidP="004004E1"/>
    <w:p w:rsidR="00F73CA3" w:rsidRPr="002F0F47" w:rsidRDefault="00F73CA3" w:rsidP="004004E1"/>
    <w:p w:rsidR="00BD5933" w:rsidRPr="002F0F47" w:rsidRDefault="00BD5933" w:rsidP="004004E1">
      <w:pPr>
        <w:pStyle w:val="Heading1"/>
        <w:rPr>
          <w:rFonts w:ascii="Arial" w:hAnsi="Arial" w:cs="Arial"/>
          <w:color w:val="auto"/>
        </w:rPr>
      </w:pPr>
      <w:bookmarkStart w:id="2" w:name="_Background_to_the"/>
      <w:bookmarkEnd w:id="2"/>
    </w:p>
    <w:p w:rsidR="007014E6" w:rsidRPr="002F0F47" w:rsidRDefault="001A2FCD" w:rsidP="004004E1">
      <w:pPr>
        <w:pStyle w:val="Heading1"/>
        <w:rPr>
          <w:rFonts w:ascii="Arial" w:hAnsi="Arial" w:cs="Arial"/>
          <w:b/>
          <w:color w:val="auto"/>
          <w:sz w:val="24"/>
          <w:szCs w:val="24"/>
          <w:u w:val="single"/>
        </w:rPr>
      </w:pPr>
      <w:r w:rsidRPr="002F0F47">
        <w:rPr>
          <w:rFonts w:ascii="Arial" w:hAnsi="Arial" w:cs="Arial"/>
          <w:b/>
          <w:color w:val="auto"/>
          <w:sz w:val="24"/>
          <w:szCs w:val="24"/>
          <w:u w:val="single"/>
        </w:rPr>
        <w:t xml:space="preserve">Background to the contracting authority </w:t>
      </w:r>
    </w:p>
    <w:p w:rsidR="00B92A04" w:rsidRPr="002F0F47" w:rsidRDefault="00141A83" w:rsidP="004004E1">
      <w:pPr>
        <w:rPr>
          <w:szCs w:val="24"/>
        </w:rPr>
      </w:pPr>
      <w:r w:rsidRPr="002F0F47">
        <w:rPr>
          <w:szCs w:val="24"/>
        </w:rPr>
        <w:br/>
      </w:r>
      <w:r w:rsidR="00B16F9C" w:rsidRPr="002F0F47">
        <w:rPr>
          <w:szCs w:val="24"/>
        </w:rPr>
        <w:t xml:space="preserve">The </w:t>
      </w:r>
      <w:r w:rsidR="00FF71A5" w:rsidRPr="002F0F47">
        <w:rPr>
          <w:szCs w:val="24"/>
        </w:rPr>
        <w:t xml:space="preserve">Modern </w:t>
      </w:r>
      <w:r w:rsidR="001263E3" w:rsidRPr="002F0F47">
        <w:rPr>
          <w:szCs w:val="24"/>
        </w:rPr>
        <w:t>S</w:t>
      </w:r>
      <w:r w:rsidR="00FF71A5" w:rsidRPr="002F0F47">
        <w:rPr>
          <w:szCs w:val="24"/>
        </w:rPr>
        <w:t>lavery</w:t>
      </w:r>
      <w:r w:rsidR="00B16F9C" w:rsidRPr="002F0F47">
        <w:rPr>
          <w:szCs w:val="24"/>
        </w:rPr>
        <w:t xml:space="preserve"> Act 2015</w:t>
      </w:r>
      <w:r w:rsidR="00D83A4F" w:rsidRPr="002F0F47">
        <w:rPr>
          <w:szCs w:val="24"/>
        </w:rPr>
        <w:t xml:space="preserve"> (the Act)</w:t>
      </w:r>
      <w:r w:rsidR="00B16F9C" w:rsidRPr="002F0F47">
        <w:rPr>
          <w:szCs w:val="24"/>
        </w:rPr>
        <w:t xml:space="preserve"> gave law enforcement agencies the tools to target </w:t>
      </w:r>
      <w:r w:rsidR="00FF71A5" w:rsidRPr="002F0F47">
        <w:rPr>
          <w:szCs w:val="24"/>
        </w:rPr>
        <w:t>modern slavery</w:t>
      </w:r>
      <w:r w:rsidR="00B92A04" w:rsidRPr="002F0F47">
        <w:rPr>
          <w:szCs w:val="24"/>
        </w:rPr>
        <w:t xml:space="preserve">, including </w:t>
      </w:r>
      <w:r w:rsidR="00B16F9C" w:rsidRPr="002F0F47">
        <w:rPr>
          <w:szCs w:val="24"/>
        </w:rPr>
        <w:t>maximum life sentences for perpetrators and en</w:t>
      </w:r>
      <w:r w:rsidR="00BD5933" w:rsidRPr="002F0F47">
        <w:rPr>
          <w:szCs w:val="24"/>
        </w:rPr>
        <w:t xml:space="preserve">hanced protection for victims. </w:t>
      </w:r>
    </w:p>
    <w:p w:rsidR="007014E6" w:rsidRPr="002F0F47" w:rsidRDefault="00323B36" w:rsidP="004004E1">
      <w:pPr>
        <w:rPr>
          <w:szCs w:val="24"/>
        </w:rPr>
      </w:pPr>
      <w:r w:rsidRPr="002F0F47">
        <w:rPr>
          <w:szCs w:val="24"/>
        </w:rPr>
        <w:t xml:space="preserve">The Act </w:t>
      </w:r>
      <w:r w:rsidR="00B16F9C" w:rsidRPr="002F0F47">
        <w:rPr>
          <w:szCs w:val="24"/>
        </w:rPr>
        <w:t>also created</w:t>
      </w:r>
      <w:r w:rsidRPr="002F0F47">
        <w:rPr>
          <w:szCs w:val="24"/>
        </w:rPr>
        <w:t xml:space="preserve"> a legal re</w:t>
      </w:r>
      <w:r w:rsidR="00B16F9C" w:rsidRPr="002F0F47">
        <w:rPr>
          <w:szCs w:val="24"/>
        </w:rPr>
        <w:t>quirement for certain</w:t>
      </w:r>
      <w:r w:rsidRPr="002F0F47">
        <w:rPr>
          <w:szCs w:val="24"/>
        </w:rPr>
        <w:t xml:space="preserve"> organisations to</w:t>
      </w:r>
      <w:r w:rsidR="00D83A4F" w:rsidRPr="002F0F47">
        <w:rPr>
          <w:szCs w:val="24"/>
        </w:rPr>
        <w:t xml:space="preserve"> report on slavery and exploitation risks in their supply chains</w:t>
      </w:r>
      <w:r w:rsidRPr="002F0F47">
        <w:rPr>
          <w:szCs w:val="24"/>
        </w:rPr>
        <w:t xml:space="preserve">. </w:t>
      </w:r>
      <w:r w:rsidR="00D83A4F" w:rsidRPr="002F0F47">
        <w:rPr>
          <w:szCs w:val="24"/>
        </w:rPr>
        <w:t xml:space="preserve">Organisations ‘in scope’ of Section 54 (Transparency in Supply Chains requirements) of the Act must produce an annual statement reporting on the steps they have taken to prevent </w:t>
      </w:r>
      <w:r w:rsidR="00FF71A5" w:rsidRPr="002F0F47">
        <w:rPr>
          <w:szCs w:val="24"/>
        </w:rPr>
        <w:t>modern slavery</w:t>
      </w:r>
      <w:r w:rsidR="00D83A4F" w:rsidRPr="002F0F47">
        <w:rPr>
          <w:szCs w:val="24"/>
        </w:rPr>
        <w:t xml:space="preserve"> in their business and supply chains.</w:t>
      </w:r>
    </w:p>
    <w:p w:rsidR="00323B36" w:rsidRPr="002F0F47" w:rsidRDefault="00323B36" w:rsidP="004004E1">
      <w:pPr>
        <w:rPr>
          <w:szCs w:val="24"/>
        </w:rPr>
      </w:pPr>
      <w:r w:rsidRPr="002F0F47">
        <w:rPr>
          <w:szCs w:val="24"/>
        </w:rPr>
        <w:t xml:space="preserve">The Home Office is the lead Government department with responsibility for policy, legislation and related activities for the </w:t>
      </w:r>
      <w:r w:rsidR="00FF71A5" w:rsidRPr="002F0F47">
        <w:rPr>
          <w:szCs w:val="24"/>
        </w:rPr>
        <w:t xml:space="preserve">Modern </w:t>
      </w:r>
      <w:r w:rsidR="001263E3" w:rsidRPr="002F0F47">
        <w:rPr>
          <w:szCs w:val="24"/>
        </w:rPr>
        <w:t>S</w:t>
      </w:r>
      <w:r w:rsidR="00FF71A5" w:rsidRPr="002F0F47">
        <w:rPr>
          <w:szCs w:val="24"/>
        </w:rPr>
        <w:t>lavery</w:t>
      </w:r>
      <w:r w:rsidRPr="002F0F47">
        <w:rPr>
          <w:szCs w:val="24"/>
        </w:rPr>
        <w:t xml:space="preserve"> Act 2015. </w:t>
      </w:r>
    </w:p>
    <w:p w:rsidR="00D83A4F" w:rsidRPr="002F0F47" w:rsidRDefault="00323B36" w:rsidP="004004E1">
      <w:pPr>
        <w:rPr>
          <w:szCs w:val="24"/>
        </w:rPr>
      </w:pPr>
      <w:r w:rsidRPr="002F0F47">
        <w:rPr>
          <w:szCs w:val="24"/>
        </w:rPr>
        <w:t>The Home Office is seeking an organisation to support it undertake a</w:t>
      </w:r>
      <w:r w:rsidR="00DC50B2" w:rsidRPr="002F0F47">
        <w:rPr>
          <w:szCs w:val="24"/>
        </w:rPr>
        <w:t>n</w:t>
      </w:r>
      <w:r w:rsidRPr="002F0F47">
        <w:rPr>
          <w:szCs w:val="24"/>
        </w:rPr>
        <w:t xml:space="preserve"> audit of compli</w:t>
      </w:r>
      <w:r w:rsidR="00BD5933" w:rsidRPr="002F0F47">
        <w:rPr>
          <w:szCs w:val="24"/>
        </w:rPr>
        <w:t>ance with Section 54 of the Act</w:t>
      </w:r>
      <w:r w:rsidR="00DC50B2" w:rsidRPr="002F0F47">
        <w:rPr>
          <w:szCs w:val="24"/>
        </w:rPr>
        <w:t>.</w:t>
      </w:r>
    </w:p>
    <w:p w:rsidR="008B1249" w:rsidRPr="002F0F47" w:rsidRDefault="001A2FCD" w:rsidP="004004E1">
      <w:pPr>
        <w:pStyle w:val="Heading1"/>
        <w:rPr>
          <w:rFonts w:ascii="Arial" w:hAnsi="Arial" w:cs="Arial"/>
          <w:b/>
          <w:color w:val="auto"/>
          <w:sz w:val="24"/>
          <w:szCs w:val="24"/>
          <w:u w:val="single"/>
        </w:rPr>
      </w:pPr>
      <w:bookmarkStart w:id="3" w:name="_Purpose"/>
      <w:bookmarkEnd w:id="3"/>
      <w:r w:rsidRPr="002F0F47">
        <w:rPr>
          <w:rFonts w:ascii="Arial" w:hAnsi="Arial" w:cs="Arial"/>
          <w:b/>
          <w:color w:val="auto"/>
          <w:sz w:val="24"/>
          <w:szCs w:val="24"/>
          <w:u w:val="single"/>
        </w:rPr>
        <w:t>Purpose</w:t>
      </w:r>
      <w:r w:rsidR="001C290D" w:rsidRPr="002F0F47">
        <w:rPr>
          <w:rFonts w:ascii="Arial" w:hAnsi="Arial" w:cs="Arial"/>
          <w:b/>
          <w:color w:val="auto"/>
          <w:sz w:val="24"/>
          <w:szCs w:val="24"/>
          <w:u w:val="single"/>
        </w:rPr>
        <w:t xml:space="preserve"> </w:t>
      </w:r>
    </w:p>
    <w:p w:rsidR="00E42827" w:rsidRPr="002F0F47" w:rsidRDefault="00141A83" w:rsidP="004004E1">
      <w:pPr>
        <w:rPr>
          <w:szCs w:val="24"/>
        </w:rPr>
      </w:pPr>
      <w:r w:rsidRPr="002F0F47">
        <w:rPr>
          <w:szCs w:val="24"/>
        </w:rPr>
        <w:br/>
      </w:r>
      <w:r w:rsidR="00D83A4F" w:rsidRPr="002F0F47">
        <w:rPr>
          <w:szCs w:val="24"/>
        </w:rPr>
        <w:t xml:space="preserve">The </w:t>
      </w:r>
      <w:r w:rsidR="00C42B64" w:rsidRPr="002F0F47">
        <w:rPr>
          <w:szCs w:val="24"/>
        </w:rPr>
        <w:t>Home Off</w:t>
      </w:r>
      <w:r w:rsidR="005378D0" w:rsidRPr="002F0F47">
        <w:rPr>
          <w:szCs w:val="24"/>
        </w:rPr>
        <w:t xml:space="preserve">ice is seeking to </w:t>
      </w:r>
      <w:r w:rsidR="002C0C85" w:rsidRPr="002F0F47">
        <w:rPr>
          <w:szCs w:val="24"/>
        </w:rPr>
        <w:t>understand how many of the</w:t>
      </w:r>
      <w:r w:rsidR="00C42B64" w:rsidRPr="002F0F47">
        <w:rPr>
          <w:szCs w:val="24"/>
        </w:rPr>
        <w:t xml:space="preserve"> organisations </w:t>
      </w:r>
      <w:r w:rsidR="00E559A1" w:rsidRPr="002F0F47">
        <w:rPr>
          <w:szCs w:val="24"/>
        </w:rPr>
        <w:t xml:space="preserve">‘in scope’ </w:t>
      </w:r>
      <w:r w:rsidR="00C42B64" w:rsidRPr="002F0F47">
        <w:rPr>
          <w:szCs w:val="24"/>
        </w:rPr>
        <w:t xml:space="preserve">of Section 54 </w:t>
      </w:r>
      <w:r w:rsidR="002C0C85" w:rsidRPr="002F0F47">
        <w:rPr>
          <w:szCs w:val="24"/>
        </w:rPr>
        <w:t>have prepared a modern slavery statement, and whether these meet the minimum compliance requirements</w:t>
      </w:r>
      <w:r w:rsidR="00C42B64" w:rsidRPr="002F0F47">
        <w:rPr>
          <w:szCs w:val="24"/>
        </w:rPr>
        <w:t xml:space="preserve">. </w:t>
      </w:r>
    </w:p>
    <w:p w:rsidR="005378D0" w:rsidRPr="002F0F47" w:rsidRDefault="002C0C85" w:rsidP="004004E1">
      <w:pPr>
        <w:rPr>
          <w:szCs w:val="24"/>
        </w:rPr>
      </w:pPr>
      <w:r w:rsidRPr="002F0F47">
        <w:rPr>
          <w:szCs w:val="24"/>
        </w:rPr>
        <w:t>T</w:t>
      </w:r>
      <w:r w:rsidR="005378D0" w:rsidRPr="002F0F47">
        <w:rPr>
          <w:szCs w:val="24"/>
        </w:rPr>
        <w:t xml:space="preserve">he Home Office will provide a list of organisations identified as falling ‘in scope’ of Section 54 </w:t>
      </w:r>
      <w:r w:rsidRPr="002F0F47">
        <w:rPr>
          <w:szCs w:val="24"/>
        </w:rPr>
        <w:t>for the supplier to audit against</w:t>
      </w:r>
      <w:r w:rsidR="005378D0" w:rsidRPr="002F0F47">
        <w:rPr>
          <w:szCs w:val="24"/>
        </w:rPr>
        <w:t>.</w:t>
      </w:r>
    </w:p>
    <w:p w:rsidR="00DA3EF4" w:rsidRPr="002F0F47" w:rsidRDefault="00DA3EF4" w:rsidP="004004E1">
      <w:pPr>
        <w:rPr>
          <w:b/>
          <w:szCs w:val="24"/>
        </w:rPr>
      </w:pPr>
      <w:r w:rsidRPr="002F0F47">
        <w:rPr>
          <w:b/>
          <w:szCs w:val="24"/>
        </w:rPr>
        <w:t xml:space="preserve">Data use </w:t>
      </w:r>
    </w:p>
    <w:p w:rsidR="00BD5933" w:rsidRPr="002F0F47" w:rsidRDefault="00276C79" w:rsidP="004004E1">
      <w:pPr>
        <w:rPr>
          <w:szCs w:val="24"/>
        </w:rPr>
      </w:pPr>
      <w:r w:rsidRPr="002F0F47">
        <w:rPr>
          <w:szCs w:val="24"/>
        </w:rPr>
        <w:t xml:space="preserve">The primary use of the data will be for </w:t>
      </w:r>
      <w:r w:rsidR="005378D0" w:rsidRPr="002F0F47">
        <w:rPr>
          <w:szCs w:val="24"/>
        </w:rPr>
        <w:t>the Home Office to improve co</w:t>
      </w:r>
      <w:r w:rsidR="002C0C85" w:rsidRPr="002F0F47">
        <w:rPr>
          <w:szCs w:val="24"/>
        </w:rPr>
        <w:t xml:space="preserve">mpliance with the legislation. </w:t>
      </w:r>
      <w:r w:rsidR="00A33E4F" w:rsidRPr="002F0F47">
        <w:rPr>
          <w:szCs w:val="24"/>
        </w:rPr>
        <w:t xml:space="preserve">The information provided by the audit will inform future targeted communications to businesses and may also be used to inform </w:t>
      </w:r>
      <w:r w:rsidR="005378D0" w:rsidRPr="002F0F47">
        <w:rPr>
          <w:szCs w:val="24"/>
        </w:rPr>
        <w:t>enforcement action against non-compliant companies, potentially including publishing a list of non-compliant companies</w:t>
      </w:r>
      <w:r w:rsidR="00171725" w:rsidRPr="002F0F47">
        <w:rPr>
          <w:szCs w:val="24"/>
        </w:rPr>
        <w:t>,</w:t>
      </w:r>
      <w:r w:rsidR="005378D0" w:rsidRPr="002F0F47">
        <w:rPr>
          <w:szCs w:val="24"/>
        </w:rPr>
        <w:t xml:space="preserve"> and</w:t>
      </w:r>
      <w:r w:rsidR="00171725" w:rsidRPr="002F0F47">
        <w:rPr>
          <w:szCs w:val="24"/>
        </w:rPr>
        <w:t>/</w:t>
      </w:r>
      <w:r w:rsidR="005378D0" w:rsidRPr="002F0F47">
        <w:rPr>
          <w:szCs w:val="24"/>
        </w:rPr>
        <w:t xml:space="preserve">or the use of injunctions against non-compliant companies. </w:t>
      </w:r>
      <w:r w:rsidR="00171725" w:rsidRPr="002F0F47">
        <w:rPr>
          <w:szCs w:val="24"/>
        </w:rPr>
        <w:t xml:space="preserve">If a business fails to produce a slavery and human trafficking statement for a particular financial year, the Act provides the Secretary of State the power to seek an injunction through the High Court requiring the organisation to comply.  </w:t>
      </w:r>
      <w:bookmarkStart w:id="4" w:name="_Contracting_authority’s_responsibil"/>
      <w:bookmarkEnd w:id="4"/>
    </w:p>
    <w:p w:rsidR="00FF71A5" w:rsidRPr="002F0F47" w:rsidRDefault="005A32AA" w:rsidP="004004E1">
      <w:r w:rsidRPr="002F0F47">
        <w:rPr>
          <w:b/>
          <w:u w:val="single"/>
        </w:rPr>
        <w:t xml:space="preserve">Contracting authority’s responsibilities </w:t>
      </w:r>
      <w:r w:rsidR="00CB793A" w:rsidRPr="002F0F47">
        <w:rPr>
          <w:u w:val="single"/>
        </w:rPr>
        <w:br/>
      </w:r>
      <w:r w:rsidR="00CB793A" w:rsidRPr="002F0F47">
        <w:rPr>
          <w:u w:val="single"/>
        </w:rPr>
        <w:br/>
      </w:r>
      <w:r w:rsidR="00FF71A5" w:rsidRPr="002F0F47">
        <w:t xml:space="preserve">Organisations fall in scope of </w:t>
      </w:r>
      <w:hyperlink r:id="rId8" w:history="1">
        <w:r w:rsidR="00FF71A5" w:rsidRPr="002F0F47">
          <w:rPr>
            <w:rStyle w:val="Hyperlink"/>
            <w:color w:val="auto"/>
            <w:szCs w:val="24"/>
          </w:rPr>
          <w:t xml:space="preserve">Section 54 of the Modern </w:t>
        </w:r>
        <w:r w:rsidR="001263E3" w:rsidRPr="002F0F47">
          <w:rPr>
            <w:rStyle w:val="Hyperlink"/>
            <w:color w:val="auto"/>
            <w:szCs w:val="24"/>
          </w:rPr>
          <w:t>S</w:t>
        </w:r>
        <w:r w:rsidR="00FF71A5" w:rsidRPr="002F0F47">
          <w:rPr>
            <w:rStyle w:val="Hyperlink"/>
            <w:color w:val="auto"/>
            <w:szCs w:val="24"/>
          </w:rPr>
          <w:t>lavery Act 2015</w:t>
        </w:r>
      </w:hyperlink>
      <w:r w:rsidR="00FF71A5" w:rsidRPr="002F0F47">
        <w:t xml:space="preserve"> </w:t>
      </w:r>
      <w:r w:rsidR="00FF71A5" w:rsidRPr="002F0F47">
        <w:rPr>
          <w:lang w:val="en"/>
        </w:rPr>
        <w:t>if they:</w:t>
      </w:r>
    </w:p>
    <w:p w:rsidR="00FF71A5" w:rsidRPr="002F0F47" w:rsidRDefault="00FF71A5" w:rsidP="004004E1">
      <w:pPr>
        <w:numPr>
          <w:ilvl w:val="0"/>
          <w:numId w:val="15"/>
        </w:numPr>
        <w:rPr>
          <w:szCs w:val="24"/>
          <w:lang w:val="en"/>
        </w:rPr>
      </w:pPr>
      <w:r w:rsidRPr="002F0F47">
        <w:rPr>
          <w:szCs w:val="24"/>
          <w:lang w:val="en"/>
        </w:rPr>
        <w:t>Are a body corporate or a partnership, (wherever incorporated or formed);</w:t>
      </w:r>
    </w:p>
    <w:p w:rsidR="00FF71A5" w:rsidRPr="002F0F47" w:rsidRDefault="00FF71A5" w:rsidP="004004E1">
      <w:pPr>
        <w:numPr>
          <w:ilvl w:val="0"/>
          <w:numId w:val="15"/>
        </w:numPr>
        <w:rPr>
          <w:szCs w:val="24"/>
          <w:lang w:val="en"/>
        </w:rPr>
      </w:pPr>
      <w:r w:rsidRPr="002F0F47">
        <w:rPr>
          <w:szCs w:val="24"/>
          <w:lang w:val="en"/>
        </w:rPr>
        <w:t>carry on a business, or part of a business, in the UK;</w:t>
      </w:r>
    </w:p>
    <w:p w:rsidR="00FF71A5" w:rsidRPr="002F0F47" w:rsidRDefault="00FF71A5" w:rsidP="004004E1">
      <w:pPr>
        <w:numPr>
          <w:ilvl w:val="0"/>
          <w:numId w:val="15"/>
        </w:numPr>
        <w:rPr>
          <w:szCs w:val="24"/>
          <w:lang w:val="en"/>
        </w:rPr>
      </w:pPr>
      <w:r w:rsidRPr="002F0F47">
        <w:rPr>
          <w:szCs w:val="24"/>
          <w:lang w:val="en"/>
        </w:rPr>
        <w:lastRenderedPageBreak/>
        <w:t xml:space="preserve">supply goods or services; and </w:t>
      </w:r>
    </w:p>
    <w:p w:rsidR="00FF71A5" w:rsidRPr="002F0F47" w:rsidRDefault="00FF71A5" w:rsidP="004004E1">
      <w:pPr>
        <w:numPr>
          <w:ilvl w:val="0"/>
          <w:numId w:val="15"/>
        </w:numPr>
        <w:rPr>
          <w:szCs w:val="24"/>
          <w:lang w:val="en"/>
        </w:rPr>
      </w:pPr>
      <w:r w:rsidRPr="002F0F47">
        <w:rPr>
          <w:szCs w:val="24"/>
          <w:lang w:val="en"/>
        </w:rPr>
        <w:t xml:space="preserve">have an annual turnover of £36m or more. </w:t>
      </w:r>
    </w:p>
    <w:p w:rsidR="00FF71A5" w:rsidRPr="002F0F47" w:rsidRDefault="00FF71A5" w:rsidP="004004E1">
      <w:pPr>
        <w:rPr>
          <w:szCs w:val="24"/>
        </w:rPr>
      </w:pPr>
      <w:r w:rsidRPr="002F0F47">
        <w:rPr>
          <w:szCs w:val="24"/>
        </w:rPr>
        <w:t>The Home Office will provide a list of organisations</w:t>
      </w:r>
      <w:r w:rsidR="005A32AA" w:rsidRPr="002F0F47">
        <w:rPr>
          <w:szCs w:val="24"/>
        </w:rPr>
        <w:t xml:space="preserve"> </w:t>
      </w:r>
      <w:r w:rsidR="002C0C85" w:rsidRPr="002F0F47">
        <w:rPr>
          <w:szCs w:val="24"/>
        </w:rPr>
        <w:t>identified as being caught by the requirement.</w:t>
      </w:r>
    </w:p>
    <w:p w:rsidR="00B92FA1" w:rsidRPr="002F0F47" w:rsidRDefault="00FF71A5" w:rsidP="004004E1">
      <w:pPr>
        <w:rPr>
          <w:szCs w:val="24"/>
        </w:rPr>
      </w:pPr>
      <w:r w:rsidRPr="002F0F47">
        <w:rPr>
          <w:szCs w:val="24"/>
        </w:rPr>
        <w:t xml:space="preserve">The list will include the following information: organisation name, organisation type, companies house number, head office address, website address. </w:t>
      </w:r>
    </w:p>
    <w:p w:rsidR="00945C17" w:rsidRPr="002F0F47" w:rsidRDefault="002C0C85" w:rsidP="004004E1">
      <w:pPr>
        <w:rPr>
          <w:szCs w:val="24"/>
        </w:rPr>
      </w:pPr>
      <w:r w:rsidRPr="002F0F47">
        <w:rPr>
          <w:szCs w:val="24"/>
        </w:rPr>
        <w:t>T</w:t>
      </w:r>
      <w:r w:rsidR="00A33E4F" w:rsidRPr="002F0F47">
        <w:rPr>
          <w:szCs w:val="24"/>
        </w:rPr>
        <w:t xml:space="preserve">he Home Office </w:t>
      </w:r>
      <w:r w:rsidR="00BD5933" w:rsidRPr="002F0F47">
        <w:rPr>
          <w:szCs w:val="24"/>
        </w:rPr>
        <w:t>has located the statements</w:t>
      </w:r>
      <w:r w:rsidR="007932E8" w:rsidRPr="002F0F47">
        <w:rPr>
          <w:szCs w:val="24"/>
        </w:rPr>
        <w:t xml:space="preserve"> of</w:t>
      </w:r>
      <w:r w:rsidR="005317F8" w:rsidRPr="002F0F47">
        <w:rPr>
          <w:szCs w:val="24"/>
        </w:rPr>
        <w:t xml:space="preserve"> </w:t>
      </w:r>
      <w:r w:rsidR="00BD5933" w:rsidRPr="002F0F47">
        <w:rPr>
          <w:szCs w:val="24"/>
        </w:rPr>
        <w:t>4,450</w:t>
      </w:r>
      <w:r w:rsidR="005317F8" w:rsidRPr="002F0F47">
        <w:rPr>
          <w:szCs w:val="24"/>
        </w:rPr>
        <w:t xml:space="preserve"> </w:t>
      </w:r>
      <w:r w:rsidR="007932E8" w:rsidRPr="002F0F47">
        <w:rPr>
          <w:szCs w:val="24"/>
        </w:rPr>
        <w:t xml:space="preserve">of the </w:t>
      </w:r>
      <w:r w:rsidR="005317F8" w:rsidRPr="002F0F47">
        <w:rPr>
          <w:szCs w:val="24"/>
        </w:rPr>
        <w:t>‘in scope’ organisations</w:t>
      </w:r>
      <w:r w:rsidR="007416FA" w:rsidRPr="002F0F47">
        <w:rPr>
          <w:szCs w:val="24"/>
        </w:rPr>
        <w:t xml:space="preserve"> by matching its ‘in-scope’ list against the data which is freely accessible on the Modern Slavery Registry</w:t>
      </w:r>
      <w:r w:rsidR="005317F8" w:rsidRPr="002F0F47">
        <w:rPr>
          <w:szCs w:val="24"/>
        </w:rPr>
        <w:t>.</w:t>
      </w:r>
      <w:r w:rsidRPr="002F0F47">
        <w:rPr>
          <w:szCs w:val="24"/>
        </w:rPr>
        <w:t xml:space="preserve"> </w:t>
      </w:r>
      <w:r w:rsidR="007416FA" w:rsidRPr="002F0F47">
        <w:rPr>
          <w:szCs w:val="24"/>
        </w:rPr>
        <w:t>The supplier will need to identify whether t</w:t>
      </w:r>
      <w:r w:rsidRPr="002F0F47">
        <w:rPr>
          <w:szCs w:val="24"/>
        </w:rPr>
        <w:t>hese statements</w:t>
      </w:r>
      <w:r w:rsidR="007416FA" w:rsidRPr="002F0F47">
        <w:rPr>
          <w:szCs w:val="24"/>
        </w:rPr>
        <w:t xml:space="preserve"> meet the minimum legal requirements (set out below).  The supplier will also need to </w:t>
      </w:r>
      <w:r w:rsidRPr="002F0F47">
        <w:rPr>
          <w:szCs w:val="24"/>
        </w:rPr>
        <w:t>locate</w:t>
      </w:r>
      <w:r w:rsidR="007416FA" w:rsidRPr="002F0F47">
        <w:rPr>
          <w:szCs w:val="24"/>
        </w:rPr>
        <w:t xml:space="preserve"> and audit the statements of the remaining 12,000 organisations</w:t>
      </w:r>
      <w:r w:rsidR="00945C17" w:rsidRPr="002F0F47">
        <w:rPr>
          <w:szCs w:val="24"/>
        </w:rPr>
        <w:t xml:space="preserve">. </w:t>
      </w:r>
      <w:r w:rsidRPr="002F0F47">
        <w:rPr>
          <w:szCs w:val="24"/>
        </w:rPr>
        <w:t>Both lists</w:t>
      </w:r>
      <w:r w:rsidR="007416FA" w:rsidRPr="002F0F47">
        <w:rPr>
          <w:szCs w:val="24"/>
        </w:rPr>
        <w:t xml:space="preserve"> will be provided to the supplier by the Home Office.   </w:t>
      </w:r>
    </w:p>
    <w:p w:rsidR="00276C79" w:rsidRPr="002F0F47" w:rsidRDefault="00DA3EF4" w:rsidP="004004E1">
      <w:pPr>
        <w:rPr>
          <w:b/>
          <w:szCs w:val="24"/>
        </w:rPr>
      </w:pPr>
      <w:r w:rsidRPr="002F0F47">
        <w:rPr>
          <w:b/>
          <w:szCs w:val="24"/>
        </w:rPr>
        <w:t>Outreach ahead of the audit</w:t>
      </w:r>
    </w:p>
    <w:p w:rsidR="00276C79" w:rsidRPr="002F0F47" w:rsidRDefault="002C0C85" w:rsidP="004004E1">
      <w:pPr>
        <w:rPr>
          <w:szCs w:val="24"/>
        </w:rPr>
      </w:pPr>
      <w:r w:rsidRPr="002F0F47">
        <w:rPr>
          <w:szCs w:val="24"/>
        </w:rPr>
        <w:t xml:space="preserve">The Home Office wrote directly to the approximately 17,000 in scope organisations on 18 </w:t>
      </w:r>
      <w:r w:rsidR="00276C79" w:rsidRPr="002F0F47">
        <w:rPr>
          <w:szCs w:val="24"/>
        </w:rPr>
        <w:t xml:space="preserve">October </w:t>
      </w:r>
      <w:r w:rsidR="00B02FFC" w:rsidRPr="002F0F47">
        <w:rPr>
          <w:szCs w:val="24"/>
        </w:rPr>
        <w:t xml:space="preserve">2018 and </w:t>
      </w:r>
      <w:r w:rsidRPr="002F0F47">
        <w:rPr>
          <w:szCs w:val="24"/>
        </w:rPr>
        <w:t xml:space="preserve">28 </w:t>
      </w:r>
      <w:r w:rsidR="00B02FFC" w:rsidRPr="002F0F47">
        <w:rPr>
          <w:szCs w:val="24"/>
        </w:rPr>
        <w:t xml:space="preserve">March </w:t>
      </w:r>
      <w:r w:rsidRPr="002F0F47">
        <w:rPr>
          <w:szCs w:val="24"/>
        </w:rPr>
        <w:t>2019</w:t>
      </w:r>
      <w:r w:rsidR="00B02FFC" w:rsidRPr="002F0F47">
        <w:rPr>
          <w:szCs w:val="24"/>
        </w:rPr>
        <w:t xml:space="preserve"> </w:t>
      </w:r>
      <w:r w:rsidRPr="002F0F47">
        <w:rPr>
          <w:szCs w:val="24"/>
        </w:rPr>
        <w:t>to outline their obligations under the Act and announce the Home Office’s upcoming audit of compliance</w:t>
      </w:r>
      <w:r w:rsidR="00451485" w:rsidRPr="002F0F47">
        <w:rPr>
          <w:szCs w:val="24"/>
        </w:rPr>
        <w:t xml:space="preserve"> (Annex 2)</w:t>
      </w:r>
      <w:r w:rsidR="00B02FFC" w:rsidRPr="002F0F47">
        <w:rPr>
          <w:szCs w:val="24"/>
        </w:rPr>
        <w:t xml:space="preserve">. </w:t>
      </w:r>
    </w:p>
    <w:p w:rsidR="002C0C85" w:rsidRPr="002F0F47" w:rsidRDefault="00276C79" w:rsidP="004004E1">
      <w:pPr>
        <w:rPr>
          <w:szCs w:val="24"/>
        </w:rPr>
      </w:pPr>
      <w:r w:rsidRPr="002F0F47">
        <w:rPr>
          <w:szCs w:val="24"/>
        </w:rPr>
        <w:t xml:space="preserve">The letters also provided details of a dedicated mailbox </w:t>
      </w:r>
      <w:r w:rsidR="00B02FFC" w:rsidRPr="002F0F47">
        <w:rPr>
          <w:szCs w:val="24"/>
        </w:rPr>
        <w:t xml:space="preserve">for organisations to contact </w:t>
      </w:r>
      <w:r w:rsidR="002C0C85" w:rsidRPr="002F0F47">
        <w:rPr>
          <w:szCs w:val="24"/>
        </w:rPr>
        <w:t>with queries regarding scope and compliance</w:t>
      </w:r>
      <w:r w:rsidRPr="002F0F47">
        <w:rPr>
          <w:szCs w:val="24"/>
        </w:rPr>
        <w:t>.</w:t>
      </w:r>
      <w:r w:rsidR="002C0C85" w:rsidRPr="002F0F47">
        <w:rPr>
          <w:szCs w:val="24"/>
        </w:rPr>
        <w:t xml:space="preserve"> The Home Office also launched a contacts database for businesses to register to receive tools and resources for effective reporting under the Act, alongside new online guidance. Almost 4,000 organisations have signed up to receive these resources. </w:t>
      </w:r>
    </w:p>
    <w:p w:rsidR="00CB793A" w:rsidRPr="002F0F47" w:rsidRDefault="00276C79" w:rsidP="004004E1">
      <w:pPr>
        <w:rPr>
          <w:szCs w:val="24"/>
        </w:rPr>
      </w:pPr>
      <w:r w:rsidRPr="002F0F47">
        <w:rPr>
          <w:szCs w:val="24"/>
        </w:rPr>
        <w:t>Prior to</w:t>
      </w:r>
      <w:r w:rsidR="00595ADC" w:rsidRPr="002F0F47">
        <w:rPr>
          <w:szCs w:val="24"/>
        </w:rPr>
        <w:t xml:space="preserve"> </w:t>
      </w:r>
      <w:r w:rsidR="00B02FFC" w:rsidRPr="002F0F47">
        <w:rPr>
          <w:szCs w:val="24"/>
        </w:rPr>
        <w:t>taking any enforcement action,</w:t>
      </w:r>
      <w:r w:rsidR="001D6C82" w:rsidRPr="002F0F47">
        <w:rPr>
          <w:szCs w:val="24"/>
        </w:rPr>
        <w:t xml:space="preserve"> </w:t>
      </w:r>
      <w:r w:rsidR="002241C6" w:rsidRPr="002F0F47">
        <w:rPr>
          <w:szCs w:val="24"/>
        </w:rPr>
        <w:t xml:space="preserve">the Home Office </w:t>
      </w:r>
      <w:r w:rsidR="00B02FFC" w:rsidRPr="002F0F47">
        <w:rPr>
          <w:szCs w:val="24"/>
        </w:rPr>
        <w:t xml:space="preserve">will </w:t>
      </w:r>
      <w:r w:rsidRPr="002F0F47">
        <w:rPr>
          <w:szCs w:val="24"/>
        </w:rPr>
        <w:t>write</w:t>
      </w:r>
      <w:r w:rsidR="00595ADC" w:rsidRPr="002F0F47">
        <w:rPr>
          <w:szCs w:val="24"/>
        </w:rPr>
        <w:t xml:space="preserve"> </w:t>
      </w:r>
      <w:r w:rsidRPr="002F0F47">
        <w:rPr>
          <w:szCs w:val="24"/>
        </w:rPr>
        <w:t xml:space="preserve">to </w:t>
      </w:r>
      <w:r w:rsidR="00B02FFC" w:rsidRPr="002F0F47">
        <w:rPr>
          <w:szCs w:val="24"/>
        </w:rPr>
        <w:t xml:space="preserve">non-compliant </w:t>
      </w:r>
      <w:r w:rsidR="00CB793A" w:rsidRPr="002F0F47">
        <w:rPr>
          <w:szCs w:val="24"/>
        </w:rPr>
        <w:t xml:space="preserve">organisations providing the opportunity to </w:t>
      </w:r>
      <w:r w:rsidR="00595ADC" w:rsidRPr="002F0F47">
        <w:rPr>
          <w:szCs w:val="24"/>
        </w:rPr>
        <w:t>demonstrate compliance</w:t>
      </w:r>
      <w:r w:rsidR="00CB793A" w:rsidRPr="002F0F47">
        <w:rPr>
          <w:szCs w:val="24"/>
        </w:rPr>
        <w:t>.</w:t>
      </w:r>
      <w:r w:rsidR="00595ADC" w:rsidRPr="002F0F47">
        <w:rPr>
          <w:szCs w:val="24"/>
        </w:rPr>
        <w:t xml:space="preserve"> </w:t>
      </w:r>
      <w:bookmarkStart w:id="5" w:name="_The_requirement"/>
      <w:bookmarkEnd w:id="5"/>
      <w:r w:rsidR="00DA3EF4" w:rsidRPr="002F0F47">
        <w:rPr>
          <w:szCs w:val="24"/>
        </w:rPr>
        <w:br/>
      </w:r>
      <w:r w:rsidR="00CB793A" w:rsidRPr="002F0F47">
        <w:br/>
      </w:r>
      <w:r w:rsidR="005A32AA" w:rsidRPr="002F0F47">
        <w:rPr>
          <w:b/>
          <w:u w:val="single"/>
        </w:rPr>
        <w:t>The requirement</w:t>
      </w:r>
      <w:bookmarkStart w:id="6" w:name="_Hlk2242806"/>
    </w:p>
    <w:p w:rsidR="00E23F39" w:rsidRPr="002F0F47" w:rsidRDefault="00E23F39" w:rsidP="00E23F39">
      <w:pPr>
        <w:rPr>
          <w:u w:val="single"/>
        </w:rPr>
      </w:pPr>
      <w:r w:rsidRPr="002F0F47">
        <w:rPr>
          <w:b/>
        </w:rPr>
        <w:t xml:space="preserve">Compliance requirements  </w:t>
      </w:r>
      <w:r w:rsidRPr="002F0F47">
        <w:br/>
      </w:r>
      <w:r w:rsidRPr="002F0F47">
        <w:br/>
        <w:t>The audit should identify whether organisations have met the following compliance requirements</w:t>
      </w:r>
      <w:r w:rsidRPr="002F0F47">
        <w:rPr>
          <w:lang w:val="en"/>
        </w:rPr>
        <w:t xml:space="preserve">:  </w:t>
      </w:r>
    </w:p>
    <w:p w:rsidR="00E23F39" w:rsidRPr="002F0F47" w:rsidRDefault="00E23F39" w:rsidP="00E23F39">
      <w:pPr>
        <w:pStyle w:val="ListParagraph"/>
        <w:numPr>
          <w:ilvl w:val="0"/>
          <w:numId w:val="21"/>
        </w:numPr>
      </w:pPr>
      <w:r w:rsidRPr="002F0F47">
        <w:rPr>
          <w:b/>
          <w:lang w:val="en"/>
        </w:rPr>
        <w:t>Whether a modern slavery statement has been published.</w:t>
      </w:r>
      <w:r w:rsidRPr="002F0F47">
        <w:rPr>
          <w:lang w:val="en"/>
        </w:rPr>
        <w:t xml:space="preserve"> </w:t>
      </w:r>
    </w:p>
    <w:p w:rsidR="00E23F39" w:rsidRPr="002F0F47" w:rsidRDefault="00E23F39" w:rsidP="00E23F39">
      <w:pPr>
        <w:ind w:left="360"/>
      </w:pPr>
      <w:r w:rsidRPr="002F0F47">
        <w:rPr>
          <w:lang w:val="en"/>
        </w:rPr>
        <w:t xml:space="preserve">Modern slavery statements must cover steps taken to address modern slavery risks in operations and supply chains (if any). </w:t>
      </w:r>
      <w:r w:rsidRPr="002F0F47">
        <w:t>Where a statement states that the organisation has taken no steps, this will be considered legally compliant.</w:t>
      </w:r>
      <w:r w:rsidRPr="002F0F47">
        <w:rPr>
          <w:lang w:val="en"/>
        </w:rPr>
        <w:br/>
      </w:r>
      <w:r w:rsidRPr="002F0F47">
        <w:rPr>
          <w:lang w:val="en"/>
        </w:rPr>
        <w:br/>
      </w:r>
      <w:r w:rsidRPr="002F0F47">
        <w:t xml:space="preserve">However, where a statement is purely a stated position – for example, a statement that the organisation does not tolerate modern slavery – and does not </w:t>
      </w:r>
      <w:r w:rsidRPr="002F0F47">
        <w:lastRenderedPageBreak/>
        <w:t xml:space="preserve">indicate </w:t>
      </w:r>
      <w:proofErr w:type="gramStart"/>
      <w:r w:rsidRPr="002F0F47">
        <w:t>whether or not</w:t>
      </w:r>
      <w:proofErr w:type="gramEnd"/>
      <w:r w:rsidRPr="002F0F47">
        <w:t xml:space="preserve"> steps have been taken, it will not be considered a modern slavery statement. </w:t>
      </w:r>
    </w:p>
    <w:p w:rsidR="00E23F39" w:rsidRPr="002F0F47" w:rsidRDefault="00E23F39" w:rsidP="00E23F39">
      <w:pPr>
        <w:ind w:left="360"/>
      </w:pPr>
      <w:r w:rsidRPr="002F0F47">
        <w:t>The supplier should identify this requirement as met, not met, or unclear whether met</w:t>
      </w:r>
      <w:r w:rsidR="00496CA7" w:rsidRPr="002F0F47">
        <w:t xml:space="preserve"> (</w:t>
      </w:r>
      <w:r w:rsidRPr="002F0F47">
        <w:t xml:space="preserve">. </w:t>
      </w:r>
    </w:p>
    <w:p w:rsidR="00E23F39" w:rsidRPr="002F0F47" w:rsidRDefault="00E23F39" w:rsidP="00E23F39">
      <w:pPr>
        <w:pStyle w:val="ListParagraph"/>
        <w:numPr>
          <w:ilvl w:val="0"/>
          <w:numId w:val="21"/>
        </w:numPr>
        <w:rPr>
          <w:b/>
          <w:szCs w:val="24"/>
          <w:lang w:val="en"/>
        </w:rPr>
      </w:pPr>
      <w:r w:rsidRPr="002F0F47">
        <w:rPr>
          <w:b/>
          <w:bCs/>
          <w:szCs w:val="24"/>
        </w:rPr>
        <w:t>Published on the organisation’s website. </w:t>
      </w:r>
    </w:p>
    <w:p w:rsidR="00E23F39" w:rsidRPr="002F0F47" w:rsidRDefault="00E23F39" w:rsidP="00E23F39">
      <w:pPr>
        <w:ind w:left="360"/>
        <w:rPr>
          <w:bCs/>
          <w:szCs w:val="24"/>
        </w:rPr>
      </w:pPr>
      <w:r w:rsidRPr="002F0F47">
        <w:rPr>
          <w:bCs/>
          <w:szCs w:val="24"/>
        </w:rPr>
        <w:t xml:space="preserve">The statement should be easily accessible from the homepage. For </w:t>
      </w:r>
      <w:proofErr w:type="gramStart"/>
      <w:r w:rsidRPr="002F0F47">
        <w:rPr>
          <w:bCs/>
          <w:szCs w:val="24"/>
        </w:rPr>
        <w:t>example</w:t>
      </w:r>
      <w:proofErr w:type="gramEnd"/>
      <w:r w:rsidRPr="002F0F47">
        <w:rPr>
          <w:bCs/>
          <w:szCs w:val="24"/>
        </w:rPr>
        <w:t xml:space="preserve"> About &gt; modern slavery statement would be accepted. </w:t>
      </w:r>
    </w:p>
    <w:p w:rsidR="00E23F39" w:rsidRPr="002F0F47" w:rsidRDefault="00E23F39" w:rsidP="00E23F39">
      <w:pPr>
        <w:ind w:left="360"/>
        <w:rPr>
          <w:szCs w:val="24"/>
          <w:lang w:val="en"/>
        </w:rPr>
      </w:pPr>
      <w:r w:rsidRPr="002F0F47">
        <w:rPr>
          <w:bCs/>
          <w:szCs w:val="24"/>
        </w:rPr>
        <w:t xml:space="preserve">The supplier should provide the link to the organisation’s statement, if found on their website.  </w:t>
      </w:r>
      <w:r w:rsidR="009F7384" w:rsidRPr="002F0F47">
        <w:rPr>
          <w:bCs/>
          <w:szCs w:val="24"/>
        </w:rPr>
        <w:t xml:space="preserve">The provider should also indicate if the modern slavery statement was difficult to find. </w:t>
      </w:r>
    </w:p>
    <w:p w:rsidR="00E23F39" w:rsidRPr="002F0F47" w:rsidRDefault="00E23F39" w:rsidP="00E23F39">
      <w:pPr>
        <w:numPr>
          <w:ilvl w:val="0"/>
          <w:numId w:val="21"/>
        </w:numPr>
        <w:rPr>
          <w:b/>
          <w:szCs w:val="24"/>
        </w:rPr>
      </w:pPr>
      <w:r w:rsidRPr="002F0F47">
        <w:rPr>
          <w:b/>
          <w:bCs/>
          <w:szCs w:val="24"/>
        </w:rPr>
        <w:t>Approved by the Board of Directors</w:t>
      </w:r>
      <w:r w:rsidRPr="002F0F47">
        <w:rPr>
          <w:b/>
          <w:szCs w:val="24"/>
        </w:rPr>
        <w:t xml:space="preserve"> (or equivalent management body). </w:t>
      </w:r>
    </w:p>
    <w:p w:rsidR="00E23F39" w:rsidRPr="002F0F47" w:rsidRDefault="00E23F39" w:rsidP="00E23F39">
      <w:pPr>
        <w:ind w:left="360"/>
        <w:rPr>
          <w:szCs w:val="24"/>
        </w:rPr>
      </w:pPr>
      <w:r w:rsidRPr="002F0F47">
        <w:rPr>
          <w:szCs w:val="24"/>
        </w:rPr>
        <w:t xml:space="preserve">To demonstrate that this legal requirement has been met, the Home Office expects Modern Slavery Statements to clearly state that this approval has been given. </w:t>
      </w:r>
    </w:p>
    <w:p w:rsidR="00E23F39" w:rsidRPr="002F0F47" w:rsidRDefault="00E23F39" w:rsidP="00E23F39">
      <w:pPr>
        <w:ind w:left="360"/>
        <w:rPr>
          <w:szCs w:val="24"/>
          <w:lang w:val="en"/>
        </w:rPr>
      </w:pPr>
      <w:r w:rsidRPr="002F0F47">
        <w:rPr>
          <w:bCs/>
          <w:szCs w:val="24"/>
        </w:rPr>
        <w:t>The supplier should identify whether this approval is stated</w:t>
      </w:r>
      <w:r w:rsidR="009F7384" w:rsidRPr="002F0F47">
        <w:rPr>
          <w:bCs/>
          <w:szCs w:val="24"/>
        </w:rPr>
        <w:t xml:space="preserve">, </w:t>
      </w:r>
      <w:r w:rsidRPr="002F0F47">
        <w:rPr>
          <w:bCs/>
          <w:szCs w:val="24"/>
        </w:rPr>
        <w:t>not stated</w:t>
      </w:r>
      <w:r w:rsidR="009F7384" w:rsidRPr="002F0F47">
        <w:rPr>
          <w:bCs/>
          <w:szCs w:val="24"/>
        </w:rPr>
        <w:t xml:space="preserve"> or unclear.</w:t>
      </w:r>
      <w:r w:rsidRPr="002F0F47">
        <w:rPr>
          <w:bCs/>
          <w:szCs w:val="24"/>
        </w:rPr>
        <w:t xml:space="preserve">  </w:t>
      </w:r>
    </w:p>
    <w:p w:rsidR="00E23F39" w:rsidRPr="002F0F47" w:rsidRDefault="00E23F39" w:rsidP="00E23F39">
      <w:pPr>
        <w:numPr>
          <w:ilvl w:val="0"/>
          <w:numId w:val="21"/>
        </w:numPr>
        <w:rPr>
          <w:b/>
          <w:szCs w:val="24"/>
        </w:rPr>
      </w:pPr>
      <w:r w:rsidRPr="002F0F47">
        <w:rPr>
          <w:b/>
          <w:bCs/>
          <w:szCs w:val="24"/>
        </w:rPr>
        <w:t>Signed by a director (or equivalent</w:t>
      </w:r>
      <w:r w:rsidRPr="002F0F47">
        <w:rPr>
          <w:b/>
          <w:szCs w:val="24"/>
        </w:rPr>
        <w:t>). </w:t>
      </w:r>
    </w:p>
    <w:p w:rsidR="00E23F39" w:rsidRPr="002F0F47" w:rsidRDefault="00E23F39" w:rsidP="00E23F39">
      <w:pPr>
        <w:ind w:left="360"/>
        <w:rPr>
          <w:szCs w:val="24"/>
        </w:rPr>
      </w:pPr>
      <w:r w:rsidRPr="002F0F47">
        <w:rPr>
          <w:szCs w:val="24"/>
        </w:rPr>
        <w:t xml:space="preserve">To demonstrate that this legal requirement has been met, the Home Office expects Modern Slavery Statements to clearly state that a director has signed it. Statements do not need to include a physical signature.   </w:t>
      </w:r>
    </w:p>
    <w:p w:rsidR="001A73F6" w:rsidRPr="002F0F47" w:rsidRDefault="00E23F39" w:rsidP="001A73F6">
      <w:pPr>
        <w:ind w:left="360"/>
        <w:rPr>
          <w:bCs/>
          <w:szCs w:val="24"/>
        </w:rPr>
      </w:pPr>
      <w:r w:rsidRPr="002F0F47">
        <w:rPr>
          <w:bCs/>
          <w:szCs w:val="24"/>
        </w:rPr>
        <w:t xml:space="preserve">The supplier should identify whether this sign off is </w:t>
      </w:r>
      <w:r w:rsidR="001A73F6" w:rsidRPr="002F0F47">
        <w:rPr>
          <w:bCs/>
          <w:szCs w:val="24"/>
        </w:rPr>
        <w:t xml:space="preserve">stated, not stated or unclear.  </w:t>
      </w:r>
    </w:p>
    <w:p w:rsidR="00E23F39" w:rsidRPr="002F0F47" w:rsidRDefault="00E23F39" w:rsidP="001A73F6">
      <w:pPr>
        <w:pStyle w:val="ListParagraph"/>
        <w:numPr>
          <w:ilvl w:val="0"/>
          <w:numId w:val="21"/>
        </w:numPr>
        <w:rPr>
          <w:b/>
          <w:bCs/>
          <w:szCs w:val="24"/>
          <w:lang w:val="en"/>
        </w:rPr>
      </w:pPr>
      <w:r w:rsidRPr="002F0F47">
        <w:rPr>
          <w:b/>
          <w:szCs w:val="24"/>
        </w:rPr>
        <w:t>Which period the modern slavery statement covers</w:t>
      </w:r>
      <w:r w:rsidRPr="002F0F47">
        <w:rPr>
          <w:b/>
          <w:bCs/>
          <w:szCs w:val="24"/>
          <w:lang w:val="en"/>
        </w:rPr>
        <w:t xml:space="preserve">.  </w:t>
      </w:r>
    </w:p>
    <w:p w:rsidR="00E23F39" w:rsidRPr="002F0F47" w:rsidRDefault="00E23F39" w:rsidP="00E23F39">
      <w:pPr>
        <w:ind w:left="360"/>
        <w:rPr>
          <w:b/>
          <w:bCs/>
          <w:szCs w:val="24"/>
          <w:lang w:val="en"/>
        </w:rPr>
      </w:pPr>
      <w:r w:rsidRPr="002F0F47">
        <w:rPr>
          <w:bCs/>
          <w:szCs w:val="24"/>
          <w:lang w:val="en"/>
        </w:rPr>
        <w:t xml:space="preserve">The requirement to publish a modern slavery statement is annual. The supplier should provide the period the statement covers, if given. </w:t>
      </w:r>
    </w:p>
    <w:p w:rsidR="00E23F39" w:rsidRPr="002F0F47" w:rsidRDefault="00E23F39" w:rsidP="00E23F39">
      <w:pPr>
        <w:spacing w:after="0" w:line="240" w:lineRule="auto"/>
        <w:rPr>
          <w:szCs w:val="24"/>
        </w:rPr>
      </w:pPr>
      <w:r w:rsidRPr="002F0F47">
        <w:rPr>
          <w:szCs w:val="24"/>
        </w:rPr>
        <w:t xml:space="preserve">In some large corporate </w:t>
      </w:r>
      <w:proofErr w:type="gramStart"/>
      <w:r w:rsidRPr="002F0F47">
        <w:rPr>
          <w:szCs w:val="24"/>
        </w:rPr>
        <w:t>groups</w:t>
      </w:r>
      <w:proofErr w:type="gramEnd"/>
      <w:r w:rsidRPr="002F0F47">
        <w:rPr>
          <w:szCs w:val="24"/>
        </w:rPr>
        <w:t xml:space="preserve"> there may be multiple organisations which meet the criteria to report. In these </w:t>
      </w:r>
      <w:proofErr w:type="gramStart"/>
      <w:r w:rsidRPr="002F0F47">
        <w:rPr>
          <w:szCs w:val="24"/>
        </w:rPr>
        <w:t>cases</w:t>
      </w:r>
      <w:proofErr w:type="gramEnd"/>
      <w:r w:rsidRPr="002F0F47">
        <w:rPr>
          <w:szCs w:val="24"/>
        </w:rPr>
        <w:t xml:space="preserve"> subsidiary organisations can publish separate statements, or the group can publish one statement covering all the organisations that meet the criteria. This is known as a group statement.</w:t>
      </w:r>
    </w:p>
    <w:p w:rsidR="00E23F39" w:rsidRPr="002F0F47" w:rsidRDefault="00E23F39" w:rsidP="00E23F39">
      <w:pPr>
        <w:spacing w:after="0" w:line="240" w:lineRule="auto"/>
        <w:rPr>
          <w:szCs w:val="24"/>
        </w:rPr>
      </w:pPr>
    </w:p>
    <w:p w:rsidR="00E23F39" w:rsidRPr="002F0F47" w:rsidRDefault="00E23F39" w:rsidP="00E23F39">
      <w:pPr>
        <w:spacing w:after="0" w:line="240" w:lineRule="auto"/>
        <w:rPr>
          <w:szCs w:val="24"/>
        </w:rPr>
      </w:pPr>
      <w:r w:rsidRPr="002F0F47">
        <w:rPr>
          <w:szCs w:val="24"/>
        </w:rPr>
        <w:t xml:space="preserve">Group statements: </w:t>
      </w:r>
    </w:p>
    <w:p w:rsidR="00E23F39" w:rsidRPr="002F0F47" w:rsidRDefault="00E23F39" w:rsidP="00E23F39">
      <w:pPr>
        <w:spacing w:after="0" w:line="240" w:lineRule="auto"/>
        <w:rPr>
          <w:szCs w:val="24"/>
        </w:rPr>
      </w:pPr>
    </w:p>
    <w:p w:rsidR="00E23F39" w:rsidRPr="002F0F47" w:rsidRDefault="00E23F39" w:rsidP="00E23F39">
      <w:pPr>
        <w:pStyle w:val="ListParagraph"/>
        <w:numPr>
          <w:ilvl w:val="0"/>
          <w:numId w:val="22"/>
        </w:numPr>
        <w:rPr>
          <w:szCs w:val="24"/>
        </w:rPr>
      </w:pPr>
      <w:r w:rsidRPr="002F0F47">
        <w:rPr>
          <w:szCs w:val="24"/>
        </w:rPr>
        <w:t xml:space="preserve">Must cover the steps taken to prevent modern slavery in </w:t>
      </w:r>
      <w:proofErr w:type="gramStart"/>
      <w:r w:rsidRPr="002F0F47">
        <w:rPr>
          <w:szCs w:val="24"/>
        </w:rPr>
        <w:t>all of</w:t>
      </w:r>
      <w:proofErr w:type="gramEnd"/>
      <w:r w:rsidRPr="002F0F47">
        <w:rPr>
          <w:szCs w:val="24"/>
        </w:rPr>
        <w:t xml:space="preserve"> the organisations within that group that meet the criteria, and their supply chains;</w:t>
      </w:r>
    </w:p>
    <w:p w:rsidR="00E23F39" w:rsidRPr="002F0F47" w:rsidRDefault="00E23F39" w:rsidP="00E23F39">
      <w:pPr>
        <w:pStyle w:val="ListParagraph"/>
        <w:numPr>
          <w:ilvl w:val="0"/>
          <w:numId w:val="22"/>
        </w:numPr>
        <w:rPr>
          <w:szCs w:val="24"/>
        </w:rPr>
      </w:pPr>
      <w:r w:rsidRPr="002F0F47">
        <w:rPr>
          <w:szCs w:val="24"/>
        </w:rPr>
        <w:t>Should clearly name the parent and subsidiary organisations it is covering;</w:t>
      </w:r>
    </w:p>
    <w:p w:rsidR="00E23F39" w:rsidRPr="002F0F47" w:rsidRDefault="00E23F39" w:rsidP="00E23F39">
      <w:pPr>
        <w:pStyle w:val="ListParagraph"/>
        <w:numPr>
          <w:ilvl w:val="0"/>
          <w:numId w:val="22"/>
        </w:numPr>
        <w:rPr>
          <w:szCs w:val="24"/>
        </w:rPr>
      </w:pPr>
      <w:r w:rsidRPr="002F0F47">
        <w:rPr>
          <w:szCs w:val="24"/>
        </w:rPr>
        <w:t xml:space="preserve">Should be published on the websites of all the organisations dealt with in the statement (i.e. that of the parent company and any of its qualifying subsidiary organisations). </w:t>
      </w:r>
    </w:p>
    <w:p w:rsidR="00E23F39" w:rsidRPr="002F0F47" w:rsidRDefault="00E23F39" w:rsidP="00E23F39">
      <w:pPr>
        <w:rPr>
          <w:b/>
          <w:szCs w:val="24"/>
          <w:lang w:val="en"/>
        </w:rPr>
      </w:pPr>
    </w:p>
    <w:p w:rsidR="00DA3EF4" w:rsidRPr="002F0F47" w:rsidRDefault="00E23F39" w:rsidP="00E23F39">
      <w:pPr>
        <w:rPr>
          <w:b/>
          <w:szCs w:val="24"/>
        </w:rPr>
      </w:pPr>
      <w:r w:rsidRPr="002F0F47">
        <w:rPr>
          <w:b/>
          <w:szCs w:val="24"/>
          <w:lang w:val="en"/>
        </w:rPr>
        <w:t xml:space="preserve">Audit outputs </w:t>
      </w:r>
    </w:p>
    <w:p w:rsidR="00DA3EF4" w:rsidRPr="002F0F47" w:rsidRDefault="00E23F39" w:rsidP="00DA3EF4">
      <w:pPr>
        <w:rPr>
          <w:szCs w:val="24"/>
          <w:lang w:val="en"/>
        </w:rPr>
      </w:pPr>
      <w:r w:rsidRPr="002F0F47">
        <w:rPr>
          <w:szCs w:val="24"/>
          <w:lang w:val="en"/>
        </w:rPr>
        <w:t xml:space="preserve">Based on the above legal requirements, </w:t>
      </w:r>
      <w:r w:rsidR="00DA3EF4" w:rsidRPr="002F0F47">
        <w:rPr>
          <w:szCs w:val="24"/>
          <w:lang w:val="en"/>
        </w:rPr>
        <w:t xml:space="preserve">the data </w:t>
      </w:r>
      <w:r w:rsidRPr="002F0F47">
        <w:rPr>
          <w:szCs w:val="24"/>
          <w:lang w:val="en"/>
        </w:rPr>
        <w:t>should</w:t>
      </w:r>
      <w:r w:rsidR="00DA3EF4" w:rsidRPr="002F0F47">
        <w:rPr>
          <w:szCs w:val="24"/>
          <w:lang w:val="en"/>
        </w:rPr>
        <w:t xml:space="preserve"> include:</w:t>
      </w:r>
    </w:p>
    <w:p w:rsidR="00DA3EF4" w:rsidRPr="002F0F47" w:rsidRDefault="00DA3EF4" w:rsidP="00DA3EF4">
      <w:pPr>
        <w:numPr>
          <w:ilvl w:val="0"/>
          <w:numId w:val="11"/>
        </w:numPr>
        <w:rPr>
          <w:szCs w:val="24"/>
          <w:lang w:val="en"/>
        </w:rPr>
      </w:pPr>
      <w:r w:rsidRPr="002F0F47">
        <w:rPr>
          <w:szCs w:val="24"/>
          <w:lang w:val="en"/>
        </w:rPr>
        <w:t xml:space="preserve">Whether each </w:t>
      </w:r>
      <w:proofErr w:type="spellStart"/>
      <w:r w:rsidRPr="002F0F47">
        <w:rPr>
          <w:szCs w:val="24"/>
          <w:lang w:val="en"/>
        </w:rPr>
        <w:t>organisation</w:t>
      </w:r>
      <w:proofErr w:type="spellEnd"/>
      <w:r w:rsidRPr="002F0F47">
        <w:rPr>
          <w:szCs w:val="24"/>
          <w:lang w:val="en"/>
        </w:rPr>
        <w:t xml:space="preserve"> on the list provided has published a Modern Slavery Statement or is clearly named as being covered by a ‘group statement’;</w:t>
      </w:r>
    </w:p>
    <w:p w:rsidR="00DA3EF4" w:rsidRPr="002F0F47" w:rsidRDefault="00DA3EF4" w:rsidP="00DA3EF4">
      <w:pPr>
        <w:numPr>
          <w:ilvl w:val="0"/>
          <w:numId w:val="11"/>
        </w:numPr>
        <w:rPr>
          <w:szCs w:val="24"/>
          <w:lang w:val="en"/>
        </w:rPr>
      </w:pPr>
      <w:r w:rsidRPr="002F0F47">
        <w:rPr>
          <w:szCs w:val="24"/>
          <w:lang w:val="en"/>
        </w:rPr>
        <w:t>A link to the Modern Slavery Statement where applicable;</w:t>
      </w:r>
    </w:p>
    <w:p w:rsidR="00DA3EF4" w:rsidRPr="002F0F47" w:rsidRDefault="00DA3EF4" w:rsidP="00DA3EF4">
      <w:pPr>
        <w:numPr>
          <w:ilvl w:val="0"/>
          <w:numId w:val="11"/>
        </w:numPr>
        <w:rPr>
          <w:szCs w:val="24"/>
        </w:rPr>
      </w:pPr>
      <w:r w:rsidRPr="002F0F47">
        <w:rPr>
          <w:bCs/>
          <w:szCs w:val="24"/>
        </w:rPr>
        <w:t xml:space="preserve">Whether their Modern Slavery Statement </w:t>
      </w:r>
      <w:r w:rsidR="009F7384" w:rsidRPr="002F0F47">
        <w:rPr>
          <w:bCs/>
          <w:szCs w:val="24"/>
        </w:rPr>
        <w:t xml:space="preserve">(whether for an individual organisation or a Group Statement) </w:t>
      </w:r>
      <w:r w:rsidRPr="002F0F47">
        <w:rPr>
          <w:bCs/>
          <w:szCs w:val="24"/>
        </w:rPr>
        <w:t>states that it has been approved by the Board of Directors</w:t>
      </w:r>
      <w:r w:rsidRPr="002F0F47">
        <w:rPr>
          <w:szCs w:val="24"/>
        </w:rPr>
        <w:t xml:space="preserve"> (or equivalent);   </w:t>
      </w:r>
    </w:p>
    <w:p w:rsidR="00DA3EF4" w:rsidRPr="002F0F47" w:rsidRDefault="00DA3EF4" w:rsidP="00DA3EF4">
      <w:pPr>
        <w:numPr>
          <w:ilvl w:val="0"/>
          <w:numId w:val="11"/>
        </w:numPr>
        <w:rPr>
          <w:szCs w:val="24"/>
        </w:rPr>
      </w:pPr>
      <w:r w:rsidRPr="002F0F47">
        <w:rPr>
          <w:bCs/>
          <w:szCs w:val="24"/>
        </w:rPr>
        <w:t>Whether their Modern Slavery Statement</w:t>
      </w:r>
      <w:r w:rsidR="009F7384" w:rsidRPr="002F0F47">
        <w:rPr>
          <w:bCs/>
          <w:szCs w:val="24"/>
        </w:rPr>
        <w:t xml:space="preserve"> (whether for an individual organisation or a Group Statement)</w:t>
      </w:r>
      <w:r w:rsidRPr="002F0F47">
        <w:rPr>
          <w:bCs/>
          <w:szCs w:val="24"/>
        </w:rPr>
        <w:t xml:space="preserve"> states that is has been signed by a director (or equivalent</w:t>
      </w:r>
      <w:r w:rsidRPr="002F0F47">
        <w:rPr>
          <w:szCs w:val="24"/>
        </w:rPr>
        <w:t xml:space="preserve">); </w:t>
      </w:r>
    </w:p>
    <w:p w:rsidR="00DA3EF4" w:rsidRPr="002F0F47" w:rsidRDefault="00DA3EF4" w:rsidP="00DA3EF4">
      <w:pPr>
        <w:numPr>
          <w:ilvl w:val="0"/>
          <w:numId w:val="11"/>
        </w:numPr>
        <w:rPr>
          <w:szCs w:val="24"/>
          <w:lang w:val="en"/>
        </w:rPr>
      </w:pPr>
      <w:r w:rsidRPr="002F0F47">
        <w:rPr>
          <w:bCs/>
          <w:szCs w:val="24"/>
        </w:rPr>
        <w:t>The reporting period of their latest Modern Slavery Statement</w:t>
      </w:r>
      <w:r w:rsidRPr="002F0F47">
        <w:rPr>
          <w:szCs w:val="24"/>
          <w:lang w:val="en"/>
        </w:rPr>
        <w:t>.</w:t>
      </w:r>
    </w:p>
    <w:p w:rsidR="00DA3EF4" w:rsidRPr="002F0F47" w:rsidRDefault="00DA3EF4" w:rsidP="004004E1">
      <w:pPr>
        <w:rPr>
          <w:szCs w:val="24"/>
          <w:lang w:val="en"/>
        </w:rPr>
      </w:pPr>
      <w:r w:rsidRPr="002F0F47">
        <w:rPr>
          <w:szCs w:val="24"/>
          <w:lang w:val="en"/>
        </w:rPr>
        <w:t xml:space="preserve">Alongside the data we would like a </w:t>
      </w:r>
      <w:r w:rsidR="009F7384" w:rsidRPr="002F0F47">
        <w:rPr>
          <w:szCs w:val="24"/>
          <w:lang w:val="en"/>
        </w:rPr>
        <w:t xml:space="preserve">brief </w:t>
      </w:r>
      <w:r w:rsidRPr="002F0F47">
        <w:rPr>
          <w:szCs w:val="24"/>
          <w:lang w:val="en"/>
        </w:rPr>
        <w:t xml:space="preserve">report outlining methodology, headline findings and the steps taken to ensure accuracy. </w:t>
      </w:r>
    </w:p>
    <w:bookmarkEnd w:id="6"/>
    <w:p w:rsidR="00EC0475" w:rsidRPr="002F0F47" w:rsidRDefault="00EC0475" w:rsidP="004004E1">
      <w:pPr>
        <w:rPr>
          <w:szCs w:val="24"/>
        </w:rPr>
      </w:pPr>
      <w:r w:rsidRPr="002F0F47">
        <w:rPr>
          <w:b/>
          <w:szCs w:val="24"/>
        </w:rPr>
        <w:t>Expected project length</w:t>
      </w:r>
      <w:r w:rsidRPr="002F0F47">
        <w:rPr>
          <w:szCs w:val="24"/>
        </w:rPr>
        <w:t xml:space="preserve"> </w:t>
      </w:r>
    </w:p>
    <w:p w:rsidR="00E65F3F" w:rsidRPr="002F0F47" w:rsidRDefault="000E7679" w:rsidP="004004E1">
      <w:pPr>
        <w:rPr>
          <w:szCs w:val="24"/>
        </w:rPr>
      </w:pPr>
      <w:r w:rsidRPr="002F0F47">
        <w:rPr>
          <w:szCs w:val="24"/>
        </w:rPr>
        <w:t>The Home Office</w:t>
      </w:r>
      <w:r w:rsidR="00595ADC" w:rsidRPr="002F0F47">
        <w:rPr>
          <w:szCs w:val="24"/>
        </w:rPr>
        <w:t xml:space="preserve"> </w:t>
      </w:r>
      <w:r w:rsidR="004004E1" w:rsidRPr="002F0F47">
        <w:rPr>
          <w:szCs w:val="24"/>
        </w:rPr>
        <w:t>would like</w:t>
      </w:r>
      <w:r w:rsidR="003A2CF0" w:rsidRPr="002F0F47">
        <w:rPr>
          <w:szCs w:val="24"/>
        </w:rPr>
        <w:t xml:space="preserve"> th</w:t>
      </w:r>
      <w:r w:rsidR="001C290D" w:rsidRPr="002F0F47">
        <w:rPr>
          <w:szCs w:val="24"/>
        </w:rPr>
        <w:t>e outputs</w:t>
      </w:r>
      <w:r w:rsidR="003A2CF0" w:rsidRPr="002F0F47">
        <w:rPr>
          <w:szCs w:val="24"/>
        </w:rPr>
        <w:t xml:space="preserve"> to be delivered </w:t>
      </w:r>
      <w:r w:rsidR="004004E1" w:rsidRPr="002F0F47">
        <w:rPr>
          <w:szCs w:val="24"/>
        </w:rPr>
        <w:t>within a timeframe of six</w:t>
      </w:r>
      <w:r w:rsidRPr="002F0F47">
        <w:rPr>
          <w:szCs w:val="24"/>
        </w:rPr>
        <w:t xml:space="preserve"> weeks</w:t>
      </w:r>
      <w:r w:rsidR="00CA1A58" w:rsidRPr="002F0F47">
        <w:rPr>
          <w:szCs w:val="24"/>
        </w:rPr>
        <w:t>.</w:t>
      </w:r>
      <w:r w:rsidRPr="002F0F47">
        <w:rPr>
          <w:szCs w:val="24"/>
        </w:rPr>
        <w:t xml:space="preserve"> However, there will be some flexibility, and suppliers are asked to provide a detailed outline of their intended timeframe.</w:t>
      </w:r>
    </w:p>
    <w:p w:rsidR="00EC0475" w:rsidRPr="002F0F47" w:rsidRDefault="001A2FCD" w:rsidP="004004E1">
      <w:pPr>
        <w:rPr>
          <w:b/>
          <w:szCs w:val="24"/>
        </w:rPr>
      </w:pPr>
      <w:r w:rsidRPr="002F0F47">
        <w:rPr>
          <w:b/>
          <w:szCs w:val="24"/>
        </w:rPr>
        <w:t>Target g</w:t>
      </w:r>
      <w:r w:rsidR="00EC742B" w:rsidRPr="002F0F47">
        <w:rPr>
          <w:b/>
          <w:szCs w:val="24"/>
        </w:rPr>
        <w:t xml:space="preserve">roup </w:t>
      </w:r>
    </w:p>
    <w:p w:rsidR="00F27F89" w:rsidRPr="002F0F47" w:rsidRDefault="00CA1A58" w:rsidP="004004E1">
      <w:pPr>
        <w:rPr>
          <w:szCs w:val="24"/>
        </w:rPr>
      </w:pPr>
      <w:r w:rsidRPr="002F0F47">
        <w:rPr>
          <w:szCs w:val="24"/>
        </w:rPr>
        <w:t xml:space="preserve">The </w:t>
      </w:r>
      <w:r w:rsidR="001C290D" w:rsidRPr="002F0F47">
        <w:rPr>
          <w:szCs w:val="24"/>
        </w:rPr>
        <w:t xml:space="preserve">Home Office will provide a list of </w:t>
      </w:r>
      <w:r w:rsidRPr="002F0F47">
        <w:rPr>
          <w:szCs w:val="24"/>
        </w:rPr>
        <w:t xml:space="preserve">organisations required to publish a </w:t>
      </w:r>
      <w:r w:rsidR="00D15A4B" w:rsidRPr="002F0F47">
        <w:rPr>
          <w:szCs w:val="24"/>
        </w:rPr>
        <w:t>Modern Slavery Statement</w:t>
      </w:r>
      <w:r w:rsidRPr="002F0F47">
        <w:rPr>
          <w:szCs w:val="24"/>
        </w:rPr>
        <w:t xml:space="preserve">. </w:t>
      </w:r>
    </w:p>
    <w:p w:rsidR="004F0F46" w:rsidRPr="002F0F47" w:rsidRDefault="004F0F46" w:rsidP="004004E1">
      <w:pPr>
        <w:rPr>
          <w:b/>
          <w:szCs w:val="24"/>
        </w:rPr>
      </w:pPr>
      <w:r w:rsidRPr="002F0F47">
        <w:rPr>
          <w:b/>
          <w:szCs w:val="24"/>
        </w:rPr>
        <w:t>Format of outputs</w:t>
      </w:r>
    </w:p>
    <w:p w:rsidR="00FA45F7" w:rsidRPr="002F0F47" w:rsidRDefault="004F0F46" w:rsidP="004004E1">
      <w:pPr>
        <w:rPr>
          <w:szCs w:val="24"/>
        </w:rPr>
      </w:pPr>
      <w:r w:rsidRPr="002F0F47">
        <w:rPr>
          <w:szCs w:val="24"/>
        </w:rPr>
        <w:t xml:space="preserve">The Home Office will need to be able to reuse the research output from the audit </w:t>
      </w:r>
      <w:r w:rsidR="00716037" w:rsidRPr="002F0F47">
        <w:rPr>
          <w:szCs w:val="24"/>
        </w:rPr>
        <w:t xml:space="preserve">to write to non-compliant and potentially non-compliant organisations seeking clarification and/or to publish the findings of the audit.  </w:t>
      </w:r>
    </w:p>
    <w:p w:rsidR="004F0F46" w:rsidRPr="002F0F47" w:rsidRDefault="004F0F46" w:rsidP="004004E1">
      <w:pPr>
        <w:rPr>
          <w:szCs w:val="24"/>
        </w:rPr>
      </w:pPr>
      <w:r w:rsidRPr="002F0F47">
        <w:rPr>
          <w:szCs w:val="24"/>
        </w:rPr>
        <w:t xml:space="preserve">The </w:t>
      </w:r>
      <w:r w:rsidR="007932E8" w:rsidRPr="002F0F47">
        <w:rPr>
          <w:szCs w:val="24"/>
        </w:rPr>
        <w:t>outputs</w:t>
      </w:r>
      <w:r w:rsidRPr="002F0F47">
        <w:rPr>
          <w:szCs w:val="24"/>
        </w:rPr>
        <w:t xml:space="preserve"> must therefore be provided to Home Office in a format that will allow the Home Office to complete the following activities:</w:t>
      </w:r>
    </w:p>
    <w:p w:rsidR="004F0F46" w:rsidRPr="002F0F47" w:rsidRDefault="004F0F46" w:rsidP="004004E1">
      <w:pPr>
        <w:pStyle w:val="ListParagraph"/>
        <w:numPr>
          <w:ilvl w:val="0"/>
          <w:numId w:val="12"/>
        </w:numPr>
        <w:rPr>
          <w:szCs w:val="24"/>
        </w:rPr>
      </w:pPr>
      <w:r w:rsidRPr="002F0F47">
        <w:rPr>
          <w:szCs w:val="24"/>
        </w:rPr>
        <w:t xml:space="preserve">Identify </w:t>
      </w:r>
      <w:r w:rsidR="00171725" w:rsidRPr="002F0F47">
        <w:rPr>
          <w:szCs w:val="24"/>
        </w:rPr>
        <w:t>which individual organisations</w:t>
      </w:r>
      <w:r w:rsidRPr="002F0F47">
        <w:rPr>
          <w:szCs w:val="24"/>
        </w:rPr>
        <w:t xml:space="preserve"> are compliant</w:t>
      </w:r>
    </w:p>
    <w:p w:rsidR="004F0F46" w:rsidRPr="002F0F47" w:rsidRDefault="004F0F46" w:rsidP="004004E1">
      <w:pPr>
        <w:pStyle w:val="ListParagraph"/>
        <w:numPr>
          <w:ilvl w:val="0"/>
          <w:numId w:val="12"/>
        </w:numPr>
        <w:rPr>
          <w:szCs w:val="24"/>
        </w:rPr>
      </w:pPr>
      <w:r w:rsidRPr="002F0F47">
        <w:rPr>
          <w:szCs w:val="24"/>
        </w:rPr>
        <w:t xml:space="preserve">Identify </w:t>
      </w:r>
      <w:r w:rsidR="00171725" w:rsidRPr="002F0F47">
        <w:rPr>
          <w:szCs w:val="24"/>
        </w:rPr>
        <w:t xml:space="preserve">which individual organisations </w:t>
      </w:r>
      <w:r w:rsidRPr="002F0F47">
        <w:rPr>
          <w:szCs w:val="24"/>
        </w:rPr>
        <w:t>are not compliant</w:t>
      </w:r>
    </w:p>
    <w:p w:rsidR="004F0F46" w:rsidRPr="002F0F47" w:rsidRDefault="004F0F46" w:rsidP="004004E1">
      <w:pPr>
        <w:pStyle w:val="ListParagraph"/>
        <w:numPr>
          <w:ilvl w:val="0"/>
          <w:numId w:val="12"/>
        </w:numPr>
        <w:rPr>
          <w:szCs w:val="24"/>
        </w:rPr>
      </w:pPr>
      <w:r w:rsidRPr="002F0F47">
        <w:rPr>
          <w:szCs w:val="24"/>
        </w:rPr>
        <w:t>Breakdown the basis for non-compliance based on the requirements of a compliant statement</w:t>
      </w:r>
    </w:p>
    <w:p w:rsidR="00FA45F7" w:rsidRPr="002F0F47" w:rsidRDefault="00FA45F7" w:rsidP="004004E1">
      <w:pPr>
        <w:rPr>
          <w:szCs w:val="24"/>
        </w:rPr>
      </w:pPr>
    </w:p>
    <w:p w:rsidR="009F7384" w:rsidRPr="002F0F47" w:rsidRDefault="004F0F46" w:rsidP="004004E1">
      <w:pPr>
        <w:rPr>
          <w:szCs w:val="24"/>
        </w:rPr>
      </w:pPr>
      <w:r w:rsidRPr="002F0F47">
        <w:rPr>
          <w:szCs w:val="24"/>
        </w:rPr>
        <w:t xml:space="preserve">This </w:t>
      </w:r>
      <w:r w:rsidR="00B92FA1" w:rsidRPr="002F0F47">
        <w:rPr>
          <w:szCs w:val="24"/>
        </w:rPr>
        <w:t xml:space="preserve">should be an </w:t>
      </w:r>
      <w:r w:rsidRPr="002F0F47">
        <w:rPr>
          <w:szCs w:val="24"/>
        </w:rPr>
        <w:t xml:space="preserve">Excel </w:t>
      </w:r>
      <w:r w:rsidR="00B92FA1" w:rsidRPr="002F0F47">
        <w:rPr>
          <w:szCs w:val="24"/>
        </w:rPr>
        <w:t xml:space="preserve">spreadsheet following the template provided by the </w:t>
      </w:r>
      <w:r w:rsidR="006B6B37" w:rsidRPr="002F0F47">
        <w:rPr>
          <w:szCs w:val="24"/>
        </w:rPr>
        <w:t>H</w:t>
      </w:r>
      <w:r w:rsidR="00B92FA1" w:rsidRPr="002F0F47">
        <w:rPr>
          <w:szCs w:val="24"/>
        </w:rPr>
        <w:t>ome Office</w:t>
      </w:r>
      <w:r w:rsidR="009F7384" w:rsidRPr="002F0F47">
        <w:rPr>
          <w:szCs w:val="24"/>
        </w:rPr>
        <w:t>, with appropriately headed columns making it easy to identify whether each organisation meets the above compliance requirements</w:t>
      </w:r>
      <w:r w:rsidR="00B92FA1" w:rsidRPr="002F0F47">
        <w:rPr>
          <w:szCs w:val="24"/>
        </w:rPr>
        <w:t xml:space="preserve">. The Home Office will need to be able to </w:t>
      </w:r>
      <w:r w:rsidR="007932E8" w:rsidRPr="002F0F47">
        <w:rPr>
          <w:szCs w:val="24"/>
        </w:rPr>
        <w:t>analyse the data</w:t>
      </w:r>
      <w:r w:rsidR="00B92FA1" w:rsidRPr="002F0F47">
        <w:rPr>
          <w:szCs w:val="24"/>
        </w:rPr>
        <w:t xml:space="preserve"> as required and will also require</w:t>
      </w:r>
      <w:r w:rsidR="009B1EEF" w:rsidRPr="002F0F47">
        <w:rPr>
          <w:szCs w:val="24"/>
        </w:rPr>
        <w:t xml:space="preserve"> unlimited access to that data.</w:t>
      </w:r>
    </w:p>
    <w:p w:rsidR="002F485B" w:rsidRPr="002F0F47" w:rsidRDefault="003C4C1E" w:rsidP="004004E1">
      <w:pPr>
        <w:rPr>
          <w:b/>
          <w:szCs w:val="24"/>
        </w:rPr>
      </w:pPr>
      <w:r w:rsidRPr="002F0F47">
        <w:rPr>
          <w:b/>
          <w:szCs w:val="24"/>
        </w:rPr>
        <w:t>Contract Term</w:t>
      </w:r>
    </w:p>
    <w:p w:rsidR="00F556DF" w:rsidRPr="002F0F47" w:rsidRDefault="002F485B" w:rsidP="004004E1">
      <w:bookmarkStart w:id="7" w:name="_Auditing_compliance"/>
      <w:bookmarkStart w:id="8" w:name="_Hlk536517868"/>
      <w:bookmarkEnd w:id="7"/>
      <w:r w:rsidRPr="002F0F47">
        <w:rPr>
          <w:szCs w:val="24"/>
        </w:rPr>
        <w:t xml:space="preserve">We </w:t>
      </w:r>
      <w:r w:rsidR="002F0F47" w:rsidRPr="002F0F47">
        <w:rPr>
          <w:szCs w:val="24"/>
        </w:rPr>
        <w:t>expect</w:t>
      </w:r>
      <w:r w:rsidRPr="002F0F47">
        <w:rPr>
          <w:szCs w:val="24"/>
        </w:rPr>
        <w:t xml:space="preserve"> that this work will be completed within a short timescale, however a maximum contract term of up to 12 months</w:t>
      </w:r>
      <w:bookmarkEnd w:id="8"/>
      <w:r w:rsidRPr="002F0F47">
        <w:rPr>
          <w:szCs w:val="24"/>
        </w:rPr>
        <w:t xml:space="preserve"> will be allowed to take account of follow up activity if required. </w:t>
      </w:r>
      <w:r w:rsidR="00F556DF" w:rsidRPr="002F0F47">
        <w:rPr>
          <w:b/>
          <w:szCs w:val="24"/>
        </w:rPr>
        <w:br/>
      </w:r>
      <w:r w:rsidR="00632A4C" w:rsidRPr="002F0F47">
        <w:rPr>
          <w:b/>
          <w:szCs w:val="24"/>
        </w:rPr>
        <w:br/>
      </w:r>
      <w:r w:rsidR="00F556DF" w:rsidRPr="002F0F47">
        <w:rPr>
          <w:b/>
          <w:szCs w:val="24"/>
        </w:rPr>
        <w:t>Contact with organisations ‘in scope’ of Section 54</w:t>
      </w:r>
    </w:p>
    <w:p w:rsidR="00451485" w:rsidRPr="002F0F47" w:rsidRDefault="002D6034" w:rsidP="004004E1">
      <w:pPr>
        <w:rPr>
          <w:szCs w:val="24"/>
        </w:rPr>
      </w:pPr>
      <w:r w:rsidRPr="002F0F47">
        <w:rPr>
          <w:szCs w:val="24"/>
        </w:rPr>
        <w:t>T</w:t>
      </w:r>
      <w:r w:rsidR="00F556DF" w:rsidRPr="002F0F47">
        <w:rPr>
          <w:szCs w:val="24"/>
        </w:rPr>
        <w:t>he auditing process</w:t>
      </w:r>
      <w:r w:rsidR="00451485" w:rsidRPr="002F0F47">
        <w:rPr>
          <w:szCs w:val="24"/>
        </w:rPr>
        <w:t xml:space="preserve"> </w:t>
      </w:r>
      <w:r w:rsidR="00FA45F7" w:rsidRPr="002F0F47">
        <w:rPr>
          <w:szCs w:val="24"/>
        </w:rPr>
        <w:t xml:space="preserve">must </w:t>
      </w:r>
      <w:r w:rsidR="00451485" w:rsidRPr="002F0F47">
        <w:rPr>
          <w:szCs w:val="24"/>
        </w:rPr>
        <w:t>not</w:t>
      </w:r>
      <w:r w:rsidR="00F556DF" w:rsidRPr="002F0F47">
        <w:rPr>
          <w:szCs w:val="24"/>
        </w:rPr>
        <w:t xml:space="preserve"> include any contact with organisations ‘in scope’ of the requirement. The audit </w:t>
      </w:r>
      <w:r w:rsidRPr="002F0F47">
        <w:rPr>
          <w:szCs w:val="24"/>
        </w:rPr>
        <w:t xml:space="preserve">will seek evidence as to </w:t>
      </w:r>
      <w:r w:rsidR="00F556DF" w:rsidRPr="002F0F47">
        <w:rPr>
          <w:szCs w:val="24"/>
        </w:rPr>
        <w:t>whether organisations have made the</w:t>
      </w:r>
      <w:r w:rsidR="002F0F47" w:rsidRPr="002F0F47">
        <w:rPr>
          <w:szCs w:val="24"/>
        </w:rPr>
        <w:t xml:space="preserve">ir statement publicly available.  While carrying out the audit or any subsequent audit activity on the Home Office’s behalf, </w:t>
      </w:r>
      <w:r w:rsidR="00F556DF" w:rsidRPr="002F0F47">
        <w:rPr>
          <w:szCs w:val="24"/>
        </w:rPr>
        <w:t xml:space="preserve">the </w:t>
      </w:r>
      <w:r w:rsidR="00FA45F7" w:rsidRPr="002F0F47">
        <w:rPr>
          <w:szCs w:val="24"/>
        </w:rPr>
        <w:t>supplier must not contact</w:t>
      </w:r>
      <w:r w:rsidR="00F556DF" w:rsidRPr="002F0F47">
        <w:rPr>
          <w:szCs w:val="24"/>
        </w:rPr>
        <w:t xml:space="preserve"> organisatio</w:t>
      </w:r>
      <w:r w:rsidR="002F0F47" w:rsidRPr="002F0F47">
        <w:rPr>
          <w:szCs w:val="24"/>
        </w:rPr>
        <w:t xml:space="preserve">ns regarding their compliance with the Modern Slavery Act 2015. </w:t>
      </w:r>
    </w:p>
    <w:p w:rsidR="00F556DF" w:rsidRPr="002F0F47" w:rsidRDefault="00F556DF" w:rsidP="004004E1">
      <w:r w:rsidRPr="002F0F47">
        <w:rPr>
          <w:szCs w:val="24"/>
        </w:rPr>
        <w:t xml:space="preserve">The Home Office will undertake its own communications with non-compliant </w:t>
      </w:r>
      <w:r w:rsidR="002D6034" w:rsidRPr="002F0F47">
        <w:rPr>
          <w:szCs w:val="24"/>
        </w:rPr>
        <w:t xml:space="preserve">and potentially non-compliant </w:t>
      </w:r>
      <w:r w:rsidRPr="002F0F47">
        <w:rPr>
          <w:szCs w:val="24"/>
        </w:rPr>
        <w:t>organisations.</w:t>
      </w:r>
    </w:p>
    <w:p w:rsidR="00B81831" w:rsidRPr="002F0F47" w:rsidRDefault="00B81831" w:rsidP="004004E1">
      <w:pPr>
        <w:pStyle w:val="Heading1"/>
        <w:rPr>
          <w:rFonts w:ascii="Arial" w:hAnsi="Arial" w:cs="Arial"/>
          <w:color w:val="auto"/>
        </w:rPr>
      </w:pPr>
      <w:bookmarkStart w:id="9" w:name="_Budget"/>
      <w:bookmarkStart w:id="10" w:name="_Hlk536517920"/>
      <w:bookmarkEnd w:id="9"/>
      <w:r w:rsidRPr="002F0F47">
        <w:rPr>
          <w:rFonts w:ascii="Arial" w:hAnsi="Arial" w:cs="Arial"/>
          <w:color w:val="auto"/>
        </w:rPr>
        <w:t xml:space="preserve">Budget </w:t>
      </w:r>
      <w:bookmarkEnd w:id="10"/>
    </w:p>
    <w:p w:rsidR="002F485B" w:rsidRPr="002F0F47" w:rsidRDefault="00CB793A" w:rsidP="004004E1">
      <w:pPr>
        <w:rPr>
          <w:szCs w:val="24"/>
        </w:rPr>
      </w:pPr>
      <w:r w:rsidRPr="002F0F47">
        <w:rPr>
          <w:szCs w:val="24"/>
        </w:rPr>
        <w:t xml:space="preserve">Suppliers are required to provide a </w:t>
      </w:r>
      <w:r w:rsidR="00B81831" w:rsidRPr="002F0F47">
        <w:rPr>
          <w:szCs w:val="24"/>
        </w:rPr>
        <w:t xml:space="preserve">detailed breakdown of costs </w:t>
      </w:r>
      <w:r w:rsidRPr="002F0F47">
        <w:rPr>
          <w:szCs w:val="24"/>
        </w:rPr>
        <w:t>within their</w:t>
      </w:r>
      <w:r w:rsidR="00B81831" w:rsidRPr="002F0F47">
        <w:rPr>
          <w:szCs w:val="24"/>
        </w:rPr>
        <w:t xml:space="preserve"> proposa</w:t>
      </w:r>
      <w:r w:rsidR="00CE3EA1">
        <w:rPr>
          <w:szCs w:val="24"/>
        </w:rPr>
        <w:t xml:space="preserve">l within the range of £30 - </w:t>
      </w:r>
      <w:r w:rsidR="00CA3A3B">
        <w:rPr>
          <w:szCs w:val="24"/>
        </w:rPr>
        <w:t>£</w:t>
      </w:r>
      <w:r w:rsidR="002F485B" w:rsidRPr="002F0F47">
        <w:rPr>
          <w:szCs w:val="24"/>
        </w:rPr>
        <w:t>5</w:t>
      </w:r>
      <w:r w:rsidR="00CE3EA1">
        <w:rPr>
          <w:szCs w:val="24"/>
        </w:rPr>
        <w:t>0</w:t>
      </w:r>
      <w:r w:rsidR="002F485B" w:rsidRPr="002F0F47">
        <w:rPr>
          <w:szCs w:val="24"/>
        </w:rPr>
        <w:t xml:space="preserve">k. </w:t>
      </w:r>
    </w:p>
    <w:p w:rsidR="009B1EEF" w:rsidRPr="002F0F47" w:rsidRDefault="009B1EEF" w:rsidP="004004E1">
      <w:pPr>
        <w:rPr>
          <w:szCs w:val="24"/>
        </w:rPr>
      </w:pPr>
    </w:p>
    <w:p w:rsidR="00C31EBE" w:rsidRPr="002F0F47" w:rsidRDefault="00C31EBE" w:rsidP="004004E1">
      <w:pPr>
        <w:rPr>
          <w:szCs w:val="24"/>
        </w:rPr>
      </w:pPr>
    </w:p>
    <w:p w:rsidR="00F27F89" w:rsidRPr="002F0F47" w:rsidRDefault="00F27F89" w:rsidP="004004E1">
      <w:pPr>
        <w:rPr>
          <w:szCs w:val="24"/>
        </w:rPr>
      </w:pPr>
    </w:p>
    <w:p w:rsidR="00C31EBE" w:rsidRPr="002F0F47" w:rsidRDefault="00C31EBE" w:rsidP="004004E1">
      <w:pPr>
        <w:rPr>
          <w:szCs w:val="24"/>
        </w:rPr>
      </w:pPr>
    </w:p>
    <w:p w:rsidR="00C31EBE" w:rsidRPr="002F0F47" w:rsidRDefault="00C31EBE" w:rsidP="004004E1">
      <w:pPr>
        <w:rPr>
          <w:szCs w:val="24"/>
        </w:rPr>
      </w:pPr>
    </w:p>
    <w:p w:rsidR="00C31EBE" w:rsidRPr="002F0F47" w:rsidRDefault="00C31EBE" w:rsidP="004004E1">
      <w:pPr>
        <w:rPr>
          <w:szCs w:val="24"/>
        </w:rPr>
      </w:pPr>
    </w:p>
    <w:p w:rsidR="00C31EBE" w:rsidRPr="002F0F47" w:rsidRDefault="00C31EBE" w:rsidP="004004E1">
      <w:pPr>
        <w:rPr>
          <w:szCs w:val="24"/>
        </w:rPr>
      </w:pPr>
    </w:p>
    <w:p w:rsidR="00C31EBE" w:rsidRPr="002F0F47" w:rsidRDefault="00C31EBE" w:rsidP="004004E1">
      <w:pPr>
        <w:rPr>
          <w:szCs w:val="24"/>
        </w:rPr>
      </w:pPr>
    </w:p>
    <w:p w:rsidR="00C31EBE" w:rsidRPr="002F0F47" w:rsidRDefault="00C31EBE" w:rsidP="004004E1">
      <w:pPr>
        <w:rPr>
          <w:szCs w:val="24"/>
        </w:rPr>
      </w:pPr>
    </w:p>
    <w:p w:rsidR="00C31EBE" w:rsidRPr="002F0F47" w:rsidRDefault="00C31EBE" w:rsidP="004004E1">
      <w:pPr>
        <w:rPr>
          <w:szCs w:val="24"/>
        </w:rPr>
      </w:pPr>
    </w:p>
    <w:p w:rsidR="00C31EBE" w:rsidRPr="002F0F47" w:rsidRDefault="00C31EBE" w:rsidP="004004E1">
      <w:pPr>
        <w:rPr>
          <w:szCs w:val="24"/>
        </w:rPr>
      </w:pPr>
    </w:p>
    <w:p w:rsidR="004B7E62" w:rsidRPr="002F0F47" w:rsidRDefault="00C31EBE" w:rsidP="004004E1">
      <w:pPr>
        <w:rPr>
          <w:sz w:val="32"/>
          <w:szCs w:val="24"/>
        </w:rPr>
      </w:pPr>
      <w:bookmarkStart w:id="11" w:name="_Hlk426138"/>
      <w:r w:rsidRPr="002F0F47">
        <w:rPr>
          <w:sz w:val="32"/>
        </w:rPr>
        <w:t xml:space="preserve">Annex 1 - </w:t>
      </w:r>
      <w:r w:rsidR="009B1EEF" w:rsidRPr="002F0F47">
        <w:rPr>
          <w:sz w:val="32"/>
        </w:rPr>
        <w:t>Procurement timetable</w:t>
      </w:r>
      <w:r w:rsidR="00141A83" w:rsidRPr="002F0F47">
        <w:rPr>
          <w:sz w:val="32"/>
        </w:rPr>
        <w:br/>
      </w:r>
    </w:p>
    <w:tbl>
      <w:tblPr>
        <w:tblStyle w:val="TableGrid"/>
        <w:tblW w:w="0" w:type="auto"/>
        <w:tblLook w:val="04A0" w:firstRow="1" w:lastRow="0" w:firstColumn="1" w:lastColumn="0" w:noHBand="0" w:noVBand="1"/>
      </w:tblPr>
      <w:tblGrid>
        <w:gridCol w:w="1388"/>
        <w:gridCol w:w="2445"/>
        <w:gridCol w:w="5183"/>
      </w:tblGrid>
      <w:tr w:rsidR="00BD5933" w:rsidRPr="002F0F47" w:rsidTr="00AA6298">
        <w:trPr>
          <w:trHeight w:val="280"/>
        </w:trPr>
        <w:tc>
          <w:tcPr>
            <w:tcW w:w="1704" w:type="dxa"/>
          </w:tcPr>
          <w:p w:rsidR="007E071F" w:rsidRPr="002F0F47" w:rsidRDefault="00552B8F" w:rsidP="004004E1">
            <w:pPr>
              <w:rPr>
                <w:b/>
                <w:szCs w:val="24"/>
              </w:rPr>
            </w:pPr>
            <w:r w:rsidRPr="002F0F47">
              <w:rPr>
                <w:b/>
                <w:szCs w:val="24"/>
              </w:rPr>
              <w:t xml:space="preserve">Due </w:t>
            </w:r>
            <w:r w:rsidR="007E071F" w:rsidRPr="002F0F47">
              <w:rPr>
                <w:b/>
                <w:szCs w:val="24"/>
              </w:rPr>
              <w:t xml:space="preserve"> </w:t>
            </w:r>
          </w:p>
        </w:tc>
        <w:tc>
          <w:tcPr>
            <w:tcW w:w="3111" w:type="dxa"/>
          </w:tcPr>
          <w:p w:rsidR="007E071F" w:rsidRPr="002F0F47" w:rsidRDefault="007E071F" w:rsidP="004004E1">
            <w:pPr>
              <w:rPr>
                <w:b/>
                <w:szCs w:val="24"/>
              </w:rPr>
            </w:pPr>
            <w:r w:rsidRPr="002F0F47">
              <w:rPr>
                <w:b/>
                <w:szCs w:val="24"/>
              </w:rPr>
              <w:t xml:space="preserve">Activity </w:t>
            </w:r>
          </w:p>
        </w:tc>
        <w:tc>
          <w:tcPr>
            <w:tcW w:w="4201" w:type="dxa"/>
          </w:tcPr>
          <w:p w:rsidR="007E071F" w:rsidRPr="002F0F47" w:rsidRDefault="00552B8F" w:rsidP="004004E1">
            <w:pPr>
              <w:rPr>
                <w:b/>
                <w:szCs w:val="24"/>
              </w:rPr>
            </w:pPr>
            <w:r w:rsidRPr="002F0F47">
              <w:rPr>
                <w:b/>
                <w:szCs w:val="24"/>
              </w:rPr>
              <w:t xml:space="preserve">  </w:t>
            </w:r>
            <w:r w:rsidR="00D96762" w:rsidRPr="002F0F47">
              <w:rPr>
                <w:b/>
                <w:szCs w:val="24"/>
              </w:rPr>
              <w:t xml:space="preserve"> Contact</w:t>
            </w:r>
          </w:p>
        </w:tc>
      </w:tr>
      <w:tr w:rsidR="00BD5933" w:rsidRPr="002F0F47" w:rsidTr="00AA6298">
        <w:trPr>
          <w:trHeight w:val="280"/>
        </w:trPr>
        <w:tc>
          <w:tcPr>
            <w:tcW w:w="1704" w:type="dxa"/>
          </w:tcPr>
          <w:p w:rsidR="007E071F" w:rsidRPr="002F0F47" w:rsidRDefault="00B96594" w:rsidP="004004E1">
            <w:pPr>
              <w:rPr>
                <w:szCs w:val="24"/>
              </w:rPr>
            </w:pPr>
            <w:r w:rsidRPr="002F0F47">
              <w:rPr>
                <w:szCs w:val="24"/>
              </w:rPr>
              <w:t xml:space="preserve"> </w:t>
            </w:r>
            <w:r w:rsidR="00716F9F">
              <w:rPr>
                <w:szCs w:val="24"/>
              </w:rPr>
              <w:t>10</w:t>
            </w:r>
            <w:r w:rsidR="00716F9F" w:rsidRPr="00716F9F">
              <w:rPr>
                <w:szCs w:val="24"/>
                <w:vertAlign w:val="superscript"/>
              </w:rPr>
              <w:t>th</w:t>
            </w:r>
            <w:r w:rsidR="00716F9F">
              <w:rPr>
                <w:szCs w:val="24"/>
              </w:rPr>
              <w:t xml:space="preserve"> </w:t>
            </w:r>
            <w:r w:rsidRPr="002F0F47">
              <w:rPr>
                <w:szCs w:val="24"/>
              </w:rPr>
              <w:t>July 19</w:t>
            </w:r>
          </w:p>
        </w:tc>
        <w:tc>
          <w:tcPr>
            <w:tcW w:w="3111" w:type="dxa"/>
          </w:tcPr>
          <w:p w:rsidR="007E071F" w:rsidRPr="002F0F47" w:rsidRDefault="00552B8F" w:rsidP="004004E1">
            <w:pPr>
              <w:rPr>
                <w:szCs w:val="24"/>
              </w:rPr>
            </w:pPr>
            <w:r w:rsidRPr="002F0F47">
              <w:rPr>
                <w:szCs w:val="24"/>
              </w:rPr>
              <w:t xml:space="preserve">Issue Tender Documents </w:t>
            </w:r>
            <w:r w:rsidR="00F27F89" w:rsidRPr="002F0F47">
              <w:rPr>
                <w:szCs w:val="24"/>
              </w:rPr>
              <w:t>on Contracts Finder</w:t>
            </w:r>
          </w:p>
        </w:tc>
        <w:tc>
          <w:tcPr>
            <w:tcW w:w="4201" w:type="dxa"/>
          </w:tcPr>
          <w:p w:rsidR="007E071F" w:rsidRPr="002F0F47" w:rsidRDefault="007E071F" w:rsidP="004004E1">
            <w:pPr>
              <w:rPr>
                <w:szCs w:val="24"/>
              </w:rPr>
            </w:pPr>
          </w:p>
          <w:p w:rsidR="00D33401" w:rsidRPr="002F0F47" w:rsidRDefault="00D33401" w:rsidP="004004E1">
            <w:pPr>
              <w:rPr>
                <w:szCs w:val="24"/>
              </w:rPr>
            </w:pPr>
          </w:p>
        </w:tc>
      </w:tr>
      <w:tr w:rsidR="00BD5933" w:rsidRPr="002F0F47" w:rsidTr="00AA6298">
        <w:trPr>
          <w:trHeight w:val="280"/>
        </w:trPr>
        <w:tc>
          <w:tcPr>
            <w:tcW w:w="1704" w:type="dxa"/>
            <w:vAlign w:val="bottom"/>
          </w:tcPr>
          <w:p w:rsidR="00552B8F" w:rsidRPr="002F0F47" w:rsidRDefault="00B96594" w:rsidP="004004E1">
            <w:pPr>
              <w:rPr>
                <w:szCs w:val="24"/>
              </w:rPr>
            </w:pPr>
            <w:r w:rsidRPr="002F0F47">
              <w:rPr>
                <w:szCs w:val="24"/>
              </w:rPr>
              <w:t>1</w:t>
            </w:r>
            <w:r w:rsidR="00716F9F">
              <w:rPr>
                <w:szCs w:val="24"/>
              </w:rPr>
              <w:t>7</w:t>
            </w:r>
            <w:r w:rsidRPr="002F0F47">
              <w:rPr>
                <w:szCs w:val="24"/>
              </w:rPr>
              <w:t>th July</w:t>
            </w:r>
            <w:r w:rsidR="00F27F89" w:rsidRPr="002F0F47">
              <w:rPr>
                <w:szCs w:val="24"/>
              </w:rPr>
              <w:t xml:space="preserve"> 19</w:t>
            </w:r>
            <w:r w:rsidR="00552B8F" w:rsidRPr="002F0F47">
              <w:rPr>
                <w:szCs w:val="24"/>
              </w:rPr>
              <w:t xml:space="preserve"> </w:t>
            </w:r>
          </w:p>
        </w:tc>
        <w:tc>
          <w:tcPr>
            <w:tcW w:w="3111" w:type="dxa"/>
          </w:tcPr>
          <w:p w:rsidR="00552B8F" w:rsidRPr="002F0F47" w:rsidRDefault="00552B8F" w:rsidP="004004E1">
            <w:pPr>
              <w:rPr>
                <w:szCs w:val="24"/>
              </w:rPr>
            </w:pPr>
            <w:r w:rsidRPr="002F0F47">
              <w:rPr>
                <w:szCs w:val="24"/>
              </w:rPr>
              <w:t xml:space="preserve">Clarification </w:t>
            </w:r>
            <w:r w:rsidR="00D96762" w:rsidRPr="002F0F47">
              <w:rPr>
                <w:szCs w:val="24"/>
              </w:rPr>
              <w:t>q</w:t>
            </w:r>
            <w:r w:rsidRPr="002F0F47">
              <w:rPr>
                <w:szCs w:val="24"/>
              </w:rPr>
              <w:t>uestions deadline</w:t>
            </w:r>
          </w:p>
        </w:tc>
        <w:tc>
          <w:tcPr>
            <w:tcW w:w="4201" w:type="dxa"/>
          </w:tcPr>
          <w:p w:rsidR="00552B8F" w:rsidRPr="002F0F47" w:rsidRDefault="00F27F89" w:rsidP="004004E1">
            <w:pPr>
              <w:rPr>
                <w:szCs w:val="24"/>
              </w:rPr>
            </w:pPr>
            <w:r w:rsidRPr="002F0F47">
              <w:rPr>
                <w:szCs w:val="24"/>
              </w:rPr>
              <w:t>CollaborativeProcurement@homeoffice.gov.uk</w:t>
            </w:r>
          </w:p>
        </w:tc>
      </w:tr>
      <w:tr w:rsidR="00BD5933" w:rsidRPr="002F0F47" w:rsidTr="00AA6298">
        <w:trPr>
          <w:trHeight w:val="296"/>
        </w:trPr>
        <w:tc>
          <w:tcPr>
            <w:tcW w:w="1704" w:type="dxa"/>
            <w:vAlign w:val="bottom"/>
          </w:tcPr>
          <w:p w:rsidR="00552B8F" w:rsidRPr="002F0F47" w:rsidRDefault="00F27F89" w:rsidP="004004E1">
            <w:pPr>
              <w:rPr>
                <w:szCs w:val="24"/>
              </w:rPr>
            </w:pPr>
            <w:r w:rsidRPr="002F0F47">
              <w:rPr>
                <w:szCs w:val="24"/>
              </w:rPr>
              <w:t xml:space="preserve">w/c </w:t>
            </w:r>
            <w:r w:rsidR="00716F9F">
              <w:rPr>
                <w:szCs w:val="24"/>
              </w:rPr>
              <w:t>22nd</w:t>
            </w:r>
            <w:r w:rsidR="00552B8F" w:rsidRPr="002F0F47">
              <w:rPr>
                <w:szCs w:val="24"/>
              </w:rPr>
              <w:t xml:space="preserve"> </w:t>
            </w:r>
            <w:proofErr w:type="gramStart"/>
            <w:r w:rsidR="00B96594" w:rsidRPr="002F0F47">
              <w:rPr>
                <w:szCs w:val="24"/>
              </w:rPr>
              <w:t xml:space="preserve">July  </w:t>
            </w:r>
            <w:r w:rsidRPr="002F0F47">
              <w:rPr>
                <w:szCs w:val="24"/>
              </w:rPr>
              <w:t>19</w:t>
            </w:r>
            <w:proofErr w:type="gramEnd"/>
          </w:p>
        </w:tc>
        <w:tc>
          <w:tcPr>
            <w:tcW w:w="3111" w:type="dxa"/>
          </w:tcPr>
          <w:p w:rsidR="00552B8F" w:rsidRPr="002F0F47" w:rsidRDefault="00552B8F" w:rsidP="004004E1">
            <w:pPr>
              <w:rPr>
                <w:szCs w:val="24"/>
              </w:rPr>
            </w:pPr>
            <w:r w:rsidRPr="002F0F47">
              <w:rPr>
                <w:szCs w:val="24"/>
              </w:rPr>
              <w:t>Responses to Clarification Questions deadline</w:t>
            </w:r>
          </w:p>
        </w:tc>
        <w:tc>
          <w:tcPr>
            <w:tcW w:w="4201" w:type="dxa"/>
          </w:tcPr>
          <w:p w:rsidR="00552B8F" w:rsidRPr="002F0F47" w:rsidRDefault="00552B8F" w:rsidP="004004E1">
            <w:pPr>
              <w:rPr>
                <w:szCs w:val="24"/>
              </w:rPr>
            </w:pPr>
          </w:p>
        </w:tc>
      </w:tr>
      <w:tr w:rsidR="00BD5933" w:rsidRPr="002F0F47" w:rsidTr="00AA6298">
        <w:trPr>
          <w:trHeight w:val="280"/>
        </w:trPr>
        <w:tc>
          <w:tcPr>
            <w:tcW w:w="1704" w:type="dxa"/>
            <w:vAlign w:val="bottom"/>
          </w:tcPr>
          <w:p w:rsidR="00552B8F" w:rsidRPr="002F0F47" w:rsidRDefault="00B96594" w:rsidP="004004E1">
            <w:pPr>
              <w:rPr>
                <w:b/>
                <w:szCs w:val="24"/>
              </w:rPr>
            </w:pPr>
            <w:r w:rsidRPr="002F0F47">
              <w:rPr>
                <w:b/>
                <w:szCs w:val="24"/>
              </w:rPr>
              <w:t>26</w:t>
            </w:r>
            <w:r w:rsidRPr="002F0F47">
              <w:rPr>
                <w:b/>
                <w:szCs w:val="24"/>
                <w:vertAlign w:val="superscript"/>
              </w:rPr>
              <w:t>th</w:t>
            </w:r>
            <w:r w:rsidRPr="002F0F47">
              <w:rPr>
                <w:b/>
                <w:szCs w:val="24"/>
              </w:rPr>
              <w:t xml:space="preserve"> July </w:t>
            </w:r>
            <w:r w:rsidR="00552B8F" w:rsidRPr="002F0F47">
              <w:rPr>
                <w:b/>
                <w:szCs w:val="24"/>
              </w:rPr>
              <w:t>19</w:t>
            </w:r>
          </w:p>
        </w:tc>
        <w:tc>
          <w:tcPr>
            <w:tcW w:w="3111" w:type="dxa"/>
            <w:vAlign w:val="bottom"/>
          </w:tcPr>
          <w:p w:rsidR="00552B8F" w:rsidRPr="002F0F47" w:rsidRDefault="00552B8F" w:rsidP="004004E1">
            <w:pPr>
              <w:rPr>
                <w:b/>
                <w:szCs w:val="24"/>
              </w:rPr>
            </w:pPr>
            <w:r w:rsidRPr="002F0F47">
              <w:rPr>
                <w:b/>
                <w:szCs w:val="24"/>
              </w:rPr>
              <w:t xml:space="preserve">Tender </w:t>
            </w:r>
            <w:r w:rsidR="00F27F89" w:rsidRPr="002F0F47">
              <w:rPr>
                <w:b/>
                <w:szCs w:val="24"/>
              </w:rPr>
              <w:t xml:space="preserve">submission </w:t>
            </w:r>
            <w:r w:rsidRPr="002F0F47">
              <w:rPr>
                <w:b/>
                <w:szCs w:val="24"/>
              </w:rPr>
              <w:t>Date</w:t>
            </w:r>
          </w:p>
        </w:tc>
        <w:tc>
          <w:tcPr>
            <w:tcW w:w="4201" w:type="dxa"/>
          </w:tcPr>
          <w:p w:rsidR="00552B8F" w:rsidRPr="002F0F47" w:rsidRDefault="00AA6298" w:rsidP="004004E1">
            <w:pPr>
              <w:rPr>
                <w:szCs w:val="24"/>
              </w:rPr>
            </w:pPr>
            <w:r w:rsidRPr="002F0F47">
              <w:rPr>
                <w:szCs w:val="24"/>
              </w:rPr>
              <w:t>CollaborativeProcurement@homeoffice.gov.uk</w:t>
            </w:r>
          </w:p>
        </w:tc>
      </w:tr>
      <w:tr w:rsidR="00BD5933" w:rsidRPr="002F0F47" w:rsidTr="00AA6298">
        <w:trPr>
          <w:trHeight w:val="280"/>
        </w:trPr>
        <w:tc>
          <w:tcPr>
            <w:tcW w:w="1704" w:type="dxa"/>
            <w:vAlign w:val="bottom"/>
          </w:tcPr>
          <w:p w:rsidR="00552B8F" w:rsidRPr="002F0F47" w:rsidRDefault="00DB51CB" w:rsidP="004004E1">
            <w:pPr>
              <w:rPr>
                <w:szCs w:val="24"/>
              </w:rPr>
            </w:pPr>
            <w:r w:rsidRPr="002F0F47">
              <w:rPr>
                <w:szCs w:val="24"/>
              </w:rPr>
              <w:t xml:space="preserve"> w/c </w:t>
            </w:r>
            <w:r w:rsidR="00B96594" w:rsidRPr="002F0F47">
              <w:rPr>
                <w:szCs w:val="24"/>
              </w:rPr>
              <w:t>2</w:t>
            </w:r>
            <w:r w:rsidRPr="002F0F47">
              <w:rPr>
                <w:szCs w:val="24"/>
              </w:rPr>
              <w:t>9th</w:t>
            </w:r>
            <w:r w:rsidR="00B96594" w:rsidRPr="002F0F47">
              <w:rPr>
                <w:szCs w:val="24"/>
              </w:rPr>
              <w:t xml:space="preserve"> July 19</w:t>
            </w:r>
          </w:p>
        </w:tc>
        <w:tc>
          <w:tcPr>
            <w:tcW w:w="3111" w:type="dxa"/>
            <w:vAlign w:val="bottom"/>
          </w:tcPr>
          <w:p w:rsidR="00552B8F" w:rsidRPr="002F0F47" w:rsidRDefault="00552B8F" w:rsidP="004004E1">
            <w:pPr>
              <w:rPr>
                <w:szCs w:val="24"/>
              </w:rPr>
            </w:pPr>
            <w:r w:rsidRPr="002F0F47">
              <w:rPr>
                <w:szCs w:val="24"/>
              </w:rPr>
              <w:t>Evaluation &amp; Clarification of tenders</w:t>
            </w:r>
          </w:p>
        </w:tc>
        <w:tc>
          <w:tcPr>
            <w:tcW w:w="4201" w:type="dxa"/>
          </w:tcPr>
          <w:p w:rsidR="00552B8F" w:rsidRPr="002F0F47" w:rsidRDefault="00552B8F" w:rsidP="004004E1">
            <w:pPr>
              <w:rPr>
                <w:szCs w:val="24"/>
              </w:rPr>
            </w:pPr>
          </w:p>
        </w:tc>
      </w:tr>
      <w:tr w:rsidR="00BD5933" w:rsidRPr="002F0F47" w:rsidTr="00AA6298">
        <w:trPr>
          <w:trHeight w:val="280"/>
        </w:trPr>
        <w:tc>
          <w:tcPr>
            <w:tcW w:w="1704" w:type="dxa"/>
            <w:vAlign w:val="bottom"/>
          </w:tcPr>
          <w:p w:rsidR="00AA6298" w:rsidRPr="002F0F47" w:rsidRDefault="00DB51CB" w:rsidP="004004E1">
            <w:pPr>
              <w:rPr>
                <w:szCs w:val="24"/>
              </w:rPr>
            </w:pPr>
            <w:r w:rsidRPr="002F0F47">
              <w:rPr>
                <w:szCs w:val="24"/>
              </w:rPr>
              <w:t>w/c 5th August 19</w:t>
            </w:r>
          </w:p>
        </w:tc>
        <w:tc>
          <w:tcPr>
            <w:tcW w:w="3111" w:type="dxa"/>
            <w:vAlign w:val="bottom"/>
          </w:tcPr>
          <w:p w:rsidR="00AA6298" w:rsidRPr="002F0F47" w:rsidRDefault="00DB51CB" w:rsidP="004004E1">
            <w:pPr>
              <w:rPr>
                <w:szCs w:val="24"/>
              </w:rPr>
            </w:pPr>
            <w:r w:rsidRPr="002F0F47">
              <w:rPr>
                <w:szCs w:val="24"/>
              </w:rPr>
              <w:t xml:space="preserve">Moderate / </w:t>
            </w:r>
            <w:r w:rsidR="00AA6298" w:rsidRPr="002F0F47">
              <w:rPr>
                <w:szCs w:val="24"/>
              </w:rPr>
              <w:t>Due diligence</w:t>
            </w:r>
          </w:p>
        </w:tc>
        <w:tc>
          <w:tcPr>
            <w:tcW w:w="4201" w:type="dxa"/>
          </w:tcPr>
          <w:p w:rsidR="00AA6298" w:rsidRPr="002F0F47" w:rsidRDefault="00AA6298" w:rsidP="004004E1">
            <w:pPr>
              <w:rPr>
                <w:szCs w:val="24"/>
              </w:rPr>
            </w:pPr>
          </w:p>
        </w:tc>
      </w:tr>
      <w:tr w:rsidR="00BD5933" w:rsidRPr="002F0F47" w:rsidTr="00AA6298">
        <w:trPr>
          <w:trHeight w:val="280"/>
        </w:trPr>
        <w:tc>
          <w:tcPr>
            <w:tcW w:w="1704" w:type="dxa"/>
            <w:vAlign w:val="bottom"/>
          </w:tcPr>
          <w:p w:rsidR="00552B8F" w:rsidRPr="002F0F47" w:rsidRDefault="00DB51CB" w:rsidP="004004E1">
            <w:pPr>
              <w:rPr>
                <w:szCs w:val="24"/>
              </w:rPr>
            </w:pPr>
            <w:r w:rsidRPr="002F0F47">
              <w:rPr>
                <w:szCs w:val="24"/>
              </w:rPr>
              <w:t>w/c 12</w:t>
            </w:r>
            <w:r w:rsidRPr="002F0F47">
              <w:rPr>
                <w:szCs w:val="24"/>
                <w:vertAlign w:val="superscript"/>
              </w:rPr>
              <w:t>th</w:t>
            </w:r>
            <w:r w:rsidRPr="002F0F47">
              <w:rPr>
                <w:szCs w:val="24"/>
              </w:rPr>
              <w:t xml:space="preserve"> Aug </w:t>
            </w:r>
            <w:r w:rsidR="00AA6298" w:rsidRPr="002F0F47">
              <w:rPr>
                <w:szCs w:val="24"/>
              </w:rPr>
              <w:t>19</w:t>
            </w:r>
          </w:p>
        </w:tc>
        <w:tc>
          <w:tcPr>
            <w:tcW w:w="3111" w:type="dxa"/>
            <w:vAlign w:val="bottom"/>
          </w:tcPr>
          <w:p w:rsidR="00552B8F" w:rsidRPr="002F0F47" w:rsidRDefault="00552B8F" w:rsidP="004004E1">
            <w:pPr>
              <w:rPr>
                <w:szCs w:val="24"/>
              </w:rPr>
            </w:pPr>
            <w:r w:rsidRPr="002F0F47">
              <w:rPr>
                <w:szCs w:val="24"/>
              </w:rPr>
              <w:t xml:space="preserve">Award successful supplier </w:t>
            </w:r>
          </w:p>
        </w:tc>
        <w:tc>
          <w:tcPr>
            <w:tcW w:w="4201" w:type="dxa"/>
          </w:tcPr>
          <w:p w:rsidR="00552B8F" w:rsidRPr="002F0F47" w:rsidRDefault="00552B8F" w:rsidP="004004E1">
            <w:pPr>
              <w:rPr>
                <w:szCs w:val="24"/>
              </w:rPr>
            </w:pPr>
          </w:p>
        </w:tc>
      </w:tr>
      <w:tr w:rsidR="00BD5933" w:rsidRPr="00BD5933" w:rsidTr="00AA6298">
        <w:trPr>
          <w:trHeight w:val="280"/>
        </w:trPr>
        <w:tc>
          <w:tcPr>
            <w:tcW w:w="1704" w:type="dxa"/>
            <w:vAlign w:val="bottom"/>
          </w:tcPr>
          <w:p w:rsidR="00552B8F" w:rsidRPr="002F0F47" w:rsidRDefault="00AA6298" w:rsidP="004004E1">
            <w:pPr>
              <w:rPr>
                <w:szCs w:val="24"/>
              </w:rPr>
            </w:pPr>
            <w:r w:rsidRPr="002F0F47">
              <w:rPr>
                <w:szCs w:val="24"/>
              </w:rPr>
              <w:t xml:space="preserve">w/c </w:t>
            </w:r>
            <w:r w:rsidR="00DB51CB" w:rsidRPr="002F0F47">
              <w:rPr>
                <w:szCs w:val="24"/>
              </w:rPr>
              <w:t>w/c 19</w:t>
            </w:r>
            <w:r w:rsidR="00DB51CB" w:rsidRPr="002F0F47">
              <w:rPr>
                <w:szCs w:val="24"/>
                <w:vertAlign w:val="superscript"/>
              </w:rPr>
              <w:t>th</w:t>
            </w:r>
            <w:r w:rsidR="00DB51CB" w:rsidRPr="002F0F47">
              <w:rPr>
                <w:szCs w:val="24"/>
              </w:rPr>
              <w:t xml:space="preserve"> August</w:t>
            </w:r>
          </w:p>
        </w:tc>
        <w:tc>
          <w:tcPr>
            <w:tcW w:w="3111" w:type="dxa"/>
            <w:vAlign w:val="bottom"/>
          </w:tcPr>
          <w:p w:rsidR="00552B8F" w:rsidRPr="00BD5933" w:rsidRDefault="00552B8F" w:rsidP="004004E1">
            <w:pPr>
              <w:rPr>
                <w:szCs w:val="24"/>
              </w:rPr>
            </w:pPr>
            <w:r w:rsidRPr="002F0F47">
              <w:rPr>
                <w:szCs w:val="24"/>
              </w:rPr>
              <w:t>Project Initiation Meeting</w:t>
            </w:r>
            <w:r w:rsidRPr="00BD5933">
              <w:rPr>
                <w:szCs w:val="24"/>
              </w:rPr>
              <w:t xml:space="preserve"> </w:t>
            </w:r>
          </w:p>
        </w:tc>
        <w:tc>
          <w:tcPr>
            <w:tcW w:w="4201" w:type="dxa"/>
          </w:tcPr>
          <w:p w:rsidR="00552B8F" w:rsidRPr="00BD5933" w:rsidRDefault="00552B8F" w:rsidP="004004E1">
            <w:pPr>
              <w:rPr>
                <w:szCs w:val="24"/>
              </w:rPr>
            </w:pPr>
          </w:p>
        </w:tc>
      </w:tr>
    </w:tbl>
    <w:p w:rsidR="00B81831" w:rsidRPr="00BD5933" w:rsidRDefault="00B81831" w:rsidP="004004E1">
      <w:pPr>
        <w:rPr>
          <w:szCs w:val="24"/>
        </w:rPr>
      </w:pPr>
    </w:p>
    <w:p w:rsidR="00C31EBE" w:rsidRPr="00BD5933" w:rsidRDefault="00C31EBE" w:rsidP="004004E1">
      <w:bookmarkStart w:id="12" w:name="_Annex__2"/>
      <w:bookmarkEnd w:id="11"/>
      <w:bookmarkEnd w:id="12"/>
    </w:p>
    <w:p w:rsidR="00D33401" w:rsidRPr="00BD5933" w:rsidRDefault="00D33401" w:rsidP="004004E1"/>
    <w:p w:rsidR="00D33401" w:rsidRPr="00BD5933" w:rsidRDefault="00D33401" w:rsidP="004004E1"/>
    <w:p w:rsidR="009B1EEF" w:rsidRPr="00BD5933" w:rsidRDefault="009B1EEF" w:rsidP="004004E1"/>
    <w:p w:rsidR="00C31EBE" w:rsidRPr="00BD5933" w:rsidRDefault="00C31EBE" w:rsidP="004004E1">
      <w:pPr>
        <w:pStyle w:val="Heading1"/>
        <w:rPr>
          <w:rFonts w:ascii="Arial" w:hAnsi="Arial" w:cs="Arial"/>
          <w:color w:val="auto"/>
        </w:rPr>
      </w:pPr>
    </w:p>
    <w:sectPr w:rsidR="00C31EBE" w:rsidRPr="00BD5933" w:rsidSect="00D728B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66" w:rsidRDefault="00E52566" w:rsidP="005317F8">
      <w:pPr>
        <w:spacing w:after="0" w:line="240" w:lineRule="auto"/>
      </w:pPr>
      <w:r>
        <w:separator/>
      </w:r>
    </w:p>
  </w:endnote>
  <w:endnote w:type="continuationSeparator" w:id="0">
    <w:p w:rsidR="00E52566" w:rsidRDefault="00E52566" w:rsidP="0053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45" w:rsidRDefault="00981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565044"/>
      <w:docPartObj>
        <w:docPartGallery w:val="Page Numbers (Bottom of Page)"/>
        <w:docPartUnique/>
      </w:docPartObj>
    </w:sdtPr>
    <w:sdtEndPr>
      <w:rPr>
        <w:noProof/>
      </w:rPr>
    </w:sdtEndPr>
    <w:sdtContent>
      <w:p w:rsidR="001A2FCD" w:rsidRDefault="001A2FCD">
        <w:pPr>
          <w:pStyle w:val="Footer"/>
        </w:pPr>
        <w:r>
          <w:fldChar w:fldCharType="begin"/>
        </w:r>
        <w:r>
          <w:instrText xml:space="preserve"> PAGE   \* MERGEFORMAT </w:instrText>
        </w:r>
        <w:r>
          <w:fldChar w:fldCharType="separate"/>
        </w:r>
        <w:r w:rsidR="00981E45">
          <w:rPr>
            <w:noProof/>
          </w:rPr>
          <w:t>1</w:t>
        </w:r>
        <w:r>
          <w:rPr>
            <w:noProof/>
          </w:rPr>
          <w:fldChar w:fldCharType="end"/>
        </w:r>
      </w:p>
    </w:sdtContent>
  </w:sdt>
  <w:p w:rsidR="004D7A1B" w:rsidRDefault="004D7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45" w:rsidRDefault="00981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66" w:rsidRDefault="00E52566" w:rsidP="005317F8">
      <w:pPr>
        <w:spacing w:after="0" w:line="240" w:lineRule="auto"/>
      </w:pPr>
      <w:r>
        <w:separator/>
      </w:r>
    </w:p>
  </w:footnote>
  <w:footnote w:type="continuationSeparator" w:id="0">
    <w:p w:rsidR="00E52566" w:rsidRDefault="00E52566" w:rsidP="0053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45" w:rsidRDefault="00981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422" w:rsidRPr="00F23422" w:rsidRDefault="00F23422" w:rsidP="001263E3">
    <w:pPr>
      <w:pStyle w:val="NoSpacing"/>
      <w:jc w:val="center"/>
      <w:rPr>
        <w:lang w:eastAsia="zh-CN"/>
      </w:rPr>
    </w:pPr>
    <w:bookmarkStart w:id="13" w:name="_GoBack"/>
    <w:bookmarkEnd w:id="13"/>
    <w:r w:rsidRPr="001263E3">
      <w:rPr>
        <w:noProof/>
        <w:sz w:val="20"/>
        <w:szCs w:val="20"/>
        <w:lang w:eastAsia="en-GB"/>
      </w:rPr>
      <w:drawing>
        <wp:anchor distT="0" distB="0" distL="114300" distR="114300" simplePos="0" relativeHeight="251659264" behindDoc="1" locked="0" layoutInCell="1" allowOverlap="1" wp14:anchorId="1CB76744" wp14:editId="43014E6E">
          <wp:simplePos x="0" y="0"/>
          <wp:positionH relativeFrom="column">
            <wp:posOffset>-363220</wp:posOffset>
          </wp:positionH>
          <wp:positionV relativeFrom="page">
            <wp:posOffset>262255</wp:posOffset>
          </wp:positionV>
          <wp:extent cx="1228725" cy="540385"/>
          <wp:effectExtent l="19050" t="0" r="9525" b="0"/>
          <wp:wrapSquare wrapText="bothSides"/>
          <wp:docPr id="1"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stretch>
                    <a:fillRect/>
                  </a:stretch>
                </pic:blipFill>
                <pic:spPr bwMode="auto">
                  <a:xfrm>
                    <a:off x="0" y="0"/>
                    <a:ext cx="1228725" cy="540385"/>
                  </a:xfrm>
                  <a:prstGeom prst="rect">
                    <a:avLst/>
                  </a:prstGeom>
                  <a:noFill/>
                  <a:ln w="9525">
                    <a:noFill/>
                    <a:miter lim="800000"/>
                    <a:headEnd/>
                    <a:tailEnd/>
                  </a:ln>
                </pic:spPr>
              </pic:pic>
            </a:graphicData>
          </a:graphic>
        </wp:anchor>
      </w:drawing>
    </w:r>
    <w:r w:rsidRPr="001263E3">
      <w:rPr>
        <w:sz w:val="20"/>
        <w:szCs w:val="20"/>
        <w:lang w:eastAsia="zh-CN"/>
      </w:rPr>
      <w:t>OFFICIAL</w:t>
    </w:r>
  </w:p>
  <w:p w:rsidR="00F23422" w:rsidRPr="001263E3" w:rsidRDefault="00F23422" w:rsidP="001263E3">
    <w:pPr>
      <w:pStyle w:val="NoSpacing"/>
      <w:jc w:val="center"/>
      <w:rPr>
        <w:sz w:val="20"/>
        <w:szCs w:val="20"/>
        <w:lang w:eastAsia="zh-CN"/>
      </w:rPr>
    </w:pPr>
    <w:r w:rsidRPr="001263E3">
      <w:rPr>
        <w:sz w:val="20"/>
        <w:szCs w:val="20"/>
        <w:lang w:eastAsia="zh-CN"/>
      </w:rPr>
      <w:t>Appendix B – Statement of Requirements</w:t>
    </w:r>
  </w:p>
  <w:p w:rsidR="001263E3" w:rsidRPr="001263E3" w:rsidRDefault="001263E3" w:rsidP="001263E3">
    <w:pPr>
      <w:pStyle w:val="NoSpacing"/>
      <w:jc w:val="center"/>
      <w:rPr>
        <w:sz w:val="20"/>
        <w:szCs w:val="20"/>
      </w:rPr>
    </w:pPr>
    <w:r w:rsidRPr="001263E3">
      <w:rPr>
        <w:sz w:val="20"/>
        <w:szCs w:val="20"/>
      </w:rPr>
      <w:t xml:space="preserve">Auditing compliance with Section 54 of the Modern </w:t>
    </w:r>
    <w:r>
      <w:rPr>
        <w:sz w:val="20"/>
        <w:szCs w:val="20"/>
      </w:rPr>
      <w:t>S</w:t>
    </w:r>
    <w:r w:rsidRPr="001263E3">
      <w:rPr>
        <w:sz w:val="20"/>
        <w:szCs w:val="20"/>
      </w:rPr>
      <w:t>lavery Act 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E45" w:rsidRDefault="00981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0E1"/>
    <w:multiLevelType w:val="hybridMultilevel"/>
    <w:tmpl w:val="9BF0C312"/>
    <w:lvl w:ilvl="0" w:tplc="40929F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F3D63"/>
    <w:multiLevelType w:val="hybridMultilevel"/>
    <w:tmpl w:val="466CF5DA"/>
    <w:lvl w:ilvl="0" w:tplc="9BACB8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E6D19"/>
    <w:multiLevelType w:val="hybridMultilevel"/>
    <w:tmpl w:val="46B061C0"/>
    <w:lvl w:ilvl="0" w:tplc="69E637F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90F32"/>
    <w:multiLevelType w:val="hybridMultilevel"/>
    <w:tmpl w:val="3D98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142F4"/>
    <w:multiLevelType w:val="hybridMultilevel"/>
    <w:tmpl w:val="8AEC0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9404D"/>
    <w:multiLevelType w:val="hybridMultilevel"/>
    <w:tmpl w:val="F82C6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B01B43"/>
    <w:multiLevelType w:val="hybridMultilevel"/>
    <w:tmpl w:val="6BAABE26"/>
    <w:lvl w:ilvl="0" w:tplc="41666894">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31C86"/>
    <w:multiLevelType w:val="hybridMultilevel"/>
    <w:tmpl w:val="F462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707A5"/>
    <w:multiLevelType w:val="hybridMultilevel"/>
    <w:tmpl w:val="BA3C0D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E5D8E"/>
    <w:multiLevelType w:val="hybridMultilevel"/>
    <w:tmpl w:val="036459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43CA1"/>
    <w:multiLevelType w:val="hybridMultilevel"/>
    <w:tmpl w:val="790068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AE3F63"/>
    <w:multiLevelType w:val="hybridMultilevel"/>
    <w:tmpl w:val="FD9E5D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6373E"/>
    <w:multiLevelType w:val="hybridMultilevel"/>
    <w:tmpl w:val="09AE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EB2E97"/>
    <w:multiLevelType w:val="hybridMultilevel"/>
    <w:tmpl w:val="BED47C80"/>
    <w:lvl w:ilvl="0" w:tplc="B790B84A">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03150"/>
    <w:multiLevelType w:val="hybridMultilevel"/>
    <w:tmpl w:val="07083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037C7E"/>
    <w:multiLevelType w:val="hybridMultilevel"/>
    <w:tmpl w:val="26029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E12CC"/>
    <w:multiLevelType w:val="hybridMultilevel"/>
    <w:tmpl w:val="8020EB8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C4A54"/>
    <w:multiLevelType w:val="hybridMultilevel"/>
    <w:tmpl w:val="D914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F610D"/>
    <w:multiLevelType w:val="hybridMultilevel"/>
    <w:tmpl w:val="CFE05A9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D775CE"/>
    <w:multiLevelType w:val="hybridMultilevel"/>
    <w:tmpl w:val="0F8024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F4490E"/>
    <w:multiLevelType w:val="hybridMultilevel"/>
    <w:tmpl w:val="DB98E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2"/>
  </w:num>
  <w:num w:numId="3">
    <w:abstractNumId w:val="8"/>
  </w:num>
  <w:num w:numId="4">
    <w:abstractNumId w:val="4"/>
  </w:num>
  <w:num w:numId="5">
    <w:abstractNumId w:val="14"/>
  </w:num>
  <w:num w:numId="6">
    <w:abstractNumId w:val="20"/>
  </w:num>
  <w:num w:numId="7">
    <w:abstractNumId w:val="9"/>
  </w:num>
  <w:num w:numId="8">
    <w:abstractNumId w:val="11"/>
  </w:num>
  <w:num w:numId="9">
    <w:abstractNumId w:val="16"/>
  </w:num>
  <w:num w:numId="10">
    <w:abstractNumId w:val="18"/>
  </w:num>
  <w:num w:numId="11">
    <w:abstractNumId w:val="1"/>
  </w:num>
  <w:num w:numId="12">
    <w:abstractNumId w:val="7"/>
  </w:num>
  <w:num w:numId="13">
    <w:abstractNumId w:val="10"/>
  </w:num>
  <w:num w:numId="14">
    <w:abstractNumId w:val="17"/>
  </w:num>
  <w:num w:numId="15">
    <w:abstractNumId w:val="6"/>
  </w:num>
  <w:num w:numId="16">
    <w:abstractNumId w:val="13"/>
  </w:num>
  <w:num w:numId="17">
    <w:abstractNumId w:val="15"/>
  </w:num>
  <w:num w:numId="18">
    <w:abstractNumId w:val="2"/>
  </w:num>
  <w:num w:numId="19">
    <w:abstractNumId w:val="19"/>
  </w:num>
  <w:num w:numId="20">
    <w:abstractNumId w:val="3"/>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92"/>
    <w:rsid w:val="0001671E"/>
    <w:rsid w:val="0002678D"/>
    <w:rsid w:val="000D29EE"/>
    <w:rsid w:val="000E7679"/>
    <w:rsid w:val="000F05B8"/>
    <w:rsid w:val="00103B68"/>
    <w:rsid w:val="0012025A"/>
    <w:rsid w:val="00120640"/>
    <w:rsid w:val="001263E3"/>
    <w:rsid w:val="00130AF4"/>
    <w:rsid w:val="00134F8E"/>
    <w:rsid w:val="00141A83"/>
    <w:rsid w:val="00147CAC"/>
    <w:rsid w:val="001664E1"/>
    <w:rsid w:val="00171725"/>
    <w:rsid w:val="00172AB0"/>
    <w:rsid w:val="0019721B"/>
    <w:rsid w:val="001A2FCD"/>
    <w:rsid w:val="001A73F6"/>
    <w:rsid w:val="001B7067"/>
    <w:rsid w:val="001C290D"/>
    <w:rsid w:val="001C7E7C"/>
    <w:rsid w:val="001D6C82"/>
    <w:rsid w:val="002010AA"/>
    <w:rsid w:val="002055FF"/>
    <w:rsid w:val="00217F61"/>
    <w:rsid w:val="002241C6"/>
    <w:rsid w:val="002406F0"/>
    <w:rsid w:val="00252EE7"/>
    <w:rsid w:val="00273A82"/>
    <w:rsid w:val="00276C79"/>
    <w:rsid w:val="002B2303"/>
    <w:rsid w:val="002B47C5"/>
    <w:rsid w:val="002C0C85"/>
    <w:rsid w:val="002D6034"/>
    <w:rsid w:val="002D67BD"/>
    <w:rsid w:val="002F0F47"/>
    <w:rsid w:val="002F485B"/>
    <w:rsid w:val="002F69BD"/>
    <w:rsid w:val="00323B36"/>
    <w:rsid w:val="003355B4"/>
    <w:rsid w:val="0034036C"/>
    <w:rsid w:val="003804E6"/>
    <w:rsid w:val="00386E9D"/>
    <w:rsid w:val="003943D5"/>
    <w:rsid w:val="00397DB4"/>
    <w:rsid w:val="003A2CF0"/>
    <w:rsid w:val="003C4C1E"/>
    <w:rsid w:val="003C6EFA"/>
    <w:rsid w:val="004004E1"/>
    <w:rsid w:val="00404B0E"/>
    <w:rsid w:val="0041015A"/>
    <w:rsid w:val="0045006C"/>
    <w:rsid w:val="00451485"/>
    <w:rsid w:val="00487CBC"/>
    <w:rsid w:val="00496CA7"/>
    <w:rsid w:val="004B1A73"/>
    <w:rsid w:val="004B7E62"/>
    <w:rsid w:val="004D2FDB"/>
    <w:rsid w:val="004D7A1B"/>
    <w:rsid w:val="004E49C4"/>
    <w:rsid w:val="004F0F46"/>
    <w:rsid w:val="00511BCA"/>
    <w:rsid w:val="005317F8"/>
    <w:rsid w:val="005378D0"/>
    <w:rsid w:val="00552B8F"/>
    <w:rsid w:val="00595ADC"/>
    <w:rsid w:val="005A32AA"/>
    <w:rsid w:val="005C2897"/>
    <w:rsid w:val="0062218D"/>
    <w:rsid w:val="00632A4C"/>
    <w:rsid w:val="0064195D"/>
    <w:rsid w:val="0066556A"/>
    <w:rsid w:val="006800F1"/>
    <w:rsid w:val="00686CBD"/>
    <w:rsid w:val="006B24A0"/>
    <w:rsid w:val="006B6B37"/>
    <w:rsid w:val="007014E6"/>
    <w:rsid w:val="00716037"/>
    <w:rsid w:val="00716F9F"/>
    <w:rsid w:val="00721E97"/>
    <w:rsid w:val="007416FA"/>
    <w:rsid w:val="0075656B"/>
    <w:rsid w:val="0076288F"/>
    <w:rsid w:val="00773260"/>
    <w:rsid w:val="007932E8"/>
    <w:rsid w:val="007A29FA"/>
    <w:rsid w:val="007A51D0"/>
    <w:rsid w:val="007E071F"/>
    <w:rsid w:val="007F543F"/>
    <w:rsid w:val="00806091"/>
    <w:rsid w:val="0082495D"/>
    <w:rsid w:val="00855C0C"/>
    <w:rsid w:val="00864F6A"/>
    <w:rsid w:val="008957FA"/>
    <w:rsid w:val="008B1249"/>
    <w:rsid w:val="008D667C"/>
    <w:rsid w:val="008F1D6A"/>
    <w:rsid w:val="00900504"/>
    <w:rsid w:val="009264C2"/>
    <w:rsid w:val="00945C17"/>
    <w:rsid w:val="00955866"/>
    <w:rsid w:val="00962791"/>
    <w:rsid w:val="00972EDE"/>
    <w:rsid w:val="00981E45"/>
    <w:rsid w:val="009B1EEF"/>
    <w:rsid w:val="009C498D"/>
    <w:rsid w:val="009E612F"/>
    <w:rsid w:val="009E6913"/>
    <w:rsid w:val="009F4B66"/>
    <w:rsid w:val="009F6FED"/>
    <w:rsid w:val="009F7384"/>
    <w:rsid w:val="00A14559"/>
    <w:rsid w:val="00A155A8"/>
    <w:rsid w:val="00A21687"/>
    <w:rsid w:val="00A31552"/>
    <w:rsid w:val="00A33E4F"/>
    <w:rsid w:val="00A5605F"/>
    <w:rsid w:val="00AA6298"/>
    <w:rsid w:val="00AD4E99"/>
    <w:rsid w:val="00B02FFC"/>
    <w:rsid w:val="00B10A71"/>
    <w:rsid w:val="00B16F9C"/>
    <w:rsid w:val="00B17F92"/>
    <w:rsid w:val="00B3628A"/>
    <w:rsid w:val="00B45FD8"/>
    <w:rsid w:val="00B81831"/>
    <w:rsid w:val="00B90FE6"/>
    <w:rsid w:val="00B92A04"/>
    <w:rsid w:val="00B92FA1"/>
    <w:rsid w:val="00B96594"/>
    <w:rsid w:val="00B9662E"/>
    <w:rsid w:val="00BA3778"/>
    <w:rsid w:val="00BD5933"/>
    <w:rsid w:val="00C31EBE"/>
    <w:rsid w:val="00C338F6"/>
    <w:rsid w:val="00C41920"/>
    <w:rsid w:val="00C42B64"/>
    <w:rsid w:val="00C52422"/>
    <w:rsid w:val="00C81C13"/>
    <w:rsid w:val="00C81F09"/>
    <w:rsid w:val="00C83C0A"/>
    <w:rsid w:val="00CA1A58"/>
    <w:rsid w:val="00CA3A3B"/>
    <w:rsid w:val="00CA49E8"/>
    <w:rsid w:val="00CB793A"/>
    <w:rsid w:val="00CE3EA1"/>
    <w:rsid w:val="00D15A4B"/>
    <w:rsid w:val="00D33401"/>
    <w:rsid w:val="00D4594C"/>
    <w:rsid w:val="00D56D43"/>
    <w:rsid w:val="00D728BE"/>
    <w:rsid w:val="00D83A4F"/>
    <w:rsid w:val="00D96762"/>
    <w:rsid w:val="00DA3EF4"/>
    <w:rsid w:val="00DB51CB"/>
    <w:rsid w:val="00DC50B2"/>
    <w:rsid w:val="00DC751A"/>
    <w:rsid w:val="00DD626F"/>
    <w:rsid w:val="00DD798F"/>
    <w:rsid w:val="00DF525D"/>
    <w:rsid w:val="00E027AF"/>
    <w:rsid w:val="00E23F39"/>
    <w:rsid w:val="00E23F6E"/>
    <w:rsid w:val="00E34C9D"/>
    <w:rsid w:val="00E42827"/>
    <w:rsid w:val="00E451D9"/>
    <w:rsid w:val="00E476FF"/>
    <w:rsid w:val="00E52566"/>
    <w:rsid w:val="00E559A1"/>
    <w:rsid w:val="00E55E5D"/>
    <w:rsid w:val="00E578A2"/>
    <w:rsid w:val="00E63F74"/>
    <w:rsid w:val="00E65F3F"/>
    <w:rsid w:val="00E8372D"/>
    <w:rsid w:val="00EC0475"/>
    <w:rsid w:val="00EC24B5"/>
    <w:rsid w:val="00EC52E7"/>
    <w:rsid w:val="00EC742B"/>
    <w:rsid w:val="00EE2975"/>
    <w:rsid w:val="00EE5C34"/>
    <w:rsid w:val="00EE728F"/>
    <w:rsid w:val="00EE7B55"/>
    <w:rsid w:val="00EF524F"/>
    <w:rsid w:val="00F11688"/>
    <w:rsid w:val="00F23422"/>
    <w:rsid w:val="00F27F89"/>
    <w:rsid w:val="00F556DF"/>
    <w:rsid w:val="00F633E2"/>
    <w:rsid w:val="00F73CA3"/>
    <w:rsid w:val="00F81775"/>
    <w:rsid w:val="00FA45F7"/>
    <w:rsid w:val="00FC79F1"/>
    <w:rsid w:val="00FF2D6D"/>
    <w:rsid w:val="00FF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B0657"/>
  <w15:chartTrackingRefBased/>
  <w15:docId w15:val="{C21A632F-C82E-41A8-BC75-11F63672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8BE"/>
  </w:style>
  <w:style w:type="paragraph" w:styleId="Heading1">
    <w:name w:val="heading 1"/>
    <w:basedOn w:val="Normal"/>
    <w:next w:val="Normal"/>
    <w:link w:val="Heading1Char"/>
    <w:uiPriority w:val="9"/>
    <w:qFormat/>
    <w:rsid w:val="008B12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12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2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B1249"/>
    <w:rPr>
      <w:rFonts w:asciiTheme="majorHAnsi" w:eastAsiaTheme="majorEastAsia" w:hAnsiTheme="majorHAnsi" w:cstheme="majorBidi"/>
      <w:color w:val="365F91" w:themeColor="accent1" w:themeShade="BF"/>
      <w:sz w:val="26"/>
      <w:szCs w:val="26"/>
    </w:rPr>
  </w:style>
  <w:style w:type="paragraph" w:styleId="ListParagraph">
    <w:name w:val="List Paragraph"/>
    <w:aliases w:val="F5 List Paragraph,Dot pt,No Spacing1,List Paragraph Char Char Char,Indicator Text,List Paragraph1,Colorful List - Accent 11,Numbered Para 1,Bullet 1,Bullet Points,MAIN CONTENT,List Paragraph2,List Paragraph12,Normal numbered,OBC Bullet,L"/>
    <w:basedOn w:val="Normal"/>
    <w:link w:val="ListParagraphChar"/>
    <w:uiPriority w:val="34"/>
    <w:qFormat/>
    <w:rsid w:val="0076288F"/>
    <w:pPr>
      <w:ind w:left="720"/>
      <w:contextualSpacing/>
    </w:pPr>
  </w:style>
  <w:style w:type="character" w:styleId="Hyperlink">
    <w:name w:val="Hyperlink"/>
    <w:basedOn w:val="DefaultParagraphFont"/>
    <w:uiPriority w:val="99"/>
    <w:unhideWhenUsed/>
    <w:rsid w:val="0076288F"/>
    <w:rPr>
      <w:color w:val="0000FF" w:themeColor="hyperlink"/>
      <w:u w:val="single"/>
    </w:rPr>
  </w:style>
  <w:style w:type="character" w:styleId="UnresolvedMention">
    <w:name w:val="Unresolved Mention"/>
    <w:basedOn w:val="DefaultParagraphFont"/>
    <w:uiPriority w:val="99"/>
    <w:semiHidden/>
    <w:unhideWhenUsed/>
    <w:rsid w:val="0076288F"/>
    <w:rPr>
      <w:color w:val="808080"/>
      <w:shd w:val="clear" w:color="auto" w:fill="E6E6E6"/>
    </w:rPr>
  </w:style>
  <w:style w:type="paragraph" w:styleId="BalloonText">
    <w:name w:val="Balloon Text"/>
    <w:basedOn w:val="Normal"/>
    <w:link w:val="BalloonTextChar"/>
    <w:uiPriority w:val="99"/>
    <w:semiHidden/>
    <w:unhideWhenUsed/>
    <w:rsid w:val="0032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B36"/>
    <w:rPr>
      <w:rFonts w:ascii="Segoe UI" w:hAnsi="Segoe UI" w:cs="Segoe UI"/>
      <w:sz w:val="18"/>
      <w:szCs w:val="18"/>
    </w:rPr>
  </w:style>
  <w:style w:type="table" w:styleId="TableGrid">
    <w:name w:val="Table Grid"/>
    <w:basedOn w:val="TableNormal"/>
    <w:uiPriority w:val="59"/>
    <w:rsid w:val="005C2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626F"/>
    <w:rPr>
      <w:sz w:val="16"/>
      <w:szCs w:val="16"/>
    </w:rPr>
  </w:style>
  <w:style w:type="paragraph" w:styleId="CommentText">
    <w:name w:val="annotation text"/>
    <w:basedOn w:val="Normal"/>
    <w:link w:val="CommentTextChar"/>
    <w:uiPriority w:val="99"/>
    <w:semiHidden/>
    <w:unhideWhenUsed/>
    <w:rsid w:val="00DD626F"/>
    <w:pPr>
      <w:spacing w:line="240" w:lineRule="auto"/>
    </w:pPr>
    <w:rPr>
      <w:sz w:val="20"/>
      <w:szCs w:val="20"/>
    </w:rPr>
  </w:style>
  <w:style w:type="character" w:customStyle="1" w:styleId="CommentTextChar">
    <w:name w:val="Comment Text Char"/>
    <w:basedOn w:val="DefaultParagraphFont"/>
    <w:link w:val="CommentText"/>
    <w:uiPriority w:val="99"/>
    <w:semiHidden/>
    <w:rsid w:val="00DD626F"/>
    <w:rPr>
      <w:sz w:val="20"/>
      <w:szCs w:val="20"/>
    </w:rPr>
  </w:style>
  <w:style w:type="paragraph" w:styleId="CommentSubject">
    <w:name w:val="annotation subject"/>
    <w:basedOn w:val="CommentText"/>
    <w:next w:val="CommentText"/>
    <w:link w:val="CommentSubjectChar"/>
    <w:uiPriority w:val="99"/>
    <w:semiHidden/>
    <w:unhideWhenUsed/>
    <w:rsid w:val="00DD626F"/>
    <w:rPr>
      <w:b/>
      <w:bCs/>
    </w:rPr>
  </w:style>
  <w:style w:type="character" w:customStyle="1" w:styleId="CommentSubjectChar">
    <w:name w:val="Comment Subject Char"/>
    <w:basedOn w:val="CommentTextChar"/>
    <w:link w:val="CommentSubject"/>
    <w:uiPriority w:val="99"/>
    <w:semiHidden/>
    <w:rsid w:val="00DD626F"/>
    <w:rPr>
      <w:b/>
      <w:bCs/>
      <w:sz w:val="20"/>
      <w:szCs w:val="20"/>
    </w:rPr>
  </w:style>
  <w:style w:type="paragraph" w:styleId="Revision">
    <w:name w:val="Revision"/>
    <w:hidden/>
    <w:uiPriority w:val="99"/>
    <w:semiHidden/>
    <w:rsid w:val="00E65F3F"/>
    <w:pPr>
      <w:spacing w:after="0" w:line="240" w:lineRule="auto"/>
    </w:pPr>
  </w:style>
  <w:style w:type="paragraph" w:styleId="FootnoteText">
    <w:name w:val="footnote text"/>
    <w:basedOn w:val="Normal"/>
    <w:link w:val="FootnoteTextChar"/>
    <w:uiPriority w:val="99"/>
    <w:semiHidden/>
    <w:unhideWhenUsed/>
    <w:rsid w:val="00531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7F8"/>
    <w:rPr>
      <w:sz w:val="20"/>
      <w:szCs w:val="20"/>
    </w:rPr>
  </w:style>
  <w:style w:type="character" w:styleId="FootnoteReference">
    <w:name w:val="footnote reference"/>
    <w:basedOn w:val="DefaultParagraphFont"/>
    <w:uiPriority w:val="99"/>
    <w:semiHidden/>
    <w:unhideWhenUsed/>
    <w:rsid w:val="005317F8"/>
    <w:rPr>
      <w:vertAlign w:val="superscript"/>
    </w:rPr>
  </w:style>
  <w:style w:type="paragraph" w:styleId="Header">
    <w:name w:val="header"/>
    <w:basedOn w:val="Normal"/>
    <w:link w:val="HeaderChar"/>
    <w:uiPriority w:val="99"/>
    <w:unhideWhenUsed/>
    <w:rsid w:val="004D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A1B"/>
  </w:style>
  <w:style w:type="paragraph" w:styleId="Footer">
    <w:name w:val="footer"/>
    <w:basedOn w:val="Normal"/>
    <w:link w:val="FooterChar"/>
    <w:uiPriority w:val="99"/>
    <w:unhideWhenUsed/>
    <w:rsid w:val="004D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A1B"/>
  </w:style>
  <w:style w:type="paragraph" w:styleId="TOC1">
    <w:name w:val="toc 1"/>
    <w:basedOn w:val="Normal"/>
    <w:next w:val="Normal"/>
    <w:autoRedefine/>
    <w:uiPriority w:val="39"/>
    <w:unhideWhenUsed/>
    <w:rsid w:val="001A2FCD"/>
    <w:pPr>
      <w:spacing w:after="100"/>
    </w:pPr>
  </w:style>
  <w:style w:type="paragraph" w:styleId="TOCHeading">
    <w:name w:val="TOC Heading"/>
    <w:basedOn w:val="Heading1"/>
    <w:next w:val="Normal"/>
    <w:uiPriority w:val="39"/>
    <w:unhideWhenUsed/>
    <w:qFormat/>
    <w:rsid w:val="003C4C1E"/>
    <w:pPr>
      <w:spacing w:line="259" w:lineRule="auto"/>
      <w:outlineLvl w:val="9"/>
    </w:pPr>
    <w:rPr>
      <w:lang w:val="en-US"/>
    </w:rPr>
  </w:style>
  <w:style w:type="paragraph" w:styleId="NoSpacing">
    <w:name w:val="No Spacing"/>
    <w:uiPriority w:val="1"/>
    <w:qFormat/>
    <w:rsid w:val="001263E3"/>
    <w:pPr>
      <w:spacing w:after="0" w:line="240" w:lineRule="auto"/>
    </w:pPr>
  </w:style>
  <w:style w:type="character" w:styleId="FollowedHyperlink">
    <w:name w:val="FollowedHyperlink"/>
    <w:basedOn w:val="DefaultParagraphFont"/>
    <w:uiPriority w:val="99"/>
    <w:semiHidden/>
    <w:unhideWhenUsed/>
    <w:rsid w:val="00FC79F1"/>
    <w:rPr>
      <w:color w:val="800080" w:themeColor="followedHyperlink"/>
      <w:u w:val="single"/>
    </w:rPr>
  </w:style>
  <w:style w:type="table" w:customStyle="1" w:styleId="TableGrid1">
    <w:name w:val="Table Grid1"/>
    <w:basedOn w:val="TableNormal"/>
    <w:next w:val="TableGrid"/>
    <w:uiPriority w:val="39"/>
    <w:rsid w:val="00B3628A"/>
    <w:pPr>
      <w:spacing w:after="0" w:line="240" w:lineRule="auto"/>
    </w:pPr>
    <w:rPr>
      <w:rFonts w:ascii="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D15A4B"/>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D15A4B"/>
    <w:rPr>
      <w:vanish w:val="0"/>
      <w:webHidden w:val="0"/>
      <w:specVanish w:val="0"/>
    </w:rPr>
  </w:style>
  <w:style w:type="character" w:customStyle="1" w:styleId="ListParagraphChar">
    <w:name w:val="List Paragraph Char"/>
    <w:aliases w:val="F5 List Paragraph Char,Dot pt Char,No Spacing1 Char,List Paragraph Char Char Char Char,Indicator Text Char,List Paragraph1 Char,Colorful List - Accent 11 Char,Numbered Para 1 Char,Bullet 1 Char,Bullet Points Char,MAIN CONTENT Char"/>
    <w:basedOn w:val="DefaultParagraphFont"/>
    <w:link w:val="ListParagraph"/>
    <w:uiPriority w:val="34"/>
    <w:qFormat/>
    <w:locked/>
    <w:rsid w:val="002D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55301">
      <w:bodyDiv w:val="1"/>
      <w:marLeft w:val="0"/>
      <w:marRight w:val="0"/>
      <w:marTop w:val="0"/>
      <w:marBottom w:val="0"/>
      <w:divBdr>
        <w:top w:val="none" w:sz="0" w:space="0" w:color="auto"/>
        <w:left w:val="none" w:sz="0" w:space="0" w:color="auto"/>
        <w:bottom w:val="none" w:sz="0" w:space="0" w:color="auto"/>
        <w:right w:val="none" w:sz="0" w:space="0" w:color="auto"/>
      </w:divBdr>
    </w:div>
    <w:div w:id="328485357">
      <w:bodyDiv w:val="1"/>
      <w:marLeft w:val="0"/>
      <w:marRight w:val="0"/>
      <w:marTop w:val="0"/>
      <w:marBottom w:val="0"/>
      <w:divBdr>
        <w:top w:val="none" w:sz="0" w:space="0" w:color="auto"/>
        <w:left w:val="none" w:sz="0" w:space="0" w:color="auto"/>
        <w:bottom w:val="none" w:sz="0" w:space="0" w:color="auto"/>
        <w:right w:val="none" w:sz="0" w:space="0" w:color="auto"/>
      </w:divBdr>
    </w:div>
    <w:div w:id="702905874">
      <w:bodyDiv w:val="1"/>
      <w:marLeft w:val="0"/>
      <w:marRight w:val="0"/>
      <w:marTop w:val="0"/>
      <w:marBottom w:val="0"/>
      <w:divBdr>
        <w:top w:val="none" w:sz="0" w:space="0" w:color="auto"/>
        <w:left w:val="none" w:sz="0" w:space="0" w:color="auto"/>
        <w:bottom w:val="none" w:sz="0" w:space="0" w:color="auto"/>
        <w:right w:val="none" w:sz="0" w:space="0" w:color="auto"/>
      </w:divBdr>
      <w:divsChild>
        <w:div w:id="2103841601">
          <w:marLeft w:val="0"/>
          <w:marRight w:val="0"/>
          <w:marTop w:val="0"/>
          <w:marBottom w:val="0"/>
          <w:divBdr>
            <w:top w:val="none" w:sz="0" w:space="0" w:color="auto"/>
            <w:left w:val="none" w:sz="0" w:space="0" w:color="auto"/>
            <w:bottom w:val="none" w:sz="0" w:space="0" w:color="auto"/>
            <w:right w:val="none" w:sz="0" w:space="0" w:color="auto"/>
          </w:divBdr>
          <w:divsChild>
            <w:div w:id="432627982">
              <w:marLeft w:val="0"/>
              <w:marRight w:val="0"/>
              <w:marTop w:val="0"/>
              <w:marBottom w:val="0"/>
              <w:divBdr>
                <w:top w:val="single" w:sz="2" w:space="0" w:color="FFFFFF"/>
                <w:left w:val="single" w:sz="6" w:space="0" w:color="FFFFFF"/>
                <w:bottom w:val="single" w:sz="6" w:space="0" w:color="FFFFFF"/>
                <w:right w:val="single" w:sz="6" w:space="0" w:color="FFFFFF"/>
              </w:divBdr>
              <w:divsChild>
                <w:div w:id="1204295886">
                  <w:marLeft w:val="0"/>
                  <w:marRight w:val="0"/>
                  <w:marTop w:val="0"/>
                  <w:marBottom w:val="0"/>
                  <w:divBdr>
                    <w:top w:val="single" w:sz="6" w:space="1" w:color="D3D3D3"/>
                    <w:left w:val="none" w:sz="0" w:space="0" w:color="auto"/>
                    <w:bottom w:val="none" w:sz="0" w:space="0" w:color="auto"/>
                    <w:right w:val="none" w:sz="0" w:space="0" w:color="auto"/>
                  </w:divBdr>
                  <w:divsChild>
                    <w:div w:id="801729338">
                      <w:marLeft w:val="0"/>
                      <w:marRight w:val="0"/>
                      <w:marTop w:val="0"/>
                      <w:marBottom w:val="0"/>
                      <w:divBdr>
                        <w:top w:val="none" w:sz="0" w:space="0" w:color="auto"/>
                        <w:left w:val="none" w:sz="0" w:space="0" w:color="auto"/>
                        <w:bottom w:val="none" w:sz="0" w:space="0" w:color="auto"/>
                        <w:right w:val="none" w:sz="0" w:space="0" w:color="auto"/>
                      </w:divBdr>
                      <w:divsChild>
                        <w:div w:id="8477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361472">
      <w:bodyDiv w:val="1"/>
      <w:marLeft w:val="0"/>
      <w:marRight w:val="0"/>
      <w:marTop w:val="0"/>
      <w:marBottom w:val="0"/>
      <w:divBdr>
        <w:top w:val="none" w:sz="0" w:space="0" w:color="auto"/>
        <w:left w:val="none" w:sz="0" w:space="0" w:color="auto"/>
        <w:bottom w:val="none" w:sz="0" w:space="0" w:color="auto"/>
        <w:right w:val="none" w:sz="0" w:space="0" w:color="auto"/>
      </w:divBdr>
    </w:div>
    <w:div w:id="1027218008">
      <w:bodyDiv w:val="1"/>
      <w:marLeft w:val="0"/>
      <w:marRight w:val="0"/>
      <w:marTop w:val="0"/>
      <w:marBottom w:val="0"/>
      <w:divBdr>
        <w:top w:val="none" w:sz="0" w:space="0" w:color="auto"/>
        <w:left w:val="none" w:sz="0" w:space="0" w:color="auto"/>
        <w:bottom w:val="none" w:sz="0" w:space="0" w:color="auto"/>
        <w:right w:val="none" w:sz="0" w:space="0" w:color="auto"/>
      </w:divBdr>
    </w:div>
    <w:div w:id="1380981373">
      <w:bodyDiv w:val="1"/>
      <w:marLeft w:val="0"/>
      <w:marRight w:val="0"/>
      <w:marTop w:val="0"/>
      <w:marBottom w:val="0"/>
      <w:divBdr>
        <w:top w:val="none" w:sz="0" w:space="0" w:color="auto"/>
        <w:left w:val="none" w:sz="0" w:space="0" w:color="auto"/>
        <w:bottom w:val="none" w:sz="0" w:space="0" w:color="auto"/>
        <w:right w:val="none" w:sz="0" w:space="0" w:color="auto"/>
      </w:divBdr>
    </w:div>
    <w:div w:id="1381590406">
      <w:bodyDiv w:val="1"/>
      <w:marLeft w:val="0"/>
      <w:marRight w:val="0"/>
      <w:marTop w:val="0"/>
      <w:marBottom w:val="0"/>
      <w:divBdr>
        <w:top w:val="none" w:sz="0" w:space="0" w:color="auto"/>
        <w:left w:val="none" w:sz="0" w:space="0" w:color="auto"/>
        <w:bottom w:val="none" w:sz="0" w:space="0" w:color="auto"/>
        <w:right w:val="none" w:sz="0" w:space="0" w:color="auto"/>
      </w:divBdr>
    </w:div>
    <w:div w:id="1780372627">
      <w:bodyDiv w:val="1"/>
      <w:marLeft w:val="0"/>
      <w:marRight w:val="0"/>
      <w:marTop w:val="0"/>
      <w:marBottom w:val="0"/>
      <w:divBdr>
        <w:top w:val="none" w:sz="0" w:space="0" w:color="auto"/>
        <w:left w:val="none" w:sz="0" w:space="0" w:color="auto"/>
        <w:bottom w:val="none" w:sz="0" w:space="0" w:color="auto"/>
        <w:right w:val="none" w:sz="0" w:space="0" w:color="auto"/>
      </w:divBdr>
    </w:div>
    <w:div w:id="1925795604">
      <w:bodyDiv w:val="1"/>
      <w:marLeft w:val="0"/>
      <w:marRight w:val="0"/>
      <w:marTop w:val="0"/>
      <w:marBottom w:val="0"/>
      <w:divBdr>
        <w:top w:val="none" w:sz="0" w:space="0" w:color="auto"/>
        <w:left w:val="none" w:sz="0" w:space="0" w:color="auto"/>
        <w:bottom w:val="none" w:sz="0" w:space="0" w:color="auto"/>
        <w:right w:val="none" w:sz="0" w:space="0" w:color="auto"/>
      </w:divBdr>
    </w:div>
    <w:div w:id="21130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5/30/section/54/enacte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54BC-1902-4E3C-9105-ADC7456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A2577E8E</Template>
  <TotalTime>0</TotalTime>
  <Pages>7</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Lewthwaite Katherine</dc:creator>
  <cp:keywords/>
  <dc:description/>
  <cp:lastModifiedBy>Mann Anup</cp:lastModifiedBy>
  <cp:revision>2</cp:revision>
  <dcterms:created xsi:type="dcterms:W3CDTF">2019-07-11T11:01:00Z</dcterms:created>
  <dcterms:modified xsi:type="dcterms:W3CDTF">2019-07-11T11:01:00Z</dcterms:modified>
</cp:coreProperties>
</file>