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3B2B2" w14:textId="77777777" w:rsidR="008D2A93" w:rsidRDefault="008D2A93" w:rsidP="008B1F27">
      <w:pPr>
        <w:pStyle w:val="Numbered"/>
        <w:spacing w:line="276" w:lineRule="auto"/>
        <w:rPr>
          <w:b/>
          <w:bCs/>
        </w:rPr>
      </w:pPr>
      <w:r>
        <w:rPr>
          <w:b/>
          <w:bCs/>
        </w:rPr>
        <w:t>Document 4</w:t>
      </w:r>
    </w:p>
    <w:p w14:paraId="19F872FD" w14:textId="51E37C48" w:rsidR="00A320BA" w:rsidRPr="002C406E" w:rsidRDefault="00A320BA" w:rsidP="008B1F27">
      <w:pPr>
        <w:pStyle w:val="Numbered"/>
        <w:spacing w:line="276" w:lineRule="auto"/>
        <w:rPr>
          <w:b/>
          <w:bCs/>
        </w:rPr>
      </w:pPr>
      <w:r w:rsidRPr="002C406E">
        <w:rPr>
          <w:b/>
          <w:bCs/>
        </w:rPr>
        <w:t>Evaluation</w:t>
      </w:r>
      <w:r>
        <w:rPr>
          <w:b/>
          <w:bCs/>
        </w:rPr>
        <w:t xml:space="preserve"> Criteria</w:t>
      </w:r>
    </w:p>
    <w:p w14:paraId="6B600E0D" w14:textId="60A32026" w:rsidR="00A320BA" w:rsidRPr="00751CD7" w:rsidRDefault="00A320BA" w:rsidP="008B1F27">
      <w:pPr>
        <w:spacing w:after="240" w:line="276" w:lineRule="auto"/>
        <w:rPr>
          <w:sz w:val="24"/>
          <w:szCs w:val="24"/>
        </w:rPr>
      </w:pPr>
      <w:r w:rsidRPr="001D6C2E">
        <w:t xml:space="preserve">This </w:t>
      </w:r>
      <w:r w:rsidR="002A2697">
        <w:t>document</w:t>
      </w:r>
      <w:r w:rsidRPr="001D6C2E">
        <w:t xml:space="preserve"> describes the criteria against which bids will be scored, relating the specification of required services, together with the scoring mechanism and associated weightings for each section or question</w:t>
      </w:r>
      <w:r w:rsidRPr="00751CD7">
        <w:rPr>
          <w:sz w:val="24"/>
          <w:szCs w:val="24"/>
        </w:rPr>
        <w:t>.</w:t>
      </w:r>
    </w:p>
    <w:p w14:paraId="3D449563" w14:textId="319F857C" w:rsidR="00521525" w:rsidRDefault="00A320BA" w:rsidP="1E37249C">
      <w:pPr>
        <w:pStyle w:val="MainParagraphNumbered"/>
        <w:numPr>
          <w:ilvl w:val="0"/>
          <w:numId w:val="0"/>
        </w:numPr>
        <w:spacing w:after="240" w:line="276" w:lineRule="auto"/>
        <w:rPr>
          <w:b w:val="0"/>
        </w:rPr>
      </w:pPr>
      <w:r>
        <w:rPr>
          <w:b w:val="0"/>
        </w:rPr>
        <w:t xml:space="preserve">All completed tenders </w:t>
      </w:r>
      <w:r w:rsidR="002F12C0">
        <w:rPr>
          <w:b w:val="0"/>
        </w:rPr>
        <w:t xml:space="preserve">who </w:t>
      </w:r>
      <w:r w:rsidR="00051A4A">
        <w:rPr>
          <w:b w:val="0"/>
        </w:rPr>
        <w:t>complete</w:t>
      </w:r>
      <w:r w:rsidR="002F12C0">
        <w:rPr>
          <w:b w:val="0"/>
        </w:rPr>
        <w:t xml:space="preserve"> the </w:t>
      </w:r>
      <w:r w:rsidR="00431EB1">
        <w:rPr>
          <w:b w:val="0"/>
        </w:rPr>
        <w:t>S</w:t>
      </w:r>
      <w:r w:rsidR="002F12C0">
        <w:rPr>
          <w:b w:val="0"/>
        </w:rPr>
        <w:t>upplier</w:t>
      </w:r>
      <w:r w:rsidR="002E24E1">
        <w:rPr>
          <w:b w:val="0"/>
        </w:rPr>
        <w:t xml:space="preserve"> </w:t>
      </w:r>
      <w:r w:rsidR="00431EB1">
        <w:rPr>
          <w:b w:val="0"/>
        </w:rPr>
        <w:t>S</w:t>
      </w:r>
      <w:r w:rsidR="002E24E1">
        <w:rPr>
          <w:b w:val="0"/>
        </w:rPr>
        <w:t xml:space="preserve">election </w:t>
      </w:r>
      <w:r w:rsidR="00431EB1">
        <w:rPr>
          <w:b w:val="0"/>
        </w:rPr>
        <w:t>Q</w:t>
      </w:r>
      <w:r w:rsidR="002E24E1">
        <w:rPr>
          <w:b w:val="0"/>
        </w:rPr>
        <w:t>uestionnaire</w:t>
      </w:r>
      <w:r w:rsidR="00431EB1">
        <w:rPr>
          <w:b w:val="0"/>
        </w:rPr>
        <w:t>, available on Jaggaer</w:t>
      </w:r>
      <w:r w:rsidR="009A1AAF">
        <w:rPr>
          <w:b w:val="0"/>
        </w:rPr>
        <w:t>, to the satisfaction of the Department</w:t>
      </w:r>
      <w:r w:rsidR="00A42ED3">
        <w:rPr>
          <w:b w:val="0"/>
        </w:rPr>
        <w:t>,</w:t>
      </w:r>
      <w:r w:rsidR="009A1AAF">
        <w:rPr>
          <w:b w:val="0"/>
        </w:rPr>
        <w:t xml:space="preserve"> with reference </w:t>
      </w:r>
      <w:r w:rsidR="00C82179">
        <w:rPr>
          <w:b w:val="0"/>
        </w:rPr>
        <w:t xml:space="preserve">to the criteria for pass / fail for each section of the </w:t>
      </w:r>
      <w:r w:rsidR="009D7786">
        <w:rPr>
          <w:b w:val="0"/>
        </w:rPr>
        <w:t>questionnaire</w:t>
      </w:r>
      <w:r w:rsidR="00880A85">
        <w:rPr>
          <w:b w:val="0"/>
        </w:rPr>
        <w:t>,</w:t>
      </w:r>
      <w:r w:rsidR="002E24E1">
        <w:rPr>
          <w:b w:val="0"/>
        </w:rPr>
        <w:t xml:space="preserve"> </w:t>
      </w:r>
      <w:r>
        <w:rPr>
          <w:b w:val="0"/>
        </w:rPr>
        <w:t xml:space="preserve">will be evaluated and full details of the evaluation process are provided below.  </w:t>
      </w:r>
    </w:p>
    <w:p w14:paraId="0550F595" w14:textId="38816CBF" w:rsidR="00D575B9" w:rsidRDefault="006E0D01" w:rsidP="008B1F27">
      <w:pPr>
        <w:pStyle w:val="MainParagraphNumbered"/>
        <w:numPr>
          <w:ilvl w:val="0"/>
          <w:numId w:val="0"/>
        </w:numPr>
        <w:spacing w:after="240" w:line="276" w:lineRule="auto"/>
        <w:rPr>
          <w:b w:val="0"/>
          <w:bCs/>
        </w:rPr>
      </w:pPr>
      <w:r>
        <w:rPr>
          <w:b w:val="0"/>
          <w:bCs/>
        </w:rPr>
        <w:t>Bidders</w:t>
      </w:r>
      <w:r w:rsidR="00A320BA" w:rsidRPr="002C406E">
        <w:rPr>
          <w:b w:val="0"/>
          <w:bCs/>
        </w:rPr>
        <w:t xml:space="preserve"> must provide a response to the method statements; each question should be answered in full and should not refer to other documents or appendices. There is a maximum word limit for each response</w:t>
      </w:r>
      <w:r w:rsidR="004E6FF2">
        <w:rPr>
          <w:b w:val="0"/>
          <w:bCs/>
        </w:rPr>
        <w:t xml:space="preserve"> so bidders should ensure they are concise and </w:t>
      </w:r>
      <w:r w:rsidR="0052379E">
        <w:rPr>
          <w:b w:val="0"/>
          <w:bCs/>
        </w:rPr>
        <w:t>unequivocal in their submissions</w:t>
      </w:r>
      <w:r w:rsidR="00A320BA" w:rsidRPr="002C406E">
        <w:rPr>
          <w:b w:val="0"/>
          <w:bCs/>
        </w:rPr>
        <w:t>. Where information is required as an attachment this will be stated in the request.</w:t>
      </w:r>
      <w:r w:rsidR="00521525">
        <w:rPr>
          <w:b w:val="0"/>
          <w:bCs/>
        </w:rPr>
        <w:t xml:space="preserve"> Any information provided as an attachment that is not requested will not be considered as part of the scoring. Relevant charts and graphs can be included and will not count towards any word count but should be provided sparingly and only to emphasise a response not to replace a response.</w:t>
      </w:r>
      <w:r w:rsidR="00A320BA" w:rsidRPr="002C406E">
        <w:rPr>
          <w:b w:val="0"/>
          <w:bCs/>
        </w:rPr>
        <w:t xml:space="preserve"> </w:t>
      </w:r>
    </w:p>
    <w:p w14:paraId="3871B697" w14:textId="332D27BB" w:rsidR="00A320BA" w:rsidRPr="00C576B1" w:rsidRDefault="00A320BA" w:rsidP="008B1F27">
      <w:pPr>
        <w:pStyle w:val="Header"/>
        <w:spacing w:after="240" w:line="276" w:lineRule="auto"/>
        <w:rPr>
          <w:color w:val="000000"/>
        </w:rPr>
      </w:pPr>
      <w:r w:rsidRPr="002C406E">
        <w:rPr>
          <w:bCs/>
        </w:rPr>
        <w:t xml:space="preserve">The following </w:t>
      </w:r>
      <w:r w:rsidR="0052379E">
        <w:rPr>
          <w:bCs/>
        </w:rPr>
        <w:t>points</w:t>
      </w:r>
      <w:r w:rsidRPr="002C406E">
        <w:rPr>
          <w:bCs/>
        </w:rPr>
        <w:t xml:space="preserve"> will be used to determine the most economically advantageous tender:</w:t>
      </w:r>
    </w:p>
    <w:p w14:paraId="631A82D4" w14:textId="455F592B" w:rsidR="00521525" w:rsidRPr="00415AD1" w:rsidRDefault="00A320BA" w:rsidP="008B1F27">
      <w:pPr>
        <w:pStyle w:val="Head1"/>
        <w:numPr>
          <w:ilvl w:val="0"/>
          <w:numId w:val="10"/>
        </w:numPr>
        <w:spacing w:after="240" w:line="276" w:lineRule="auto"/>
      </w:pPr>
      <w:r w:rsidRPr="00A35E96">
        <w:t xml:space="preserve">Meeting the </w:t>
      </w:r>
      <w:r w:rsidRPr="00F65E2B">
        <w:t xml:space="preserve">specification </w:t>
      </w:r>
      <w:r w:rsidR="7D8EB3E8" w:rsidRPr="00F65E2B">
        <w:t>50</w:t>
      </w:r>
      <w:r w:rsidR="00BA0BA1" w:rsidRPr="00F65E2B">
        <w:t xml:space="preserve"> points</w:t>
      </w:r>
    </w:p>
    <w:p w14:paraId="262B5F60" w14:textId="1B748E11" w:rsidR="00A320BA" w:rsidRPr="00415AD1" w:rsidRDefault="00B5068C" w:rsidP="008B1F27">
      <w:pPr>
        <w:pStyle w:val="Head1"/>
        <w:numPr>
          <w:ilvl w:val="1"/>
          <w:numId w:val="10"/>
        </w:numPr>
        <w:spacing w:after="240" w:line="276" w:lineRule="auto"/>
        <w:rPr>
          <w:bCs/>
        </w:rPr>
      </w:pPr>
      <w:r w:rsidRPr="00415AD1">
        <w:rPr>
          <w:b w:val="0"/>
          <w:bCs/>
        </w:rPr>
        <w:t>Bidders</w:t>
      </w:r>
      <w:r w:rsidR="00A320BA" w:rsidRPr="00415AD1">
        <w:rPr>
          <w:b w:val="0"/>
          <w:bCs/>
        </w:rPr>
        <w:t xml:space="preserve"> are expected to respond to all questions within the method statements of which there are </w:t>
      </w:r>
      <w:r w:rsidR="00A67F31" w:rsidRPr="00F65E2B">
        <w:t xml:space="preserve">five </w:t>
      </w:r>
      <w:r w:rsidR="00F10688" w:rsidRPr="00F65E2B">
        <w:t>(</w:t>
      </w:r>
      <w:r w:rsidR="00A67F31" w:rsidRPr="00F65E2B">
        <w:t>5</w:t>
      </w:r>
      <w:r w:rsidR="00F10688" w:rsidRPr="00F65E2B">
        <w:t>)</w:t>
      </w:r>
      <w:r w:rsidR="00A320BA" w:rsidRPr="00F65E2B">
        <w:t xml:space="preserve"> in total</w:t>
      </w:r>
      <w:r w:rsidR="00A320BA" w:rsidRPr="00F65E2B">
        <w:rPr>
          <w:b w:val="0"/>
          <w:bCs/>
        </w:rPr>
        <w:t>.</w:t>
      </w:r>
      <w:r w:rsidR="00A320BA" w:rsidRPr="00415AD1">
        <w:rPr>
          <w:b w:val="0"/>
          <w:bCs/>
        </w:rPr>
        <w:t xml:space="preserve"> Where attachments are </w:t>
      </w:r>
      <w:r w:rsidR="00415AD1" w:rsidRPr="00415AD1">
        <w:rPr>
          <w:b w:val="0"/>
          <w:bCs/>
        </w:rPr>
        <w:t>requested,</w:t>
      </w:r>
      <w:r w:rsidR="00A320BA" w:rsidRPr="00415AD1">
        <w:rPr>
          <w:b w:val="0"/>
          <w:bCs/>
        </w:rPr>
        <w:t xml:space="preserve"> </w:t>
      </w:r>
      <w:r w:rsidRPr="00415AD1">
        <w:rPr>
          <w:b w:val="0"/>
          <w:bCs/>
        </w:rPr>
        <w:t>bidders</w:t>
      </w:r>
      <w:r w:rsidR="00A320BA" w:rsidRPr="00415AD1">
        <w:rPr>
          <w:b w:val="0"/>
          <w:bCs/>
        </w:rPr>
        <w:t xml:space="preserve"> should provide as evidence for evaluation.  </w:t>
      </w:r>
    </w:p>
    <w:p w14:paraId="34269815" w14:textId="287B754B" w:rsidR="00521525" w:rsidRPr="00415AD1" w:rsidRDefault="00A320BA" w:rsidP="008B1F27">
      <w:pPr>
        <w:pStyle w:val="Head1"/>
        <w:numPr>
          <w:ilvl w:val="0"/>
          <w:numId w:val="30"/>
        </w:numPr>
        <w:spacing w:after="240" w:line="276" w:lineRule="auto"/>
        <w:ind w:left="709"/>
      </w:pPr>
      <w:r w:rsidRPr="00415AD1">
        <w:t>Social Value 10</w:t>
      </w:r>
      <w:r w:rsidR="00BA0BA1" w:rsidRPr="00415AD1">
        <w:t xml:space="preserve"> points </w:t>
      </w:r>
    </w:p>
    <w:p w14:paraId="5E4069D2" w14:textId="70E59B78" w:rsidR="00521525" w:rsidRPr="00415AD1" w:rsidRDefault="00B5068C" w:rsidP="008B1F27">
      <w:pPr>
        <w:pStyle w:val="Head1"/>
        <w:numPr>
          <w:ilvl w:val="1"/>
          <w:numId w:val="30"/>
        </w:numPr>
        <w:spacing w:after="240" w:line="276" w:lineRule="auto"/>
        <w:ind w:left="1418"/>
        <w:rPr>
          <w:b w:val="0"/>
          <w:bCs/>
        </w:rPr>
      </w:pPr>
      <w:r w:rsidRPr="00415AD1">
        <w:rPr>
          <w:b w:val="0"/>
          <w:bCs/>
        </w:rPr>
        <w:t>Bid</w:t>
      </w:r>
      <w:r w:rsidR="00521525" w:rsidRPr="00415AD1">
        <w:rPr>
          <w:b w:val="0"/>
          <w:bCs/>
        </w:rPr>
        <w:t>d</w:t>
      </w:r>
      <w:r w:rsidRPr="00415AD1">
        <w:rPr>
          <w:b w:val="0"/>
          <w:bCs/>
        </w:rPr>
        <w:t>ers</w:t>
      </w:r>
      <w:r w:rsidR="00A320BA" w:rsidRPr="00415AD1">
        <w:rPr>
          <w:b w:val="0"/>
          <w:bCs/>
        </w:rPr>
        <w:t xml:space="preserve"> are expected to respond to </w:t>
      </w:r>
      <w:r w:rsidR="00521525" w:rsidRPr="00F10688">
        <w:t xml:space="preserve">only </w:t>
      </w:r>
      <w:r w:rsidR="00F10688">
        <w:t>one (</w:t>
      </w:r>
      <w:r w:rsidR="00521525" w:rsidRPr="00F10688">
        <w:t>1</w:t>
      </w:r>
      <w:r w:rsidR="00F10688">
        <w:t>)</w:t>
      </w:r>
      <w:r w:rsidR="00521525" w:rsidRPr="00F10688">
        <w:t xml:space="preserve"> of the </w:t>
      </w:r>
      <w:r w:rsidR="00F10688">
        <w:t>two (</w:t>
      </w:r>
      <w:r w:rsidR="00521525" w:rsidRPr="00F10688">
        <w:t>2</w:t>
      </w:r>
      <w:r w:rsidR="00F10688">
        <w:t>)</w:t>
      </w:r>
      <w:r w:rsidR="00521525" w:rsidRPr="00F10688">
        <w:t xml:space="preserve"> available </w:t>
      </w:r>
      <w:r w:rsidR="00415AD1" w:rsidRPr="00F10688">
        <w:t>questions</w:t>
      </w:r>
      <w:r w:rsidR="00A320BA" w:rsidRPr="00415AD1">
        <w:rPr>
          <w:b w:val="0"/>
          <w:bCs/>
        </w:rPr>
        <w:t xml:space="preserve"> within the method statements for Social Value. </w:t>
      </w:r>
    </w:p>
    <w:p w14:paraId="3DA9C6A5" w14:textId="2AFBF3EF" w:rsidR="00521525" w:rsidRPr="00F65E2B" w:rsidRDefault="00521525" w:rsidP="008B1F27">
      <w:pPr>
        <w:pStyle w:val="Head1"/>
        <w:numPr>
          <w:ilvl w:val="0"/>
          <w:numId w:val="30"/>
        </w:numPr>
        <w:spacing w:after="240" w:line="276" w:lineRule="auto"/>
        <w:ind w:left="709"/>
        <w:rPr>
          <w:b w:val="0"/>
          <w:bCs/>
        </w:rPr>
      </w:pPr>
      <w:r w:rsidRPr="00F65E2B">
        <w:rPr>
          <w:bCs/>
        </w:rPr>
        <w:t xml:space="preserve">Price </w:t>
      </w:r>
      <w:r w:rsidR="06BA4CC5" w:rsidRPr="00F65E2B">
        <w:t>40</w:t>
      </w:r>
      <w:r w:rsidR="00BA0BA1" w:rsidRPr="00F65E2B">
        <w:rPr>
          <w:bCs/>
        </w:rPr>
        <w:t xml:space="preserve"> points</w:t>
      </w:r>
    </w:p>
    <w:p w14:paraId="0C6ADF8B" w14:textId="107BEF1A" w:rsidR="00A320BA" w:rsidRPr="0071451D" w:rsidRDefault="00521525" w:rsidP="008B1F27">
      <w:pPr>
        <w:pStyle w:val="Head1"/>
        <w:numPr>
          <w:ilvl w:val="1"/>
          <w:numId w:val="30"/>
        </w:numPr>
        <w:spacing w:after="240" w:line="276" w:lineRule="auto"/>
        <w:ind w:left="1418"/>
        <w:rPr>
          <w:b w:val="0"/>
          <w:bCs/>
        </w:rPr>
      </w:pPr>
      <w:r w:rsidRPr="00521525">
        <w:rPr>
          <w:b w:val="0"/>
          <w:bCs/>
        </w:rPr>
        <w:t xml:space="preserve">Bidders are requested to complete the </w:t>
      </w:r>
      <w:r w:rsidRPr="00815C7F">
        <w:t>pricing spreadsheet</w:t>
      </w:r>
      <w:r w:rsidRPr="00521525">
        <w:rPr>
          <w:b w:val="0"/>
          <w:bCs/>
        </w:rPr>
        <w:t xml:space="preserve"> attached to the tender document and are required to outline as part of this element of the evaluation their </w:t>
      </w:r>
      <w:r w:rsidRPr="00815C7F">
        <w:t xml:space="preserve">methodologies </w:t>
      </w:r>
      <w:r w:rsidR="00B90E36" w:rsidRPr="00815C7F">
        <w:t>for developing their pricing model</w:t>
      </w:r>
      <w:r w:rsidRPr="00521525">
        <w:rPr>
          <w:b w:val="0"/>
          <w:bCs/>
        </w:rPr>
        <w:t xml:space="preserve">.  </w:t>
      </w:r>
    </w:p>
    <w:p w14:paraId="57D4F821" w14:textId="234F8B93" w:rsidR="00521525" w:rsidRDefault="00A320BA" w:rsidP="008B1F27">
      <w:pPr>
        <w:pStyle w:val="Head1"/>
        <w:spacing w:after="240" w:line="276" w:lineRule="auto"/>
      </w:pPr>
      <w:r w:rsidRPr="00DF1AE9">
        <w:t xml:space="preserve">Scoring </w:t>
      </w:r>
    </w:p>
    <w:p w14:paraId="24AE5F86" w14:textId="785872A3" w:rsidR="00741F19" w:rsidRDefault="00A320BA" w:rsidP="008B1F27">
      <w:pPr>
        <w:spacing w:after="240" w:line="276" w:lineRule="auto"/>
      </w:pPr>
      <w:r w:rsidRPr="00D63DF0">
        <w:t xml:space="preserve">In general terms higher scores will be awarded when the evidence provided demonstrates good quality information in support of proposals for specific requirements and provides high confidence in reliable delivery of the required services. Lower scores will be given when the evidence provided does not </w:t>
      </w:r>
      <w:r w:rsidRPr="00D63DF0">
        <w:lastRenderedPageBreak/>
        <w:t>demonstrate and/or provide confidence in reliable delivery of the requirement as specified.</w:t>
      </w:r>
      <w:r>
        <w:t xml:space="preserve"> </w:t>
      </w:r>
    </w:p>
    <w:p w14:paraId="7ED8AB5B" w14:textId="16CEC4C3" w:rsidR="00A320BA" w:rsidRPr="0071451D" w:rsidRDefault="00A320BA" w:rsidP="008B1F27">
      <w:pPr>
        <w:spacing w:after="240" w:line="276" w:lineRule="auto"/>
      </w:pPr>
      <w:r>
        <w:t>R</w:t>
      </w:r>
      <w:r w:rsidRPr="00DF1AE9">
        <w:t xml:space="preserve">esponses </w:t>
      </w:r>
      <w:r w:rsidR="00741F19" w:rsidRPr="00741F19">
        <w:t xml:space="preserve">for </w:t>
      </w:r>
      <w:r w:rsidR="00741F19" w:rsidRPr="00D575B9">
        <w:rPr>
          <w:b/>
          <w:bCs/>
        </w:rPr>
        <w:t>meeting the specification</w:t>
      </w:r>
      <w:r w:rsidR="00741F19" w:rsidRPr="00741F19">
        <w:t xml:space="preserve">, </w:t>
      </w:r>
      <w:r w:rsidR="00741F19" w:rsidRPr="00D575B9">
        <w:rPr>
          <w:b/>
          <w:bCs/>
        </w:rPr>
        <w:t>social value</w:t>
      </w:r>
      <w:r w:rsidR="00741F19" w:rsidRPr="00741F19">
        <w:t xml:space="preserve"> and </w:t>
      </w:r>
      <w:r w:rsidR="00123907">
        <w:rPr>
          <w:b/>
          <w:bCs/>
        </w:rPr>
        <w:t>developing the price model</w:t>
      </w:r>
      <w:r w:rsidR="00741F19" w:rsidRPr="00741F19">
        <w:t xml:space="preserve"> </w:t>
      </w:r>
      <w:r w:rsidRPr="00DF1AE9">
        <w:t>will be assessed on a scale of 0 to 4 points, as detailed in the table below:</w:t>
      </w:r>
    </w:p>
    <w:tbl>
      <w:tblPr>
        <w:tblW w:w="822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39"/>
        <w:gridCol w:w="7283"/>
      </w:tblGrid>
      <w:tr w:rsidR="00A320BA" w:rsidRPr="00DF1AE9" w14:paraId="7B42CE62" w14:textId="77777777" w:rsidTr="00BA19E1">
        <w:trPr>
          <w:trHeight w:val="292"/>
          <w:tblHeader/>
        </w:trPr>
        <w:tc>
          <w:tcPr>
            <w:tcW w:w="939" w:type="dxa"/>
            <w:shd w:val="clear" w:color="auto" w:fill="A6A6A6" w:themeFill="background1" w:themeFillShade="A6"/>
            <w:vAlign w:val="center"/>
          </w:tcPr>
          <w:p w14:paraId="5932CD33" w14:textId="77777777" w:rsidR="00A320BA" w:rsidRPr="00A847D5" w:rsidRDefault="00A320BA" w:rsidP="00A847D5">
            <w:pPr>
              <w:jc w:val="center"/>
              <w:rPr>
                <w:b/>
                <w:bCs/>
                <w:color w:val="FFFFFF" w:themeColor="background1"/>
              </w:rPr>
            </w:pPr>
            <w:r w:rsidRPr="00A847D5">
              <w:rPr>
                <w:b/>
                <w:bCs/>
                <w:color w:val="FFFFFF" w:themeColor="background1"/>
              </w:rPr>
              <w:t>Score</w:t>
            </w:r>
          </w:p>
        </w:tc>
        <w:tc>
          <w:tcPr>
            <w:tcW w:w="7283" w:type="dxa"/>
            <w:shd w:val="clear" w:color="auto" w:fill="A6A6A6" w:themeFill="background1" w:themeFillShade="A6"/>
            <w:vAlign w:val="center"/>
          </w:tcPr>
          <w:p w14:paraId="0CF70335" w14:textId="77777777" w:rsidR="00A320BA" w:rsidRPr="00A847D5" w:rsidRDefault="00A320BA" w:rsidP="00A847D5">
            <w:pPr>
              <w:rPr>
                <w:b/>
                <w:bCs/>
                <w:color w:val="FFFFFF" w:themeColor="background1"/>
              </w:rPr>
            </w:pPr>
            <w:r w:rsidRPr="00A847D5">
              <w:rPr>
                <w:b/>
                <w:bCs/>
                <w:color w:val="FFFFFF" w:themeColor="background1"/>
              </w:rPr>
              <w:t>In the evaluating officers’ reasoned opinion</w:t>
            </w:r>
          </w:p>
        </w:tc>
      </w:tr>
      <w:tr w:rsidR="00A320BA" w:rsidRPr="00DF1AE9" w14:paraId="1582E09D" w14:textId="77777777" w:rsidTr="00BA19E1">
        <w:trPr>
          <w:trHeight w:val="584"/>
        </w:trPr>
        <w:tc>
          <w:tcPr>
            <w:tcW w:w="939" w:type="dxa"/>
            <w:shd w:val="clear" w:color="auto" w:fill="D9D9D9" w:themeFill="background1" w:themeFillShade="D9"/>
            <w:vAlign w:val="center"/>
          </w:tcPr>
          <w:p w14:paraId="4CF48667" w14:textId="77777777" w:rsidR="00A320BA" w:rsidRPr="00DF1AE9" w:rsidRDefault="00A320BA" w:rsidP="00A847D5">
            <w:pPr>
              <w:jc w:val="center"/>
            </w:pPr>
            <w:r w:rsidRPr="00DF1AE9">
              <w:t>0</w:t>
            </w:r>
          </w:p>
        </w:tc>
        <w:tc>
          <w:tcPr>
            <w:tcW w:w="7283" w:type="dxa"/>
            <w:vAlign w:val="center"/>
          </w:tcPr>
          <w:p w14:paraId="5BD5008C" w14:textId="77777777" w:rsidR="00A320BA" w:rsidRPr="00DF1AE9" w:rsidRDefault="00A320BA" w:rsidP="008B1F27">
            <w:pPr>
              <w:spacing w:line="276" w:lineRule="auto"/>
            </w:pPr>
            <w:r w:rsidRPr="00DF1AE9">
              <w:rPr>
                <w:b/>
              </w:rPr>
              <w:t>Unacceptable Response.</w:t>
            </w:r>
            <w:r w:rsidRPr="00DF1AE9">
              <w:t xml:space="preserve"> No response, response not relevant or question not answered.</w:t>
            </w:r>
          </w:p>
        </w:tc>
      </w:tr>
      <w:tr w:rsidR="00A320BA" w:rsidRPr="00DF1AE9" w14:paraId="37D60B56" w14:textId="77777777" w:rsidTr="00BA19E1">
        <w:trPr>
          <w:trHeight w:val="885"/>
        </w:trPr>
        <w:tc>
          <w:tcPr>
            <w:tcW w:w="939" w:type="dxa"/>
            <w:shd w:val="clear" w:color="auto" w:fill="D9D9D9" w:themeFill="background1" w:themeFillShade="D9"/>
            <w:vAlign w:val="center"/>
          </w:tcPr>
          <w:p w14:paraId="58EFB423" w14:textId="77777777" w:rsidR="00A320BA" w:rsidRPr="00DF1AE9" w:rsidRDefault="00A320BA" w:rsidP="00A847D5">
            <w:pPr>
              <w:jc w:val="center"/>
            </w:pPr>
            <w:r w:rsidRPr="00DF1AE9">
              <w:t>1</w:t>
            </w:r>
          </w:p>
        </w:tc>
        <w:tc>
          <w:tcPr>
            <w:tcW w:w="7283" w:type="dxa"/>
            <w:vAlign w:val="center"/>
          </w:tcPr>
          <w:p w14:paraId="7EDE7907" w14:textId="77777777" w:rsidR="00A320BA" w:rsidRPr="00DF1AE9" w:rsidRDefault="00A320BA" w:rsidP="008B1F27">
            <w:pPr>
              <w:spacing w:line="276" w:lineRule="auto"/>
            </w:pPr>
            <w:r w:rsidRPr="00DF1AE9">
              <w:rPr>
                <w:b/>
              </w:rPr>
              <w:t>Poor.</w:t>
            </w:r>
            <w:r w:rsidRPr="00DF1AE9">
              <w:t xml:space="preserve"> The response is partially compliant, but with serious deficiencies in meeting service requirements (any supporting evidence </w:t>
            </w:r>
            <w:r w:rsidRPr="0028540A">
              <w:t>provided as part of the method statement</w:t>
            </w:r>
            <w:r w:rsidRPr="00DF1AE9">
              <w:t xml:space="preserve"> is minimal).</w:t>
            </w:r>
          </w:p>
        </w:tc>
      </w:tr>
      <w:tr w:rsidR="00A320BA" w:rsidRPr="00DF1AE9" w14:paraId="1794002E" w14:textId="77777777" w:rsidTr="00BA19E1">
        <w:trPr>
          <w:trHeight w:val="1168"/>
        </w:trPr>
        <w:tc>
          <w:tcPr>
            <w:tcW w:w="939" w:type="dxa"/>
            <w:shd w:val="clear" w:color="auto" w:fill="D9D9D9" w:themeFill="background1" w:themeFillShade="D9"/>
            <w:vAlign w:val="center"/>
          </w:tcPr>
          <w:p w14:paraId="297DBD95" w14:textId="77777777" w:rsidR="00A320BA" w:rsidRPr="00DF1AE9" w:rsidRDefault="00A320BA" w:rsidP="00A847D5">
            <w:pPr>
              <w:jc w:val="center"/>
            </w:pPr>
            <w:r w:rsidRPr="00DF1AE9">
              <w:t>2</w:t>
            </w:r>
          </w:p>
        </w:tc>
        <w:tc>
          <w:tcPr>
            <w:tcW w:w="7283" w:type="dxa"/>
            <w:vAlign w:val="center"/>
          </w:tcPr>
          <w:p w14:paraId="57DEC0B7" w14:textId="77777777" w:rsidR="00A320BA" w:rsidRPr="00DF1AE9" w:rsidRDefault="00A320BA" w:rsidP="008B1F27">
            <w:pPr>
              <w:spacing w:line="276" w:lineRule="auto"/>
            </w:pPr>
            <w:r w:rsidRPr="00DF1AE9">
              <w:rPr>
                <w:b/>
              </w:rPr>
              <w:t>Fair.</w:t>
            </w:r>
            <w:r w:rsidRPr="00DF1AE9">
              <w:t xml:space="preserve">  The response is compliant (some evidence may be provided </w:t>
            </w:r>
            <w:r w:rsidRPr="004D7CE7">
              <w:t>as part of the method statement</w:t>
            </w:r>
            <w:r w:rsidRPr="00DF1AE9">
              <w:t xml:space="preserve"> which supports compliant elements) with shortfalls in meeting service requirements</w:t>
            </w:r>
            <w:r>
              <w:t xml:space="preserve"> or lacking clarity</w:t>
            </w:r>
            <w:r w:rsidRPr="00DF1AE9">
              <w:t xml:space="preserve">. Any concerns are of a minor nature. </w:t>
            </w:r>
          </w:p>
        </w:tc>
      </w:tr>
      <w:tr w:rsidR="00A320BA" w:rsidRPr="00DF1AE9" w14:paraId="7025BA92" w14:textId="77777777" w:rsidTr="00BA19E1">
        <w:trPr>
          <w:trHeight w:val="885"/>
        </w:trPr>
        <w:tc>
          <w:tcPr>
            <w:tcW w:w="939" w:type="dxa"/>
            <w:shd w:val="clear" w:color="auto" w:fill="D9D9D9" w:themeFill="background1" w:themeFillShade="D9"/>
            <w:vAlign w:val="center"/>
          </w:tcPr>
          <w:p w14:paraId="23D79411" w14:textId="77777777" w:rsidR="00A320BA" w:rsidRPr="00DF1AE9" w:rsidRDefault="00A320BA" w:rsidP="00A847D5">
            <w:pPr>
              <w:jc w:val="center"/>
            </w:pPr>
            <w:r w:rsidRPr="00DF1AE9">
              <w:t>3</w:t>
            </w:r>
          </w:p>
        </w:tc>
        <w:tc>
          <w:tcPr>
            <w:tcW w:w="7283" w:type="dxa"/>
            <w:vAlign w:val="center"/>
          </w:tcPr>
          <w:p w14:paraId="20582239" w14:textId="77777777" w:rsidR="00A320BA" w:rsidRPr="00DF1AE9" w:rsidRDefault="00A320BA" w:rsidP="008B1F27">
            <w:pPr>
              <w:spacing w:line="276" w:lineRule="auto"/>
            </w:pPr>
            <w:r w:rsidRPr="00DF1AE9">
              <w:rPr>
                <w:b/>
              </w:rPr>
              <w:t>Good.</w:t>
            </w:r>
            <w:r w:rsidRPr="00DF1AE9">
              <w:t xml:space="preserve">  The response is compliant and offers relevant evidence </w:t>
            </w:r>
            <w:r w:rsidRPr="004D7CE7">
              <w:t>as part of the method statement</w:t>
            </w:r>
            <w:r w:rsidRPr="00DF1AE9">
              <w:t xml:space="preserve"> to support their claims, clearly indicating that service requirements would be met.</w:t>
            </w:r>
          </w:p>
        </w:tc>
      </w:tr>
      <w:tr w:rsidR="00A320BA" w:rsidRPr="00DF1AE9" w14:paraId="72619988" w14:textId="77777777" w:rsidTr="00BA19E1">
        <w:trPr>
          <w:trHeight w:val="876"/>
        </w:trPr>
        <w:tc>
          <w:tcPr>
            <w:tcW w:w="939" w:type="dxa"/>
            <w:shd w:val="clear" w:color="auto" w:fill="D9D9D9" w:themeFill="background1" w:themeFillShade="D9"/>
            <w:vAlign w:val="center"/>
          </w:tcPr>
          <w:p w14:paraId="72737962" w14:textId="77777777" w:rsidR="00A320BA" w:rsidRPr="00DF1AE9" w:rsidRDefault="00A320BA" w:rsidP="00A847D5">
            <w:pPr>
              <w:jc w:val="center"/>
            </w:pPr>
            <w:r w:rsidRPr="00DF1AE9">
              <w:t>4</w:t>
            </w:r>
          </w:p>
        </w:tc>
        <w:tc>
          <w:tcPr>
            <w:tcW w:w="7283" w:type="dxa"/>
            <w:vAlign w:val="center"/>
          </w:tcPr>
          <w:p w14:paraId="530498AA" w14:textId="77777777" w:rsidR="00A320BA" w:rsidRPr="00DF1AE9" w:rsidRDefault="00A320BA" w:rsidP="008B1F27">
            <w:pPr>
              <w:spacing w:line="276" w:lineRule="auto"/>
            </w:pPr>
            <w:r w:rsidRPr="00DF1AE9">
              <w:rPr>
                <w:b/>
              </w:rPr>
              <w:t>Excellent.</w:t>
            </w:r>
            <w:r w:rsidRPr="00DF1AE9">
              <w:t xml:space="preserve"> The response is compliant and offers relevant detailed evidence </w:t>
            </w:r>
            <w:r w:rsidRPr="004D7CE7">
              <w:t>as part of the method statement</w:t>
            </w:r>
            <w:r w:rsidRPr="00DF1AE9">
              <w:t xml:space="preserve"> to support their claims, clearly demonstrating a comprehensive understanding of the service requirements.</w:t>
            </w:r>
          </w:p>
        </w:tc>
      </w:tr>
    </w:tbl>
    <w:p w14:paraId="3CDB1F8A" w14:textId="255E4924" w:rsidR="00DA1693" w:rsidRDefault="00A320BA" w:rsidP="008B1F27">
      <w:pPr>
        <w:pStyle w:val="Header"/>
        <w:spacing w:before="240" w:after="240" w:line="276" w:lineRule="auto"/>
      </w:pPr>
      <w:bookmarkStart w:id="0" w:name="_Toc379828636"/>
      <w:bookmarkStart w:id="1" w:name="_Toc379828819"/>
      <w:bookmarkStart w:id="2" w:name="_Toc379829179"/>
      <w:r w:rsidRPr="00A847D5">
        <w:t xml:space="preserve">Please note that </w:t>
      </w:r>
      <w:r w:rsidRPr="00A847D5">
        <w:rPr>
          <w:b/>
          <w:bCs/>
        </w:rPr>
        <w:t>scoring</w:t>
      </w:r>
      <w:r w:rsidR="00824D55">
        <w:rPr>
          <w:b/>
          <w:bCs/>
        </w:rPr>
        <w:t xml:space="preserve"> zero</w:t>
      </w:r>
      <w:r w:rsidRPr="00A847D5">
        <w:rPr>
          <w:b/>
          <w:bCs/>
        </w:rPr>
        <w:t xml:space="preserve"> </w:t>
      </w:r>
      <w:r w:rsidR="00824D55">
        <w:rPr>
          <w:b/>
          <w:bCs/>
        </w:rPr>
        <w:t>(</w:t>
      </w:r>
      <w:r w:rsidRPr="00A847D5">
        <w:rPr>
          <w:b/>
          <w:bCs/>
        </w:rPr>
        <w:t>0</w:t>
      </w:r>
      <w:r w:rsidR="00824D55">
        <w:rPr>
          <w:b/>
          <w:bCs/>
        </w:rPr>
        <w:t>)</w:t>
      </w:r>
      <w:r w:rsidRPr="00A847D5">
        <w:t xml:space="preserve"> for any </w:t>
      </w:r>
      <w:r w:rsidRPr="00A847D5">
        <w:rPr>
          <w:b/>
          <w:bCs/>
        </w:rPr>
        <w:t>one or more</w:t>
      </w:r>
      <w:r w:rsidRPr="00A847D5">
        <w:t xml:space="preserve"> </w:t>
      </w:r>
      <w:r w:rsidR="00A847D5">
        <w:t>requirement questions (</w:t>
      </w:r>
      <w:proofErr w:type="spellStart"/>
      <w:r w:rsidR="00A847D5">
        <w:t>ie</w:t>
      </w:r>
      <w:proofErr w:type="spellEnd"/>
      <w:r w:rsidR="00A847D5">
        <w:t xml:space="preserve">. Meeting the Specification, Social Value or </w:t>
      </w:r>
      <w:r w:rsidR="00824D55">
        <w:t>developing the price model</w:t>
      </w:r>
      <w:r w:rsidR="00415AD1">
        <w:t xml:space="preserve">) </w:t>
      </w:r>
      <w:r w:rsidR="00415AD1" w:rsidRPr="00415AD1">
        <w:rPr>
          <w:b/>
          <w:bCs/>
        </w:rPr>
        <w:t>OR</w:t>
      </w:r>
      <w:r w:rsidR="00741F19" w:rsidRPr="00A847D5">
        <w:t xml:space="preserve"> </w:t>
      </w:r>
      <w:r w:rsidR="00741F19" w:rsidRPr="00A847D5">
        <w:rPr>
          <w:b/>
          <w:bCs/>
        </w:rPr>
        <w:t>failure to achieve</w:t>
      </w:r>
      <w:r w:rsidR="00741F19" w:rsidRPr="00A847D5">
        <w:t xml:space="preserve"> an unweighted score for requirement questions 1-5 of </w:t>
      </w:r>
      <w:r w:rsidR="00B91842">
        <w:t xml:space="preserve">twelve </w:t>
      </w:r>
      <w:r w:rsidR="00824D55">
        <w:t>(</w:t>
      </w:r>
      <w:r w:rsidR="00741F19" w:rsidRPr="00A847D5">
        <w:rPr>
          <w:b/>
          <w:bCs/>
        </w:rPr>
        <w:t>1</w:t>
      </w:r>
      <w:r w:rsidR="0095356B">
        <w:rPr>
          <w:b/>
          <w:bCs/>
        </w:rPr>
        <w:t>2</w:t>
      </w:r>
      <w:r w:rsidR="00824D55">
        <w:rPr>
          <w:b/>
          <w:bCs/>
        </w:rPr>
        <w:t>)</w:t>
      </w:r>
      <w:r w:rsidR="00741F19" w:rsidRPr="00A847D5">
        <w:rPr>
          <w:b/>
          <w:bCs/>
        </w:rPr>
        <w:t xml:space="preserve"> or more</w:t>
      </w:r>
      <w:r w:rsidRPr="00A847D5">
        <w:t xml:space="preserve"> will give grounds for </w:t>
      </w:r>
      <w:r w:rsidRPr="00A847D5">
        <w:rPr>
          <w:b/>
          <w:bCs/>
        </w:rPr>
        <w:t>excluding</w:t>
      </w:r>
      <w:r w:rsidRPr="00A847D5">
        <w:t xml:space="preserve"> the tender from further consideration.  For any tenders</w:t>
      </w:r>
      <w:r w:rsidR="00A847D5">
        <w:t xml:space="preserve"> so </w:t>
      </w:r>
      <w:r w:rsidRPr="00A847D5">
        <w:t>excluded, that tenderer’s price shall be excluded from the ‘</w:t>
      </w:r>
      <w:r w:rsidR="00B30F5C">
        <w:t>’Price’</w:t>
      </w:r>
      <w:r w:rsidRPr="00A847D5">
        <w:t xml:space="preserve"> evaluation.</w:t>
      </w:r>
      <w:bookmarkEnd w:id="0"/>
      <w:bookmarkEnd w:id="1"/>
      <w:bookmarkEnd w:id="2"/>
    </w:p>
    <w:p w14:paraId="7A04F0E9" w14:textId="71AAC350" w:rsidR="00EA2E68" w:rsidRDefault="00DA1693" w:rsidP="008B1F27">
      <w:pPr>
        <w:pStyle w:val="Header"/>
        <w:spacing w:after="240" w:line="276" w:lineRule="auto"/>
      </w:pPr>
      <w:r>
        <w:t xml:space="preserve">Each score achieved for the individual requirements will then be </w:t>
      </w:r>
      <w:r w:rsidR="00EA2E68">
        <w:t>multiplied by the weighting detailed below</w:t>
      </w:r>
      <w:r w:rsidR="00BA0BA1">
        <w:t xml:space="preserve"> to calculate the final points</w:t>
      </w:r>
      <w:r w:rsidR="00A847D5">
        <w:t xml:space="preserve"> for each requirement</w:t>
      </w:r>
      <w:r w:rsidR="00EA2E68">
        <w:t>.</w:t>
      </w:r>
      <w:r w:rsidR="00A847D5">
        <w:t xml:space="preserve"> </w:t>
      </w:r>
    </w:p>
    <w:tbl>
      <w:tblPr>
        <w:tblStyle w:val="TableGrid"/>
        <w:tblW w:w="8217" w:type="dxa"/>
        <w:tblInd w:w="1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67"/>
        <w:gridCol w:w="4815"/>
        <w:gridCol w:w="1417"/>
        <w:gridCol w:w="1418"/>
      </w:tblGrid>
      <w:tr w:rsidR="00E1162C" w:rsidRPr="00A847D5" w14:paraId="3B1D78FC" w14:textId="48DA5D9E" w:rsidTr="00682289">
        <w:trPr>
          <w:trHeight w:val="397"/>
        </w:trPr>
        <w:tc>
          <w:tcPr>
            <w:tcW w:w="5382" w:type="dxa"/>
            <w:gridSpan w:val="2"/>
            <w:shd w:val="clear" w:color="auto" w:fill="A6A6A6" w:themeFill="background1" w:themeFillShade="A6"/>
            <w:vAlign w:val="center"/>
          </w:tcPr>
          <w:p w14:paraId="1D3FB005" w14:textId="06A9E2FB" w:rsidR="00E1162C" w:rsidRPr="00A847D5" w:rsidRDefault="00E1162C">
            <w:pPr>
              <w:pStyle w:val="Header"/>
              <w:rPr>
                <w:b/>
                <w:bCs/>
                <w:color w:val="FFFFFF" w:themeColor="background1"/>
              </w:rPr>
            </w:pPr>
            <w:r w:rsidRPr="00A847D5">
              <w:rPr>
                <w:b/>
                <w:bCs/>
                <w:color w:val="FFFFFF" w:themeColor="background1"/>
              </w:rPr>
              <w:t>Requirement</w:t>
            </w:r>
          </w:p>
        </w:tc>
        <w:tc>
          <w:tcPr>
            <w:tcW w:w="1417" w:type="dxa"/>
            <w:shd w:val="clear" w:color="auto" w:fill="A6A6A6" w:themeFill="background1" w:themeFillShade="A6"/>
            <w:vAlign w:val="center"/>
          </w:tcPr>
          <w:p w14:paraId="2F506AC9" w14:textId="4C92AA4A" w:rsidR="00E1162C" w:rsidRPr="00A847D5" w:rsidRDefault="00E1162C" w:rsidP="0071451D">
            <w:pPr>
              <w:pStyle w:val="Header"/>
              <w:jc w:val="center"/>
              <w:rPr>
                <w:b/>
                <w:bCs/>
                <w:color w:val="FFFFFF" w:themeColor="background1"/>
              </w:rPr>
            </w:pPr>
            <w:r w:rsidRPr="00A847D5">
              <w:rPr>
                <w:b/>
                <w:bCs/>
                <w:color w:val="FFFFFF" w:themeColor="background1"/>
              </w:rPr>
              <w:t>Weighting</w:t>
            </w:r>
          </w:p>
        </w:tc>
        <w:tc>
          <w:tcPr>
            <w:tcW w:w="1418" w:type="dxa"/>
            <w:shd w:val="clear" w:color="auto" w:fill="A6A6A6" w:themeFill="background1" w:themeFillShade="A6"/>
            <w:vAlign w:val="center"/>
          </w:tcPr>
          <w:p w14:paraId="7C46436C" w14:textId="1F5E5DB1" w:rsidR="00E1162C" w:rsidRPr="00A847D5" w:rsidRDefault="00E1162C" w:rsidP="00F415E2">
            <w:pPr>
              <w:pStyle w:val="Header"/>
              <w:jc w:val="center"/>
              <w:rPr>
                <w:b/>
                <w:bCs/>
                <w:color w:val="FFFFFF" w:themeColor="background1"/>
              </w:rPr>
            </w:pPr>
            <w:r>
              <w:rPr>
                <w:b/>
                <w:bCs/>
                <w:color w:val="FFFFFF" w:themeColor="background1"/>
              </w:rPr>
              <w:t>Max Points</w:t>
            </w:r>
          </w:p>
        </w:tc>
      </w:tr>
      <w:tr w:rsidR="00E1162C" w:rsidRPr="00A847D5" w14:paraId="3C2D918D" w14:textId="0A023035" w:rsidTr="00682289">
        <w:trPr>
          <w:trHeight w:val="397"/>
        </w:trPr>
        <w:tc>
          <w:tcPr>
            <w:tcW w:w="567" w:type="dxa"/>
            <w:shd w:val="clear" w:color="auto" w:fill="D9D9D9" w:themeFill="background1" w:themeFillShade="D9"/>
            <w:vAlign w:val="center"/>
          </w:tcPr>
          <w:p w14:paraId="05F0394B" w14:textId="27082DF9" w:rsidR="00E1162C" w:rsidRPr="00A847D5" w:rsidRDefault="00E1162C" w:rsidP="00682289">
            <w:pPr>
              <w:pStyle w:val="Header"/>
              <w:jc w:val="center"/>
            </w:pPr>
            <w:r>
              <w:t>A</w:t>
            </w:r>
          </w:p>
        </w:tc>
        <w:tc>
          <w:tcPr>
            <w:tcW w:w="4815" w:type="dxa"/>
            <w:shd w:val="clear" w:color="auto" w:fill="D9D9D9" w:themeFill="background1" w:themeFillShade="D9"/>
            <w:vAlign w:val="center"/>
          </w:tcPr>
          <w:p w14:paraId="0AC98E35" w14:textId="722B65E0" w:rsidR="00E1162C" w:rsidRPr="00A847D5" w:rsidRDefault="00E1162C" w:rsidP="0071451D">
            <w:pPr>
              <w:pStyle w:val="Header"/>
            </w:pPr>
            <w:r w:rsidRPr="00A847D5">
              <w:t>Meeting the Specification</w:t>
            </w:r>
          </w:p>
        </w:tc>
        <w:tc>
          <w:tcPr>
            <w:tcW w:w="1417" w:type="dxa"/>
            <w:shd w:val="clear" w:color="auto" w:fill="D9D9D9" w:themeFill="background1" w:themeFillShade="D9"/>
            <w:vAlign w:val="center"/>
          </w:tcPr>
          <w:p w14:paraId="716148AA" w14:textId="199714CD" w:rsidR="00E1162C" w:rsidRPr="00A847D5" w:rsidRDefault="00E1162C" w:rsidP="0071451D">
            <w:pPr>
              <w:pStyle w:val="Header"/>
              <w:jc w:val="center"/>
            </w:pPr>
          </w:p>
        </w:tc>
        <w:tc>
          <w:tcPr>
            <w:tcW w:w="1418" w:type="dxa"/>
            <w:shd w:val="clear" w:color="auto" w:fill="D9D9D9" w:themeFill="background1" w:themeFillShade="D9"/>
            <w:vAlign w:val="center"/>
          </w:tcPr>
          <w:p w14:paraId="110019C1" w14:textId="0FB35B4A" w:rsidR="00E1162C" w:rsidRPr="00A847D5" w:rsidRDefault="00E1162C" w:rsidP="00F415E2">
            <w:pPr>
              <w:pStyle w:val="Header"/>
              <w:jc w:val="center"/>
            </w:pPr>
            <w:r>
              <w:t>50</w:t>
            </w:r>
          </w:p>
        </w:tc>
      </w:tr>
      <w:tr w:rsidR="00E1162C" w:rsidRPr="00A847D5" w14:paraId="5D12F8FF" w14:textId="7279B8D6" w:rsidTr="00682289">
        <w:trPr>
          <w:trHeight w:val="397"/>
        </w:trPr>
        <w:tc>
          <w:tcPr>
            <w:tcW w:w="567" w:type="dxa"/>
            <w:vAlign w:val="center"/>
          </w:tcPr>
          <w:p w14:paraId="5F601205" w14:textId="7FD87462" w:rsidR="00E1162C" w:rsidRDefault="00E1162C" w:rsidP="00682289">
            <w:pPr>
              <w:pStyle w:val="Header"/>
              <w:jc w:val="center"/>
              <w:rPr>
                <w:rStyle w:val="normaltextrun"/>
                <w:color w:val="000000"/>
                <w:shd w:val="clear" w:color="auto" w:fill="FFFFFF"/>
              </w:rPr>
            </w:pPr>
            <w:r>
              <w:rPr>
                <w:rStyle w:val="normaltextrun"/>
                <w:color w:val="000000"/>
                <w:shd w:val="clear" w:color="auto" w:fill="FFFFFF"/>
              </w:rPr>
              <w:t>1</w:t>
            </w:r>
          </w:p>
        </w:tc>
        <w:tc>
          <w:tcPr>
            <w:tcW w:w="4815" w:type="dxa"/>
            <w:vAlign w:val="center"/>
          </w:tcPr>
          <w:p w14:paraId="3B35A85D" w14:textId="1D584BC9" w:rsidR="00E1162C" w:rsidRPr="00A847D5" w:rsidRDefault="00E1162C" w:rsidP="2EFB8829">
            <w:pPr>
              <w:pStyle w:val="Header"/>
            </w:pPr>
            <w:r>
              <w:rPr>
                <w:rStyle w:val="normaltextrun"/>
                <w:color w:val="000000"/>
                <w:shd w:val="clear" w:color="auto" w:fill="FFFFFF"/>
              </w:rPr>
              <w:t>Design, Develop and Manage Operational Delivery of Practice Leadership CPD Programme</w:t>
            </w:r>
          </w:p>
        </w:tc>
        <w:tc>
          <w:tcPr>
            <w:tcW w:w="1417" w:type="dxa"/>
            <w:vAlign w:val="center"/>
          </w:tcPr>
          <w:p w14:paraId="1488BEF8" w14:textId="1C715066" w:rsidR="00E1162C" w:rsidRPr="00A847D5" w:rsidRDefault="00E1162C" w:rsidP="0071451D">
            <w:pPr>
              <w:pStyle w:val="Header"/>
              <w:jc w:val="center"/>
            </w:pPr>
            <w:r>
              <w:t>X</w:t>
            </w:r>
          </w:p>
        </w:tc>
        <w:tc>
          <w:tcPr>
            <w:tcW w:w="1418" w:type="dxa"/>
            <w:vAlign w:val="center"/>
          </w:tcPr>
          <w:p w14:paraId="42B4D617" w14:textId="77607A9C" w:rsidR="00E1162C" w:rsidRDefault="00E1162C" w:rsidP="00F415E2">
            <w:pPr>
              <w:pStyle w:val="Header"/>
              <w:jc w:val="center"/>
            </w:pPr>
            <w:r>
              <w:t>20</w:t>
            </w:r>
          </w:p>
        </w:tc>
      </w:tr>
      <w:tr w:rsidR="00E1162C" w:rsidRPr="00A847D5" w14:paraId="01ED5772" w14:textId="177EAB61" w:rsidTr="00682289">
        <w:trPr>
          <w:trHeight w:val="397"/>
        </w:trPr>
        <w:tc>
          <w:tcPr>
            <w:tcW w:w="567" w:type="dxa"/>
            <w:vAlign w:val="center"/>
          </w:tcPr>
          <w:p w14:paraId="2A9293F7" w14:textId="2DF5C605" w:rsidR="00E1162C" w:rsidRPr="007657CF" w:rsidRDefault="00E1162C" w:rsidP="00682289">
            <w:pPr>
              <w:pStyle w:val="Header"/>
              <w:jc w:val="center"/>
            </w:pPr>
            <w:r>
              <w:t>2</w:t>
            </w:r>
          </w:p>
        </w:tc>
        <w:tc>
          <w:tcPr>
            <w:tcW w:w="4815" w:type="dxa"/>
            <w:vAlign w:val="center"/>
          </w:tcPr>
          <w:p w14:paraId="3BE744B9" w14:textId="377BFC80" w:rsidR="00E1162C" w:rsidRPr="00A847D5" w:rsidRDefault="00E1162C" w:rsidP="2EFB8829">
            <w:pPr>
              <w:pStyle w:val="Header"/>
            </w:pPr>
            <w:r w:rsidRPr="007657CF">
              <w:t>Project Management</w:t>
            </w:r>
            <w:r>
              <w:t xml:space="preserve">, </w:t>
            </w:r>
            <w:r w:rsidRPr="007657CF">
              <w:t>Reporting arrangements</w:t>
            </w:r>
            <w:r>
              <w:t xml:space="preserve"> and Evaluation</w:t>
            </w:r>
          </w:p>
        </w:tc>
        <w:tc>
          <w:tcPr>
            <w:tcW w:w="1417" w:type="dxa"/>
            <w:vAlign w:val="center"/>
          </w:tcPr>
          <w:p w14:paraId="3244513D" w14:textId="4226087C" w:rsidR="00E1162C" w:rsidRPr="00A847D5" w:rsidRDefault="00E1162C" w:rsidP="00A66777">
            <w:pPr>
              <w:pStyle w:val="Header"/>
              <w:jc w:val="center"/>
            </w:pPr>
            <w:r>
              <w:t>X</w:t>
            </w:r>
          </w:p>
        </w:tc>
        <w:tc>
          <w:tcPr>
            <w:tcW w:w="1418" w:type="dxa"/>
            <w:vAlign w:val="center"/>
          </w:tcPr>
          <w:p w14:paraId="71815AE3" w14:textId="012F93D6" w:rsidR="00E1162C" w:rsidRDefault="00E1162C" w:rsidP="00A66777">
            <w:pPr>
              <w:pStyle w:val="Header"/>
              <w:jc w:val="center"/>
            </w:pPr>
            <w:r>
              <w:t>12</w:t>
            </w:r>
          </w:p>
        </w:tc>
      </w:tr>
      <w:tr w:rsidR="00E1162C" w:rsidRPr="00A847D5" w14:paraId="2F9AA4AC" w14:textId="24EB6BD1" w:rsidTr="00682289">
        <w:trPr>
          <w:trHeight w:val="397"/>
        </w:trPr>
        <w:tc>
          <w:tcPr>
            <w:tcW w:w="567" w:type="dxa"/>
            <w:vAlign w:val="center"/>
          </w:tcPr>
          <w:p w14:paraId="18EA35E2" w14:textId="48BA6F61" w:rsidR="00E1162C" w:rsidRPr="00815C7F" w:rsidRDefault="00E1162C" w:rsidP="00682289">
            <w:pPr>
              <w:pStyle w:val="Header"/>
              <w:jc w:val="center"/>
            </w:pPr>
            <w:r>
              <w:t>3</w:t>
            </w:r>
          </w:p>
        </w:tc>
        <w:tc>
          <w:tcPr>
            <w:tcW w:w="4815" w:type="dxa"/>
            <w:vAlign w:val="center"/>
          </w:tcPr>
          <w:p w14:paraId="0940726E" w14:textId="76258848" w:rsidR="00E1162C" w:rsidRPr="00A847D5" w:rsidRDefault="00E1162C" w:rsidP="2EFB8829">
            <w:pPr>
              <w:pStyle w:val="Header"/>
            </w:pPr>
            <w:r w:rsidRPr="00815C7F">
              <w:t>Contractor management and governance</w:t>
            </w:r>
          </w:p>
        </w:tc>
        <w:tc>
          <w:tcPr>
            <w:tcW w:w="1417" w:type="dxa"/>
            <w:vAlign w:val="center"/>
          </w:tcPr>
          <w:p w14:paraId="08729A6B" w14:textId="48205610" w:rsidR="00E1162C" w:rsidRPr="00A847D5" w:rsidRDefault="00E1162C" w:rsidP="00A66777">
            <w:pPr>
              <w:pStyle w:val="Header"/>
              <w:jc w:val="center"/>
            </w:pPr>
            <w:r>
              <w:t>X</w:t>
            </w:r>
          </w:p>
        </w:tc>
        <w:tc>
          <w:tcPr>
            <w:tcW w:w="1418" w:type="dxa"/>
            <w:vAlign w:val="center"/>
          </w:tcPr>
          <w:p w14:paraId="7693F8EE" w14:textId="0E6255A0" w:rsidR="00E1162C" w:rsidRDefault="00F352DF" w:rsidP="00A66777">
            <w:pPr>
              <w:pStyle w:val="Header"/>
              <w:jc w:val="center"/>
            </w:pPr>
            <w:r>
              <w:t>8</w:t>
            </w:r>
          </w:p>
        </w:tc>
      </w:tr>
      <w:tr w:rsidR="00E1162C" w:rsidRPr="00A847D5" w14:paraId="01E59325" w14:textId="4E14012B" w:rsidTr="00682289">
        <w:trPr>
          <w:trHeight w:val="397"/>
        </w:trPr>
        <w:tc>
          <w:tcPr>
            <w:tcW w:w="567" w:type="dxa"/>
            <w:vAlign w:val="center"/>
          </w:tcPr>
          <w:p w14:paraId="09705A4D" w14:textId="334FB39B" w:rsidR="00E1162C" w:rsidRDefault="00E1162C" w:rsidP="00682289">
            <w:pPr>
              <w:pStyle w:val="Header"/>
              <w:jc w:val="center"/>
            </w:pPr>
            <w:r>
              <w:t>4</w:t>
            </w:r>
          </w:p>
        </w:tc>
        <w:tc>
          <w:tcPr>
            <w:tcW w:w="4815" w:type="dxa"/>
            <w:vAlign w:val="center"/>
          </w:tcPr>
          <w:p w14:paraId="5AAC32B4" w14:textId="137BA4DC" w:rsidR="00E1162C" w:rsidRPr="00A847D5" w:rsidRDefault="00E1162C" w:rsidP="2EFB8829">
            <w:pPr>
              <w:pStyle w:val="Header"/>
            </w:pPr>
            <w:r>
              <w:t>Communications and Engagement</w:t>
            </w:r>
          </w:p>
        </w:tc>
        <w:tc>
          <w:tcPr>
            <w:tcW w:w="1417" w:type="dxa"/>
            <w:vAlign w:val="center"/>
          </w:tcPr>
          <w:p w14:paraId="1B21FCA2" w14:textId="1B927590" w:rsidR="00E1162C" w:rsidRPr="00A847D5" w:rsidRDefault="00E1162C" w:rsidP="00A66777">
            <w:pPr>
              <w:pStyle w:val="Header"/>
              <w:jc w:val="center"/>
            </w:pPr>
            <w:r>
              <w:t>X</w:t>
            </w:r>
          </w:p>
        </w:tc>
        <w:tc>
          <w:tcPr>
            <w:tcW w:w="1418" w:type="dxa"/>
            <w:vAlign w:val="center"/>
          </w:tcPr>
          <w:p w14:paraId="707DBAE4" w14:textId="41E4DF1D" w:rsidR="00E1162C" w:rsidRDefault="00F352DF" w:rsidP="00A66777">
            <w:pPr>
              <w:pStyle w:val="Header"/>
              <w:jc w:val="center"/>
            </w:pPr>
            <w:r>
              <w:t>8</w:t>
            </w:r>
          </w:p>
        </w:tc>
      </w:tr>
      <w:tr w:rsidR="00E1162C" w:rsidRPr="00A847D5" w14:paraId="441CE484" w14:textId="1D4B942C" w:rsidTr="00682289">
        <w:trPr>
          <w:trHeight w:val="397"/>
        </w:trPr>
        <w:tc>
          <w:tcPr>
            <w:tcW w:w="567" w:type="dxa"/>
            <w:vAlign w:val="center"/>
          </w:tcPr>
          <w:p w14:paraId="37FBE85B" w14:textId="13AA1335" w:rsidR="00E1162C" w:rsidRPr="007D10DD" w:rsidRDefault="00E1162C" w:rsidP="00682289">
            <w:pPr>
              <w:pStyle w:val="Header"/>
              <w:jc w:val="center"/>
            </w:pPr>
            <w:r>
              <w:t>5</w:t>
            </w:r>
          </w:p>
        </w:tc>
        <w:tc>
          <w:tcPr>
            <w:tcW w:w="4815" w:type="dxa"/>
            <w:vAlign w:val="center"/>
          </w:tcPr>
          <w:p w14:paraId="5AA3B3D8" w14:textId="10235EE3" w:rsidR="00E1162C" w:rsidRPr="00815C7F" w:rsidRDefault="00E1162C" w:rsidP="007D10DD">
            <w:pPr>
              <w:pStyle w:val="Header"/>
            </w:pPr>
            <w:r w:rsidRPr="007D10DD">
              <w:t>Ensuring quarterly key performance and delivery plan updates</w:t>
            </w:r>
          </w:p>
        </w:tc>
        <w:tc>
          <w:tcPr>
            <w:tcW w:w="1417" w:type="dxa"/>
            <w:vAlign w:val="center"/>
          </w:tcPr>
          <w:p w14:paraId="55374347" w14:textId="1F81D3CE" w:rsidR="00E1162C" w:rsidRDefault="00E1162C" w:rsidP="00A66777">
            <w:pPr>
              <w:pStyle w:val="Header"/>
              <w:jc w:val="center"/>
            </w:pPr>
          </w:p>
        </w:tc>
        <w:tc>
          <w:tcPr>
            <w:tcW w:w="1418" w:type="dxa"/>
            <w:vAlign w:val="center"/>
          </w:tcPr>
          <w:p w14:paraId="778018E6" w14:textId="6D25ED34" w:rsidR="00E1162C" w:rsidRDefault="00E1162C" w:rsidP="00A66777">
            <w:pPr>
              <w:pStyle w:val="Header"/>
              <w:jc w:val="center"/>
            </w:pPr>
          </w:p>
        </w:tc>
      </w:tr>
      <w:tr w:rsidR="00BB6AF1" w:rsidRPr="00A847D5" w14:paraId="5EBD45B5" w14:textId="77777777" w:rsidTr="00BB6AF1">
        <w:trPr>
          <w:trHeight w:val="397"/>
        </w:trPr>
        <w:tc>
          <w:tcPr>
            <w:tcW w:w="567" w:type="dxa"/>
            <w:shd w:val="clear" w:color="auto" w:fill="auto"/>
            <w:vAlign w:val="center"/>
          </w:tcPr>
          <w:p w14:paraId="03A74EC5" w14:textId="4052AA9F" w:rsidR="00BB6AF1" w:rsidRDefault="00BB6AF1" w:rsidP="00682289">
            <w:pPr>
              <w:pStyle w:val="Header"/>
              <w:jc w:val="center"/>
            </w:pPr>
            <w:r>
              <w:t>6</w:t>
            </w:r>
          </w:p>
        </w:tc>
        <w:tc>
          <w:tcPr>
            <w:tcW w:w="4815" w:type="dxa"/>
            <w:shd w:val="clear" w:color="auto" w:fill="auto"/>
            <w:vAlign w:val="center"/>
          </w:tcPr>
          <w:p w14:paraId="44859197" w14:textId="28B66CE1" w:rsidR="00BB6AF1" w:rsidRPr="007D10DD" w:rsidRDefault="005B6B1A" w:rsidP="007D10DD">
            <w:pPr>
              <w:pStyle w:val="Header"/>
            </w:pPr>
            <w:r>
              <w:t>End of contract</w:t>
            </w:r>
          </w:p>
        </w:tc>
        <w:tc>
          <w:tcPr>
            <w:tcW w:w="1417" w:type="dxa"/>
            <w:shd w:val="clear" w:color="auto" w:fill="auto"/>
            <w:vAlign w:val="center"/>
          </w:tcPr>
          <w:p w14:paraId="532F2645" w14:textId="77777777" w:rsidR="00BB6AF1" w:rsidRDefault="00BB6AF1" w:rsidP="00A66777">
            <w:pPr>
              <w:pStyle w:val="Header"/>
              <w:jc w:val="center"/>
            </w:pPr>
          </w:p>
        </w:tc>
        <w:tc>
          <w:tcPr>
            <w:tcW w:w="1418" w:type="dxa"/>
            <w:shd w:val="clear" w:color="auto" w:fill="auto"/>
            <w:vAlign w:val="center"/>
          </w:tcPr>
          <w:p w14:paraId="52DC0BCB" w14:textId="694994E5" w:rsidR="00BB6AF1" w:rsidRDefault="00F352DF" w:rsidP="00A66777">
            <w:pPr>
              <w:pStyle w:val="Header"/>
              <w:jc w:val="center"/>
            </w:pPr>
            <w:r>
              <w:t>2</w:t>
            </w:r>
          </w:p>
        </w:tc>
      </w:tr>
      <w:tr w:rsidR="00E1162C" w:rsidRPr="00A847D5" w14:paraId="3D65EF1C" w14:textId="1D933275" w:rsidTr="00682289">
        <w:trPr>
          <w:trHeight w:val="397"/>
        </w:trPr>
        <w:tc>
          <w:tcPr>
            <w:tcW w:w="567" w:type="dxa"/>
            <w:shd w:val="clear" w:color="auto" w:fill="D9D9D9" w:themeFill="background1" w:themeFillShade="D9"/>
            <w:vAlign w:val="center"/>
          </w:tcPr>
          <w:p w14:paraId="133567BF" w14:textId="5206034C" w:rsidR="00E1162C" w:rsidRPr="00A847D5" w:rsidRDefault="00C06CB9" w:rsidP="00503C11">
            <w:pPr>
              <w:pStyle w:val="Header"/>
              <w:jc w:val="center"/>
            </w:pPr>
            <w:r>
              <w:lastRenderedPageBreak/>
              <w:t>B</w:t>
            </w:r>
          </w:p>
        </w:tc>
        <w:tc>
          <w:tcPr>
            <w:tcW w:w="4815" w:type="dxa"/>
            <w:shd w:val="clear" w:color="auto" w:fill="D9D9D9" w:themeFill="background1" w:themeFillShade="D9"/>
            <w:vAlign w:val="center"/>
          </w:tcPr>
          <w:p w14:paraId="4B2519AC" w14:textId="378F657E" w:rsidR="00E1162C" w:rsidRPr="00A847D5" w:rsidRDefault="00E1162C" w:rsidP="00A66777">
            <w:pPr>
              <w:pStyle w:val="Header"/>
            </w:pPr>
            <w:r w:rsidRPr="00A847D5">
              <w:t>Social Value</w:t>
            </w:r>
          </w:p>
        </w:tc>
        <w:tc>
          <w:tcPr>
            <w:tcW w:w="1417" w:type="dxa"/>
            <w:shd w:val="clear" w:color="auto" w:fill="D9D9D9" w:themeFill="background1" w:themeFillShade="D9"/>
            <w:vAlign w:val="center"/>
          </w:tcPr>
          <w:p w14:paraId="6956AE34" w14:textId="2152041D" w:rsidR="00E1162C" w:rsidRPr="00A847D5" w:rsidRDefault="00E1162C" w:rsidP="2EFB8829">
            <w:pPr>
              <w:pStyle w:val="Header"/>
              <w:spacing w:line="259" w:lineRule="auto"/>
              <w:jc w:val="center"/>
            </w:pPr>
            <w:r>
              <w:t>2.5</w:t>
            </w:r>
          </w:p>
        </w:tc>
        <w:tc>
          <w:tcPr>
            <w:tcW w:w="1418" w:type="dxa"/>
            <w:shd w:val="clear" w:color="auto" w:fill="D9D9D9" w:themeFill="background1" w:themeFillShade="D9"/>
            <w:vAlign w:val="center"/>
          </w:tcPr>
          <w:p w14:paraId="33036887" w14:textId="2D6AF09D" w:rsidR="00E1162C" w:rsidRPr="00A847D5" w:rsidRDefault="00E1162C" w:rsidP="00A66777">
            <w:pPr>
              <w:pStyle w:val="Header"/>
              <w:jc w:val="center"/>
            </w:pPr>
            <w:r>
              <w:t>10</w:t>
            </w:r>
          </w:p>
        </w:tc>
      </w:tr>
      <w:tr w:rsidR="00E1162C" w14:paraId="2942D068" w14:textId="3EEDF866" w:rsidTr="00682289">
        <w:trPr>
          <w:trHeight w:val="397"/>
        </w:trPr>
        <w:tc>
          <w:tcPr>
            <w:tcW w:w="567" w:type="dxa"/>
            <w:shd w:val="clear" w:color="auto" w:fill="D9D9D9" w:themeFill="background1" w:themeFillShade="D9"/>
            <w:vAlign w:val="center"/>
          </w:tcPr>
          <w:p w14:paraId="38EE8DE5" w14:textId="1B26F7A5" w:rsidR="00E1162C" w:rsidRDefault="00C06CB9" w:rsidP="00503C11">
            <w:pPr>
              <w:pStyle w:val="Header"/>
              <w:jc w:val="center"/>
            </w:pPr>
            <w:r>
              <w:t>C</w:t>
            </w:r>
          </w:p>
        </w:tc>
        <w:tc>
          <w:tcPr>
            <w:tcW w:w="4815" w:type="dxa"/>
            <w:shd w:val="clear" w:color="auto" w:fill="D9D9D9" w:themeFill="background1" w:themeFillShade="D9"/>
            <w:vAlign w:val="center"/>
          </w:tcPr>
          <w:p w14:paraId="0A92E66F" w14:textId="7E19A57C" w:rsidR="00E1162C" w:rsidRPr="00A847D5" w:rsidRDefault="00E1162C" w:rsidP="00A66777">
            <w:pPr>
              <w:pStyle w:val="Header"/>
            </w:pPr>
            <w:r>
              <w:t>Developing the pricing model</w:t>
            </w:r>
          </w:p>
        </w:tc>
        <w:tc>
          <w:tcPr>
            <w:tcW w:w="1417" w:type="dxa"/>
            <w:shd w:val="clear" w:color="auto" w:fill="D9D9D9" w:themeFill="background1" w:themeFillShade="D9"/>
            <w:vAlign w:val="center"/>
          </w:tcPr>
          <w:p w14:paraId="409EDAF5" w14:textId="3AA5CE18" w:rsidR="00E1162C" w:rsidRPr="00A847D5" w:rsidRDefault="00E1162C" w:rsidP="2EFB8829">
            <w:pPr>
              <w:pStyle w:val="Header"/>
              <w:spacing w:line="259" w:lineRule="auto"/>
              <w:jc w:val="center"/>
            </w:pPr>
            <w:r>
              <w:t>1.25</w:t>
            </w:r>
          </w:p>
        </w:tc>
        <w:tc>
          <w:tcPr>
            <w:tcW w:w="1418" w:type="dxa"/>
            <w:shd w:val="clear" w:color="auto" w:fill="D9D9D9" w:themeFill="background1" w:themeFillShade="D9"/>
            <w:vAlign w:val="center"/>
          </w:tcPr>
          <w:p w14:paraId="4A5F2829" w14:textId="609FB3DD" w:rsidR="00E1162C" w:rsidRPr="00A847D5" w:rsidRDefault="00E1162C" w:rsidP="51B0F2A3">
            <w:pPr>
              <w:pStyle w:val="Header"/>
              <w:spacing w:line="259" w:lineRule="auto"/>
              <w:jc w:val="center"/>
            </w:pPr>
            <w:r>
              <w:t>5</w:t>
            </w:r>
          </w:p>
        </w:tc>
      </w:tr>
    </w:tbl>
    <w:p w14:paraId="5B1936A9" w14:textId="22FE90A9" w:rsidR="00A847D5" w:rsidRDefault="00A847D5" w:rsidP="008B1F27">
      <w:pPr>
        <w:pStyle w:val="Header"/>
        <w:spacing w:before="240" w:after="240" w:line="276" w:lineRule="auto"/>
      </w:pPr>
      <w:r w:rsidRPr="004409D2">
        <w:t>For example, for ‘</w:t>
      </w:r>
      <w:r w:rsidR="00797372" w:rsidRPr="004409D2">
        <w:t xml:space="preserve">Design, Develop and </w:t>
      </w:r>
      <w:r w:rsidR="005A4625" w:rsidRPr="004409D2">
        <w:t>M</w:t>
      </w:r>
      <w:r w:rsidR="00797372" w:rsidRPr="004409D2">
        <w:t>anage Operational Delivery of Practice Leader</w:t>
      </w:r>
      <w:r w:rsidR="005A4625" w:rsidRPr="004409D2">
        <w:t>ship CPD Programme</w:t>
      </w:r>
      <w:r w:rsidR="009D62F8" w:rsidRPr="004409D2">
        <w:t xml:space="preserve">’ </w:t>
      </w:r>
      <w:r w:rsidRPr="004409D2">
        <w:t xml:space="preserve">a response that receives an unweighted score of </w:t>
      </w:r>
      <w:r w:rsidR="009D62F8" w:rsidRPr="004409D2">
        <w:t>three (</w:t>
      </w:r>
      <w:r w:rsidRPr="004409D2">
        <w:t>3</w:t>
      </w:r>
      <w:r w:rsidR="009D62F8" w:rsidRPr="004409D2">
        <w:t>)</w:t>
      </w:r>
      <w:r w:rsidRPr="004409D2">
        <w:t xml:space="preserve"> will be multiplied by </w:t>
      </w:r>
      <w:r w:rsidR="009D62F8" w:rsidRPr="004409D2">
        <w:t>five</w:t>
      </w:r>
      <w:r w:rsidR="00E17032" w:rsidRPr="004409D2">
        <w:t xml:space="preserve"> </w:t>
      </w:r>
      <w:r w:rsidR="009D62F8" w:rsidRPr="004409D2">
        <w:t>(5)</w:t>
      </w:r>
      <w:r w:rsidRPr="004409D2">
        <w:t xml:space="preserve"> to gain final points score of </w:t>
      </w:r>
      <w:r w:rsidR="001669BB" w:rsidRPr="004409D2">
        <w:t xml:space="preserve">fifteen </w:t>
      </w:r>
      <w:r w:rsidR="009D62F8" w:rsidRPr="004409D2">
        <w:t>(</w:t>
      </w:r>
      <w:r w:rsidR="001669BB" w:rsidRPr="004409D2">
        <w:t>15</w:t>
      </w:r>
      <w:r w:rsidR="009D62F8" w:rsidRPr="004409D2">
        <w:t>)</w:t>
      </w:r>
      <w:r w:rsidRPr="004409D2">
        <w:t>.</w:t>
      </w:r>
      <w:r w:rsidR="00C26F57" w:rsidRPr="004409D2">
        <w:t xml:space="preserve"> The same unweighted score of </w:t>
      </w:r>
      <w:r w:rsidR="009D62F8" w:rsidRPr="004409D2">
        <w:t>three (</w:t>
      </w:r>
      <w:r w:rsidR="00C26F57" w:rsidRPr="004409D2">
        <w:t>3</w:t>
      </w:r>
      <w:r w:rsidR="009D62F8" w:rsidRPr="004409D2">
        <w:t>)</w:t>
      </w:r>
      <w:r w:rsidR="00C26F57" w:rsidRPr="004409D2">
        <w:t xml:space="preserve"> for ‘</w:t>
      </w:r>
      <w:r w:rsidR="009D62F8" w:rsidRPr="004409D2">
        <w:t>Contractor management and governance</w:t>
      </w:r>
      <w:r w:rsidR="00C26F57" w:rsidRPr="004409D2">
        <w:t xml:space="preserve">’ would be multiplied by </w:t>
      </w:r>
      <w:r w:rsidR="009D62F8" w:rsidRPr="004409D2">
        <w:t>one</w:t>
      </w:r>
      <w:r w:rsidR="00A67F31" w:rsidRPr="004409D2">
        <w:t xml:space="preserve"> point five</w:t>
      </w:r>
      <w:r w:rsidR="009D62F8" w:rsidRPr="004409D2">
        <w:t xml:space="preserve"> (1</w:t>
      </w:r>
      <w:r w:rsidR="00A67F31" w:rsidRPr="004409D2">
        <w:t>.5</w:t>
      </w:r>
      <w:r w:rsidR="009D62F8" w:rsidRPr="004409D2">
        <w:t>)</w:t>
      </w:r>
      <w:r w:rsidR="00C26F57" w:rsidRPr="004409D2">
        <w:t xml:space="preserve"> to gain final points score of </w:t>
      </w:r>
      <w:r w:rsidR="00A67F31" w:rsidRPr="004409D2">
        <w:t xml:space="preserve">four point five </w:t>
      </w:r>
      <w:r w:rsidR="009D62F8" w:rsidRPr="004409D2">
        <w:t>(</w:t>
      </w:r>
      <w:r w:rsidR="00A67F31" w:rsidRPr="004409D2">
        <w:t>4.5</w:t>
      </w:r>
      <w:r w:rsidR="009D62F8" w:rsidRPr="004409D2">
        <w:t>)</w:t>
      </w:r>
      <w:r w:rsidR="00C26F57" w:rsidRPr="004409D2">
        <w:t>.</w:t>
      </w:r>
    </w:p>
    <w:p w14:paraId="17BB92B0" w14:textId="7172A77A" w:rsidR="00EA2E68" w:rsidRDefault="00A847D5" w:rsidP="008B1F27">
      <w:pPr>
        <w:pStyle w:val="Header"/>
        <w:spacing w:before="240" w:after="240" w:line="276" w:lineRule="auto"/>
      </w:pPr>
      <w:r w:rsidRPr="00503C11">
        <w:t xml:space="preserve">For the “meeting the specification” responses, </w:t>
      </w:r>
      <w:r w:rsidR="001824A1" w:rsidRPr="00503C11">
        <w:t xml:space="preserve">all individual point scores for the </w:t>
      </w:r>
      <w:r w:rsidR="00A67F31" w:rsidRPr="00503C11">
        <w:t xml:space="preserve">five </w:t>
      </w:r>
      <w:r w:rsidR="001824A1" w:rsidRPr="00503C11">
        <w:t>(</w:t>
      </w:r>
      <w:r w:rsidR="00A67F31" w:rsidRPr="00503C11">
        <w:t>5</w:t>
      </w:r>
      <w:r w:rsidR="001824A1" w:rsidRPr="00503C11">
        <w:t>)</w:t>
      </w:r>
      <w:r w:rsidR="00F945E6" w:rsidRPr="00503C11">
        <w:t xml:space="preserve"> questions</w:t>
      </w:r>
      <w:r w:rsidR="001824A1" w:rsidRPr="00503C11">
        <w:t xml:space="preserve"> </w:t>
      </w:r>
      <w:r w:rsidRPr="00503C11">
        <w:t xml:space="preserve">will be added together to give a final weighted </w:t>
      </w:r>
      <w:r w:rsidR="001824A1" w:rsidRPr="00503C11">
        <w:t xml:space="preserve">point </w:t>
      </w:r>
      <w:r w:rsidRPr="00503C11">
        <w:t xml:space="preserve">score out of </w:t>
      </w:r>
      <w:r w:rsidR="00A67F31" w:rsidRPr="00503C11">
        <w:t>50</w:t>
      </w:r>
      <w:r w:rsidRPr="00503C11">
        <w:t>.</w:t>
      </w:r>
    </w:p>
    <w:p w14:paraId="336A7F0D" w14:textId="5F7CD22C" w:rsidR="00BA0BA1" w:rsidRDefault="00A320BA" w:rsidP="008B1F27">
      <w:pPr>
        <w:pStyle w:val="MainParagraphNumbered"/>
        <w:numPr>
          <w:ilvl w:val="0"/>
          <w:numId w:val="0"/>
        </w:numPr>
        <w:spacing w:after="240" w:line="276" w:lineRule="auto"/>
        <w:ind w:right="-1"/>
        <w:rPr>
          <w:b w:val="0"/>
          <w:spacing w:val="2"/>
          <w:szCs w:val="22"/>
        </w:rPr>
      </w:pPr>
      <w:r w:rsidRPr="008C0050">
        <w:rPr>
          <w:b w:val="0"/>
          <w:spacing w:val="2"/>
          <w:szCs w:val="22"/>
        </w:rPr>
        <w:t xml:space="preserve">Marks for </w:t>
      </w:r>
      <w:r w:rsidR="00C26F57">
        <w:rPr>
          <w:b w:val="0"/>
          <w:spacing w:val="2"/>
          <w:szCs w:val="22"/>
        </w:rPr>
        <w:t xml:space="preserve">the </w:t>
      </w:r>
      <w:r w:rsidR="00BA0BA1" w:rsidRPr="00415AD1">
        <w:rPr>
          <w:bCs/>
          <w:spacing w:val="2"/>
          <w:szCs w:val="22"/>
        </w:rPr>
        <w:t>P</w:t>
      </w:r>
      <w:r w:rsidRPr="00415AD1">
        <w:rPr>
          <w:bCs/>
          <w:spacing w:val="2"/>
          <w:szCs w:val="22"/>
        </w:rPr>
        <w:t>rice</w:t>
      </w:r>
      <w:r w:rsidR="00BA0BA1" w:rsidRPr="00415AD1">
        <w:rPr>
          <w:bCs/>
          <w:spacing w:val="2"/>
          <w:szCs w:val="22"/>
        </w:rPr>
        <w:t xml:space="preserve"> </w:t>
      </w:r>
      <w:r w:rsidR="00F945E6">
        <w:rPr>
          <w:bCs/>
          <w:spacing w:val="2"/>
          <w:szCs w:val="22"/>
        </w:rPr>
        <w:t>template</w:t>
      </w:r>
      <w:r w:rsidRPr="008C0050">
        <w:rPr>
          <w:b w:val="0"/>
          <w:spacing w:val="2"/>
          <w:szCs w:val="22"/>
        </w:rPr>
        <w:t xml:space="preserve"> will be calculated </w:t>
      </w:r>
      <w:r w:rsidR="00BA0BA1">
        <w:rPr>
          <w:b w:val="0"/>
          <w:spacing w:val="2"/>
          <w:szCs w:val="22"/>
        </w:rPr>
        <w:t>as follows:</w:t>
      </w:r>
    </w:p>
    <w:p w14:paraId="6E45F814" w14:textId="504EB2B2" w:rsidR="00972127" w:rsidRPr="00C26F57" w:rsidRDefault="005D547C" w:rsidP="008B1F27">
      <w:pPr>
        <w:pStyle w:val="MainParagraphNumbered"/>
        <w:numPr>
          <w:ilvl w:val="0"/>
          <w:numId w:val="31"/>
        </w:numPr>
        <w:spacing w:after="240" w:line="276" w:lineRule="auto"/>
        <w:ind w:right="-1"/>
        <w:rPr>
          <w:b w:val="0"/>
          <w:spacing w:val="2"/>
          <w:szCs w:val="22"/>
        </w:rPr>
      </w:pPr>
      <w:r w:rsidRPr="004409D2">
        <w:rPr>
          <w:bCs/>
          <w:spacing w:val="2"/>
          <w:szCs w:val="22"/>
        </w:rPr>
        <w:t>7</w:t>
      </w:r>
      <w:r w:rsidR="008369C4" w:rsidRPr="004409D2">
        <w:rPr>
          <w:bCs/>
          <w:spacing w:val="2"/>
          <w:szCs w:val="22"/>
        </w:rPr>
        <w:t>.5</w:t>
      </w:r>
      <w:r w:rsidRPr="004409D2">
        <w:rPr>
          <w:bCs/>
          <w:spacing w:val="2"/>
          <w:szCs w:val="22"/>
        </w:rPr>
        <w:t xml:space="preserve"> </w:t>
      </w:r>
      <w:r w:rsidR="004002C6" w:rsidRPr="004409D2">
        <w:rPr>
          <w:bCs/>
          <w:spacing w:val="2"/>
          <w:szCs w:val="22"/>
        </w:rPr>
        <w:t>points</w:t>
      </w:r>
      <w:r w:rsidR="00BA0BA1" w:rsidRPr="00415AD1">
        <w:rPr>
          <w:bCs/>
          <w:spacing w:val="2"/>
          <w:szCs w:val="22"/>
        </w:rPr>
        <w:t xml:space="preserve"> </w:t>
      </w:r>
      <w:r w:rsidR="00BA0BA1" w:rsidRPr="00C26F57">
        <w:rPr>
          <w:b w:val="0"/>
          <w:spacing w:val="2"/>
          <w:szCs w:val="22"/>
        </w:rPr>
        <w:t xml:space="preserve">will be allocated to the </w:t>
      </w:r>
      <w:r w:rsidR="002E0984">
        <w:rPr>
          <w:bCs/>
          <w:spacing w:val="2"/>
          <w:szCs w:val="22"/>
        </w:rPr>
        <w:t xml:space="preserve">average </w:t>
      </w:r>
      <w:r w:rsidR="00A67F31">
        <w:rPr>
          <w:bCs/>
          <w:spacing w:val="2"/>
          <w:szCs w:val="22"/>
        </w:rPr>
        <w:t>cost per participant</w:t>
      </w:r>
      <w:r w:rsidR="004002C6" w:rsidRPr="00C26F57">
        <w:rPr>
          <w:b w:val="0"/>
          <w:spacing w:val="2"/>
          <w:szCs w:val="22"/>
        </w:rPr>
        <w:t xml:space="preserve"> for the delivery of the programme for </w:t>
      </w:r>
      <w:r w:rsidR="003A5AA5" w:rsidRPr="00C26F57">
        <w:rPr>
          <w:b w:val="0"/>
          <w:spacing w:val="2"/>
          <w:szCs w:val="22"/>
        </w:rPr>
        <w:t>April 2022 to March 2024</w:t>
      </w:r>
      <w:r w:rsidR="008B1F27">
        <w:rPr>
          <w:b w:val="0"/>
          <w:spacing w:val="2"/>
          <w:szCs w:val="22"/>
        </w:rPr>
        <w:t xml:space="preserve"> (excluding set-up price)</w:t>
      </w:r>
      <w:r w:rsidR="008369C4">
        <w:rPr>
          <w:b w:val="0"/>
          <w:spacing w:val="2"/>
          <w:szCs w:val="22"/>
        </w:rPr>
        <w:t xml:space="preserve"> for each level of the programme</w:t>
      </w:r>
      <w:r w:rsidR="002C5226">
        <w:rPr>
          <w:b w:val="0"/>
          <w:spacing w:val="2"/>
          <w:szCs w:val="22"/>
        </w:rPr>
        <w:t xml:space="preserve">. </w:t>
      </w:r>
      <w:r w:rsidR="002E0984">
        <w:rPr>
          <w:b w:val="0"/>
          <w:spacing w:val="2"/>
          <w:szCs w:val="22"/>
        </w:rPr>
        <w:t>Th</w:t>
      </w:r>
      <w:r w:rsidR="008369C4">
        <w:rPr>
          <w:b w:val="0"/>
          <w:spacing w:val="2"/>
          <w:szCs w:val="22"/>
        </w:rPr>
        <w:t>is means that</w:t>
      </w:r>
      <w:r w:rsidR="00CA28D1">
        <w:rPr>
          <w:b w:val="0"/>
          <w:spacing w:val="2"/>
          <w:szCs w:val="22"/>
        </w:rPr>
        <w:t xml:space="preserve"> </w:t>
      </w:r>
      <w:r w:rsidR="00A42477">
        <w:rPr>
          <w:b w:val="0"/>
          <w:spacing w:val="2"/>
          <w:szCs w:val="22"/>
        </w:rPr>
        <w:t xml:space="preserve">the average cost per participant for </w:t>
      </w:r>
      <w:r w:rsidR="00CA28D1">
        <w:rPr>
          <w:b w:val="0"/>
          <w:spacing w:val="2"/>
          <w:szCs w:val="22"/>
        </w:rPr>
        <w:t xml:space="preserve">Practice Supervisor, </w:t>
      </w:r>
      <w:r w:rsidR="006E2C5B">
        <w:rPr>
          <w:b w:val="0"/>
          <w:spacing w:val="2"/>
          <w:szCs w:val="22"/>
        </w:rPr>
        <w:t xml:space="preserve">Middle Manager, Head of Service and </w:t>
      </w:r>
      <w:r w:rsidR="000655F4">
        <w:rPr>
          <w:b w:val="0"/>
          <w:spacing w:val="2"/>
          <w:szCs w:val="22"/>
        </w:rPr>
        <w:t xml:space="preserve">Practice Leader will each have a </w:t>
      </w:r>
      <w:r w:rsidR="000655F4" w:rsidRPr="004409D2">
        <w:rPr>
          <w:bCs/>
          <w:spacing w:val="2"/>
          <w:szCs w:val="22"/>
        </w:rPr>
        <w:t>maximum of 7.5 points available</w:t>
      </w:r>
      <w:r w:rsidR="00A42477">
        <w:rPr>
          <w:b w:val="0"/>
          <w:spacing w:val="2"/>
          <w:szCs w:val="22"/>
        </w:rPr>
        <w:t>.</w:t>
      </w:r>
      <w:r w:rsidR="000655F4">
        <w:rPr>
          <w:b w:val="0"/>
          <w:spacing w:val="2"/>
          <w:szCs w:val="22"/>
        </w:rPr>
        <w:t xml:space="preserve"> </w:t>
      </w:r>
    </w:p>
    <w:p w14:paraId="14F084EC" w14:textId="3CE8A024" w:rsidR="00BA0BA1" w:rsidRPr="00C26F57" w:rsidRDefault="00051E51" w:rsidP="008B1F27">
      <w:pPr>
        <w:pStyle w:val="MainParagraphNumbered"/>
        <w:numPr>
          <w:ilvl w:val="0"/>
          <w:numId w:val="31"/>
        </w:numPr>
        <w:spacing w:after="240" w:line="276" w:lineRule="auto"/>
        <w:ind w:right="-1"/>
        <w:rPr>
          <w:b w:val="0"/>
          <w:spacing w:val="2"/>
          <w:szCs w:val="22"/>
        </w:rPr>
      </w:pPr>
      <w:r w:rsidRPr="004409D2">
        <w:rPr>
          <w:bCs/>
          <w:spacing w:val="2"/>
          <w:szCs w:val="22"/>
        </w:rPr>
        <w:t>5</w:t>
      </w:r>
      <w:r w:rsidR="00972127" w:rsidRPr="004409D2">
        <w:rPr>
          <w:bCs/>
          <w:spacing w:val="2"/>
          <w:szCs w:val="22"/>
        </w:rPr>
        <w:t xml:space="preserve"> points</w:t>
      </w:r>
      <w:r w:rsidR="00972127" w:rsidRPr="00C26F57">
        <w:rPr>
          <w:b w:val="0"/>
          <w:spacing w:val="2"/>
          <w:szCs w:val="22"/>
        </w:rPr>
        <w:t xml:space="preserve"> will be allocated for the </w:t>
      </w:r>
      <w:r w:rsidR="00972127" w:rsidRPr="00415AD1">
        <w:rPr>
          <w:bCs/>
          <w:spacing w:val="2"/>
          <w:szCs w:val="22"/>
        </w:rPr>
        <w:t xml:space="preserve">set-up </w:t>
      </w:r>
      <w:r w:rsidR="00C26F57" w:rsidRPr="00415AD1">
        <w:rPr>
          <w:bCs/>
          <w:spacing w:val="2"/>
          <w:szCs w:val="22"/>
        </w:rPr>
        <w:t>price</w:t>
      </w:r>
      <w:r w:rsidR="00972127" w:rsidRPr="00C26F57">
        <w:rPr>
          <w:b w:val="0"/>
          <w:spacing w:val="2"/>
          <w:szCs w:val="22"/>
        </w:rPr>
        <w:t xml:space="preserve"> associated with the delivery</w:t>
      </w:r>
      <w:r w:rsidR="00F535C7" w:rsidRPr="00C26F57">
        <w:rPr>
          <w:b w:val="0"/>
          <w:spacing w:val="2"/>
          <w:szCs w:val="22"/>
        </w:rPr>
        <w:t xml:space="preserve"> of the programme</w:t>
      </w:r>
    </w:p>
    <w:p w14:paraId="00C6DDED" w14:textId="063F09E1" w:rsidR="00636520" w:rsidRDefault="00F535C7" w:rsidP="008B1F27">
      <w:pPr>
        <w:pStyle w:val="CommentText"/>
        <w:spacing w:after="240" w:line="276" w:lineRule="auto"/>
        <w:rPr>
          <w:sz w:val="22"/>
          <w:szCs w:val="22"/>
        </w:rPr>
      </w:pPr>
      <w:r>
        <w:rPr>
          <w:sz w:val="22"/>
          <w:szCs w:val="22"/>
        </w:rPr>
        <w:t>The following</w:t>
      </w:r>
      <w:r w:rsidR="00A320BA" w:rsidRPr="008C0050">
        <w:rPr>
          <w:sz w:val="22"/>
          <w:szCs w:val="22"/>
        </w:rPr>
        <w:t xml:space="preserve"> calculation</w:t>
      </w:r>
      <w:r>
        <w:rPr>
          <w:sz w:val="22"/>
          <w:szCs w:val="22"/>
        </w:rPr>
        <w:t>,</w:t>
      </w:r>
      <w:r w:rsidR="00A320BA" w:rsidRPr="008C0050">
        <w:rPr>
          <w:sz w:val="22"/>
          <w:szCs w:val="22"/>
        </w:rPr>
        <w:t xml:space="preserve"> that attributes price scored via the deviation of bids from the lowest submitted (excluding abnormally low bids)</w:t>
      </w:r>
      <w:r>
        <w:rPr>
          <w:sz w:val="22"/>
          <w:szCs w:val="22"/>
        </w:rPr>
        <w:t xml:space="preserve">, will be used to determine the point for </w:t>
      </w:r>
      <w:r w:rsidR="001B3360">
        <w:rPr>
          <w:sz w:val="22"/>
          <w:szCs w:val="22"/>
        </w:rPr>
        <w:t>each</w:t>
      </w:r>
      <w:r w:rsidR="00BC0612">
        <w:rPr>
          <w:sz w:val="22"/>
          <w:szCs w:val="22"/>
        </w:rPr>
        <w:t xml:space="preserve"> element</w:t>
      </w:r>
      <w:r w:rsidR="00A320BA" w:rsidRPr="008C0050">
        <w:rPr>
          <w:sz w:val="22"/>
          <w:szCs w:val="22"/>
        </w:rPr>
        <w:t>.</w:t>
      </w:r>
    </w:p>
    <w:p w14:paraId="1E5F8407" w14:textId="5158B584" w:rsidR="00AE1D0B" w:rsidRDefault="00213F30" w:rsidP="00C6339A">
      <w:pPr>
        <w:pStyle w:val="CommentText"/>
        <w:numPr>
          <w:ilvl w:val="0"/>
          <w:numId w:val="33"/>
        </w:numPr>
        <w:spacing w:after="240" w:line="276" w:lineRule="auto"/>
        <w:rPr>
          <w:b/>
          <w:bCs/>
          <w:sz w:val="22"/>
          <w:szCs w:val="22"/>
        </w:rPr>
      </w:pPr>
      <w:r>
        <w:rPr>
          <w:b/>
          <w:bCs/>
          <w:sz w:val="22"/>
          <w:szCs w:val="22"/>
        </w:rPr>
        <w:t>For set-up price</w:t>
      </w:r>
      <w:r w:rsidR="00AE1D0B">
        <w:rPr>
          <w:b/>
          <w:bCs/>
          <w:sz w:val="22"/>
          <w:szCs w:val="22"/>
        </w:rPr>
        <w:t>:</w:t>
      </w:r>
    </w:p>
    <w:p w14:paraId="4E71EBCC" w14:textId="754EEE42" w:rsidR="00213F30" w:rsidRPr="0071451D" w:rsidRDefault="004409D2" w:rsidP="004409D2">
      <w:pPr>
        <w:pStyle w:val="CommentText"/>
        <w:spacing w:after="240" w:line="276" w:lineRule="auto"/>
        <w:ind w:left="720"/>
        <w:rPr>
          <w:b/>
          <w:bCs/>
          <w:sz w:val="22"/>
          <w:szCs w:val="22"/>
        </w:rPr>
      </w:pPr>
      <w:r w:rsidRPr="00FE521D">
        <w:rPr>
          <w:b/>
          <w:bCs/>
          <w:sz w:val="22"/>
          <w:szCs w:val="22"/>
        </w:rPr>
        <w:t>(1</w:t>
      </w:r>
      <w:r w:rsidR="00213F30" w:rsidRPr="00FE521D">
        <w:rPr>
          <w:b/>
          <w:bCs/>
          <w:sz w:val="22"/>
          <w:szCs w:val="22"/>
        </w:rPr>
        <w:t xml:space="preserve"> - </w:t>
      </w:r>
      <w:r w:rsidRPr="00FE521D">
        <w:rPr>
          <w:b/>
          <w:bCs/>
          <w:sz w:val="22"/>
          <w:szCs w:val="22"/>
        </w:rPr>
        <w:t>((quoted</w:t>
      </w:r>
      <w:r w:rsidR="00213F30" w:rsidRPr="00FE521D">
        <w:rPr>
          <w:b/>
          <w:bCs/>
          <w:sz w:val="22"/>
          <w:szCs w:val="22"/>
        </w:rPr>
        <w:t xml:space="preserve"> price – lowest </w:t>
      </w:r>
      <w:proofErr w:type="gramStart"/>
      <w:r w:rsidR="00213F30" w:rsidRPr="00FE521D">
        <w:rPr>
          <w:b/>
          <w:bCs/>
          <w:sz w:val="22"/>
          <w:szCs w:val="22"/>
        </w:rPr>
        <w:t>price )</w:t>
      </w:r>
      <w:proofErr w:type="gramEnd"/>
      <w:r w:rsidR="00213F30" w:rsidRPr="00FE521D">
        <w:rPr>
          <w:b/>
          <w:bCs/>
          <w:sz w:val="22"/>
          <w:szCs w:val="22"/>
        </w:rPr>
        <w:t xml:space="preserve"> / lowest price ))) x </w:t>
      </w:r>
      <w:r w:rsidR="00BD63AE">
        <w:rPr>
          <w:b/>
          <w:bCs/>
          <w:sz w:val="22"/>
          <w:szCs w:val="22"/>
        </w:rPr>
        <w:t>5</w:t>
      </w:r>
    </w:p>
    <w:p w14:paraId="4FF8AFD3" w14:textId="0CBA6166" w:rsidR="00AE1D0B" w:rsidRDefault="001B3360" w:rsidP="00C6339A">
      <w:pPr>
        <w:pStyle w:val="CommentText"/>
        <w:numPr>
          <w:ilvl w:val="0"/>
          <w:numId w:val="33"/>
        </w:numPr>
        <w:spacing w:after="240" w:line="276" w:lineRule="auto"/>
        <w:rPr>
          <w:b/>
          <w:bCs/>
          <w:sz w:val="22"/>
          <w:szCs w:val="22"/>
        </w:rPr>
      </w:pPr>
      <w:r>
        <w:rPr>
          <w:b/>
          <w:bCs/>
          <w:sz w:val="22"/>
          <w:szCs w:val="22"/>
        </w:rPr>
        <w:t xml:space="preserve">For </w:t>
      </w:r>
      <w:r w:rsidR="002E2968">
        <w:rPr>
          <w:b/>
          <w:bCs/>
          <w:sz w:val="22"/>
          <w:szCs w:val="22"/>
        </w:rPr>
        <w:t>Cost per participant</w:t>
      </w:r>
      <w:r w:rsidR="000309C2">
        <w:rPr>
          <w:b/>
          <w:bCs/>
          <w:sz w:val="22"/>
          <w:szCs w:val="22"/>
        </w:rPr>
        <w:t xml:space="preserve"> per level</w:t>
      </w:r>
      <w:r w:rsidR="00AE1D0B">
        <w:rPr>
          <w:b/>
          <w:bCs/>
          <w:sz w:val="22"/>
          <w:szCs w:val="22"/>
        </w:rPr>
        <w:t>:</w:t>
      </w:r>
    </w:p>
    <w:p w14:paraId="620B1B89" w14:textId="4088220E" w:rsidR="00C6339A" w:rsidRDefault="004409D2" w:rsidP="004409D2">
      <w:pPr>
        <w:pStyle w:val="CommentText"/>
        <w:spacing w:after="240" w:line="276" w:lineRule="auto"/>
        <w:ind w:left="720"/>
        <w:rPr>
          <w:b/>
          <w:bCs/>
          <w:sz w:val="22"/>
          <w:szCs w:val="22"/>
        </w:rPr>
      </w:pPr>
      <w:r w:rsidRPr="0059283C">
        <w:rPr>
          <w:b/>
          <w:bCs/>
          <w:sz w:val="22"/>
          <w:szCs w:val="22"/>
        </w:rPr>
        <w:t>(1</w:t>
      </w:r>
      <w:r w:rsidR="0059283C" w:rsidRPr="0059283C">
        <w:rPr>
          <w:b/>
          <w:bCs/>
          <w:sz w:val="22"/>
          <w:szCs w:val="22"/>
        </w:rPr>
        <w:t xml:space="preserve"> - </w:t>
      </w:r>
      <w:proofErr w:type="gramStart"/>
      <w:r w:rsidR="0059283C" w:rsidRPr="0059283C">
        <w:rPr>
          <w:b/>
          <w:bCs/>
          <w:sz w:val="22"/>
          <w:szCs w:val="22"/>
        </w:rPr>
        <w:t>(( A</w:t>
      </w:r>
      <w:proofErr w:type="gramEnd"/>
      <w:r w:rsidR="0059283C" w:rsidRPr="0059283C">
        <w:rPr>
          <w:b/>
          <w:bCs/>
          <w:sz w:val="22"/>
          <w:szCs w:val="22"/>
        </w:rPr>
        <w:t xml:space="preserve"> – B ) / B ))) x 7.5</w:t>
      </w:r>
    </w:p>
    <w:p w14:paraId="6B6EBACC" w14:textId="571532B5" w:rsidR="00C6339A" w:rsidRDefault="00C17A8F" w:rsidP="00C6339A">
      <w:pPr>
        <w:pStyle w:val="CommentText"/>
        <w:numPr>
          <w:ilvl w:val="1"/>
          <w:numId w:val="33"/>
        </w:numPr>
        <w:spacing w:after="240" w:line="276" w:lineRule="auto"/>
        <w:rPr>
          <w:b/>
          <w:bCs/>
          <w:sz w:val="22"/>
          <w:szCs w:val="22"/>
        </w:rPr>
      </w:pPr>
      <w:r w:rsidRPr="00C6339A">
        <w:rPr>
          <w:b/>
          <w:bCs/>
          <w:sz w:val="22"/>
          <w:szCs w:val="22"/>
        </w:rPr>
        <w:t>A</w:t>
      </w:r>
      <w:r w:rsidRPr="004409D2">
        <w:rPr>
          <w:sz w:val="22"/>
          <w:szCs w:val="22"/>
        </w:rPr>
        <w:t xml:space="preserve"> –</w:t>
      </w:r>
      <w:r w:rsidR="0059283C" w:rsidRPr="004409D2">
        <w:rPr>
          <w:sz w:val="22"/>
          <w:szCs w:val="22"/>
        </w:rPr>
        <w:t xml:space="preserve"> </w:t>
      </w:r>
      <w:r w:rsidR="00135A04" w:rsidRPr="004409D2">
        <w:rPr>
          <w:sz w:val="22"/>
          <w:szCs w:val="22"/>
        </w:rPr>
        <w:t>b</w:t>
      </w:r>
      <w:r w:rsidR="006E6CC3" w:rsidRPr="004409D2">
        <w:rPr>
          <w:sz w:val="22"/>
          <w:szCs w:val="22"/>
        </w:rPr>
        <w:t>idders a</w:t>
      </w:r>
      <w:r w:rsidR="00A77FF1" w:rsidRPr="004409D2">
        <w:rPr>
          <w:sz w:val="22"/>
          <w:szCs w:val="22"/>
        </w:rPr>
        <w:t>verage quoted price</w:t>
      </w:r>
      <w:r w:rsidR="006E6CC3" w:rsidRPr="004409D2">
        <w:rPr>
          <w:sz w:val="22"/>
          <w:szCs w:val="22"/>
        </w:rPr>
        <w:t>, calculated as follows</w:t>
      </w:r>
      <w:r w:rsidR="005C7989" w:rsidRPr="004409D2">
        <w:rPr>
          <w:sz w:val="22"/>
          <w:szCs w:val="22"/>
        </w:rPr>
        <w:t>:</w:t>
      </w:r>
      <w:r w:rsidR="00A77FF1" w:rsidRPr="004409D2">
        <w:rPr>
          <w:sz w:val="22"/>
          <w:szCs w:val="22"/>
        </w:rPr>
        <w:t xml:space="preserve"> </w:t>
      </w:r>
    </w:p>
    <w:p w14:paraId="1089D6F9" w14:textId="77777777" w:rsidR="00C6339A" w:rsidRDefault="00C17A8F" w:rsidP="00C6339A">
      <w:pPr>
        <w:pStyle w:val="CommentText"/>
        <w:numPr>
          <w:ilvl w:val="2"/>
          <w:numId w:val="33"/>
        </w:numPr>
        <w:spacing w:after="240" w:line="276" w:lineRule="auto"/>
        <w:rPr>
          <w:b/>
          <w:bCs/>
          <w:sz w:val="22"/>
          <w:szCs w:val="22"/>
        </w:rPr>
      </w:pPr>
      <w:r w:rsidRPr="004409D2">
        <w:rPr>
          <w:sz w:val="22"/>
          <w:szCs w:val="22"/>
        </w:rPr>
        <w:t>(</w:t>
      </w:r>
      <w:proofErr w:type="gramStart"/>
      <w:r w:rsidR="00135A04" w:rsidRPr="004409D2">
        <w:rPr>
          <w:sz w:val="22"/>
          <w:szCs w:val="22"/>
        </w:rPr>
        <w:t>bidders</w:t>
      </w:r>
      <w:proofErr w:type="gramEnd"/>
      <w:r w:rsidR="00135A04" w:rsidRPr="004409D2">
        <w:rPr>
          <w:sz w:val="22"/>
          <w:szCs w:val="22"/>
        </w:rPr>
        <w:t xml:space="preserve"> </w:t>
      </w:r>
      <w:r w:rsidRPr="004409D2">
        <w:rPr>
          <w:sz w:val="22"/>
          <w:szCs w:val="22"/>
        </w:rPr>
        <w:t xml:space="preserve">year 1 quoted price + </w:t>
      </w:r>
      <w:r w:rsidR="00135A04" w:rsidRPr="004409D2">
        <w:rPr>
          <w:sz w:val="22"/>
          <w:szCs w:val="22"/>
        </w:rPr>
        <w:t xml:space="preserve">bidders </w:t>
      </w:r>
      <w:r w:rsidRPr="004409D2">
        <w:rPr>
          <w:sz w:val="22"/>
          <w:szCs w:val="22"/>
        </w:rPr>
        <w:t>year 2 quoted price) / 2</w:t>
      </w:r>
    </w:p>
    <w:p w14:paraId="3E0566EF" w14:textId="77777777" w:rsidR="00C6339A" w:rsidRDefault="00C17A8F" w:rsidP="00C6339A">
      <w:pPr>
        <w:pStyle w:val="CommentText"/>
        <w:numPr>
          <w:ilvl w:val="1"/>
          <w:numId w:val="33"/>
        </w:numPr>
        <w:spacing w:after="240" w:line="276" w:lineRule="auto"/>
        <w:rPr>
          <w:b/>
          <w:bCs/>
          <w:sz w:val="22"/>
          <w:szCs w:val="22"/>
        </w:rPr>
      </w:pPr>
      <w:r w:rsidRPr="00C6339A">
        <w:rPr>
          <w:b/>
          <w:bCs/>
          <w:sz w:val="22"/>
          <w:szCs w:val="22"/>
        </w:rPr>
        <w:t>B</w:t>
      </w:r>
      <w:r w:rsidRPr="004409D2">
        <w:rPr>
          <w:sz w:val="22"/>
          <w:szCs w:val="22"/>
        </w:rPr>
        <w:t xml:space="preserve"> </w:t>
      </w:r>
      <w:r w:rsidR="00C30D5A" w:rsidRPr="004409D2">
        <w:rPr>
          <w:sz w:val="22"/>
          <w:szCs w:val="22"/>
        </w:rPr>
        <w:t>–</w:t>
      </w:r>
      <w:r w:rsidR="00D25C6E" w:rsidRPr="004409D2">
        <w:rPr>
          <w:sz w:val="22"/>
          <w:szCs w:val="22"/>
        </w:rPr>
        <w:t xml:space="preserve"> </w:t>
      </w:r>
      <w:r w:rsidR="00C30D5A" w:rsidRPr="004409D2">
        <w:rPr>
          <w:sz w:val="22"/>
          <w:szCs w:val="22"/>
        </w:rPr>
        <w:t>lowest average</w:t>
      </w:r>
      <w:r w:rsidR="007E78A8" w:rsidRPr="004409D2">
        <w:rPr>
          <w:sz w:val="22"/>
          <w:szCs w:val="22"/>
        </w:rPr>
        <w:t xml:space="preserve"> price</w:t>
      </w:r>
      <w:r w:rsidR="00B3763D" w:rsidRPr="004409D2">
        <w:rPr>
          <w:sz w:val="22"/>
          <w:szCs w:val="22"/>
        </w:rPr>
        <w:t xml:space="preserve"> submitted by a single bidder</w:t>
      </w:r>
      <w:r w:rsidR="007E78A8" w:rsidRPr="004409D2">
        <w:rPr>
          <w:sz w:val="22"/>
          <w:szCs w:val="22"/>
        </w:rPr>
        <w:t>, calculated as follows:</w:t>
      </w:r>
      <w:r w:rsidR="00C30D5A" w:rsidRPr="004409D2">
        <w:rPr>
          <w:sz w:val="22"/>
          <w:szCs w:val="22"/>
        </w:rPr>
        <w:t xml:space="preserve"> </w:t>
      </w:r>
    </w:p>
    <w:p w14:paraId="77AE5F18" w14:textId="2280B0A5" w:rsidR="00C17A8F" w:rsidRPr="00C6339A" w:rsidRDefault="00C17A8F" w:rsidP="004409D2">
      <w:pPr>
        <w:pStyle w:val="CommentText"/>
        <w:numPr>
          <w:ilvl w:val="2"/>
          <w:numId w:val="33"/>
        </w:numPr>
        <w:spacing w:after="240" w:line="276" w:lineRule="auto"/>
        <w:rPr>
          <w:b/>
          <w:bCs/>
          <w:sz w:val="22"/>
          <w:szCs w:val="22"/>
        </w:rPr>
      </w:pPr>
      <w:r w:rsidRPr="004409D2">
        <w:rPr>
          <w:sz w:val="22"/>
          <w:szCs w:val="22"/>
        </w:rPr>
        <w:t>(</w:t>
      </w:r>
      <w:proofErr w:type="gramStart"/>
      <w:r w:rsidRPr="004409D2">
        <w:rPr>
          <w:sz w:val="22"/>
          <w:szCs w:val="22"/>
        </w:rPr>
        <w:t>year</w:t>
      </w:r>
      <w:proofErr w:type="gramEnd"/>
      <w:r w:rsidRPr="004409D2">
        <w:rPr>
          <w:sz w:val="22"/>
          <w:szCs w:val="22"/>
        </w:rPr>
        <w:t xml:space="preserve"> </w:t>
      </w:r>
      <w:r w:rsidR="00786194" w:rsidRPr="004409D2">
        <w:rPr>
          <w:sz w:val="22"/>
          <w:szCs w:val="22"/>
        </w:rPr>
        <w:t>1</w:t>
      </w:r>
      <w:r w:rsidRPr="004409D2">
        <w:rPr>
          <w:sz w:val="22"/>
          <w:szCs w:val="22"/>
        </w:rPr>
        <w:t xml:space="preserve"> price</w:t>
      </w:r>
      <w:r w:rsidR="00D25C6E" w:rsidRPr="004409D2">
        <w:rPr>
          <w:sz w:val="22"/>
          <w:szCs w:val="22"/>
        </w:rPr>
        <w:t xml:space="preserve"> submitted by a bidder</w:t>
      </w:r>
      <w:r w:rsidRPr="004409D2">
        <w:rPr>
          <w:sz w:val="22"/>
          <w:szCs w:val="22"/>
        </w:rPr>
        <w:t xml:space="preserve"> + year 2</w:t>
      </w:r>
      <w:r w:rsidR="00D25C6E" w:rsidRPr="004409D2">
        <w:rPr>
          <w:sz w:val="22"/>
          <w:szCs w:val="22"/>
        </w:rPr>
        <w:t xml:space="preserve"> price submitted by the </w:t>
      </w:r>
      <w:r w:rsidR="002811AA" w:rsidRPr="004409D2">
        <w:rPr>
          <w:sz w:val="22"/>
          <w:szCs w:val="22"/>
        </w:rPr>
        <w:t>same bidder</w:t>
      </w:r>
      <w:r w:rsidRPr="004409D2">
        <w:rPr>
          <w:sz w:val="22"/>
          <w:szCs w:val="22"/>
        </w:rPr>
        <w:t>) / 2</w:t>
      </w:r>
    </w:p>
    <w:p w14:paraId="3A361632" w14:textId="1A8664D8" w:rsidR="00A320BA" w:rsidRDefault="00A320BA" w:rsidP="008B1F27">
      <w:pPr>
        <w:pStyle w:val="CommentText"/>
        <w:spacing w:after="240" w:line="276" w:lineRule="auto"/>
      </w:pPr>
      <w:r w:rsidRPr="008C0050">
        <w:rPr>
          <w:sz w:val="22"/>
          <w:szCs w:val="22"/>
        </w:rPr>
        <w:t xml:space="preserve">For example, if the lowest </w:t>
      </w:r>
      <w:r w:rsidR="00DD6FF1">
        <w:rPr>
          <w:sz w:val="22"/>
          <w:szCs w:val="22"/>
        </w:rPr>
        <w:t xml:space="preserve">average </w:t>
      </w:r>
      <w:r w:rsidR="00C26F57">
        <w:rPr>
          <w:sz w:val="22"/>
          <w:szCs w:val="22"/>
        </w:rPr>
        <w:t xml:space="preserve">price </w:t>
      </w:r>
      <w:r w:rsidRPr="008C0050">
        <w:rPr>
          <w:sz w:val="22"/>
          <w:szCs w:val="22"/>
        </w:rPr>
        <w:t>bid</w:t>
      </w:r>
      <w:r w:rsidR="00DD6FF1">
        <w:rPr>
          <w:sz w:val="22"/>
          <w:szCs w:val="22"/>
        </w:rPr>
        <w:t xml:space="preserve"> for Practice Supervisor</w:t>
      </w:r>
      <w:r w:rsidRPr="008C0050">
        <w:rPr>
          <w:sz w:val="22"/>
          <w:szCs w:val="22"/>
        </w:rPr>
        <w:t xml:space="preserve"> was </w:t>
      </w:r>
      <w:r w:rsidR="00253FE4">
        <w:rPr>
          <w:sz w:val="22"/>
          <w:szCs w:val="22"/>
        </w:rPr>
        <w:t>£</w:t>
      </w:r>
      <w:r w:rsidRPr="008C0050">
        <w:rPr>
          <w:sz w:val="22"/>
          <w:szCs w:val="22"/>
        </w:rPr>
        <w:t xml:space="preserve">40 (scoring </w:t>
      </w:r>
      <w:r w:rsidR="00E11E72">
        <w:rPr>
          <w:sz w:val="22"/>
          <w:szCs w:val="22"/>
        </w:rPr>
        <w:t>7.5</w:t>
      </w:r>
      <w:r w:rsidRPr="008C0050">
        <w:rPr>
          <w:sz w:val="22"/>
          <w:szCs w:val="22"/>
        </w:rPr>
        <w:t>), a</w:t>
      </w:r>
      <w:r w:rsidR="001A60FB">
        <w:rPr>
          <w:sz w:val="22"/>
          <w:szCs w:val="22"/>
        </w:rPr>
        <w:t>nother</w:t>
      </w:r>
      <w:r w:rsidRPr="008C0050">
        <w:rPr>
          <w:sz w:val="22"/>
          <w:szCs w:val="22"/>
        </w:rPr>
        <w:t xml:space="preserve"> </w:t>
      </w:r>
      <w:r w:rsidR="00C26F57">
        <w:rPr>
          <w:sz w:val="22"/>
          <w:szCs w:val="22"/>
        </w:rPr>
        <w:t xml:space="preserve">price </w:t>
      </w:r>
      <w:r w:rsidRPr="008C0050">
        <w:rPr>
          <w:sz w:val="22"/>
          <w:szCs w:val="22"/>
        </w:rPr>
        <w:t xml:space="preserve">bid of </w:t>
      </w:r>
      <w:r w:rsidR="00253FE4">
        <w:rPr>
          <w:sz w:val="22"/>
          <w:szCs w:val="22"/>
        </w:rPr>
        <w:t>£44</w:t>
      </w:r>
      <w:r w:rsidR="00253FE4" w:rsidRPr="008C0050">
        <w:rPr>
          <w:sz w:val="22"/>
          <w:szCs w:val="22"/>
        </w:rPr>
        <w:t xml:space="preserve"> </w:t>
      </w:r>
      <w:r w:rsidRPr="008C0050">
        <w:rPr>
          <w:sz w:val="22"/>
          <w:szCs w:val="22"/>
        </w:rPr>
        <w:t xml:space="preserve">would score </w:t>
      </w:r>
      <w:r w:rsidR="007758E5">
        <w:rPr>
          <w:sz w:val="22"/>
          <w:szCs w:val="22"/>
        </w:rPr>
        <w:t>6.75</w:t>
      </w:r>
      <w:r w:rsidR="007758E5" w:rsidRPr="008C0050">
        <w:rPr>
          <w:sz w:val="22"/>
          <w:szCs w:val="22"/>
        </w:rPr>
        <w:t xml:space="preserve"> </w:t>
      </w:r>
      <w:r w:rsidRPr="008C0050">
        <w:rPr>
          <w:sz w:val="22"/>
          <w:szCs w:val="22"/>
        </w:rPr>
        <w:t xml:space="preserve">as it is </w:t>
      </w:r>
      <w:r w:rsidR="007758E5">
        <w:rPr>
          <w:sz w:val="22"/>
          <w:szCs w:val="22"/>
        </w:rPr>
        <w:t>10</w:t>
      </w:r>
      <w:r w:rsidRPr="008C0050">
        <w:rPr>
          <w:sz w:val="22"/>
          <w:szCs w:val="22"/>
        </w:rPr>
        <w:t>% higher</w:t>
      </w:r>
      <w:r w:rsidR="004125A5">
        <w:rPr>
          <w:sz w:val="22"/>
          <w:szCs w:val="22"/>
        </w:rPr>
        <w:t xml:space="preserve"> and would </w:t>
      </w:r>
      <w:r w:rsidR="00C26F57">
        <w:rPr>
          <w:sz w:val="22"/>
          <w:szCs w:val="22"/>
        </w:rPr>
        <w:t>therefore</w:t>
      </w:r>
      <w:r w:rsidR="004125A5">
        <w:rPr>
          <w:sz w:val="22"/>
          <w:szCs w:val="22"/>
        </w:rPr>
        <w:t xml:space="preserve"> be deducted </w:t>
      </w:r>
      <w:r w:rsidR="007758E5">
        <w:rPr>
          <w:sz w:val="22"/>
          <w:szCs w:val="22"/>
        </w:rPr>
        <w:t>10</w:t>
      </w:r>
      <w:r w:rsidR="004125A5">
        <w:rPr>
          <w:sz w:val="22"/>
          <w:szCs w:val="22"/>
        </w:rPr>
        <w:t>% of the available points</w:t>
      </w:r>
      <w:r w:rsidRPr="008C0050">
        <w:rPr>
          <w:sz w:val="22"/>
          <w:szCs w:val="22"/>
        </w:rPr>
        <w:t>.</w:t>
      </w:r>
    </w:p>
    <w:p w14:paraId="017B89F5" w14:textId="7C83ED93" w:rsidR="00A320BA" w:rsidRPr="00B82FC1" w:rsidRDefault="00A320BA" w:rsidP="008B1F27">
      <w:pPr>
        <w:pStyle w:val="MainParagraphNumbered"/>
        <w:numPr>
          <w:ilvl w:val="0"/>
          <w:numId w:val="0"/>
        </w:numPr>
        <w:spacing w:after="240" w:line="276" w:lineRule="auto"/>
        <w:ind w:right="-1"/>
      </w:pPr>
      <w:r w:rsidRPr="00E447EC">
        <w:rPr>
          <w:b w:val="0"/>
          <w:bCs/>
        </w:rPr>
        <w:lastRenderedPageBreak/>
        <w:t xml:space="preserve">Any tender that is found too low to be credible will be excluded from further consideration.  In this instance, the Department will initially clarify with the </w:t>
      </w:r>
      <w:r w:rsidR="00C139B5">
        <w:rPr>
          <w:b w:val="0"/>
          <w:bCs/>
        </w:rPr>
        <w:t xml:space="preserve">bidder </w:t>
      </w:r>
      <w:r w:rsidRPr="00E447EC">
        <w:rPr>
          <w:b w:val="0"/>
          <w:bCs/>
        </w:rPr>
        <w:t xml:space="preserve">whether the pricing is correct and has been interpreted correctly.  As part of the clarification, evidence will be required to demonstrate that the charges are accurate, </w:t>
      </w:r>
      <w:r w:rsidR="00C26F57" w:rsidRPr="00E447EC">
        <w:rPr>
          <w:b w:val="0"/>
          <w:bCs/>
        </w:rPr>
        <w:t>achievable,</w:t>
      </w:r>
      <w:r w:rsidRPr="00E447EC">
        <w:rPr>
          <w:b w:val="0"/>
          <w:bCs/>
        </w:rPr>
        <w:t xml:space="preserve"> and sustainable.  If following the clarification, any charge is found to be abnormally low, that tender will be </w:t>
      </w:r>
      <w:r w:rsidR="00642E6A" w:rsidRPr="00D575B9">
        <w:t>excluded</w:t>
      </w:r>
      <w:r w:rsidR="00642E6A" w:rsidRPr="00E447EC">
        <w:rPr>
          <w:b w:val="0"/>
          <w:bCs/>
        </w:rPr>
        <w:t xml:space="preserve"> </w:t>
      </w:r>
      <w:r w:rsidRPr="00E447EC">
        <w:rPr>
          <w:b w:val="0"/>
          <w:bCs/>
        </w:rPr>
        <w:t>in accordance with the Public Contract Regulations 2015 regardless of how many points it scores in all other aspects</w:t>
      </w:r>
      <w:r w:rsidRPr="00B82FC1">
        <w:t xml:space="preserve">. </w:t>
      </w:r>
    </w:p>
    <w:p w14:paraId="64407265" w14:textId="73301EDD" w:rsidR="00A320BA" w:rsidRDefault="00A320BA" w:rsidP="008B1F27">
      <w:pPr>
        <w:spacing w:after="240" w:line="276" w:lineRule="auto"/>
      </w:pPr>
      <w:r w:rsidRPr="00B82FC1">
        <w:t>Any tender which is found to be too high to be acceptable</w:t>
      </w:r>
      <w:r w:rsidR="00642E6A">
        <w:t xml:space="preserve"> (i</w:t>
      </w:r>
      <w:r w:rsidR="00455ED1">
        <w:t>.</w:t>
      </w:r>
      <w:r w:rsidR="00642E6A">
        <w:t>e.</w:t>
      </w:r>
      <w:r w:rsidR="00455ED1">
        <w:t>,</w:t>
      </w:r>
      <w:r w:rsidR="00642E6A">
        <w:t xml:space="preserve"> </w:t>
      </w:r>
      <w:r w:rsidR="00642E6A" w:rsidRPr="00C26F57">
        <w:rPr>
          <w:b/>
          <w:bCs/>
        </w:rPr>
        <w:t>exceeds the stated value of £</w:t>
      </w:r>
      <w:r w:rsidR="0086177E">
        <w:rPr>
          <w:b/>
          <w:bCs/>
        </w:rPr>
        <w:t>9.9</w:t>
      </w:r>
      <w:r w:rsidR="002B528C">
        <w:rPr>
          <w:b/>
          <w:bCs/>
        </w:rPr>
        <w:t>m</w:t>
      </w:r>
      <w:r w:rsidR="00642E6A" w:rsidRPr="00C26F57">
        <w:rPr>
          <w:b/>
          <w:bCs/>
        </w:rPr>
        <w:t xml:space="preserve"> for the </w:t>
      </w:r>
      <w:r w:rsidR="00C26F57" w:rsidRPr="00C26F57">
        <w:rPr>
          <w:b/>
          <w:bCs/>
        </w:rPr>
        <w:t>2-year</w:t>
      </w:r>
      <w:r w:rsidR="00642E6A" w:rsidRPr="00C26F57">
        <w:rPr>
          <w:b/>
          <w:bCs/>
        </w:rPr>
        <w:t xml:space="preserve"> delivery of this programme</w:t>
      </w:r>
      <w:r w:rsidR="00642E6A">
        <w:t>)</w:t>
      </w:r>
      <w:r w:rsidRPr="00B82FC1">
        <w:t xml:space="preserve"> will be </w:t>
      </w:r>
      <w:r w:rsidRPr="00D575B9">
        <w:rPr>
          <w:b/>
          <w:bCs/>
        </w:rPr>
        <w:t>excluded</w:t>
      </w:r>
      <w:r w:rsidRPr="00B82FC1">
        <w:t xml:space="preserve"> from further consideration. In this instance, the Department will initially clarify with the </w:t>
      </w:r>
      <w:r w:rsidR="00C139B5">
        <w:t>bidder</w:t>
      </w:r>
      <w:r w:rsidRPr="00B82FC1">
        <w:t xml:space="preserve"> concerned whether the pricing is correct and has been interpreted correctly.  If following the clarification, any charge is found to be too high to be acceptable, that tender will be </w:t>
      </w:r>
      <w:r w:rsidR="00056992" w:rsidRPr="00D575B9">
        <w:rPr>
          <w:b/>
          <w:bCs/>
        </w:rPr>
        <w:t>excluded</w:t>
      </w:r>
      <w:r w:rsidR="00056992" w:rsidRPr="00B82FC1">
        <w:t xml:space="preserve"> </w:t>
      </w:r>
      <w:r w:rsidRPr="00B82FC1">
        <w:t>in accordance with the Public Contract Regulations 2006 regardless of how many points it scores in all other aspects.</w:t>
      </w:r>
    </w:p>
    <w:p w14:paraId="1771693B" w14:textId="77777777" w:rsidR="00A320BA" w:rsidRPr="000A0143" w:rsidRDefault="00A320BA" w:rsidP="008B1F27">
      <w:pPr>
        <w:pStyle w:val="Head1"/>
        <w:spacing w:after="240" w:line="276" w:lineRule="auto"/>
      </w:pPr>
      <w:r w:rsidRPr="000A0143">
        <w:t>Moderation of Scores</w:t>
      </w:r>
    </w:p>
    <w:p w14:paraId="010729ED" w14:textId="77777777" w:rsidR="00ED5E2B" w:rsidRDefault="00ED5E2B" w:rsidP="00ED5E2B">
      <w:pPr>
        <w:spacing w:after="240" w:line="276" w:lineRule="auto"/>
      </w:pPr>
      <w:r>
        <w:t xml:space="preserve">Evaluators have been chosen as they possess the required skills, </w:t>
      </w:r>
      <w:proofErr w:type="gramStart"/>
      <w:r>
        <w:t>knowledge</w:t>
      </w:r>
      <w:proofErr w:type="gramEnd"/>
      <w:r>
        <w:t xml:space="preserve"> and experience to professionally assess the robustness of submitted bids. These attributes will be used to ensure that all bids are scrutinised effectively and scored fairly in accordance with the provided scoring matrix.</w:t>
      </w:r>
    </w:p>
    <w:p w14:paraId="27594C29" w14:textId="690401AF" w:rsidR="00ED5E2B" w:rsidRDefault="00ED5E2B" w:rsidP="00ED5E2B">
      <w:pPr>
        <w:spacing w:after="240" w:line="276" w:lineRule="auto"/>
      </w:pPr>
      <w:r>
        <w:t>Un-weighted scores for each requirement will be agreed by consensus amongst the evaluators. Where consensus cannot be reached the independent moderat</w:t>
      </w:r>
      <w:r w:rsidR="24362E9F">
        <w:t>or</w:t>
      </w:r>
      <w:r>
        <w:t xml:space="preserve"> will use all evidence provided by evaluators to decide on the final un-weighted score to be allocated.</w:t>
      </w:r>
    </w:p>
    <w:p w14:paraId="1FEF59B9" w14:textId="23C59372" w:rsidR="00A320BA" w:rsidRPr="00D575B9" w:rsidRDefault="00A320BA" w:rsidP="008B1F27">
      <w:pPr>
        <w:spacing w:after="240" w:line="276" w:lineRule="auto"/>
        <w:rPr>
          <w:b/>
          <w:bCs/>
        </w:rPr>
      </w:pPr>
      <w:r w:rsidRPr="00D575B9">
        <w:rPr>
          <w:b/>
          <w:bCs/>
        </w:rPr>
        <w:t>Award of Contract</w:t>
      </w:r>
    </w:p>
    <w:p w14:paraId="3C51C3A2" w14:textId="5304FE28" w:rsidR="00A320BA" w:rsidRPr="00003AF5" w:rsidRDefault="00A320BA" w:rsidP="008B1F27">
      <w:pPr>
        <w:pStyle w:val="MainParagraphNumbered"/>
        <w:numPr>
          <w:ilvl w:val="0"/>
          <w:numId w:val="0"/>
        </w:numPr>
        <w:spacing w:after="240" w:line="276" w:lineRule="auto"/>
        <w:rPr>
          <w:b w:val="0"/>
          <w:bCs/>
        </w:rPr>
      </w:pPr>
      <w:r w:rsidRPr="00003AF5">
        <w:rPr>
          <w:b w:val="0"/>
          <w:bCs/>
        </w:rPr>
        <w:t xml:space="preserve">Upon conclusion of the evaluation, the </w:t>
      </w:r>
      <w:r w:rsidR="00103C79">
        <w:rPr>
          <w:b w:val="0"/>
          <w:bCs/>
        </w:rPr>
        <w:t>points</w:t>
      </w:r>
      <w:r w:rsidR="00103C79" w:rsidRPr="00003AF5">
        <w:rPr>
          <w:b w:val="0"/>
          <w:bCs/>
        </w:rPr>
        <w:t xml:space="preserve"> </w:t>
      </w:r>
      <w:r w:rsidRPr="00003AF5">
        <w:rPr>
          <w:b w:val="0"/>
          <w:bCs/>
        </w:rPr>
        <w:t xml:space="preserve">for price and non-price will be combined to give a total score out of 100 and the tenderer with the highest number of points will be awarded the contract.  </w:t>
      </w:r>
    </w:p>
    <w:p w14:paraId="27CAE4E3" w14:textId="1C723FD3" w:rsidR="00A320BA" w:rsidRDefault="00A320BA" w:rsidP="008B1F27">
      <w:pPr>
        <w:pStyle w:val="MainParagraphNumbered"/>
        <w:numPr>
          <w:ilvl w:val="0"/>
          <w:numId w:val="0"/>
        </w:numPr>
        <w:spacing w:after="240" w:line="276" w:lineRule="auto"/>
        <w:rPr>
          <w:b w:val="0"/>
          <w:bCs/>
        </w:rPr>
      </w:pPr>
      <w:r w:rsidRPr="00003AF5">
        <w:rPr>
          <w:b w:val="0"/>
          <w:bCs/>
        </w:rPr>
        <w:t xml:space="preserve">The </w:t>
      </w:r>
      <w:r w:rsidR="003E34DA">
        <w:rPr>
          <w:b w:val="0"/>
          <w:bCs/>
        </w:rPr>
        <w:t>bidder</w:t>
      </w:r>
      <w:r w:rsidRPr="00003AF5">
        <w:rPr>
          <w:b w:val="0"/>
          <w:bCs/>
        </w:rPr>
        <w:t xml:space="preserve"> to be offered the contract will be advised accordingly</w:t>
      </w:r>
      <w:r w:rsidRPr="00003AF5">
        <w:rPr>
          <w:b w:val="0"/>
          <w:bCs/>
          <w:color w:val="000000" w:themeColor="text1"/>
        </w:rPr>
        <w:t>.</w:t>
      </w:r>
      <w:r w:rsidRPr="00003AF5">
        <w:rPr>
          <w:b w:val="0"/>
          <w:bCs/>
          <w:color w:val="000000" w:themeColor="text1"/>
          <w:sz w:val="20"/>
        </w:rPr>
        <w:t xml:space="preserve"> </w:t>
      </w:r>
      <w:r w:rsidRPr="00003AF5">
        <w:rPr>
          <w:b w:val="0"/>
          <w:bCs/>
        </w:rPr>
        <w:t xml:space="preserve">Such award, offered pursuant to this invitation to tender, will be </w:t>
      </w:r>
      <w:r w:rsidR="00170EB3" w:rsidRPr="00003AF5">
        <w:rPr>
          <w:b w:val="0"/>
          <w:bCs/>
        </w:rPr>
        <w:t>based on</w:t>
      </w:r>
      <w:r w:rsidRPr="00003AF5">
        <w:rPr>
          <w:b w:val="0"/>
          <w:bCs/>
        </w:rPr>
        <w:t xml:space="preserve"> the most economically advantageous </w:t>
      </w:r>
      <w:proofErr w:type="gramStart"/>
      <w:r w:rsidRPr="00003AF5">
        <w:rPr>
          <w:b w:val="0"/>
          <w:bCs/>
        </w:rPr>
        <w:t>tender</w:t>
      </w:r>
      <w:proofErr w:type="gramEnd"/>
      <w:r>
        <w:rPr>
          <w:b w:val="0"/>
          <w:bCs/>
        </w:rPr>
        <w:t xml:space="preserve"> and </w:t>
      </w:r>
      <w:r w:rsidRPr="00003AF5">
        <w:rPr>
          <w:b w:val="0"/>
          <w:bCs/>
        </w:rPr>
        <w:t>based on the evaluation criteria described above.</w:t>
      </w:r>
    </w:p>
    <w:p w14:paraId="6B8591E0" w14:textId="561CC4A8" w:rsidR="00636752" w:rsidRPr="00D575B9" w:rsidRDefault="00636752" w:rsidP="008B1F27">
      <w:pPr>
        <w:pStyle w:val="MainParagraphNumbered"/>
        <w:numPr>
          <w:ilvl w:val="0"/>
          <w:numId w:val="0"/>
        </w:numPr>
        <w:spacing w:after="240" w:line="276" w:lineRule="auto"/>
      </w:pPr>
      <w:r w:rsidRPr="00D575B9">
        <w:t xml:space="preserve">For full details of the requirements </w:t>
      </w:r>
      <w:r w:rsidR="001C7F62">
        <w:t xml:space="preserve">to which a response is required </w:t>
      </w:r>
      <w:r w:rsidRPr="00D575B9">
        <w:t>please see</w:t>
      </w:r>
      <w:r w:rsidR="001C7F62">
        <w:t>:</w:t>
      </w:r>
    </w:p>
    <w:p w14:paraId="2DBB936F" w14:textId="78CF4E98" w:rsidR="00A320BA" w:rsidRPr="00D575B9" w:rsidRDefault="00636752" w:rsidP="008B1F27">
      <w:pPr>
        <w:pStyle w:val="MainParagraphNumbered"/>
        <w:numPr>
          <w:ilvl w:val="0"/>
          <w:numId w:val="0"/>
        </w:numPr>
        <w:spacing w:after="240" w:line="276" w:lineRule="auto"/>
      </w:pPr>
      <w:r w:rsidRPr="00D575B9">
        <w:t xml:space="preserve">Document </w:t>
      </w:r>
      <w:r w:rsidR="009B4DD0">
        <w:t>3</w:t>
      </w:r>
      <w:r w:rsidRPr="00D575B9">
        <w:t xml:space="preserve"> </w:t>
      </w:r>
      <w:r w:rsidR="00891CC9">
        <w:t>–</w:t>
      </w:r>
      <w:r w:rsidRPr="00D575B9">
        <w:t xml:space="preserve"> </w:t>
      </w:r>
      <w:r w:rsidR="00891CC9">
        <w:t>Requirement Specification</w:t>
      </w:r>
      <w:r w:rsidRPr="00D575B9">
        <w:t>, AND</w:t>
      </w:r>
    </w:p>
    <w:p w14:paraId="536253DF" w14:textId="40DDEC5A" w:rsidR="00636752" w:rsidRPr="00D575B9" w:rsidRDefault="00636752" w:rsidP="008B1F27">
      <w:pPr>
        <w:pStyle w:val="MainParagraphNumbered"/>
        <w:numPr>
          <w:ilvl w:val="0"/>
          <w:numId w:val="0"/>
        </w:numPr>
        <w:spacing w:after="240" w:line="276" w:lineRule="auto"/>
      </w:pPr>
      <w:r w:rsidRPr="00D575B9">
        <w:t xml:space="preserve">Document </w:t>
      </w:r>
      <w:r w:rsidR="00891CC9">
        <w:t>5</w:t>
      </w:r>
      <w:r w:rsidRPr="00D575B9">
        <w:t xml:space="preserve"> </w:t>
      </w:r>
      <w:r w:rsidR="001C7F62" w:rsidRPr="00D575B9">
        <w:t>–</w:t>
      </w:r>
      <w:r w:rsidRPr="00D575B9">
        <w:t xml:space="preserve"> </w:t>
      </w:r>
      <w:r w:rsidR="001C7F62" w:rsidRPr="00D575B9">
        <w:t>Cost Matrix</w:t>
      </w:r>
    </w:p>
    <w:sectPr w:rsidR="00636752" w:rsidRPr="00D575B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92A8E" w14:textId="77777777" w:rsidR="00E82E29" w:rsidRDefault="00E82E29">
      <w:r>
        <w:separator/>
      </w:r>
    </w:p>
  </w:endnote>
  <w:endnote w:type="continuationSeparator" w:id="0">
    <w:p w14:paraId="481C4E41" w14:textId="77777777" w:rsidR="00E82E29" w:rsidRDefault="00E82E29">
      <w:r>
        <w:continuationSeparator/>
      </w:r>
    </w:p>
  </w:endnote>
  <w:endnote w:type="continuationNotice" w:id="1">
    <w:p w14:paraId="03E81D2B" w14:textId="77777777" w:rsidR="00E82E29" w:rsidRDefault="00E82E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FA147" w14:textId="77777777" w:rsidR="00E82E29" w:rsidRDefault="00E82E29">
      <w:r>
        <w:separator/>
      </w:r>
    </w:p>
  </w:footnote>
  <w:footnote w:type="continuationSeparator" w:id="0">
    <w:p w14:paraId="6AF2C836" w14:textId="77777777" w:rsidR="00E82E29" w:rsidRDefault="00E82E29">
      <w:r>
        <w:continuationSeparator/>
      </w:r>
    </w:p>
  </w:footnote>
  <w:footnote w:type="continuationNotice" w:id="1">
    <w:p w14:paraId="7D17400B" w14:textId="77777777" w:rsidR="00E82E29" w:rsidRDefault="00E82E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639"/>
    <w:multiLevelType w:val="hybridMultilevel"/>
    <w:tmpl w:val="2B26A1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66CE6"/>
    <w:multiLevelType w:val="hybridMultilevel"/>
    <w:tmpl w:val="BE46F9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331BD"/>
    <w:multiLevelType w:val="hybridMultilevel"/>
    <w:tmpl w:val="BA200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7E5EF0"/>
    <w:multiLevelType w:val="hybridMultilevel"/>
    <w:tmpl w:val="87CE8818"/>
    <w:lvl w:ilvl="0" w:tplc="A720E818">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8A329B"/>
    <w:multiLevelType w:val="hybridMultilevel"/>
    <w:tmpl w:val="3E76ACDE"/>
    <w:lvl w:ilvl="0" w:tplc="0809000B">
      <w:start w:val="1"/>
      <w:numFmt w:val="bullet"/>
      <w:lvlText w:val=""/>
      <w:lvlJc w:val="left"/>
      <w:pPr>
        <w:ind w:left="1636" w:hanging="360"/>
      </w:pPr>
      <w:rPr>
        <w:rFonts w:ascii="Wingdings" w:hAnsi="Wingding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5" w15:restartNumberingAfterBreak="0">
    <w:nsid w:val="178C19EA"/>
    <w:multiLevelType w:val="hybridMultilevel"/>
    <w:tmpl w:val="CA98C5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732D59"/>
    <w:multiLevelType w:val="hybridMultilevel"/>
    <w:tmpl w:val="C07022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1E294461"/>
    <w:multiLevelType w:val="hybridMultilevel"/>
    <w:tmpl w:val="08CAB208"/>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9" w15:restartNumberingAfterBreak="0">
    <w:nsid w:val="1EC11494"/>
    <w:multiLevelType w:val="hybridMultilevel"/>
    <w:tmpl w:val="ADF0812E"/>
    <w:lvl w:ilvl="0" w:tplc="543874F6">
      <w:start w:val="1"/>
      <w:numFmt w:val="upperRoman"/>
      <w:lvlText w:val="%1."/>
      <w:lvlJc w:val="left"/>
      <w:pPr>
        <w:ind w:left="720" w:hanging="360"/>
      </w:pPr>
      <w:rPr>
        <w:rFonts w:ascii="Arial" w:eastAsia="Times New Roman" w:hAnsi="Arial" w:cs="Mangal"/>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0657A2B"/>
    <w:multiLevelType w:val="hybridMultilevel"/>
    <w:tmpl w:val="8AFEB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2" w15:restartNumberingAfterBreak="0">
    <w:nsid w:val="2A8F7AAA"/>
    <w:multiLevelType w:val="hybridMultilevel"/>
    <w:tmpl w:val="47224274"/>
    <w:lvl w:ilvl="0" w:tplc="8BF0DA5A">
      <w:start w:val="1"/>
      <w:numFmt w:val="upperRoman"/>
      <w:lvlText w:val="%1."/>
      <w:lvlJc w:val="right"/>
      <w:pPr>
        <w:ind w:left="785" w:hanging="360"/>
      </w:pPr>
      <w:rPr>
        <w:rFonts w:hint="default"/>
      </w:rPr>
    </w:lvl>
    <w:lvl w:ilvl="1" w:tplc="08090019">
      <w:start w:val="1"/>
      <w:numFmt w:val="lowerLetter"/>
      <w:lvlText w:val="%2."/>
      <w:lvlJc w:val="left"/>
      <w:pPr>
        <w:ind w:left="1210" w:hanging="360"/>
      </w:pPr>
    </w:lvl>
    <w:lvl w:ilvl="2" w:tplc="0809001B" w:tentative="1">
      <w:start w:val="1"/>
      <w:numFmt w:val="lowerRoman"/>
      <w:lvlText w:val="%3."/>
      <w:lvlJc w:val="right"/>
      <w:pPr>
        <w:ind w:left="1505" w:hanging="180"/>
      </w:pPr>
    </w:lvl>
    <w:lvl w:ilvl="3" w:tplc="0809000F" w:tentative="1">
      <w:start w:val="1"/>
      <w:numFmt w:val="decimal"/>
      <w:lvlText w:val="%4."/>
      <w:lvlJc w:val="left"/>
      <w:pPr>
        <w:ind w:left="2225" w:hanging="360"/>
      </w:pPr>
    </w:lvl>
    <w:lvl w:ilvl="4" w:tplc="08090019" w:tentative="1">
      <w:start w:val="1"/>
      <w:numFmt w:val="lowerLetter"/>
      <w:lvlText w:val="%5."/>
      <w:lvlJc w:val="left"/>
      <w:pPr>
        <w:ind w:left="2945" w:hanging="360"/>
      </w:pPr>
    </w:lvl>
    <w:lvl w:ilvl="5" w:tplc="0809001B" w:tentative="1">
      <w:start w:val="1"/>
      <w:numFmt w:val="lowerRoman"/>
      <w:lvlText w:val="%6."/>
      <w:lvlJc w:val="right"/>
      <w:pPr>
        <w:ind w:left="3665" w:hanging="180"/>
      </w:pPr>
    </w:lvl>
    <w:lvl w:ilvl="6" w:tplc="0809000F" w:tentative="1">
      <w:start w:val="1"/>
      <w:numFmt w:val="decimal"/>
      <w:lvlText w:val="%7."/>
      <w:lvlJc w:val="left"/>
      <w:pPr>
        <w:ind w:left="4385" w:hanging="360"/>
      </w:pPr>
    </w:lvl>
    <w:lvl w:ilvl="7" w:tplc="08090019" w:tentative="1">
      <w:start w:val="1"/>
      <w:numFmt w:val="lowerLetter"/>
      <w:lvlText w:val="%8."/>
      <w:lvlJc w:val="left"/>
      <w:pPr>
        <w:ind w:left="5105" w:hanging="360"/>
      </w:pPr>
    </w:lvl>
    <w:lvl w:ilvl="8" w:tplc="0809001B" w:tentative="1">
      <w:start w:val="1"/>
      <w:numFmt w:val="lowerRoman"/>
      <w:lvlText w:val="%9."/>
      <w:lvlJc w:val="right"/>
      <w:pPr>
        <w:ind w:left="5825" w:hanging="180"/>
      </w:pPr>
    </w:lvl>
  </w:abstractNum>
  <w:abstractNum w:abstractNumId="13" w15:restartNumberingAfterBreak="0">
    <w:nsid w:val="33E10066"/>
    <w:multiLevelType w:val="multilevel"/>
    <w:tmpl w:val="4BDA5314"/>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E8A069A"/>
    <w:multiLevelType w:val="hybridMultilevel"/>
    <w:tmpl w:val="F5E87D5E"/>
    <w:lvl w:ilvl="0" w:tplc="08090001">
      <w:start w:val="1"/>
      <w:numFmt w:val="bullet"/>
      <w:lvlText w:val=""/>
      <w:lvlJc w:val="left"/>
      <w:pPr>
        <w:ind w:left="785" w:hanging="360"/>
      </w:pPr>
      <w:rPr>
        <w:rFonts w:ascii="Symbol" w:hAnsi="Symbol" w:hint="default"/>
      </w:rPr>
    </w:lvl>
    <w:lvl w:ilvl="1" w:tplc="08090019">
      <w:start w:val="1"/>
      <w:numFmt w:val="lowerLetter"/>
      <w:lvlText w:val="%2."/>
      <w:lvlJc w:val="left"/>
      <w:pPr>
        <w:ind w:left="1210" w:hanging="360"/>
      </w:pPr>
    </w:lvl>
    <w:lvl w:ilvl="2" w:tplc="0809001B" w:tentative="1">
      <w:start w:val="1"/>
      <w:numFmt w:val="lowerRoman"/>
      <w:lvlText w:val="%3."/>
      <w:lvlJc w:val="right"/>
      <w:pPr>
        <w:ind w:left="1505" w:hanging="180"/>
      </w:pPr>
    </w:lvl>
    <w:lvl w:ilvl="3" w:tplc="0809000F" w:tentative="1">
      <w:start w:val="1"/>
      <w:numFmt w:val="decimal"/>
      <w:lvlText w:val="%4."/>
      <w:lvlJc w:val="left"/>
      <w:pPr>
        <w:ind w:left="2225" w:hanging="360"/>
      </w:pPr>
    </w:lvl>
    <w:lvl w:ilvl="4" w:tplc="08090019" w:tentative="1">
      <w:start w:val="1"/>
      <w:numFmt w:val="lowerLetter"/>
      <w:lvlText w:val="%5."/>
      <w:lvlJc w:val="left"/>
      <w:pPr>
        <w:ind w:left="2945" w:hanging="360"/>
      </w:pPr>
    </w:lvl>
    <w:lvl w:ilvl="5" w:tplc="0809001B" w:tentative="1">
      <w:start w:val="1"/>
      <w:numFmt w:val="lowerRoman"/>
      <w:lvlText w:val="%6."/>
      <w:lvlJc w:val="right"/>
      <w:pPr>
        <w:ind w:left="3665" w:hanging="180"/>
      </w:pPr>
    </w:lvl>
    <w:lvl w:ilvl="6" w:tplc="0809000F" w:tentative="1">
      <w:start w:val="1"/>
      <w:numFmt w:val="decimal"/>
      <w:lvlText w:val="%7."/>
      <w:lvlJc w:val="left"/>
      <w:pPr>
        <w:ind w:left="4385" w:hanging="360"/>
      </w:pPr>
    </w:lvl>
    <w:lvl w:ilvl="7" w:tplc="08090019" w:tentative="1">
      <w:start w:val="1"/>
      <w:numFmt w:val="lowerLetter"/>
      <w:lvlText w:val="%8."/>
      <w:lvlJc w:val="left"/>
      <w:pPr>
        <w:ind w:left="5105" w:hanging="360"/>
      </w:pPr>
    </w:lvl>
    <w:lvl w:ilvl="8" w:tplc="0809001B" w:tentative="1">
      <w:start w:val="1"/>
      <w:numFmt w:val="lowerRoman"/>
      <w:lvlText w:val="%9."/>
      <w:lvlJc w:val="right"/>
      <w:pPr>
        <w:ind w:left="5825" w:hanging="180"/>
      </w:pPr>
    </w:lvl>
  </w:abstractNum>
  <w:abstractNum w:abstractNumId="15" w15:restartNumberingAfterBreak="0">
    <w:nsid w:val="45EE0EBE"/>
    <w:multiLevelType w:val="hybridMultilevel"/>
    <w:tmpl w:val="6EA42950"/>
    <w:lvl w:ilvl="0" w:tplc="08090001">
      <w:start w:val="1"/>
      <w:numFmt w:val="bullet"/>
      <w:lvlText w:val=""/>
      <w:lvlJc w:val="left"/>
      <w:pPr>
        <w:ind w:left="1121" w:hanging="360"/>
      </w:pPr>
      <w:rPr>
        <w:rFonts w:ascii="Symbol" w:hAnsi="Symbol" w:hint="default"/>
      </w:rPr>
    </w:lvl>
    <w:lvl w:ilvl="1" w:tplc="08090003">
      <w:start w:val="1"/>
      <w:numFmt w:val="bullet"/>
      <w:lvlText w:val="o"/>
      <w:lvlJc w:val="left"/>
      <w:pPr>
        <w:ind w:left="1841" w:hanging="360"/>
      </w:pPr>
      <w:rPr>
        <w:rFonts w:ascii="Courier New" w:hAnsi="Courier New" w:cs="Courier New" w:hint="default"/>
      </w:rPr>
    </w:lvl>
    <w:lvl w:ilvl="2" w:tplc="08090005" w:tentative="1">
      <w:start w:val="1"/>
      <w:numFmt w:val="bullet"/>
      <w:lvlText w:val=""/>
      <w:lvlJc w:val="left"/>
      <w:pPr>
        <w:ind w:left="2561" w:hanging="360"/>
      </w:pPr>
      <w:rPr>
        <w:rFonts w:ascii="Wingdings" w:hAnsi="Wingdings" w:hint="default"/>
      </w:rPr>
    </w:lvl>
    <w:lvl w:ilvl="3" w:tplc="08090001" w:tentative="1">
      <w:start w:val="1"/>
      <w:numFmt w:val="bullet"/>
      <w:lvlText w:val=""/>
      <w:lvlJc w:val="left"/>
      <w:pPr>
        <w:ind w:left="3281" w:hanging="360"/>
      </w:pPr>
      <w:rPr>
        <w:rFonts w:ascii="Symbol" w:hAnsi="Symbol" w:hint="default"/>
      </w:rPr>
    </w:lvl>
    <w:lvl w:ilvl="4" w:tplc="08090003" w:tentative="1">
      <w:start w:val="1"/>
      <w:numFmt w:val="bullet"/>
      <w:lvlText w:val="o"/>
      <w:lvlJc w:val="left"/>
      <w:pPr>
        <w:ind w:left="4001" w:hanging="360"/>
      </w:pPr>
      <w:rPr>
        <w:rFonts w:ascii="Courier New" w:hAnsi="Courier New" w:cs="Courier New" w:hint="default"/>
      </w:rPr>
    </w:lvl>
    <w:lvl w:ilvl="5" w:tplc="08090005" w:tentative="1">
      <w:start w:val="1"/>
      <w:numFmt w:val="bullet"/>
      <w:lvlText w:val=""/>
      <w:lvlJc w:val="left"/>
      <w:pPr>
        <w:ind w:left="4721" w:hanging="360"/>
      </w:pPr>
      <w:rPr>
        <w:rFonts w:ascii="Wingdings" w:hAnsi="Wingdings" w:hint="default"/>
      </w:rPr>
    </w:lvl>
    <w:lvl w:ilvl="6" w:tplc="08090001" w:tentative="1">
      <w:start w:val="1"/>
      <w:numFmt w:val="bullet"/>
      <w:lvlText w:val=""/>
      <w:lvlJc w:val="left"/>
      <w:pPr>
        <w:ind w:left="5441" w:hanging="360"/>
      </w:pPr>
      <w:rPr>
        <w:rFonts w:ascii="Symbol" w:hAnsi="Symbol" w:hint="default"/>
      </w:rPr>
    </w:lvl>
    <w:lvl w:ilvl="7" w:tplc="08090003" w:tentative="1">
      <w:start w:val="1"/>
      <w:numFmt w:val="bullet"/>
      <w:lvlText w:val="o"/>
      <w:lvlJc w:val="left"/>
      <w:pPr>
        <w:ind w:left="6161" w:hanging="360"/>
      </w:pPr>
      <w:rPr>
        <w:rFonts w:ascii="Courier New" w:hAnsi="Courier New" w:cs="Courier New" w:hint="default"/>
      </w:rPr>
    </w:lvl>
    <w:lvl w:ilvl="8" w:tplc="08090005" w:tentative="1">
      <w:start w:val="1"/>
      <w:numFmt w:val="bullet"/>
      <w:lvlText w:val=""/>
      <w:lvlJc w:val="left"/>
      <w:pPr>
        <w:ind w:left="6881" w:hanging="360"/>
      </w:pPr>
      <w:rPr>
        <w:rFonts w:ascii="Wingdings" w:hAnsi="Wingdings" w:hint="default"/>
      </w:rPr>
    </w:lvl>
  </w:abstractNum>
  <w:abstractNum w:abstractNumId="16" w15:restartNumberingAfterBreak="0">
    <w:nsid w:val="477F0509"/>
    <w:multiLevelType w:val="hybridMultilevel"/>
    <w:tmpl w:val="349EFC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CB0700"/>
    <w:multiLevelType w:val="hybridMultilevel"/>
    <w:tmpl w:val="26C4AB7E"/>
    <w:lvl w:ilvl="0" w:tplc="4C18A09C">
      <w:start w:val="1"/>
      <w:numFmt w:val="upperRoman"/>
      <w:lvlText w:val="%1."/>
      <w:lvlJc w:val="left"/>
      <w:pPr>
        <w:ind w:left="720" w:hanging="360"/>
      </w:pPr>
      <w:rPr>
        <w:rFonts w:ascii="Arial" w:eastAsia="Times New Roman" w:hAnsi="Arial" w:cs="Mang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37255B"/>
    <w:multiLevelType w:val="hybridMultilevel"/>
    <w:tmpl w:val="84DC7652"/>
    <w:lvl w:ilvl="0" w:tplc="0809000B">
      <w:start w:val="1"/>
      <w:numFmt w:val="bullet"/>
      <w:lvlText w:val=""/>
      <w:lvlJc w:val="left"/>
      <w:pPr>
        <w:ind w:left="1069" w:hanging="360"/>
      </w:pPr>
      <w:rPr>
        <w:rFonts w:ascii="Wingdings" w:hAnsi="Wingding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471891"/>
    <w:multiLevelType w:val="hybridMultilevel"/>
    <w:tmpl w:val="66006D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F97332"/>
    <w:multiLevelType w:val="hybridMultilevel"/>
    <w:tmpl w:val="4F0E3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CD0255"/>
    <w:multiLevelType w:val="hybridMultilevel"/>
    <w:tmpl w:val="4D483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9F50C3"/>
    <w:multiLevelType w:val="hybridMultilevel"/>
    <w:tmpl w:val="80165EDC"/>
    <w:lvl w:ilvl="0" w:tplc="08090001">
      <w:start w:val="1"/>
      <w:numFmt w:val="bullet"/>
      <w:lvlText w:val=""/>
      <w:lvlJc w:val="left"/>
      <w:pPr>
        <w:ind w:left="785" w:hanging="360"/>
      </w:pPr>
      <w:rPr>
        <w:rFonts w:ascii="Symbol" w:hAnsi="Symbol" w:hint="default"/>
      </w:rPr>
    </w:lvl>
    <w:lvl w:ilvl="1" w:tplc="08090019" w:tentative="1">
      <w:start w:val="1"/>
      <w:numFmt w:val="lowerLetter"/>
      <w:lvlText w:val="%2."/>
      <w:lvlJc w:val="left"/>
      <w:pPr>
        <w:ind w:left="785" w:hanging="360"/>
      </w:pPr>
    </w:lvl>
    <w:lvl w:ilvl="2" w:tplc="0809001B" w:tentative="1">
      <w:start w:val="1"/>
      <w:numFmt w:val="lowerRoman"/>
      <w:lvlText w:val="%3."/>
      <w:lvlJc w:val="right"/>
      <w:pPr>
        <w:ind w:left="1505" w:hanging="180"/>
      </w:pPr>
    </w:lvl>
    <w:lvl w:ilvl="3" w:tplc="0809000F" w:tentative="1">
      <w:start w:val="1"/>
      <w:numFmt w:val="decimal"/>
      <w:lvlText w:val="%4."/>
      <w:lvlJc w:val="left"/>
      <w:pPr>
        <w:ind w:left="2225" w:hanging="360"/>
      </w:pPr>
    </w:lvl>
    <w:lvl w:ilvl="4" w:tplc="08090019" w:tentative="1">
      <w:start w:val="1"/>
      <w:numFmt w:val="lowerLetter"/>
      <w:lvlText w:val="%5."/>
      <w:lvlJc w:val="left"/>
      <w:pPr>
        <w:ind w:left="2945" w:hanging="360"/>
      </w:pPr>
    </w:lvl>
    <w:lvl w:ilvl="5" w:tplc="0809001B" w:tentative="1">
      <w:start w:val="1"/>
      <w:numFmt w:val="lowerRoman"/>
      <w:lvlText w:val="%6."/>
      <w:lvlJc w:val="right"/>
      <w:pPr>
        <w:ind w:left="3665" w:hanging="180"/>
      </w:pPr>
    </w:lvl>
    <w:lvl w:ilvl="6" w:tplc="0809000F" w:tentative="1">
      <w:start w:val="1"/>
      <w:numFmt w:val="decimal"/>
      <w:lvlText w:val="%7."/>
      <w:lvlJc w:val="left"/>
      <w:pPr>
        <w:ind w:left="4385" w:hanging="360"/>
      </w:pPr>
    </w:lvl>
    <w:lvl w:ilvl="7" w:tplc="08090019" w:tentative="1">
      <w:start w:val="1"/>
      <w:numFmt w:val="lowerLetter"/>
      <w:lvlText w:val="%8."/>
      <w:lvlJc w:val="left"/>
      <w:pPr>
        <w:ind w:left="5105" w:hanging="360"/>
      </w:pPr>
    </w:lvl>
    <w:lvl w:ilvl="8" w:tplc="0809001B" w:tentative="1">
      <w:start w:val="1"/>
      <w:numFmt w:val="lowerRoman"/>
      <w:lvlText w:val="%9."/>
      <w:lvlJc w:val="right"/>
      <w:pPr>
        <w:ind w:left="5825" w:hanging="180"/>
      </w:pPr>
    </w:lvl>
  </w:abstractNum>
  <w:abstractNum w:abstractNumId="26" w15:restartNumberingAfterBreak="0">
    <w:nsid w:val="6A271C03"/>
    <w:multiLevelType w:val="hybridMultilevel"/>
    <w:tmpl w:val="A3B83496"/>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27" w15:restartNumberingAfterBreak="0">
    <w:nsid w:val="6A906113"/>
    <w:multiLevelType w:val="hybridMultilevel"/>
    <w:tmpl w:val="C6D2EB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4A419FB"/>
    <w:multiLevelType w:val="hybridMultilevel"/>
    <w:tmpl w:val="E69477C0"/>
    <w:lvl w:ilvl="0" w:tplc="08090001">
      <w:start w:val="1"/>
      <w:numFmt w:val="bullet"/>
      <w:lvlText w:val=""/>
      <w:lvlJc w:val="left"/>
      <w:pPr>
        <w:ind w:left="785" w:hanging="360"/>
      </w:pPr>
      <w:rPr>
        <w:rFonts w:ascii="Symbol" w:hAnsi="Symbol" w:hint="default"/>
      </w:rPr>
    </w:lvl>
    <w:lvl w:ilvl="1" w:tplc="08090019" w:tentative="1">
      <w:start w:val="1"/>
      <w:numFmt w:val="lowerLetter"/>
      <w:lvlText w:val="%2."/>
      <w:lvlJc w:val="left"/>
      <w:pPr>
        <w:ind w:left="785" w:hanging="360"/>
      </w:pPr>
    </w:lvl>
    <w:lvl w:ilvl="2" w:tplc="0809001B" w:tentative="1">
      <w:start w:val="1"/>
      <w:numFmt w:val="lowerRoman"/>
      <w:lvlText w:val="%3."/>
      <w:lvlJc w:val="right"/>
      <w:pPr>
        <w:ind w:left="1505" w:hanging="180"/>
      </w:pPr>
    </w:lvl>
    <w:lvl w:ilvl="3" w:tplc="0809000F" w:tentative="1">
      <w:start w:val="1"/>
      <w:numFmt w:val="decimal"/>
      <w:lvlText w:val="%4."/>
      <w:lvlJc w:val="left"/>
      <w:pPr>
        <w:ind w:left="2225" w:hanging="360"/>
      </w:pPr>
    </w:lvl>
    <w:lvl w:ilvl="4" w:tplc="08090019" w:tentative="1">
      <w:start w:val="1"/>
      <w:numFmt w:val="lowerLetter"/>
      <w:lvlText w:val="%5."/>
      <w:lvlJc w:val="left"/>
      <w:pPr>
        <w:ind w:left="2945" w:hanging="360"/>
      </w:pPr>
    </w:lvl>
    <w:lvl w:ilvl="5" w:tplc="0809001B" w:tentative="1">
      <w:start w:val="1"/>
      <w:numFmt w:val="lowerRoman"/>
      <w:lvlText w:val="%6."/>
      <w:lvlJc w:val="right"/>
      <w:pPr>
        <w:ind w:left="3665" w:hanging="180"/>
      </w:pPr>
    </w:lvl>
    <w:lvl w:ilvl="6" w:tplc="0809000F" w:tentative="1">
      <w:start w:val="1"/>
      <w:numFmt w:val="decimal"/>
      <w:lvlText w:val="%7."/>
      <w:lvlJc w:val="left"/>
      <w:pPr>
        <w:ind w:left="4385" w:hanging="360"/>
      </w:pPr>
    </w:lvl>
    <w:lvl w:ilvl="7" w:tplc="08090019" w:tentative="1">
      <w:start w:val="1"/>
      <w:numFmt w:val="lowerLetter"/>
      <w:lvlText w:val="%8."/>
      <w:lvlJc w:val="left"/>
      <w:pPr>
        <w:ind w:left="5105" w:hanging="360"/>
      </w:pPr>
    </w:lvl>
    <w:lvl w:ilvl="8" w:tplc="0809001B" w:tentative="1">
      <w:start w:val="1"/>
      <w:numFmt w:val="lowerRoman"/>
      <w:lvlText w:val="%9."/>
      <w:lvlJc w:val="right"/>
      <w:pPr>
        <w:ind w:left="5825" w:hanging="180"/>
      </w:pPr>
    </w:lvl>
  </w:abstractNum>
  <w:abstractNum w:abstractNumId="30" w15:restartNumberingAfterBreak="0">
    <w:nsid w:val="78300C38"/>
    <w:multiLevelType w:val="hybridMultilevel"/>
    <w:tmpl w:val="EF72ADA0"/>
    <w:lvl w:ilvl="0" w:tplc="E0526200">
      <w:start w:val="1"/>
      <w:numFmt w:val="upperRoman"/>
      <w:lvlText w:val="%1."/>
      <w:lvlJc w:val="right"/>
      <w:pPr>
        <w:ind w:left="785" w:hanging="360"/>
      </w:pPr>
      <w:rPr>
        <w:rFonts w:hint="default"/>
      </w:rPr>
    </w:lvl>
    <w:lvl w:ilvl="1" w:tplc="08090019" w:tentative="1">
      <w:start w:val="1"/>
      <w:numFmt w:val="lowerLetter"/>
      <w:lvlText w:val="%2."/>
      <w:lvlJc w:val="left"/>
      <w:pPr>
        <w:ind w:left="785" w:hanging="360"/>
      </w:pPr>
    </w:lvl>
    <w:lvl w:ilvl="2" w:tplc="0809001B" w:tentative="1">
      <w:start w:val="1"/>
      <w:numFmt w:val="lowerRoman"/>
      <w:lvlText w:val="%3."/>
      <w:lvlJc w:val="right"/>
      <w:pPr>
        <w:ind w:left="1505" w:hanging="180"/>
      </w:pPr>
    </w:lvl>
    <w:lvl w:ilvl="3" w:tplc="0809000F" w:tentative="1">
      <w:start w:val="1"/>
      <w:numFmt w:val="decimal"/>
      <w:lvlText w:val="%4."/>
      <w:lvlJc w:val="left"/>
      <w:pPr>
        <w:ind w:left="2225" w:hanging="360"/>
      </w:pPr>
    </w:lvl>
    <w:lvl w:ilvl="4" w:tplc="08090019" w:tentative="1">
      <w:start w:val="1"/>
      <w:numFmt w:val="lowerLetter"/>
      <w:lvlText w:val="%5."/>
      <w:lvlJc w:val="left"/>
      <w:pPr>
        <w:ind w:left="2945" w:hanging="360"/>
      </w:pPr>
    </w:lvl>
    <w:lvl w:ilvl="5" w:tplc="0809001B" w:tentative="1">
      <w:start w:val="1"/>
      <w:numFmt w:val="lowerRoman"/>
      <w:lvlText w:val="%6."/>
      <w:lvlJc w:val="right"/>
      <w:pPr>
        <w:ind w:left="3665" w:hanging="180"/>
      </w:pPr>
    </w:lvl>
    <w:lvl w:ilvl="6" w:tplc="0809000F" w:tentative="1">
      <w:start w:val="1"/>
      <w:numFmt w:val="decimal"/>
      <w:lvlText w:val="%7."/>
      <w:lvlJc w:val="left"/>
      <w:pPr>
        <w:ind w:left="4385" w:hanging="360"/>
      </w:pPr>
    </w:lvl>
    <w:lvl w:ilvl="7" w:tplc="08090019" w:tentative="1">
      <w:start w:val="1"/>
      <w:numFmt w:val="lowerLetter"/>
      <w:lvlText w:val="%8."/>
      <w:lvlJc w:val="left"/>
      <w:pPr>
        <w:ind w:left="5105" w:hanging="360"/>
      </w:pPr>
    </w:lvl>
    <w:lvl w:ilvl="8" w:tplc="0809001B" w:tentative="1">
      <w:start w:val="1"/>
      <w:numFmt w:val="lowerRoman"/>
      <w:lvlText w:val="%9."/>
      <w:lvlJc w:val="right"/>
      <w:pPr>
        <w:ind w:left="5825" w:hanging="180"/>
      </w:pPr>
    </w:lvl>
  </w:abstractNum>
  <w:abstractNum w:abstractNumId="31" w15:restartNumberingAfterBreak="0">
    <w:nsid w:val="79690564"/>
    <w:multiLevelType w:val="hybridMultilevel"/>
    <w:tmpl w:val="01E053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7"/>
  </w:num>
  <w:num w:numId="2">
    <w:abstractNumId w:val="11"/>
  </w:num>
  <w:num w:numId="3">
    <w:abstractNumId w:val="32"/>
  </w:num>
  <w:num w:numId="4">
    <w:abstractNumId w:val="7"/>
  </w:num>
  <w:num w:numId="5">
    <w:abstractNumId w:val="18"/>
  </w:num>
  <w:num w:numId="6">
    <w:abstractNumId w:val="28"/>
  </w:num>
  <w:num w:numId="7">
    <w:abstractNumId w:val="21"/>
  </w:num>
  <w:num w:numId="8">
    <w:abstractNumId w:val="13"/>
    <w:lvlOverride w:ilvl="0">
      <w:lvl w:ilvl="0">
        <w:start w:val="1"/>
        <w:numFmt w:val="decimal"/>
        <w:pStyle w:val="MainParagraphNumbered"/>
        <w:lvlText w:val="%1."/>
        <w:lvlJc w:val="left"/>
        <w:pPr>
          <w:tabs>
            <w:tab w:val="num" w:pos="360"/>
          </w:tabs>
          <w:ind w:left="360" w:hanging="360"/>
        </w:pPr>
        <w:rPr>
          <w:rFonts w:ascii="Arial" w:hAnsi="Arial" w:hint="default"/>
          <w:b/>
          <w:sz w:val="22"/>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9">
    <w:abstractNumId w:val="23"/>
  </w:num>
  <w:num w:numId="10">
    <w:abstractNumId w:val="1"/>
  </w:num>
  <w:num w:numId="11">
    <w:abstractNumId w:val="22"/>
  </w:num>
  <w:num w:numId="12">
    <w:abstractNumId w:val="12"/>
  </w:num>
  <w:num w:numId="13">
    <w:abstractNumId w:val="16"/>
  </w:num>
  <w:num w:numId="14">
    <w:abstractNumId w:val="3"/>
  </w:num>
  <w:num w:numId="15">
    <w:abstractNumId w:val="5"/>
  </w:num>
  <w:num w:numId="16">
    <w:abstractNumId w:val="20"/>
  </w:num>
  <w:num w:numId="17">
    <w:abstractNumId w:val="19"/>
  </w:num>
  <w:num w:numId="18">
    <w:abstractNumId w:val="4"/>
  </w:num>
  <w:num w:numId="19">
    <w:abstractNumId w:val="27"/>
  </w:num>
  <w:num w:numId="20">
    <w:abstractNumId w:val="0"/>
  </w:num>
  <w:num w:numId="21">
    <w:abstractNumId w:val="9"/>
  </w:num>
  <w:num w:numId="22">
    <w:abstractNumId w:val="30"/>
  </w:num>
  <w:num w:numId="23">
    <w:abstractNumId w:val="25"/>
  </w:num>
  <w:num w:numId="24">
    <w:abstractNumId w:val="29"/>
  </w:num>
  <w:num w:numId="25">
    <w:abstractNumId w:val="8"/>
  </w:num>
  <w:num w:numId="26">
    <w:abstractNumId w:val="14"/>
  </w:num>
  <w:num w:numId="27">
    <w:abstractNumId w:val="10"/>
  </w:num>
  <w:num w:numId="28">
    <w:abstractNumId w:val="2"/>
  </w:num>
  <w:num w:numId="29">
    <w:abstractNumId w:val="6"/>
  </w:num>
  <w:num w:numId="30">
    <w:abstractNumId w:val="31"/>
  </w:num>
  <w:num w:numId="31">
    <w:abstractNumId w:val="26"/>
  </w:num>
  <w:num w:numId="32">
    <w:abstractNumId w:val="15"/>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255"/>
    <w:rsid w:val="000104E8"/>
    <w:rsid w:val="00011F78"/>
    <w:rsid w:val="00013CFC"/>
    <w:rsid w:val="00020E6F"/>
    <w:rsid w:val="00022DB6"/>
    <w:rsid w:val="000309C2"/>
    <w:rsid w:val="000344C6"/>
    <w:rsid w:val="00041864"/>
    <w:rsid w:val="0004776A"/>
    <w:rsid w:val="00051A4A"/>
    <w:rsid w:val="00051E51"/>
    <w:rsid w:val="00055C8C"/>
    <w:rsid w:val="00056992"/>
    <w:rsid w:val="000655F4"/>
    <w:rsid w:val="000833EF"/>
    <w:rsid w:val="00086D73"/>
    <w:rsid w:val="00091041"/>
    <w:rsid w:val="000A0C1B"/>
    <w:rsid w:val="000A3333"/>
    <w:rsid w:val="000A58AC"/>
    <w:rsid w:val="000A5F92"/>
    <w:rsid w:val="000B1468"/>
    <w:rsid w:val="000B5503"/>
    <w:rsid w:val="000C43D0"/>
    <w:rsid w:val="000D1CD5"/>
    <w:rsid w:val="000E0269"/>
    <w:rsid w:val="000E70FE"/>
    <w:rsid w:val="000F4E59"/>
    <w:rsid w:val="001018EB"/>
    <w:rsid w:val="00103C79"/>
    <w:rsid w:val="00116F59"/>
    <w:rsid w:val="00123907"/>
    <w:rsid w:val="001327CF"/>
    <w:rsid w:val="00135A04"/>
    <w:rsid w:val="001362FD"/>
    <w:rsid w:val="001366BB"/>
    <w:rsid w:val="00136BAB"/>
    <w:rsid w:val="001372F2"/>
    <w:rsid w:val="00145488"/>
    <w:rsid w:val="00153F85"/>
    <w:rsid w:val="0015471A"/>
    <w:rsid w:val="0016412E"/>
    <w:rsid w:val="001669BB"/>
    <w:rsid w:val="00166BC3"/>
    <w:rsid w:val="00170EB3"/>
    <w:rsid w:val="0017145D"/>
    <w:rsid w:val="0017323E"/>
    <w:rsid w:val="00180A06"/>
    <w:rsid w:val="00182202"/>
    <w:rsid w:val="001824A1"/>
    <w:rsid w:val="00182783"/>
    <w:rsid w:val="00184D66"/>
    <w:rsid w:val="00185062"/>
    <w:rsid w:val="0018517B"/>
    <w:rsid w:val="001940AE"/>
    <w:rsid w:val="0019512C"/>
    <w:rsid w:val="00195F8E"/>
    <w:rsid w:val="001A4715"/>
    <w:rsid w:val="001A54FA"/>
    <w:rsid w:val="001A60FB"/>
    <w:rsid w:val="001A6D16"/>
    <w:rsid w:val="001B05C8"/>
    <w:rsid w:val="001B2086"/>
    <w:rsid w:val="001B3360"/>
    <w:rsid w:val="001B4AC5"/>
    <w:rsid w:val="001B6DF9"/>
    <w:rsid w:val="001C6C4D"/>
    <w:rsid w:val="001C7F62"/>
    <w:rsid w:val="001D47D7"/>
    <w:rsid w:val="001D55BC"/>
    <w:rsid w:val="001D7FB3"/>
    <w:rsid w:val="001F11F0"/>
    <w:rsid w:val="001F5A02"/>
    <w:rsid w:val="002009C2"/>
    <w:rsid w:val="00211C37"/>
    <w:rsid w:val="00212D24"/>
    <w:rsid w:val="00213F30"/>
    <w:rsid w:val="00216E51"/>
    <w:rsid w:val="00217581"/>
    <w:rsid w:val="00217DE6"/>
    <w:rsid w:val="00221DCB"/>
    <w:rsid w:val="00231F35"/>
    <w:rsid w:val="002335B0"/>
    <w:rsid w:val="002338A1"/>
    <w:rsid w:val="00240E5D"/>
    <w:rsid w:val="00253FE4"/>
    <w:rsid w:val="00266064"/>
    <w:rsid w:val="0027611C"/>
    <w:rsid w:val="002804B2"/>
    <w:rsid w:val="002811AA"/>
    <w:rsid w:val="00281DC3"/>
    <w:rsid w:val="002840D0"/>
    <w:rsid w:val="00286BB3"/>
    <w:rsid w:val="00295EFC"/>
    <w:rsid w:val="002A2697"/>
    <w:rsid w:val="002A3F6D"/>
    <w:rsid w:val="002B528C"/>
    <w:rsid w:val="002B651E"/>
    <w:rsid w:val="002B7FD6"/>
    <w:rsid w:val="002C32B3"/>
    <w:rsid w:val="002C5226"/>
    <w:rsid w:val="002C66A5"/>
    <w:rsid w:val="002D1598"/>
    <w:rsid w:val="002D2A7A"/>
    <w:rsid w:val="002E0984"/>
    <w:rsid w:val="002E24E1"/>
    <w:rsid w:val="002E28FA"/>
    <w:rsid w:val="002E2968"/>
    <w:rsid w:val="002F12C0"/>
    <w:rsid w:val="002F1FEC"/>
    <w:rsid w:val="002F2284"/>
    <w:rsid w:val="002F2396"/>
    <w:rsid w:val="002F5C3C"/>
    <w:rsid w:val="002F63CC"/>
    <w:rsid w:val="002F7A9D"/>
    <w:rsid w:val="003015AA"/>
    <w:rsid w:val="003065D5"/>
    <w:rsid w:val="00310708"/>
    <w:rsid w:val="00312BD3"/>
    <w:rsid w:val="003173DB"/>
    <w:rsid w:val="00325315"/>
    <w:rsid w:val="003371D3"/>
    <w:rsid w:val="003435A6"/>
    <w:rsid w:val="00346DA5"/>
    <w:rsid w:val="00347A3B"/>
    <w:rsid w:val="0035607B"/>
    <w:rsid w:val="00365A2A"/>
    <w:rsid w:val="00367EEB"/>
    <w:rsid w:val="00370895"/>
    <w:rsid w:val="00392AE9"/>
    <w:rsid w:val="00392B09"/>
    <w:rsid w:val="003A04CB"/>
    <w:rsid w:val="003A5AA5"/>
    <w:rsid w:val="003B78F9"/>
    <w:rsid w:val="003C0C21"/>
    <w:rsid w:val="003D74A2"/>
    <w:rsid w:val="003D7A13"/>
    <w:rsid w:val="003E1B86"/>
    <w:rsid w:val="003E2D9A"/>
    <w:rsid w:val="003E34DA"/>
    <w:rsid w:val="003F7C81"/>
    <w:rsid w:val="004002C6"/>
    <w:rsid w:val="00402829"/>
    <w:rsid w:val="0040639F"/>
    <w:rsid w:val="004125A5"/>
    <w:rsid w:val="00415AD1"/>
    <w:rsid w:val="00430DC5"/>
    <w:rsid w:val="00431EB1"/>
    <w:rsid w:val="00435BE2"/>
    <w:rsid w:val="004409D2"/>
    <w:rsid w:val="00450D89"/>
    <w:rsid w:val="004533A7"/>
    <w:rsid w:val="00453BAB"/>
    <w:rsid w:val="00455ED1"/>
    <w:rsid w:val="00457139"/>
    <w:rsid w:val="00460505"/>
    <w:rsid w:val="00463122"/>
    <w:rsid w:val="00480E77"/>
    <w:rsid w:val="00484C39"/>
    <w:rsid w:val="00485659"/>
    <w:rsid w:val="004955D9"/>
    <w:rsid w:val="004A5935"/>
    <w:rsid w:val="004C125D"/>
    <w:rsid w:val="004D6868"/>
    <w:rsid w:val="004E561E"/>
    <w:rsid w:val="004E598A"/>
    <w:rsid w:val="004E633C"/>
    <w:rsid w:val="004E6FF2"/>
    <w:rsid w:val="004F0EF6"/>
    <w:rsid w:val="00503C11"/>
    <w:rsid w:val="00504BA2"/>
    <w:rsid w:val="00506115"/>
    <w:rsid w:val="00511CA5"/>
    <w:rsid w:val="00513104"/>
    <w:rsid w:val="005150CE"/>
    <w:rsid w:val="00515BD0"/>
    <w:rsid w:val="00516173"/>
    <w:rsid w:val="00521525"/>
    <w:rsid w:val="0052379E"/>
    <w:rsid w:val="00527B4A"/>
    <w:rsid w:val="00527BA8"/>
    <w:rsid w:val="00530814"/>
    <w:rsid w:val="00545301"/>
    <w:rsid w:val="00556C93"/>
    <w:rsid w:val="0055707C"/>
    <w:rsid w:val="00565333"/>
    <w:rsid w:val="005732C0"/>
    <w:rsid w:val="00577197"/>
    <w:rsid w:val="005849EB"/>
    <w:rsid w:val="00591B39"/>
    <w:rsid w:val="0059283C"/>
    <w:rsid w:val="0059322D"/>
    <w:rsid w:val="005A25BE"/>
    <w:rsid w:val="005A4625"/>
    <w:rsid w:val="005B1CC3"/>
    <w:rsid w:val="005B5A07"/>
    <w:rsid w:val="005B6B1A"/>
    <w:rsid w:val="005B6D29"/>
    <w:rsid w:val="005C1372"/>
    <w:rsid w:val="005C7989"/>
    <w:rsid w:val="005D19F9"/>
    <w:rsid w:val="005D547C"/>
    <w:rsid w:val="005E243E"/>
    <w:rsid w:val="005E41D8"/>
    <w:rsid w:val="005E7B02"/>
    <w:rsid w:val="005E7FD6"/>
    <w:rsid w:val="005F54B8"/>
    <w:rsid w:val="00607A4B"/>
    <w:rsid w:val="00615FBD"/>
    <w:rsid w:val="0062704E"/>
    <w:rsid w:val="00630A66"/>
    <w:rsid w:val="00631A99"/>
    <w:rsid w:val="00634682"/>
    <w:rsid w:val="0063507E"/>
    <w:rsid w:val="006363E9"/>
    <w:rsid w:val="00636520"/>
    <w:rsid w:val="00636752"/>
    <w:rsid w:val="00642E6A"/>
    <w:rsid w:val="006443D4"/>
    <w:rsid w:val="00661121"/>
    <w:rsid w:val="00662E7E"/>
    <w:rsid w:val="0067757C"/>
    <w:rsid w:val="00682289"/>
    <w:rsid w:val="006858D6"/>
    <w:rsid w:val="00687908"/>
    <w:rsid w:val="006942F2"/>
    <w:rsid w:val="00696FFF"/>
    <w:rsid w:val="006A0189"/>
    <w:rsid w:val="006A1127"/>
    <w:rsid w:val="006A1995"/>
    <w:rsid w:val="006A2F72"/>
    <w:rsid w:val="006A3278"/>
    <w:rsid w:val="006B5ADB"/>
    <w:rsid w:val="006C34F2"/>
    <w:rsid w:val="006C4141"/>
    <w:rsid w:val="006C5473"/>
    <w:rsid w:val="006D3EBD"/>
    <w:rsid w:val="006D765E"/>
    <w:rsid w:val="006E0D01"/>
    <w:rsid w:val="006E2C5B"/>
    <w:rsid w:val="006E2DAD"/>
    <w:rsid w:val="006E3549"/>
    <w:rsid w:val="006E58AF"/>
    <w:rsid w:val="006E6CC3"/>
    <w:rsid w:val="006E6F0B"/>
    <w:rsid w:val="007048FC"/>
    <w:rsid w:val="007104E4"/>
    <w:rsid w:val="0071451D"/>
    <w:rsid w:val="007368CF"/>
    <w:rsid w:val="00741F19"/>
    <w:rsid w:val="00742C7F"/>
    <w:rsid w:val="00744242"/>
    <w:rsid w:val="007442BB"/>
    <w:rsid w:val="007463C5"/>
    <w:rsid w:val="00746846"/>
    <w:rsid w:val="007510C3"/>
    <w:rsid w:val="007552F7"/>
    <w:rsid w:val="00760E6D"/>
    <w:rsid w:val="0076240E"/>
    <w:rsid w:val="00762D9B"/>
    <w:rsid w:val="0076458E"/>
    <w:rsid w:val="007657CF"/>
    <w:rsid w:val="00767063"/>
    <w:rsid w:val="00770B6B"/>
    <w:rsid w:val="007758E5"/>
    <w:rsid w:val="0078260C"/>
    <w:rsid w:val="007857AA"/>
    <w:rsid w:val="00786194"/>
    <w:rsid w:val="00793008"/>
    <w:rsid w:val="00793F65"/>
    <w:rsid w:val="007940AE"/>
    <w:rsid w:val="00797372"/>
    <w:rsid w:val="00797D02"/>
    <w:rsid w:val="007A10F9"/>
    <w:rsid w:val="007A368B"/>
    <w:rsid w:val="007A4C02"/>
    <w:rsid w:val="007B49CD"/>
    <w:rsid w:val="007B593B"/>
    <w:rsid w:val="007B5A46"/>
    <w:rsid w:val="007C1BC2"/>
    <w:rsid w:val="007C3C76"/>
    <w:rsid w:val="007D0DBA"/>
    <w:rsid w:val="007D10DD"/>
    <w:rsid w:val="007D2600"/>
    <w:rsid w:val="007D4DB0"/>
    <w:rsid w:val="007E3853"/>
    <w:rsid w:val="007E78A8"/>
    <w:rsid w:val="007F073B"/>
    <w:rsid w:val="00801716"/>
    <w:rsid w:val="0080322D"/>
    <w:rsid w:val="00805C72"/>
    <w:rsid w:val="008144D4"/>
    <w:rsid w:val="00815C7F"/>
    <w:rsid w:val="00816394"/>
    <w:rsid w:val="00816F67"/>
    <w:rsid w:val="00821316"/>
    <w:rsid w:val="00824D55"/>
    <w:rsid w:val="00831225"/>
    <w:rsid w:val="00834447"/>
    <w:rsid w:val="008369C4"/>
    <w:rsid w:val="00840195"/>
    <w:rsid w:val="008428AB"/>
    <w:rsid w:val="00854F99"/>
    <w:rsid w:val="0086078C"/>
    <w:rsid w:val="00860C7D"/>
    <w:rsid w:val="0086177E"/>
    <w:rsid w:val="00863664"/>
    <w:rsid w:val="00866A64"/>
    <w:rsid w:val="00866F79"/>
    <w:rsid w:val="008720B7"/>
    <w:rsid w:val="00874C4E"/>
    <w:rsid w:val="00880A85"/>
    <w:rsid w:val="0088151C"/>
    <w:rsid w:val="008817AB"/>
    <w:rsid w:val="008843A4"/>
    <w:rsid w:val="008860E6"/>
    <w:rsid w:val="00891183"/>
    <w:rsid w:val="00891CC9"/>
    <w:rsid w:val="008923C0"/>
    <w:rsid w:val="0089251A"/>
    <w:rsid w:val="008933C6"/>
    <w:rsid w:val="0089430E"/>
    <w:rsid w:val="008B1C49"/>
    <w:rsid w:val="008B1F27"/>
    <w:rsid w:val="008B445F"/>
    <w:rsid w:val="008B67CC"/>
    <w:rsid w:val="008C6D18"/>
    <w:rsid w:val="008D1228"/>
    <w:rsid w:val="008D2A93"/>
    <w:rsid w:val="008D78DF"/>
    <w:rsid w:val="008E215D"/>
    <w:rsid w:val="008E3BDA"/>
    <w:rsid w:val="008F452F"/>
    <w:rsid w:val="00905ADC"/>
    <w:rsid w:val="00906C33"/>
    <w:rsid w:val="0091547A"/>
    <w:rsid w:val="009173AF"/>
    <w:rsid w:val="00924419"/>
    <w:rsid w:val="00925343"/>
    <w:rsid w:val="0092711F"/>
    <w:rsid w:val="00932946"/>
    <w:rsid w:val="009424FA"/>
    <w:rsid w:val="009426CB"/>
    <w:rsid w:val="0094533B"/>
    <w:rsid w:val="0095356B"/>
    <w:rsid w:val="00963073"/>
    <w:rsid w:val="00972127"/>
    <w:rsid w:val="009726D2"/>
    <w:rsid w:val="0097315A"/>
    <w:rsid w:val="00984D7B"/>
    <w:rsid w:val="00991F67"/>
    <w:rsid w:val="009A1AAF"/>
    <w:rsid w:val="009A3F0A"/>
    <w:rsid w:val="009A6292"/>
    <w:rsid w:val="009B3CE7"/>
    <w:rsid w:val="009B3EFE"/>
    <w:rsid w:val="009B493A"/>
    <w:rsid w:val="009B4DD0"/>
    <w:rsid w:val="009D3D73"/>
    <w:rsid w:val="009D62F8"/>
    <w:rsid w:val="009D7786"/>
    <w:rsid w:val="009E73AD"/>
    <w:rsid w:val="009F5357"/>
    <w:rsid w:val="009F7653"/>
    <w:rsid w:val="00A00569"/>
    <w:rsid w:val="00A01A84"/>
    <w:rsid w:val="00A21E85"/>
    <w:rsid w:val="00A2712A"/>
    <w:rsid w:val="00A320BA"/>
    <w:rsid w:val="00A3306B"/>
    <w:rsid w:val="00A35E96"/>
    <w:rsid w:val="00A36044"/>
    <w:rsid w:val="00A366A9"/>
    <w:rsid w:val="00A37B47"/>
    <w:rsid w:val="00A37CD1"/>
    <w:rsid w:val="00A42477"/>
    <w:rsid w:val="00A42ED3"/>
    <w:rsid w:val="00A46912"/>
    <w:rsid w:val="00A46B33"/>
    <w:rsid w:val="00A53546"/>
    <w:rsid w:val="00A64099"/>
    <w:rsid w:val="00A66777"/>
    <w:rsid w:val="00A67F31"/>
    <w:rsid w:val="00A7461D"/>
    <w:rsid w:val="00A77FF1"/>
    <w:rsid w:val="00A847D5"/>
    <w:rsid w:val="00A86119"/>
    <w:rsid w:val="00A96425"/>
    <w:rsid w:val="00AA004F"/>
    <w:rsid w:val="00AA56BD"/>
    <w:rsid w:val="00AB21C6"/>
    <w:rsid w:val="00AB59D5"/>
    <w:rsid w:val="00AB6016"/>
    <w:rsid w:val="00AB6A87"/>
    <w:rsid w:val="00AC2A37"/>
    <w:rsid w:val="00AC7C0B"/>
    <w:rsid w:val="00AD0E50"/>
    <w:rsid w:val="00AD2170"/>
    <w:rsid w:val="00AD4200"/>
    <w:rsid w:val="00AD593F"/>
    <w:rsid w:val="00AD632D"/>
    <w:rsid w:val="00AE1D0B"/>
    <w:rsid w:val="00AE43DC"/>
    <w:rsid w:val="00AF0554"/>
    <w:rsid w:val="00AF1C07"/>
    <w:rsid w:val="00AF5E12"/>
    <w:rsid w:val="00AF737F"/>
    <w:rsid w:val="00B006DF"/>
    <w:rsid w:val="00B05ECD"/>
    <w:rsid w:val="00B06172"/>
    <w:rsid w:val="00B07B92"/>
    <w:rsid w:val="00B16202"/>
    <w:rsid w:val="00B16A24"/>
    <w:rsid w:val="00B16A8C"/>
    <w:rsid w:val="00B220DC"/>
    <w:rsid w:val="00B275C1"/>
    <w:rsid w:val="00B30F5C"/>
    <w:rsid w:val="00B32423"/>
    <w:rsid w:val="00B3763D"/>
    <w:rsid w:val="00B37BEE"/>
    <w:rsid w:val="00B44A14"/>
    <w:rsid w:val="00B5068C"/>
    <w:rsid w:val="00B631AF"/>
    <w:rsid w:val="00B6522B"/>
    <w:rsid w:val="00B65709"/>
    <w:rsid w:val="00B67DF2"/>
    <w:rsid w:val="00B75539"/>
    <w:rsid w:val="00B7623F"/>
    <w:rsid w:val="00B85BF7"/>
    <w:rsid w:val="00B90E36"/>
    <w:rsid w:val="00B91842"/>
    <w:rsid w:val="00B939CC"/>
    <w:rsid w:val="00BA0BA1"/>
    <w:rsid w:val="00BA19E1"/>
    <w:rsid w:val="00BB6AF1"/>
    <w:rsid w:val="00BC0612"/>
    <w:rsid w:val="00BC4B32"/>
    <w:rsid w:val="00BC547B"/>
    <w:rsid w:val="00BC6A47"/>
    <w:rsid w:val="00BD4B6C"/>
    <w:rsid w:val="00BD63AE"/>
    <w:rsid w:val="00BE487C"/>
    <w:rsid w:val="00BF3AFC"/>
    <w:rsid w:val="00C00B7E"/>
    <w:rsid w:val="00C06CB9"/>
    <w:rsid w:val="00C139B5"/>
    <w:rsid w:val="00C17A8F"/>
    <w:rsid w:val="00C228A0"/>
    <w:rsid w:val="00C25C36"/>
    <w:rsid w:val="00C26F57"/>
    <w:rsid w:val="00C30D5A"/>
    <w:rsid w:val="00C3289A"/>
    <w:rsid w:val="00C37933"/>
    <w:rsid w:val="00C408C7"/>
    <w:rsid w:val="00C43D79"/>
    <w:rsid w:val="00C452C6"/>
    <w:rsid w:val="00C47EEA"/>
    <w:rsid w:val="00C519D0"/>
    <w:rsid w:val="00C53E1A"/>
    <w:rsid w:val="00C5478C"/>
    <w:rsid w:val="00C63255"/>
    <w:rsid w:val="00C6339A"/>
    <w:rsid w:val="00C70ACB"/>
    <w:rsid w:val="00C74035"/>
    <w:rsid w:val="00C82179"/>
    <w:rsid w:val="00C82EFB"/>
    <w:rsid w:val="00C906FC"/>
    <w:rsid w:val="00C94411"/>
    <w:rsid w:val="00C95A42"/>
    <w:rsid w:val="00CA28D1"/>
    <w:rsid w:val="00CA4FEC"/>
    <w:rsid w:val="00CB634E"/>
    <w:rsid w:val="00CC4B92"/>
    <w:rsid w:val="00CD7921"/>
    <w:rsid w:val="00CE05B3"/>
    <w:rsid w:val="00CE084B"/>
    <w:rsid w:val="00CE3410"/>
    <w:rsid w:val="00CF4B09"/>
    <w:rsid w:val="00CF50DC"/>
    <w:rsid w:val="00D02D57"/>
    <w:rsid w:val="00D118D6"/>
    <w:rsid w:val="00D1233F"/>
    <w:rsid w:val="00D20266"/>
    <w:rsid w:val="00D20C29"/>
    <w:rsid w:val="00D25C6E"/>
    <w:rsid w:val="00D26147"/>
    <w:rsid w:val="00D3123B"/>
    <w:rsid w:val="00D33842"/>
    <w:rsid w:val="00D338B2"/>
    <w:rsid w:val="00D35B7F"/>
    <w:rsid w:val="00D439E6"/>
    <w:rsid w:val="00D47915"/>
    <w:rsid w:val="00D52BAF"/>
    <w:rsid w:val="00D55D42"/>
    <w:rsid w:val="00D575B9"/>
    <w:rsid w:val="00D57D6E"/>
    <w:rsid w:val="00D61F5A"/>
    <w:rsid w:val="00D65203"/>
    <w:rsid w:val="00D656C2"/>
    <w:rsid w:val="00D703E5"/>
    <w:rsid w:val="00D76693"/>
    <w:rsid w:val="00D91AC4"/>
    <w:rsid w:val="00DA1693"/>
    <w:rsid w:val="00DA53E5"/>
    <w:rsid w:val="00DB4C12"/>
    <w:rsid w:val="00DB6A10"/>
    <w:rsid w:val="00DD6FF1"/>
    <w:rsid w:val="00E0081E"/>
    <w:rsid w:val="00E02094"/>
    <w:rsid w:val="00E03105"/>
    <w:rsid w:val="00E07FA1"/>
    <w:rsid w:val="00E10F4C"/>
    <w:rsid w:val="00E1162C"/>
    <w:rsid w:val="00E11E72"/>
    <w:rsid w:val="00E1587A"/>
    <w:rsid w:val="00E17032"/>
    <w:rsid w:val="00E218CA"/>
    <w:rsid w:val="00E22F15"/>
    <w:rsid w:val="00E2419F"/>
    <w:rsid w:val="00E366D6"/>
    <w:rsid w:val="00E37A12"/>
    <w:rsid w:val="00E63D8B"/>
    <w:rsid w:val="00E66CDC"/>
    <w:rsid w:val="00E70DCE"/>
    <w:rsid w:val="00E74978"/>
    <w:rsid w:val="00E81F4B"/>
    <w:rsid w:val="00E82E29"/>
    <w:rsid w:val="00E87074"/>
    <w:rsid w:val="00E912E4"/>
    <w:rsid w:val="00EA11BE"/>
    <w:rsid w:val="00EA2E68"/>
    <w:rsid w:val="00EB17D2"/>
    <w:rsid w:val="00EC0AD8"/>
    <w:rsid w:val="00EC644A"/>
    <w:rsid w:val="00EC6A3F"/>
    <w:rsid w:val="00ED14B0"/>
    <w:rsid w:val="00ED2C3C"/>
    <w:rsid w:val="00ED5E2B"/>
    <w:rsid w:val="00ED7917"/>
    <w:rsid w:val="00EE312F"/>
    <w:rsid w:val="00EE78E6"/>
    <w:rsid w:val="00EF1B42"/>
    <w:rsid w:val="00EF45A1"/>
    <w:rsid w:val="00F010E5"/>
    <w:rsid w:val="00F10688"/>
    <w:rsid w:val="00F30554"/>
    <w:rsid w:val="00F32F8C"/>
    <w:rsid w:val="00F348D2"/>
    <w:rsid w:val="00F352DF"/>
    <w:rsid w:val="00F35F1E"/>
    <w:rsid w:val="00F411AD"/>
    <w:rsid w:val="00F415E2"/>
    <w:rsid w:val="00F43297"/>
    <w:rsid w:val="00F443BD"/>
    <w:rsid w:val="00F4485F"/>
    <w:rsid w:val="00F44B6A"/>
    <w:rsid w:val="00F4757B"/>
    <w:rsid w:val="00F521C7"/>
    <w:rsid w:val="00F52F8B"/>
    <w:rsid w:val="00F535C7"/>
    <w:rsid w:val="00F60BF8"/>
    <w:rsid w:val="00F64863"/>
    <w:rsid w:val="00F65E2B"/>
    <w:rsid w:val="00F70316"/>
    <w:rsid w:val="00F71452"/>
    <w:rsid w:val="00F7619D"/>
    <w:rsid w:val="00F80EFE"/>
    <w:rsid w:val="00F945E6"/>
    <w:rsid w:val="00F960C1"/>
    <w:rsid w:val="00FA0331"/>
    <w:rsid w:val="00FA16F5"/>
    <w:rsid w:val="00FA6D47"/>
    <w:rsid w:val="00FC049C"/>
    <w:rsid w:val="00FC1C0E"/>
    <w:rsid w:val="00FC31E6"/>
    <w:rsid w:val="00FC5ED8"/>
    <w:rsid w:val="00FD0BA6"/>
    <w:rsid w:val="00FE0906"/>
    <w:rsid w:val="00FE521D"/>
    <w:rsid w:val="00FF2D62"/>
    <w:rsid w:val="0482A248"/>
    <w:rsid w:val="06BA4CC5"/>
    <w:rsid w:val="090DA1B9"/>
    <w:rsid w:val="0A14922D"/>
    <w:rsid w:val="113E8B09"/>
    <w:rsid w:val="12429AB9"/>
    <w:rsid w:val="139FCD1F"/>
    <w:rsid w:val="16C03C61"/>
    <w:rsid w:val="17A686B4"/>
    <w:rsid w:val="1803C69D"/>
    <w:rsid w:val="19E03CB4"/>
    <w:rsid w:val="1E37249C"/>
    <w:rsid w:val="1F7D0E79"/>
    <w:rsid w:val="21AD2445"/>
    <w:rsid w:val="24362E9F"/>
    <w:rsid w:val="25154F59"/>
    <w:rsid w:val="26DF282F"/>
    <w:rsid w:val="28DDBE27"/>
    <w:rsid w:val="29033898"/>
    <w:rsid w:val="29221FD7"/>
    <w:rsid w:val="2C592921"/>
    <w:rsid w:val="2C9402B3"/>
    <w:rsid w:val="2E72817F"/>
    <w:rsid w:val="2EFB8829"/>
    <w:rsid w:val="42BCAF3E"/>
    <w:rsid w:val="4346204E"/>
    <w:rsid w:val="44496FD7"/>
    <w:rsid w:val="44572D27"/>
    <w:rsid w:val="44B1BBAC"/>
    <w:rsid w:val="478CA2FE"/>
    <w:rsid w:val="49576C4A"/>
    <w:rsid w:val="4FDEB159"/>
    <w:rsid w:val="51B0F2A3"/>
    <w:rsid w:val="57E2B717"/>
    <w:rsid w:val="5917B3F1"/>
    <w:rsid w:val="5AAC2DD7"/>
    <w:rsid w:val="5B61BD77"/>
    <w:rsid w:val="5FC9EF63"/>
    <w:rsid w:val="653B80BD"/>
    <w:rsid w:val="682D9318"/>
    <w:rsid w:val="6AED3FC1"/>
    <w:rsid w:val="6D70E6AA"/>
    <w:rsid w:val="6F2F0F15"/>
    <w:rsid w:val="742FD00A"/>
    <w:rsid w:val="7518F694"/>
    <w:rsid w:val="776CF38F"/>
    <w:rsid w:val="7A5E606D"/>
    <w:rsid w:val="7BA5AD68"/>
    <w:rsid w:val="7D2F9F80"/>
    <w:rsid w:val="7D8EB3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190003"/>
  <w15:chartTrackingRefBased/>
  <w15:docId w15:val="{9EB01AB7-EE1D-4AD7-B7E5-843F07FF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0BA"/>
    <w:rPr>
      <w:rFonts w:ascii="Arial" w:eastAsia="Arial" w:hAnsi="Arial" w:cs="Arial"/>
      <w:sz w:val="22"/>
      <w:szCs w:val="22"/>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link w:val="HeaderChar"/>
    <w:uiPriority w:val="99"/>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link w:val="NumberedChar"/>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style>
  <w:style w:type="paragraph" w:customStyle="1" w:styleId="DfESBullets">
    <w:name w:val="DfESBullets"/>
    <w:basedOn w:val="Normal"/>
    <w:rsid w:val="00AF1C07"/>
    <w:pPr>
      <w:numPr>
        <w:numId w:val="5"/>
      </w:numPr>
      <w:spacing w:after="240"/>
    </w:pPr>
  </w:style>
  <w:style w:type="paragraph" w:styleId="ListParagraph">
    <w:name w:val="List Paragraph"/>
    <w:aliases w:val="Dot pt,List Paragraph Char Char Char,Indicator Text,Numbered Para 1,List Paragraph1,F5 List Paragraph,Bullet Points,MAIN CONTENT,List Paragraph12,Bullet Style,Colorful List - Accent 11,Normal numbered,List Paragraph2,No Spacing1,Bullet 1"/>
    <w:basedOn w:val="Normal"/>
    <w:link w:val="ListParagraphChar"/>
    <w:uiPriority w:val="34"/>
    <w:qFormat/>
    <w:rsid w:val="007463C5"/>
    <w:pPr>
      <w:ind w:left="720"/>
      <w:contextualSpacing/>
    </w:pPr>
  </w:style>
  <w:style w:type="character" w:styleId="Hyperlink">
    <w:name w:val="Hyperlink"/>
    <w:uiPriority w:val="99"/>
    <w:qFormat/>
    <w:rsid w:val="00A320BA"/>
    <w:rPr>
      <w:color w:val="0000FF"/>
      <w:u w:val="single"/>
    </w:rPr>
  </w:style>
  <w:style w:type="table" w:styleId="TableGrid">
    <w:name w:val="Table Grid"/>
    <w:aliases w:val="LEO Table,LTG Table"/>
    <w:basedOn w:val="TableNormal"/>
    <w:uiPriority w:val="39"/>
    <w:rsid w:val="00A32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320BA"/>
    <w:rPr>
      <w:sz w:val="16"/>
      <w:szCs w:val="16"/>
    </w:rPr>
  </w:style>
  <w:style w:type="paragraph" w:styleId="CommentText">
    <w:name w:val="annotation text"/>
    <w:basedOn w:val="Normal"/>
    <w:link w:val="CommentTextChar"/>
    <w:uiPriority w:val="99"/>
    <w:rsid w:val="00A320BA"/>
    <w:rPr>
      <w:sz w:val="20"/>
      <w:szCs w:val="18"/>
    </w:rPr>
  </w:style>
  <w:style w:type="character" w:customStyle="1" w:styleId="CommentTextChar">
    <w:name w:val="Comment Text Char"/>
    <w:basedOn w:val="DefaultParagraphFont"/>
    <w:link w:val="CommentText"/>
    <w:uiPriority w:val="99"/>
    <w:rsid w:val="00A320BA"/>
    <w:rPr>
      <w:rFonts w:ascii="Arial" w:eastAsia="Arial" w:hAnsi="Arial" w:cs="Arial"/>
      <w:szCs w:val="18"/>
    </w:rPr>
  </w:style>
  <w:style w:type="character" w:customStyle="1" w:styleId="NumberedChar">
    <w:name w:val="Numbered Char"/>
    <w:link w:val="Numbered"/>
    <w:rsid w:val="00A320BA"/>
    <w:rPr>
      <w:rFonts w:ascii="Arial" w:hAnsi="Arial"/>
      <w:sz w:val="24"/>
      <w:lang w:eastAsia="en-US"/>
    </w:rPr>
  </w:style>
  <w:style w:type="character" w:customStyle="1" w:styleId="ListParagraphChar">
    <w:name w:val="List Paragraph Char"/>
    <w:aliases w:val="Dot pt Char,List Paragraph Char Char Char Char,Indicator Text Char,Numbered Para 1 Char,List Paragraph1 Char,F5 List Paragraph Char,Bullet Points Char,MAIN CONTENT Char,List Paragraph12 Char,Bullet Style Char,Normal numbered Char"/>
    <w:link w:val="ListParagraph"/>
    <w:uiPriority w:val="34"/>
    <w:qFormat/>
    <w:locked/>
    <w:rsid w:val="00A320BA"/>
    <w:rPr>
      <w:rFonts w:ascii="Arial" w:hAnsi="Arial"/>
      <w:sz w:val="24"/>
      <w:lang w:eastAsia="en-US"/>
    </w:rPr>
  </w:style>
  <w:style w:type="paragraph" w:customStyle="1" w:styleId="TableHeader">
    <w:name w:val="TableHeader"/>
    <w:basedOn w:val="Normal"/>
    <w:qFormat/>
    <w:rsid w:val="00A320BA"/>
    <w:pPr>
      <w:spacing w:after="240" w:line="288" w:lineRule="auto"/>
    </w:pPr>
    <w:rPr>
      <w:rFonts w:cs="Times New Roman"/>
      <w:b/>
      <w:color w:val="0D0D0D" w:themeColor="text1" w:themeTint="F2"/>
      <w:szCs w:val="24"/>
    </w:rPr>
  </w:style>
  <w:style w:type="paragraph" w:customStyle="1" w:styleId="MainParagraphNumbered">
    <w:name w:val="Main Paragraph Numbered"/>
    <w:basedOn w:val="Normal"/>
    <w:rsid w:val="00A320BA"/>
    <w:pPr>
      <w:numPr>
        <w:numId w:val="8"/>
      </w:numPr>
      <w:tabs>
        <w:tab w:val="left" w:pos="0"/>
      </w:tabs>
      <w:spacing w:before="120"/>
    </w:pPr>
    <w:rPr>
      <w:b/>
      <w:kern w:val="28"/>
      <w:szCs w:val="20"/>
      <w:lang w:eastAsia="en-US"/>
    </w:rPr>
  </w:style>
  <w:style w:type="character" w:customStyle="1" w:styleId="HeaderChar">
    <w:name w:val="Header Char"/>
    <w:link w:val="Header"/>
    <w:uiPriority w:val="99"/>
    <w:locked/>
    <w:rsid w:val="00A320BA"/>
    <w:rPr>
      <w:rFonts w:ascii="Arial" w:hAnsi="Arial"/>
      <w:sz w:val="24"/>
      <w:lang w:eastAsia="en-US"/>
    </w:rPr>
  </w:style>
  <w:style w:type="paragraph" w:customStyle="1" w:styleId="Head1">
    <w:name w:val="Head 1"/>
    <w:basedOn w:val="Normal"/>
    <w:link w:val="Head1Char"/>
    <w:qFormat/>
    <w:rsid w:val="00A320BA"/>
    <w:rPr>
      <w:b/>
    </w:rPr>
  </w:style>
  <w:style w:type="character" w:customStyle="1" w:styleId="Head1Char">
    <w:name w:val="Head 1 Char"/>
    <w:basedOn w:val="DefaultParagraphFont"/>
    <w:link w:val="Head1"/>
    <w:rsid w:val="00A320BA"/>
    <w:rPr>
      <w:rFonts w:ascii="Arial" w:eastAsia="Arial" w:hAnsi="Arial" w:cs="Arial"/>
      <w:b/>
      <w:sz w:val="22"/>
      <w:szCs w:val="22"/>
    </w:rPr>
  </w:style>
  <w:style w:type="paragraph" w:styleId="CommentSubject">
    <w:name w:val="annotation subject"/>
    <w:basedOn w:val="CommentText"/>
    <w:next w:val="CommentText"/>
    <w:link w:val="CommentSubjectChar"/>
    <w:semiHidden/>
    <w:unhideWhenUsed/>
    <w:rsid w:val="00DB6A10"/>
    <w:rPr>
      <w:b/>
      <w:bCs/>
      <w:szCs w:val="20"/>
    </w:rPr>
  </w:style>
  <w:style w:type="character" w:customStyle="1" w:styleId="CommentSubjectChar">
    <w:name w:val="Comment Subject Char"/>
    <w:basedOn w:val="CommentTextChar"/>
    <w:link w:val="CommentSubject"/>
    <w:semiHidden/>
    <w:rsid w:val="00DB6A10"/>
    <w:rPr>
      <w:rFonts w:ascii="Arial" w:eastAsia="Arial" w:hAnsi="Arial" w:cs="Arial"/>
      <w:b/>
      <w:bCs/>
      <w:szCs w:val="18"/>
    </w:rPr>
  </w:style>
  <w:style w:type="character" w:styleId="FollowedHyperlink">
    <w:name w:val="FollowedHyperlink"/>
    <w:basedOn w:val="DefaultParagraphFont"/>
    <w:semiHidden/>
    <w:unhideWhenUsed/>
    <w:rsid w:val="002A3F6D"/>
    <w:rPr>
      <w:color w:val="800080" w:themeColor="followedHyperlink"/>
      <w:u w:val="single"/>
    </w:rPr>
  </w:style>
  <w:style w:type="character" w:customStyle="1" w:styleId="NumberedparagraphChar">
    <w:name w:val="Numbered paragraph Char"/>
    <w:basedOn w:val="DefaultParagraphFont"/>
    <w:link w:val="Numberedparagraph"/>
    <w:locked/>
    <w:rsid w:val="00516173"/>
    <w:rPr>
      <w:rFonts w:ascii="Arial" w:eastAsiaTheme="minorEastAsia" w:hAnsi="Arial" w:cs="Arial"/>
      <w:color w:val="0D0D0D" w:themeColor="text1" w:themeTint="F2"/>
      <w:sz w:val="24"/>
      <w:szCs w:val="24"/>
      <w:lang w:eastAsia="en-US"/>
    </w:rPr>
  </w:style>
  <w:style w:type="paragraph" w:customStyle="1" w:styleId="Numberedparagraph">
    <w:name w:val="Numbered paragraph"/>
    <w:basedOn w:val="ListParagraph"/>
    <w:link w:val="NumberedparagraphChar"/>
    <w:qFormat/>
    <w:rsid w:val="00516173"/>
    <w:pPr>
      <w:spacing w:after="240" w:line="276" w:lineRule="auto"/>
      <w:ind w:hanging="360"/>
      <w:contextualSpacing w:val="0"/>
    </w:pPr>
    <w:rPr>
      <w:rFonts w:eastAsiaTheme="minorEastAsia"/>
      <w:color w:val="0D0D0D" w:themeColor="text1" w:themeTint="F2"/>
      <w:sz w:val="24"/>
      <w:szCs w:val="24"/>
      <w:lang w:eastAsia="en-US"/>
    </w:rPr>
  </w:style>
  <w:style w:type="character" w:styleId="UnresolvedMention">
    <w:name w:val="Unresolved Mention"/>
    <w:basedOn w:val="DefaultParagraphFont"/>
    <w:uiPriority w:val="99"/>
    <w:semiHidden/>
    <w:unhideWhenUsed/>
    <w:rsid w:val="00A53546"/>
    <w:rPr>
      <w:color w:val="605E5C"/>
      <w:shd w:val="clear" w:color="auto" w:fill="E1DFDD"/>
    </w:rPr>
  </w:style>
  <w:style w:type="paragraph" w:styleId="Revision">
    <w:name w:val="Revision"/>
    <w:hidden/>
    <w:uiPriority w:val="99"/>
    <w:semiHidden/>
    <w:rsid w:val="00D575B9"/>
    <w:rPr>
      <w:rFonts w:ascii="Arial" w:eastAsia="Arial" w:hAnsi="Arial" w:cs="Arial"/>
      <w:sz w:val="22"/>
      <w:szCs w:val="22"/>
    </w:rPr>
  </w:style>
  <w:style w:type="character" w:customStyle="1" w:styleId="normaltextrun">
    <w:name w:val="normaltextrun"/>
    <w:basedOn w:val="DefaultParagraphFont"/>
    <w:rsid w:val="00860C7D"/>
  </w:style>
  <w:style w:type="character" w:customStyle="1" w:styleId="eop">
    <w:name w:val="eop"/>
    <w:basedOn w:val="DefaultParagraphFont"/>
    <w:rsid w:val="00BC4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569DEF3BA3AD459DCF4FF2BD3D314C" ma:contentTypeVersion="8" ma:contentTypeDescription="Create a new document." ma:contentTypeScope="" ma:versionID="794346e0dc533bce6b5d72c3a8691d6d">
  <xsd:schema xmlns:xsd="http://www.w3.org/2001/XMLSchema" xmlns:xs="http://www.w3.org/2001/XMLSchema" xmlns:p="http://schemas.microsoft.com/office/2006/metadata/properties" xmlns:ns2="d510f3aa-db47-4f57-bb1f-edf6557067cc" xmlns:ns3="e4923a9e-0f96-484d-880a-a1e5fe99c036" targetNamespace="http://schemas.microsoft.com/office/2006/metadata/properties" ma:root="true" ma:fieldsID="39fc0332af8808c7b7ca44ff804508de" ns2:_="" ns3:_="">
    <xsd:import namespace="d510f3aa-db47-4f57-bb1f-edf6557067cc"/>
    <xsd:import namespace="e4923a9e-0f96-484d-880a-a1e5fe99c0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f3aa-db47-4f57-bb1f-edf655706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923a9e-0f96-484d-880a-a1e5fe99c0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3B8498-6F24-4908-8307-A539446062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584A8E-FC6F-4FA8-A69D-AA68598F0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f3aa-db47-4f57-bb1f-edf6557067cc"/>
    <ds:schemaRef ds:uri="e4923a9e-0f96-484d-880a-a1e5fe99c0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2C8407-0F37-4077-9BCA-5DA16D2838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1308</Words>
  <Characters>7461</Characters>
  <Application>Microsoft Office Word</Application>
  <DocSecurity>0</DocSecurity>
  <Lines>62</Lines>
  <Paragraphs>17</Paragraphs>
  <ScaleCrop>false</ScaleCrop>
  <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MCLELLAN, Hazel</dc:creator>
  <cp:keywords/>
  <dc:description/>
  <cp:lastModifiedBy>MCLELLAN, Hazel</cp:lastModifiedBy>
  <cp:revision>10</cp:revision>
  <dcterms:created xsi:type="dcterms:W3CDTF">2021-09-07T15:50:00Z</dcterms:created>
  <dcterms:modified xsi:type="dcterms:W3CDTF">2021-09-07T18:25:00Z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0x01010012569DEF3BA3AD459DCF4FF2BD3D314C</vt:lpwstr>
  </property>
</Properties>
</file>